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66E" w:rsidRPr="009D2BB2" w:rsidRDefault="007B63F5" w:rsidP="000260A5">
      <w:pPr>
        <w:pStyle w:val="Heading2"/>
      </w:pPr>
      <w:bookmarkStart w:id="0" w:name="_Toc282595292"/>
      <w:bookmarkStart w:id="1" w:name="_Toc282595448"/>
      <w:bookmarkStart w:id="2" w:name="_Toc282598627"/>
      <w:bookmarkStart w:id="3" w:name="_Toc306179220"/>
      <w:bookmarkStart w:id="4" w:name="_Toc306179515"/>
      <w:bookmarkStart w:id="5" w:name="_Toc306180616"/>
      <w:bookmarkStart w:id="6" w:name="_Toc306184061"/>
      <w:bookmarkStart w:id="7" w:name="_Toc306189561"/>
      <w:bookmarkStart w:id="8" w:name="_Toc309228622"/>
      <w:bookmarkStart w:id="9" w:name="_Toc310341046"/>
      <w:bookmarkStart w:id="10" w:name="_Toc310341203"/>
      <w:bookmarkStart w:id="11" w:name="_Toc334607709"/>
      <w:bookmarkStart w:id="12" w:name="_Toc370472614"/>
      <w:bookmarkStart w:id="13" w:name="_Toc278275793"/>
      <w:bookmarkStart w:id="14" w:name="_Toc278275740"/>
      <w:bookmarkStart w:id="15" w:name="_GoBack"/>
      <w:bookmarkEnd w:id="15"/>
      <w:r w:rsidRPr="009D2BB2">
        <w:t>Data q</w:t>
      </w:r>
      <w:r w:rsidR="005E066E" w:rsidRPr="009D2BB2">
        <w:t xml:space="preserve">uality </w:t>
      </w:r>
      <w:r w:rsidRPr="009D2BB2">
        <w:t>i</w:t>
      </w:r>
      <w:r w:rsidR="005E066E" w:rsidRPr="009D2BB2">
        <w:t xml:space="preserve">nformation — </w:t>
      </w:r>
      <w:r w:rsidR="001F3829">
        <w:t>Vocational</w:t>
      </w:r>
      <w:r w:rsidR="00BC2377" w:rsidRPr="009D2BB2">
        <w:t xml:space="preserve"> education and training, chapter 5</w:t>
      </w:r>
      <w:bookmarkEnd w:id="0"/>
      <w:bookmarkEnd w:id="1"/>
      <w:bookmarkEnd w:id="2"/>
      <w:bookmarkEnd w:id="3"/>
      <w:bookmarkEnd w:id="4"/>
      <w:bookmarkEnd w:id="5"/>
      <w:bookmarkEnd w:id="6"/>
      <w:bookmarkEnd w:id="7"/>
      <w:bookmarkEnd w:id="8"/>
      <w:bookmarkEnd w:id="9"/>
      <w:bookmarkEnd w:id="10"/>
      <w:bookmarkEnd w:id="11"/>
      <w:bookmarkEnd w:id="12"/>
    </w:p>
    <w:p w:rsidR="005E066E" w:rsidRPr="009D2BB2" w:rsidRDefault="005E066E" w:rsidP="005E06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E066E" w:rsidRPr="009D2BB2" w:rsidTr="00101653">
        <w:tc>
          <w:tcPr>
            <w:tcW w:w="8771" w:type="dxa"/>
            <w:tcBorders>
              <w:top w:val="single" w:sz="6" w:space="0" w:color="auto"/>
              <w:bottom w:val="nil"/>
            </w:tcBorders>
          </w:tcPr>
          <w:p w:rsidR="005E066E" w:rsidRPr="009D2BB2" w:rsidRDefault="005E066E" w:rsidP="00101653">
            <w:pPr>
              <w:pStyle w:val="BoxTitle"/>
            </w:pPr>
            <w:r w:rsidRPr="009D2BB2">
              <w:t>Data quality information</w:t>
            </w:r>
          </w:p>
        </w:tc>
      </w:tr>
      <w:tr w:rsidR="005E066E" w:rsidRPr="009D2BB2" w:rsidTr="00101653">
        <w:trPr>
          <w:cantSplit/>
        </w:trPr>
        <w:tc>
          <w:tcPr>
            <w:tcW w:w="8771" w:type="dxa"/>
            <w:tcBorders>
              <w:top w:val="nil"/>
              <w:left w:val="single" w:sz="6" w:space="0" w:color="auto"/>
              <w:bottom w:val="nil"/>
              <w:right w:val="single" w:sz="6" w:space="0" w:color="auto"/>
            </w:tcBorders>
          </w:tcPr>
          <w:p w:rsidR="00BC2377" w:rsidRPr="009D2BB2" w:rsidRDefault="00BC2377" w:rsidP="00BC2377">
            <w:pPr>
              <w:pStyle w:val="Box"/>
            </w:pPr>
            <w:proofErr w:type="spellStart"/>
            <w:r w:rsidRPr="009D2BB2">
              <w:t>DQI</w:t>
            </w:r>
            <w:proofErr w:type="spellEnd"/>
            <w:r w:rsidRPr="009D2BB2">
              <w:t xml:space="preserve"> provides information against the seven ABS data quality framework dimensions, for performanc</w:t>
            </w:r>
            <w:r w:rsidR="001F3829">
              <w:t xml:space="preserve">e indicators in the Vocational </w:t>
            </w:r>
            <w:r w:rsidRPr="009D2BB2">
              <w:t>educa</w:t>
            </w:r>
            <w:r w:rsidR="004549A9">
              <w:t>tion and training (VET) chapter</w:t>
            </w:r>
            <w:r w:rsidRPr="009D2BB2">
              <w:t>.</w:t>
            </w:r>
          </w:p>
          <w:p w:rsidR="00BC2377" w:rsidRPr="009D2BB2" w:rsidRDefault="00BC2377" w:rsidP="00BC2377">
            <w:pPr>
              <w:pStyle w:val="Box"/>
            </w:pPr>
            <w:r w:rsidRPr="009D2BB2">
              <w:t xml:space="preserve">Where </w:t>
            </w:r>
            <w:proofErr w:type="spellStart"/>
            <w:r w:rsidRPr="009D2BB2">
              <w:t>RoGS</w:t>
            </w:r>
            <w:proofErr w:type="spellEnd"/>
            <w:r w:rsidRPr="009D2BB2">
              <w:t xml:space="preserve"> indicators align with National Agreement indicators, </w:t>
            </w:r>
            <w:proofErr w:type="spellStart"/>
            <w:r w:rsidRPr="009D2BB2">
              <w:t>DQI</w:t>
            </w:r>
            <w:proofErr w:type="spellEnd"/>
            <w:r w:rsidRPr="009D2BB2">
              <w:t xml:space="preserve"> has been sourced from the Steering Committee’s reports on National Agreements to the </w:t>
            </w:r>
            <w:proofErr w:type="spellStart"/>
            <w:r w:rsidRPr="009D2BB2">
              <w:t>COAG</w:t>
            </w:r>
            <w:proofErr w:type="spellEnd"/>
            <w:r w:rsidRPr="009D2BB2">
              <w:t xml:space="preserve"> Reform Council. </w:t>
            </w:r>
          </w:p>
          <w:p w:rsidR="005E066E" w:rsidRPr="009D2BB2" w:rsidRDefault="00BC2377" w:rsidP="00BC2377">
            <w:pPr>
              <w:pStyle w:val="Box"/>
            </w:pPr>
            <w:r w:rsidRPr="009D2BB2">
              <w:t xml:space="preserve">Technical </w:t>
            </w:r>
            <w:proofErr w:type="spellStart"/>
            <w:r w:rsidRPr="009D2BB2">
              <w:t>DQI</w:t>
            </w:r>
            <w:proofErr w:type="spellEnd"/>
            <w:r w:rsidRPr="009D2BB2">
              <w:t xml:space="preserve"> has been supplied or agreed by relevant data providers. Additional Steering Committee commentary does not necessarily reflect the views of data providers.</w:t>
            </w:r>
          </w:p>
        </w:tc>
      </w:tr>
      <w:tr w:rsidR="005E066E" w:rsidRPr="009D2BB2" w:rsidTr="00101653">
        <w:trPr>
          <w:cantSplit/>
        </w:trPr>
        <w:tc>
          <w:tcPr>
            <w:tcW w:w="8771" w:type="dxa"/>
            <w:tcBorders>
              <w:top w:val="nil"/>
              <w:left w:val="single" w:sz="6" w:space="0" w:color="auto"/>
              <w:bottom w:val="single" w:sz="6" w:space="0" w:color="auto"/>
              <w:right w:val="single" w:sz="6" w:space="0" w:color="auto"/>
            </w:tcBorders>
          </w:tcPr>
          <w:p w:rsidR="005E066E" w:rsidRPr="009D2BB2" w:rsidRDefault="005E066E" w:rsidP="00101653">
            <w:pPr>
              <w:pStyle w:val="Box"/>
              <w:spacing w:before="0" w:line="120" w:lineRule="exact"/>
            </w:pPr>
          </w:p>
        </w:tc>
      </w:tr>
      <w:tr w:rsidR="005E066E" w:rsidRPr="009D2BB2" w:rsidTr="00101653">
        <w:tc>
          <w:tcPr>
            <w:tcW w:w="8771" w:type="dxa"/>
            <w:tcBorders>
              <w:top w:val="nil"/>
              <w:left w:val="nil"/>
              <w:bottom w:val="nil"/>
              <w:right w:val="nil"/>
            </w:tcBorders>
          </w:tcPr>
          <w:p w:rsidR="005E066E" w:rsidRPr="009D2BB2" w:rsidRDefault="005E066E" w:rsidP="00101653">
            <w:pPr>
              <w:pStyle w:val="Box"/>
              <w:keepNext w:val="0"/>
              <w:spacing w:before="60" w:after="60" w:line="80" w:lineRule="exact"/>
              <w:rPr>
                <w:b/>
                <w:sz w:val="14"/>
              </w:rPr>
            </w:pPr>
          </w:p>
        </w:tc>
      </w:tr>
    </w:tbl>
    <w:p w:rsidR="00AF194F" w:rsidRDefault="005E066E" w:rsidP="001B698F">
      <w:pPr>
        <w:pStyle w:val="BodyText"/>
        <w:spacing w:after="120"/>
        <w:rPr>
          <w:noProof/>
        </w:rPr>
      </w:pPr>
      <w:proofErr w:type="spellStart"/>
      <w:r w:rsidRPr="009D2BB2">
        <w:t>DQI</w:t>
      </w:r>
      <w:proofErr w:type="spellEnd"/>
      <w:r w:rsidRPr="009D2BB2">
        <w:t xml:space="preserve"> are available for the following performance indicators:</w:t>
      </w:r>
    </w:p>
    <w:p w:rsidR="00AF194F" w:rsidRDefault="00AF194F">
      <w:pPr>
        <w:pStyle w:val="TOC3"/>
        <w:rPr>
          <w:rFonts w:asciiTheme="minorHAnsi" w:eastAsiaTheme="minorEastAsia" w:hAnsiTheme="minorHAnsi" w:cstheme="minorBidi"/>
          <w:noProof/>
          <w:sz w:val="22"/>
          <w:szCs w:val="22"/>
        </w:rPr>
      </w:pPr>
      <w:r w:rsidRPr="00D86CD7">
        <w:rPr>
          <w:noProof/>
        </w:rPr>
        <w:t>VET participation by target group</w:t>
      </w:r>
      <w:r>
        <w:rPr>
          <w:noProof/>
          <w:webHidden/>
        </w:rPr>
        <w:tab/>
      </w:r>
      <w:r w:rsidR="00E40F74">
        <w:rPr>
          <w:noProof/>
          <w:webHidden/>
        </w:rPr>
        <w:t>3</w:t>
      </w:r>
    </w:p>
    <w:p w:rsidR="00AF194F" w:rsidRDefault="00AF194F">
      <w:pPr>
        <w:pStyle w:val="TOC3"/>
        <w:rPr>
          <w:rFonts w:asciiTheme="minorHAnsi" w:eastAsiaTheme="minorEastAsia" w:hAnsiTheme="minorHAnsi" w:cstheme="minorBidi"/>
          <w:noProof/>
          <w:sz w:val="22"/>
          <w:szCs w:val="22"/>
        </w:rPr>
      </w:pPr>
      <w:r w:rsidRPr="00D86CD7">
        <w:rPr>
          <w:noProof/>
        </w:rPr>
        <w:t>Student participation in VET</w:t>
      </w:r>
      <w:r>
        <w:rPr>
          <w:noProof/>
          <w:webHidden/>
        </w:rPr>
        <w:tab/>
      </w:r>
      <w:r w:rsidR="00E40F74">
        <w:rPr>
          <w:noProof/>
          <w:webHidden/>
        </w:rPr>
        <w:t>9</w:t>
      </w:r>
    </w:p>
    <w:p w:rsidR="00AF194F" w:rsidRDefault="00AF194F">
      <w:pPr>
        <w:pStyle w:val="TOC3"/>
        <w:rPr>
          <w:rFonts w:asciiTheme="minorHAnsi" w:eastAsiaTheme="minorEastAsia" w:hAnsiTheme="minorHAnsi" w:cstheme="minorBidi"/>
          <w:noProof/>
          <w:sz w:val="22"/>
          <w:szCs w:val="22"/>
        </w:rPr>
      </w:pPr>
      <w:r w:rsidRPr="00D86CD7">
        <w:rPr>
          <w:noProof/>
        </w:rPr>
        <w:t>Government recurrent expenditure per annual hour</w:t>
      </w:r>
      <w:r>
        <w:rPr>
          <w:noProof/>
          <w:webHidden/>
        </w:rPr>
        <w:tab/>
      </w:r>
      <w:r w:rsidR="00E40F74">
        <w:rPr>
          <w:noProof/>
          <w:webHidden/>
        </w:rPr>
        <w:t>1</w:t>
      </w:r>
      <w:r w:rsidR="004549A9">
        <w:rPr>
          <w:noProof/>
          <w:webHidden/>
        </w:rPr>
        <w:t>6</w:t>
      </w:r>
    </w:p>
    <w:p w:rsidR="00AF194F" w:rsidRDefault="00AF194F">
      <w:pPr>
        <w:pStyle w:val="TOC3"/>
        <w:rPr>
          <w:rFonts w:asciiTheme="minorHAnsi" w:eastAsiaTheme="minorEastAsia" w:hAnsiTheme="minorHAnsi" w:cstheme="minorBidi"/>
          <w:noProof/>
          <w:sz w:val="22"/>
          <w:szCs w:val="22"/>
        </w:rPr>
      </w:pPr>
      <w:r w:rsidRPr="00D86CD7">
        <w:rPr>
          <w:noProof/>
        </w:rPr>
        <w:t>Government recurrent expenditure per load pass</w:t>
      </w:r>
      <w:r>
        <w:rPr>
          <w:noProof/>
          <w:webHidden/>
        </w:rPr>
        <w:tab/>
      </w:r>
      <w:r w:rsidR="00E40F74">
        <w:rPr>
          <w:noProof/>
          <w:webHidden/>
        </w:rPr>
        <w:t>1</w:t>
      </w:r>
      <w:r w:rsidR="004549A9">
        <w:rPr>
          <w:noProof/>
          <w:webHidden/>
        </w:rPr>
        <w:t>8</w:t>
      </w:r>
    </w:p>
    <w:p w:rsidR="00AF194F" w:rsidRDefault="00AF194F">
      <w:pPr>
        <w:pStyle w:val="TOC3"/>
        <w:rPr>
          <w:rFonts w:asciiTheme="minorHAnsi" w:eastAsiaTheme="minorEastAsia" w:hAnsiTheme="minorHAnsi" w:cstheme="minorBidi"/>
          <w:noProof/>
          <w:sz w:val="22"/>
          <w:szCs w:val="22"/>
        </w:rPr>
      </w:pPr>
      <w:r w:rsidRPr="00D86CD7">
        <w:rPr>
          <w:noProof/>
        </w:rPr>
        <w:t>User cost of capital per annual hour</w:t>
      </w:r>
      <w:r>
        <w:rPr>
          <w:noProof/>
          <w:webHidden/>
        </w:rPr>
        <w:tab/>
      </w:r>
      <w:r w:rsidR="004549A9">
        <w:rPr>
          <w:noProof/>
          <w:webHidden/>
        </w:rPr>
        <w:t>20</w:t>
      </w:r>
    </w:p>
    <w:p w:rsidR="00AF194F" w:rsidRDefault="00AF194F">
      <w:pPr>
        <w:pStyle w:val="TOC3"/>
        <w:rPr>
          <w:rFonts w:asciiTheme="minorHAnsi" w:eastAsiaTheme="minorEastAsia" w:hAnsiTheme="minorHAnsi" w:cstheme="minorBidi"/>
          <w:noProof/>
          <w:sz w:val="22"/>
          <w:szCs w:val="22"/>
        </w:rPr>
      </w:pPr>
      <w:r w:rsidRPr="00D86CD7">
        <w:rPr>
          <w:noProof/>
        </w:rPr>
        <w:t>User cost of capital per load pass</w:t>
      </w:r>
      <w:r>
        <w:rPr>
          <w:noProof/>
          <w:webHidden/>
        </w:rPr>
        <w:tab/>
      </w:r>
      <w:r w:rsidR="00E40F74">
        <w:rPr>
          <w:noProof/>
          <w:webHidden/>
        </w:rPr>
        <w:t>2</w:t>
      </w:r>
      <w:r w:rsidR="004549A9">
        <w:rPr>
          <w:noProof/>
          <w:webHidden/>
        </w:rPr>
        <w:t>2</w:t>
      </w:r>
    </w:p>
    <w:p w:rsidR="00AF194F" w:rsidRDefault="00AF194F">
      <w:pPr>
        <w:pStyle w:val="TOC3"/>
        <w:rPr>
          <w:rFonts w:asciiTheme="minorHAnsi" w:eastAsiaTheme="minorEastAsia" w:hAnsiTheme="minorHAnsi" w:cstheme="minorBidi"/>
          <w:noProof/>
          <w:sz w:val="22"/>
          <w:szCs w:val="22"/>
        </w:rPr>
      </w:pPr>
      <w:r w:rsidRPr="00D86CD7">
        <w:rPr>
          <w:noProof/>
        </w:rPr>
        <w:t>Student employment and further study outcomes — proportion of graduates who were employed and/or continued on to further study after completing their course</w:t>
      </w:r>
      <w:r>
        <w:rPr>
          <w:noProof/>
          <w:webHidden/>
        </w:rPr>
        <w:tab/>
      </w:r>
      <w:r w:rsidR="00E40F74">
        <w:rPr>
          <w:noProof/>
          <w:webHidden/>
        </w:rPr>
        <w:t>2</w:t>
      </w:r>
      <w:r w:rsidR="004549A9">
        <w:rPr>
          <w:noProof/>
          <w:webHidden/>
        </w:rPr>
        <w:t>4</w:t>
      </w:r>
    </w:p>
    <w:p w:rsidR="00AF194F" w:rsidRDefault="00AF194F">
      <w:pPr>
        <w:pStyle w:val="TOC3"/>
        <w:rPr>
          <w:rFonts w:asciiTheme="minorHAnsi" w:eastAsiaTheme="minorEastAsia" w:hAnsiTheme="minorHAnsi" w:cstheme="minorBidi"/>
          <w:noProof/>
          <w:sz w:val="22"/>
          <w:szCs w:val="22"/>
        </w:rPr>
      </w:pPr>
      <w:r w:rsidRPr="00D86CD7">
        <w:rPr>
          <w:noProof/>
        </w:rPr>
        <w:t>Student employment and further study outcomes — proportion of graduates employed after completing their course who were unemployed before the course</w:t>
      </w:r>
      <w:r>
        <w:rPr>
          <w:noProof/>
          <w:webHidden/>
        </w:rPr>
        <w:tab/>
      </w:r>
      <w:r w:rsidR="00E40F74">
        <w:rPr>
          <w:noProof/>
          <w:webHidden/>
        </w:rPr>
        <w:t>2</w:t>
      </w:r>
      <w:r w:rsidR="004549A9">
        <w:rPr>
          <w:noProof/>
          <w:webHidden/>
        </w:rPr>
        <w:t>8</w:t>
      </w:r>
    </w:p>
    <w:p w:rsidR="00AF194F" w:rsidRDefault="00AF194F">
      <w:pPr>
        <w:pStyle w:val="TOC3"/>
        <w:rPr>
          <w:rFonts w:asciiTheme="minorHAnsi" w:eastAsiaTheme="minorEastAsia" w:hAnsiTheme="minorHAnsi" w:cstheme="minorBidi"/>
          <w:noProof/>
          <w:sz w:val="22"/>
          <w:szCs w:val="22"/>
        </w:rPr>
      </w:pPr>
      <w:r w:rsidRPr="00D86CD7">
        <w:rPr>
          <w:noProof/>
        </w:rPr>
        <w:t>Student employment and further study outcomes — proportion of graduates who improved their employment circumstances after completing their course</w:t>
      </w:r>
      <w:r>
        <w:rPr>
          <w:noProof/>
          <w:webHidden/>
        </w:rPr>
        <w:tab/>
      </w:r>
      <w:r w:rsidR="00E40F74">
        <w:rPr>
          <w:noProof/>
          <w:webHidden/>
        </w:rPr>
        <w:t>3</w:t>
      </w:r>
      <w:r w:rsidR="004549A9">
        <w:rPr>
          <w:noProof/>
          <w:webHidden/>
        </w:rPr>
        <w:t>2</w:t>
      </w:r>
    </w:p>
    <w:p w:rsidR="00AF194F" w:rsidRDefault="00AF194F">
      <w:pPr>
        <w:pStyle w:val="TOC3"/>
        <w:rPr>
          <w:rFonts w:asciiTheme="minorHAnsi" w:eastAsiaTheme="minorEastAsia" w:hAnsiTheme="minorHAnsi" w:cstheme="minorBidi"/>
          <w:noProof/>
          <w:sz w:val="22"/>
          <w:szCs w:val="22"/>
        </w:rPr>
      </w:pPr>
      <w:r w:rsidRPr="00D86CD7">
        <w:rPr>
          <w:noProof/>
        </w:rPr>
        <w:t>Student employment and further study outcomes — proportion of graduates who undertook their course for employment-related reasons and were employed after completing their course, who reported at least one job-related benefit from completing the course</w:t>
      </w:r>
      <w:r>
        <w:rPr>
          <w:noProof/>
          <w:webHidden/>
        </w:rPr>
        <w:tab/>
      </w:r>
      <w:r w:rsidR="00E40F74">
        <w:rPr>
          <w:noProof/>
          <w:webHidden/>
        </w:rPr>
        <w:t>35</w:t>
      </w:r>
    </w:p>
    <w:p w:rsidR="00AF194F" w:rsidRDefault="00AF194F">
      <w:pPr>
        <w:pStyle w:val="TOC3"/>
        <w:rPr>
          <w:rFonts w:asciiTheme="minorHAnsi" w:eastAsiaTheme="minorEastAsia" w:hAnsiTheme="minorHAnsi" w:cstheme="minorBidi"/>
          <w:noProof/>
          <w:sz w:val="22"/>
          <w:szCs w:val="22"/>
        </w:rPr>
      </w:pPr>
      <w:r w:rsidRPr="00D86CD7">
        <w:rPr>
          <w:noProof/>
        </w:rPr>
        <w:t>Student achievement in VET — load pass rate</w:t>
      </w:r>
      <w:r>
        <w:rPr>
          <w:noProof/>
          <w:webHidden/>
        </w:rPr>
        <w:tab/>
      </w:r>
      <w:r w:rsidR="00E40F74">
        <w:rPr>
          <w:noProof/>
          <w:webHidden/>
        </w:rPr>
        <w:t>39</w:t>
      </w:r>
    </w:p>
    <w:p w:rsidR="00AF194F" w:rsidRDefault="00AF194F">
      <w:pPr>
        <w:pStyle w:val="TOC3"/>
        <w:rPr>
          <w:rFonts w:asciiTheme="minorHAnsi" w:eastAsiaTheme="minorEastAsia" w:hAnsiTheme="minorHAnsi" w:cstheme="minorBidi"/>
          <w:noProof/>
          <w:sz w:val="22"/>
          <w:szCs w:val="22"/>
        </w:rPr>
      </w:pPr>
      <w:r w:rsidRPr="00D86CD7">
        <w:rPr>
          <w:noProof/>
        </w:rPr>
        <w:lastRenderedPageBreak/>
        <w:t>Student achievement in VET — proportion of VET graduates with improved education/training status after training</w:t>
      </w:r>
      <w:r>
        <w:rPr>
          <w:noProof/>
          <w:webHidden/>
        </w:rPr>
        <w:tab/>
      </w:r>
      <w:r w:rsidR="00E40F74">
        <w:rPr>
          <w:noProof/>
          <w:webHidden/>
        </w:rPr>
        <w:t>4</w:t>
      </w:r>
      <w:r w:rsidR="004549A9">
        <w:rPr>
          <w:noProof/>
          <w:webHidden/>
        </w:rPr>
        <w:t>3</w:t>
      </w:r>
    </w:p>
    <w:p w:rsidR="00AF194F" w:rsidRDefault="00AF194F">
      <w:pPr>
        <w:pStyle w:val="TOC3"/>
        <w:rPr>
          <w:rFonts w:asciiTheme="minorHAnsi" w:eastAsiaTheme="minorEastAsia" w:hAnsiTheme="minorHAnsi" w:cstheme="minorBidi"/>
          <w:noProof/>
          <w:sz w:val="22"/>
          <w:szCs w:val="22"/>
        </w:rPr>
      </w:pPr>
      <w:r w:rsidRPr="00D86CD7">
        <w:rPr>
          <w:noProof/>
        </w:rPr>
        <w:t>Student satisfaction with VET — proportion of students who achieve their main reason for doing a VET course</w:t>
      </w:r>
      <w:r>
        <w:rPr>
          <w:noProof/>
          <w:webHidden/>
        </w:rPr>
        <w:tab/>
      </w:r>
      <w:r w:rsidR="00E40F74">
        <w:rPr>
          <w:noProof/>
          <w:webHidden/>
        </w:rPr>
        <w:t>4</w:t>
      </w:r>
      <w:r w:rsidR="004549A9">
        <w:rPr>
          <w:noProof/>
          <w:webHidden/>
        </w:rPr>
        <w:t>7</w:t>
      </w:r>
    </w:p>
    <w:p w:rsidR="00AF194F" w:rsidRDefault="00AF194F">
      <w:pPr>
        <w:pStyle w:val="TOC3"/>
        <w:rPr>
          <w:rFonts w:asciiTheme="minorHAnsi" w:eastAsiaTheme="minorEastAsia" w:hAnsiTheme="minorHAnsi" w:cstheme="minorBidi"/>
          <w:noProof/>
          <w:sz w:val="22"/>
          <w:szCs w:val="22"/>
        </w:rPr>
      </w:pPr>
      <w:r w:rsidRPr="00D86CD7">
        <w:rPr>
          <w:noProof/>
        </w:rPr>
        <w:t>Student satisfaction with VET — proportion of students who were satisfied with the quality of their completed VET course</w:t>
      </w:r>
      <w:r>
        <w:rPr>
          <w:noProof/>
          <w:webHidden/>
        </w:rPr>
        <w:tab/>
      </w:r>
      <w:r w:rsidR="00E40F74">
        <w:rPr>
          <w:noProof/>
          <w:webHidden/>
        </w:rPr>
        <w:t>5</w:t>
      </w:r>
      <w:r w:rsidR="004549A9">
        <w:rPr>
          <w:noProof/>
          <w:webHidden/>
        </w:rPr>
        <w:t>1</w:t>
      </w:r>
    </w:p>
    <w:p w:rsidR="00AF194F" w:rsidRDefault="00AF194F">
      <w:pPr>
        <w:pStyle w:val="TOC3"/>
        <w:rPr>
          <w:rFonts w:asciiTheme="minorHAnsi" w:eastAsiaTheme="minorEastAsia" w:hAnsiTheme="minorHAnsi" w:cstheme="minorBidi"/>
          <w:noProof/>
          <w:sz w:val="22"/>
          <w:szCs w:val="22"/>
        </w:rPr>
      </w:pPr>
      <w:r w:rsidRPr="00D86CD7">
        <w:rPr>
          <w:noProof/>
        </w:rPr>
        <w:t>Skill outputs from VET — qualifications completed, and annual change in qualifications completed</w:t>
      </w:r>
      <w:r>
        <w:rPr>
          <w:noProof/>
          <w:webHidden/>
        </w:rPr>
        <w:tab/>
      </w:r>
      <w:r w:rsidR="00E40F74">
        <w:rPr>
          <w:noProof/>
          <w:webHidden/>
        </w:rPr>
        <w:t>5</w:t>
      </w:r>
      <w:r w:rsidR="004549A9">
        <w:rPr>
          <w:noProof/>
          <w:webHidden/>
        </w:rPr>
        <w:t>5</w:t>
      </w:r>
    </w:p>
    <w:p w:rsidR="00AF194F" w:rsidRDefault="00AF194F">
      <w:pPr>
        <w:pStyle w:val="TOC3"/>
        <w:rPr>
          <w:rFonts w:asciiTheme="minorHAnsi" w:eastAsiaTheme="minorEastAsia" w:hAnsiTheme="minorHAnsi" w:cstheme="minorBidi"/>
          <w:noProof/>
          <w:sz w:val="22"/>
          <w:szCs w:val="22"/>
        </w:rPr>
      </w:pPr>
      <w:r w:rsidRPr="00D86CD7">
        <w:rPr>
          <w:noProof/>
        </w:rPr>
        <w:t>Skill outputs from VET — units of competency and modules completed, and annual change in units of competency and modules completed</w:t>
      </w:r>
      <w:r>
        <w:rPr>
          <w:noProof/>
          <w:webHidden/>
        </w:rPr>
        <w:tab/>
      </w:r>
      <w:r w:rsidR="00E40F74">
        <w:rPr>
          <w:noProof/>
          <w:webHidden/>
        </w:rPr>
        <w:t>5</w:t>
      </w:r>
      <w:r w:rsidR="004549A9">
        <w:rPr>
          <w:noProof/>
          <w:webHidden/>
        </w:rPr>
        <w:t>8</w:t>
      </w:r>
    </w:p>
    <w:p w:rsidR="00AF194F" w:rsidRDefault="00AF194F">
      <w:pPr>
        <w:pStyle w:val="TOC3"/>
        <w:rPr>
          <w:rFonts w:asciiTheme="minorHAnsi" w:eastAsiaTheme="minorEastAsia" w:hAnsiTheme="minorHAnsi" w:cstheme="minorBidi"/>
          <w:noProof/>
          <w:sz w:val="22"/>
          <w:szCs w:val="22"/>
        </w:rPr>
      </w:pPr>
      <w:r w:rsidRPr="00D86CD7">
        <w:rPr>
          <w:noProof/>
        </w:rPr>
        <w:t>Skill outputs from VET — Qualification Equivalents, and annual change in Qualification Equivalents</w:t>
      </w:r>
      <w:r>
        <w:rPr>
          <w:noProof/>
          <w:webHidden/>
        </w:rPr>
        <w:tab/>
      </w:r>
      <w:r w:rsidR="00E40F74">
        <w:rPr>
          <w:noProof/>
          <w:webHidden/>
        </w:rPr>
        <w:t>61</w:t>
      </w:r>
    </w:p>
    <w:p w:rsidR="00AF194F" w:rsidRDefault="00AF194F">
      <w:pPr>
        <w:pStyle w:val="TOC3"/>
        <w:rPr>
          <w:rFonts w:asciiTheme="minorHAnsi" w:eastAsiaTheme="minorEastAsia" w:hAnsiTheme="minorHAnsi" w:cstheme="minorBidi"/>
          <w:noProof/>
          <w:sz w:val="22"/>
          <w:szCs w:val="22"/>
        </w:rPr>
      </w:pPr>
      <w:r w:rsidRPr="00D86CD7">
        <w:rPr>
          <w:noProof/>
        </w:rPr>
        <w:t>Employer engagement with VET</w:t>
      </w:r>
      <w:r>
        <w:rPr>
          <w:noProof/>
          <w:webHidden/>
        </w:rPr>
        <w:tab/>
      </w:r>
      <w:r w:rsidR="00E40F74">
        <w:rPr>
          <w:noProof/>
          <w:webHidden/>
        </w:rPr>
        <w:t>6</w:t>
      </w:r>
      <w:r w:rsidR="004549A9">
        <w:rPr>
          <w:noProof/>
          <w:webHidden/>
        </w:rPr>
        <w:t>5</w:t>
      </w:r>
    </w:p>
    <w:p w:rsidR="00AF194F" w:rsidRDefault="00AF194F">
      <w:pPr>
        <w:pStyle w:val="TOC3"/>
        <w:rPr>
          <w:rFonts w:asciiTheme="minorHAnsi" w:eastAsiaTheme="minorEastAsia" w:hAnsiTheme="minorHAnsi" w:cstheme="minorBidi"/>
          <w:noProof/>
          <w:sz w:val="22"/>
          <w:szCs w:val="22"/>
        </w:rPr>
      </w:pPr>
      <w:r w:rsidRPr="00D86CD7">
        <w:rPr>
          <w:noProof/>
        </w:rPr>
        <w:t>Employer satisfaction with VET</w:t>
      </w:r>
      <w:r>
        <w:rPr>
          <w:noProof/>
          <w:webHidden/>
        </w:rPr>
        <w:tab/>
      </w:r>
      <w:r w:rsidR="00E40F74">
        <w:rPr>
          <w:noProof/>
          <w:webHidden/>
        </w:rPr>
        <w:t>6</w:t>
      </w:r>
      <w:r w:rsidR="004549A9">
        <w:rPr>
          <w:noProof/>
          <w:webHidden/>
        </w:rPr>
        <w:t>8</w:t>
      </w:r>
    </w:p>
    <w:bookmarkEnd w:id="13"/>
    <w:bookmarkEnd w:id="14"/>
    <w:p w:rsidR="00FB2435" w:rsidRPr="0055658E" w:rsidRDefault="00FB2435" w:rsidP="007056F1">
      <w:pPr>
        <w:pStyle w:val="Heading3"/>
        <w:jc w:val="both"/>
        <w:rPr>
          <w:rStyle w:val="DraftingNote"/>
          <w:color w:val="auto"/>
        </w:rPr>
      </w:pPr>
    </w:p>
    <w:p w:rsidR="007056F1" w:rsidRDefault="00A97467" w:rsidP="00A97467">
      <w:pPr>
        <w:pStyle w:val="Heading3"/>
        <w:jc w:val="both"/>
      </w:pPr>
      <w:r w:rsidRPr="009D2BB2">
        <w:br w:type="page"/>
      </w:r>
    </w:p>
    <w:p w:rsidR="007056F1" w:rsidRPr="009D2BB2" w:rsidRDefault="007056F1" w:rsidP="00D21520">
      <w:pPr>
        <w:pStyle w:val="Heading3"/>
        <w:spacing w:before="120"/>
      </w:pPr>
      <w:bookmarkStart w:id="16" w:name="_Toc325398234"/>
      <w:bookmarkStart w:id="17" w:name="_Toc370472615"/>
      <w:r>
        <w:lastRenderedPageBreak/>
        <w:t>VET participation by target group</w:t>
      </w:r>
      <w:bookmarkEnd w:id="16"/>
      <w:bookmarkEnd w:id="17"/>
    </w:p>
    <w:p w:rsidR="007056F1" w:rsidRPr="005970A0" w:rsidRDefault="007056F1" w:rsidP="007056F1">
      <w:pPr>
        <w:pStyle w:val="Box"/>
      </w:pPr>
      <w:r w:rsidRPr="005970A0">
        <w:t>Data quality information for this indicator has been drafted by the National Centre for Vocational Education Research (</w:t>
      </w:r>
      <w:proofErr w:type="spellStart"/>
      <w:r w:rsidRPr="005970A0">
        <w:t>NCVER</w:t>
      </w:r>
      <w:proofErr w:type="spellEnd"/>
      <w:r w:rsidRPr="005970A0">
        <w:t>)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7056F1">
        <w:tc>
          <w:tcPr>
            <w:tcW w:w="5000" w:type="pct"/>
            <w:gridSpan w:val="2"/>
          </w:tcPr>
          <w:p w:rsidR="007056F1" w:rsidRPr="005970A0" w:rsidRDefault="007056F1" w:rsidP="007056F1">
            <w:pPr>
              <w:pStyle w:val="TableBodyText"/>
              <w:jc w:val="both"/>
              <w:rPr>
                <w:b/>
                <w:u w:val="single"/>
              </w:rPr>
            </w:pPr>
          </w:p>
          <w:p w:rsidR="007056F1" w:rsidRPr="005970A0" w:rsidRDefault="007056F1" w:rsidP="007056F1">
            <w:pPr>
              <w:pStyle w:val="TableBodyText"/>
              <w:jc w:val="both"/>
            </w:pPr>
            <w:r w:rsidRPr="005970A0">
              <w:rPr>
                <w:b/>
                <w:u w:val="single"/>
              </w:rPr>
              <w:t>Indicator definition and description</w:t>
            </w:r>
            <w:r w:rsidRPr="005970A0">
              <w:rPr>
                <w:rFonts w:cs="Arial"/>
                <w:b/>
                <w:sz w:val="22"/>
                <w:szCs w:val="22"/>
                <w:u w:val="single"/>
              </w:rPr>
              <w:t xml:space="preserve"> </w:t>
            </w:r>
          </w:p>
        </w:tc>
      </w:tr>
      <w:tr w:rsidR="005970A0" w:rsidRPr="005970A0" w:rsidTr="007056F1">
        <w:tc>
          <w:tcPr>
            <w:tcW w:w="922" w:type="pct"/>
          </w:tcPr>
          <w:p w:rsidR="007056F1" w:rsidRPr="005970A0" w:rsidRDefault="007056F1" w:rsidP="007056F1">
            <w:pPr>
              <w:pStyle w:val="TableBodyText"/>
              <w:jc w:val="both"/>
              <w:rPr>
                <w:b/>
              </w:rPr>
            </w:pPr>
            <w:r w:rsidRPr="005970A0">
              <w:rPr>
                <w:b/>
              </w:rPr>
              <w:t>Element</w:t>
            </w:r>
          </w:p>
        </w:tc>
        <w:tc>
          <w:tcPr>
            <w:tcW w:w="4078" w:type="pct"/>
          </w:tcPr>
          <w:p w:rsidR="007056F1" w:rsidRPr="005970A0" w:rsidRDefault="007056F1" w:rsidP="007056F1">
            <w:pPr>
              <w:pStyle w:val="TableBodyText"/>
              <w:keepNext w:val="0"/>
              <w:keepLines w:val="0"/>
              <w:spacing w:after="120" w:line="240" w:lineRule="auto"/>
              <w:ind w:left="0" w:right="0"/>
              <w:jc w:val="both"/>
            </w:pPr>
            <w:r w:rsidRPr="005970A0">
              <w:t>Output/equity.</w:t>
            </w:r>
          </w:p>
        </w:tc>
      </w:tr>
      <w:tr w:rsidR="005970A0" w:rsidRPr="005970A0" w:rsidTr="007056F1">
        <w:tc>
          <w:tcPr>
            <w:tcW w:w="922" w:type="pct"/>
          </w:tcPr>
          <w:p w:rsidR="007056F1" w:rsidRPr="005970A0" w:rsidRDefault="007056F1" w:rsidP="007056F1">
            <w:pPr>
              <w:pStyle w:val="TableBodyText"/>
              <w:jc w:val="both"/>
              <w:rPr>
                <w:b/>
              </w:rPr>
            </w:pPr>
            <w:r w:rsidRPr="005970A0">
              <w:rPr>
                <w:b/>
              </w:rPr>
              <w:t>Indicator</w:t>
            </w:r>
          </w:p>
        </w:tc>
        <w:tc>
          <w:tcPr>
            <w:tcW w:w="4078" w:type="pct"/>
          </w:tcPr>
          <w:p w:rsidR="007056F1" w:rsidRPr="005970A0" w:rsidRDefault="007056F1" w:rsidP="007056F1">
            <w:pPr>
              <w:pStyle w:val="TableBodyText"/>
              <w:keepNext w:val="0"/>
              <w:keepLines w:val="0"/>
              <w:spacing w:after="120" w:line="240" w:lineRule="auto"/>
              <w:ind w:left="0" w:right="0"/>
              <w:jc w:val="both"/>
            </w:pPr>
            <w:r w:rsidRPr="005970A0">
              <w:t>VET participation by target group</w:t>
            </w:r>
          </w:p>
        </w:tc>
      </w:tr>
      <w:tr w:rsidR="007056F1" w:rsidRPr="005970A0" w:rsidTr="007056F1">
        <w:tc>
          <w:tcPr>
            <w:tcW w:w="922" w:type="pct"/>
          </w:tcPr>
          <w:p w:rsidR="007056F1" w:rsidRPr="005970A0" w:rsidRDefault="007056F1" w:rsidP="007056F1">
            <w:pPr>
              <w:pStyle w:val="TableBodyText"/>
              <w:jc w:val="both"/>
              <w:rPr>
                <w:b/>
              </w:rPr>
            </w:pPr>
            <w:r w:rsidRPr="005970A0">
              <w:rPr>
                <w:b/>
              </w:rPr>
              <w:t>Measure (computation)</w:t>
            </w:r>
          </w:p>
        </w:tc>
        <w:tc>
          <w:tcPr>
            <w:tcW w:w="4078" w:type="pct"/>
          </w:tcPr>
          <w:p w:rsidR="007056F1" w:rsidRPr="005970A0" w:rsidRDefault="007056F1" w:rsidP="007056F1">
            <w:pPr>
              <w:pStyle w:val="TableBodyText"/>
              <w:jc w:val="both"/>
              <w:rPr>
                <w:u w:val="single"/>
              </w:rPr>
            </w:pPr>
            <w:r w:rsidRPr="005970A0">
              <w:rPr>
                <w:u w:val="single"/>
              </w:rPr>
              <w:t>Definition</w:t>
            </w:r>
          </w:p>
          <w:p w:rsidR="007056F1" w:rsidRPr="005970A0" w:rsidRDefault="007056F1" w:rsidP="007056F1">
            <w:pPr>
              <w:pStyle w:val="TableBodyText"/>
              <w:keepNext w:val="0"/>
              <w:keepLines w:val="0"/>
              <w:spacing w:after="120" w:line="240" w:lineRule="auto"/>
              <w:ind w:left="0" w:right="0"/>
              <w:jc w:val="both"/>
            </w:pPr>
            <w:r w:rsidRPr="005970A0">
              <w:t>The number of government funded participants in the VET system who self</w:t>
            </w:r>
            <w:r w:rsidRPr="005970A0">
              <w:noBreakHyphen/>
              <w:t xml:space="preserve">identified that they are from a target group (i.e., </w:t>
            </w:r>
            <w:r w:rsidRPr="005970A0">
              <w:rPr>
                <w:rFonts w:cs="Arial"/>
              </w:rPr>
              <w:t xml:space="preserve">Indigenous people, people from remote and very remote areas, people with disability, and people speaking a language other than English </w:t>
            </w:r>
            <w:r w:rsidR="0053401B" w:rsidRPr="005970A0">
              <w:rPr>
                <w:rFonts w:cs="Arial"/>
              </w:rPr>
              <w:t>[</w:t>
            </w:r>
            <w:proofErr w:type="spellStart"/>
            <w:r w:rsidRPr="005970A0">
              <w:rPr>
                <w:rFonts w:cs="Arial"/>
              </w:rPr>
              <w:t>LOTE</w:t>
            </w:r>
            <w:proofErr w:type="spellEnd"/>
            <w:r w:rsidR="0053401B" w:rsidRPr="005970A0">
              <w:rPr>
                <w:rFonts w:cs="Arial"/>
              </w:rPr>
              <w:t>]</w:t>
            </w:r>
            <w:r w:rsidRPr="005970A0">
              <w:rPr>
                <w:rFonts w:cs="Arial"/>
              </w:rPr>
              <w:t xml:space="preserve"> at home)</w:t>
            </w:r>
            <w:r w:rsidRPr="005970A0">
              <w:t>, as a proportion of the total number of people in the population in that group.</w:t>
            </w:r>
          </w:p>
          <w:p w:rsidR="007056F1" w:rsidRPr="005970A0" w:rsidRDefault="007056F1" w:rsidP="007056F1">
            <w:pPr>
              <w:pStyle w:val="TableBodyText"/>
              <w:keepNext w:val="0"/>
              <w:keepLines w:val="0"/>
              <w:spacing w:after="120" w:line="240" w:lineRule="auto"/>
              <w:ind w:left="0" w:right="0"/>
              <w:jc w:val="both"/>
            </w:pPr>
            <w:r w:rsidRPr="005970A0">
              <w:t xml:space="preserve">Due to certain data not being available to calculate rates for </w:t>
            </w:r>
            <w:r w:rsidRPr="005970A0">
              <w:rPr>
                <w:rFonts w:cs="Arial"/>
              </w:rPr>
              <w:t xml:space="preserve">people with disability and people speaking a </w:t>
            </w:r>
            <w:proofErr w:type="spellStart"/>
            <w:r w:rsidRPr="005970A0">
              <w:rPr>
                <w:rFonts w:cs="Arial"/>
              </w:rPr>
              <w:t>LOTE</w:t>
            </w:r>
            <w:proofErr w:type="spellEnd"/>
            <w:r w:rsidRPr="005970A0">
              <w:rPr>
                <w:rFonts w:cs="Arial"/>
              </w:rPr>
              <w:t xml:space="preserve"> at home, proportions of government funded VET students are reported as proxy for these two groups.</w:t>
            </w:r>
          </w:p>
          <w:p w:rsidR="007056F1" w:rsidRPr="005970A0" w:rsidRDefault="007056F1" w:rsidP="007056F1">
            <w:pPr>
              <w:pStyle w:val="TableBodyText"/>
              <w:keepNext w:val="0"/>
              <w:keepLines w:val="0"/>
              <w:spacing w:after="0" w:line="240" w:lineRule="auto"/>
              <w:ind w:left="0" w:right="0"/>
              <w:jc w:val="both"/>
            </w:pPr>
            <w:r w:rsidRPr="005970A0">
              <w:rPr>
                <w:rFonts w:cs="Arial"/>
              </w:rPr>
              <w:t>For Indigenous people and people from remote and very remote areas:</w:t>
            </w:r>
          </w:p>
          <w:p w:rsidR="007056F1" w:rsidRPr="005970A0" w:rsidRDefault="007056F1" w:rsidP="007056F1">
            <w:pPr>
              <w:pStyle w:val="TableBodyText"/>
              <w:spacing w:before="40"/>
              <w:ind w:left="222"/>
              <w:jc w:val="both"/>
              <w:rPr>
                <w:u w:val="single"/>
              </w:rPr>
            </w:pPr>
            <w:r w:rsidRPr="005970A0">
              <w:rPr>
                <w:u w:val="single"/>
              </w:rPr>
              <w:t>Numerator/s</w:t>
            </w:r>
          </w:p>
          <w:p w:rsidR="007056F1" w:rsidRPr="005970A0" w:rsidRDefault="007056F1" w:rsidP="007056F1">
            <w:pPr>
              <w:pStyle w:val="TableBodyText"/>
              <w:keepNext w:val="0"/>
              <w:keepLines w:val="0"/>
              <w:spacing w:line="240" w:lineRule="auto"/>
              <w:ind w:left="222" w:right="0"/>
              <w:jc w:val="both"/>
              <w:rPr>
                <w:rFonts w:cs="Arial"/>
              </w:rPr>
            </w:pPr>
            <w:r w:rsidRPr="005970A0">
              <w:t>Government funded VET students who have self-identified</w:t>
            </w:r>
            <w:r w:rsidRPr="005970A0">
              <w:rPr>
                <w:rFonts w:cs="Arial"/>
              </w:rPr>
              <w:t xml:space="preserve"> on their VET enrolment form </w:t>
            </w:r>
            <w:r w:rsidRPr="005970A0">
              <w:t>that they are from at least one of the target groups below:</w:t>
            </w:r>
          </w:p>
          <w:p w:rsidR="007056F1" w:rsidRPr="005970A0" w:rsidRDefault="007056F1" w:rsidP="007056F1">
            <w:pPr>
              <w:numPr>
                <w:ilvl w:val="0"/>
                <w:numId w:val="24"/>
              </w:numPr>
              <w:tabs>
                <w:tab w:val="clear" w:pos="363"/>
                <w:tab w:val="num" w:pos="179"/>
              </w:tabs>
              <w:spacing w:after="40"/>
              <w:ind w:left="506" w:hanging="284"/>
              <w:jc w:val="both"/>
              <w:rPr>
                <w:rFonts w:ascii="Arial" w:hAnsi="Arial" w:cs="Arial"/>
                <w:sz w:val="20"/>
                <w:szCs w:val="20"/>
              </w:rPr>
            </w:pPr>
            <w:r w:rsidRPr="005970A0">
              <w:rPr>
                <w:rFonts w:ascii="Arial" w:hAnsi="Arial" w:cs="Arial"/>
                <w:sz w:val="20"/>
                <w:szCs w:val="20"/>
              </w:rPr>
              <w:t xml:space="preserve">(a) Indigenous </w:t>
            </w:r>
            <w:r w:rsidR="0053401B" w:rsidRPr="005970A0">
              <w:rPr>
                <w:rFonts w:ascii="Arial" w:hAnsi="Arial" w:cs="Arial"/>
                <w:sz w:val="20"/>
                <w:szCs w:val="20"/>
              </w:rPr>
              <w:t>persons</w:t>
            </w:r>
            <w:r w:rsidRPr="005970A0">
              <w:rPr>
                <w:rFonts w:ascii="Arial" w:hAnsi="Arial" w:cs="Arial"/>
                <w:sz w:val="20"/>
                <w:szCs w:val="20"/>
              </w:rPr>
              <w:t xml:space="preserve"> aged 15</w:t>
            </w:r>
            <w:r w:rsidRPr="005970A0">
              <w:rPr>
                <w:rFonts w:ascii="Arial" w:hAnsi="Arial" w:cs="Arial"/>
                <w:sz w:val="20"/>
                <w:szCs w:val="20"/>
              </w:rPr>
              <w:noBreakHyphen/>
              <w:t>64 years</w:t>
            </w:r>
          </w:p>
          <w:p w:rsidR="007056F1" w:rsidRPr="005970A0" w:rsidRDefault="007056F1" w:rsidP="007056F1">
            <w:pPr>
              <w:numPr>
                <w:ilvl w:val="0"/>
                <w:numId w:val="24"/>
              </w:numPr>
              <w:tabs>
                <w:tab w:val="clear" w:pos="363"/>
                <w:tab w:val="num" w:pos="179"/>
              </w:tabs>
              <w:spacing w:after="40"/>
              <w:ind w:left="506" w:hanging="284"/>
              <w:jc w:val="both"/>
              <w:rPr>
                <w:rFonts w:ascii="Arial" w:hAnsi="Arial" w:cs="Arial"/>
                <w:sz w:val="20"/>
                <w:szCs w:val="20"/>
              </w:rPr>
            </w:pPr>
            <w:r w:rsidRPr="005970A0">
              <w:rPr>
                <w:rFonts w:ascii="Arial" w:hAnsi="Arial" w:cs="Arial"/>
                <w:sz w:val="20"/>
                <w:szCs w:val="20"/>
              </w:rPr>
              <w:t>(b) from remote and very remote areas</w:t>
            </w:r>
          </w:p>
          <w:p w:rsidR="007056F1" w:rsidRPr="005970A0" w:rsidRDefault="007056F1" w:rsidP="007056F1">
            <w:pPr>
              <w:pStyle w:val="TableBodyText"/>
              <w:spacing w:before="40"/>
              <w:ind w:left="222"/>
              <w:jc w:val="both"/>
              <w:rPr>
                <w:u w:val="single"/>
              </w:rPr>
            </w:pPr>
            <w:r w:rsidRPr="005970A0">
              <w:rPr>
                <w:u w:val="single"/>
              </w:rPr>
              <w:t>Denominator/s</w:t>
            </w:r>
          </w:p>
          <w:p w:rsidR="007056F1" w:rsidRPr="005970A0" w:rsidRDefault="007056F1" w:rsidP="007056F1">
            <w:pPr>
              <w:pStyle w:val="TableBodyText"/>
              <w:keepNext w:val="0"/>
              <w:keepLines w:val="0"/>
              <w:spacing w:line="240" w:lineRule="auto"/>
              <w:ind w:left="222" w:right="0"/>
              <w:jc w:val="both"/>
            </w:pPr>
            <w:r w:rsidRPr="005970A0">
              <w:t>The number of persons in the Australian population from each of the target groups below:</w:t>
            </w:r>
          </w:p>
          <w:p w:rsidR="007056F1" w:rsidRPr="005970A0" w:rsidRDefault="007056F1" w:rsidP="007056F1">
            <w:pPr>
              <w:numPr>
                <w:ilvl w:val="0"/>
                <w:numId w:val="24"/>
              </w:numPr>
              <w:tabs>
                <w:tab w:val="clear" w:pos="363"/>
              </w:tabs>
              <w:spacing w:after="40"/>
              <w:ind w:left="506" w:hanging="284"/>
              <w:jc w:val="both"/>
              <w:rPr>
                <w:rFonts w:ascii="Arial" w:hAnsi="Arial" w:cs="Arial"/>
                <w:sz w:val="20"/>
                <w:szCs w:val="20"/>
              </w:rPr>
            </w:pPr>
            <w:r w:rsidRPr="005970A0">
              <w:rPr>
                <w:rFonts w:ascii="Arial" w:hAnsi="Arial" w:cs="Arial"/>
                <w:sz w:val="20"/>
                <w:szCs w:val="20"/>
              </w:rPr>
              <w:t>(</w:t>
            </w:r>
            <w:proofErr w:type="spellStart"/>
            <w:r w:rsidRPr="005970A0">
              <w:rPr>
                <w:rFonts w:ascii="Arial" w:hAnsi="Arial" w:cs="Arial"/>
                <w:sz w:val="20"/>
                <w:szCs w:val="20"/>
              </w:rPr>
              <w:t>a1</w:t>
            </w:r>
            <w:proofErr w:type="spellEnd"/>
            <w:r w:rsidRPr="005970A0">
              <w:rPr>
                <w:rFonts w:ascii="Arial" w:hAnsi="Arial" w:cs="Arial"/>
                <w:sz w:val="20"/>
                <w:szCs w:val="20"/>
              </w:rPr>
              <w:t xml:space="preserve">) Indigenous </w:t>
            </w:r>
            <w:r w:rsidR="0053401B" w:rsidRPr="005970A0">
              <w:rPr>
                <w:rFonts w:ascii="Arial" w:hAnsi="Arial" w:cs="Arial"/>
                <w:sz w:val="20"/>
                <w:szCs w:val="20"/>
              </w:rPr>
              <w:t>persons</w:t>
            </w:r>
            <w:r w:rsidRPr="005970A0">
              <w:rPr>
                <w:rFonts w:ascii="Arial" w:hAnsi="Arial" w:cs="Arial"/>
                <w:sz w:val="20"/>
                <w:szCs w:val="20"/>
              </w:rPr>
              <w:t xml:space="preserve"> aged 15</w:t>
            </w:r>
            <w:r w:rsidRPr="005970A0">
              <w:rPr>
                <w:rFonts w:ascii="Arial" w:hAnsi="Arial" w:cs="Arial"/>
                <w:sz w:val="20"/>
                <w:szCs w:val="20"/>
              </w:rPr>
              <w:noBreakHyphen/>
              <w:t>64 years</w:t>
            </w:r>
          </w:p>
          <w:p w:rsidR="007056F1" w:rsidRPr="005970A0" w:rsidRDefault="007056F1" w:rsidP="007056F1">
            <w:pPr>
              <w:numPr>
                <w:ilvl w:val="0"/>
                <w:numId w:val="24"/>
              </w:numPr>
              <w:tabs>
                <w:tab w:val="clear" w:pos="363"/>
              </w:tabs>
              <w:spacing w:after="40"/>
              <w:ind w:left="506" w:hanging="284"/>
              <w:jc w:val="both"/>
              <w:rPr>
                <w:rFonts w:ascii="Arial" w:hAnsi="Arial" w:cs="Arial"/>
                <w:sz w:val="20"/>
                <w:szCs w:val="20"/>
              </w:rPr>
            </w:pPr>
            <w:r w:rsidRPr="005970A0">
              <w:rPr>
                <w:rFonts w:ascii="Arial" w:hAnsi="Arial" w:cs="Arial"/>
                <w:sz w:val="20"/>
                <w:szCs w:val="20"/>
              </w:rPr>
              <w:t>(</w:t>
            </w:r>
            <w:proofErr w:type="spellStart"/>
            <w:r w:rsidRPr="005970A0">
              <w:rPr>
                <w:rFonts w:ascii="Arial" w:hAnsi="Arial" w:cs="Arial"/>
                <w:sz w:val="20"/>
                <w:szCs w:val="20"/>
              </w:rPr>
              <w:t>b1</w:t>
            </w:r>
            <w:proofErr w:type="spellEnd"/>
            <w:r w:rsidRPr="005970A0">
              <w:rPr>
                <w:rFonts w:ascii="Arial" w:hAnsi="Arial" w:cs="Arial"/>
                <w:sz w:val="20"/>
                <w:szCs w:val="20"/>
              </w:rPr>
              <w:t>) from remote and very remote areas</w:t>
            </w:r>
          </w:p>
          <w:p w:rsidR="007056F1" w:rsidRPr="005970A0" w:rsidRDefault="007056F1" w:rsidP="007056F1">
            <w:pPr>
              <w:pStyle w:val="TableBodyText"/>
              <w:spacing w:before="40"/>
              <w:ind w:left="222"/>
              <w:jc w:val="both"/>
              <w:rPr>
                <w:u w:val="single"/>
              </w:rPr>
            </w:pPr>
            <w:r w:rsidRPr="005970A0">
              <w:rPr>
                <w:u w:val="single"/>
              </w:rPr>
              <w:t>Computation/s:</w:t>
            </w:r>
          </w:p>
          <w:p w:rsidR="007056F1" w:rsidRPr="005970A0" w:rsidRDefault="007056F1" w:rsidP="008929C7">
            <w:pPr>
              <w:pStyle w:val="TableBodyText"/>
              <w:keepNext w:val="0"/>
              <w:keepLines w:val="0"/>
              <w:spacing w:after="60" w:line="240" w:lineRule="auto"/>
              <w:ind w:left="222" w:right="0"/>
              <w:jc w:val="both"/>
            </w:pPr>
            <w:r w:rsidRPr="005970A0">
              <w:t xml:space="preserve">Numerator a divided by denominator </w:t>
            </w:r>
            <w:proofErr w:type="spellStart"/>
            <w:r w:rsidRPr="005970A0">
              <w:t>a1</w:t>
            </w:r>
            <w:proofErr w:type="spellEnd"/>
            <w:r w:rsidRPr="005970A0">
              <w:t xml:space="preserve">, and separately, numerator b divided by denominator </w:t>
            </w:r>
            <w:proofErr w:type="spellStart"/>
            <w:r w:rsidRPr="005970A0">
              <w:t>b1</w:t>
            </w:r>
            <w:proofErr w:type="spellEnd"/>
            <w:r w:rsidRPr="005970A0">
              <w:t xml:space="preserve"> (above)</w:t>
            </w:r>
            <w:r w:rsidR="0053401B" w:rsidRPr="005970A0">
              <w:t>.</w:t>
            </w:r>
          </w:p>
          <w:p w:rsidR="008929C7" w:rsidRPr="005970A0" w:rsidRDefault="008929C7" w:rsidP="007056F1">
            <w:pPr>
              <w:pStyle w:val="TableBodyText"/>
              <w:keepNext w:val="0"/>
              <w:keepLines w:val="0"/>
              <w:spacing w:after="120" w:line="240" w:lineRule="auto"/>
              <w:ind w:left="222" w:right="0"/>
              <w:jc w:val="both"/>
            </w:pPr>
            <w:r w:rsidRPr="005970A0">
              <w:rPr>
                <w:rFonts w:cs="Arial"/>
              </w:rPr>
              <w:t>Participation rates are also derived for comparative purposes for all government funded students and non-Indigenous government funded students.</w:t>
            </w:r>
          </w:p>
          <w:p w:rsidR="007056F1" w:rsidRPr="005970A0" w:rsidRDefault="007056F1" w:rsidP="007056F1">
            <w:pPr>
              <w:pStyle w:val="TableBodyText"/>
              <w:keepNext w:val="0"/>
              <w:keepLines w:val="0"/>
              <w:spacing w:after="0" w:line="240" w:lineRule="auto"/>
              <w:ind w:left="0" w:right="0"/>
              <w:jc w:val="both"/>
            </w:pPr>
            <w:r w:rsidRPr="005970A0">
              <w:rPr>
                <w:rFonts w:cs="Arial"/>
              </w:rPr>
              <w:t xml:space="preserve">For people with disability and people speaking a </w:t>
            </w:r>
            <w:proofErr w:type="spellStart"/>
            <w:r w:rsidRPr="005970A0">
              <w:rPr>
                <w:rFonts w:cs="Arial"/>
              </w:rPr>
              <w:t>LOTE</w:t>
            </w:r>
            <w:proofErr w:type="spellEnd"/>
            <w:r w:rsidRPr="005970A0">
              <w:rPr>
                <w:rFonts w:cs="Arial"/>
              </w:rPr>
              <w:t xml:space="preserve"> at home:</w:t>
            </w:r>
          </w:p>
          <w:p w:rsidR="007056F1" w:rsidRPr="005970A0" w:rsidRDefault="007056F1" w:rsidP="007056F1">
            <w:pPr>
              <w:pStyle w:val="TableBodyText"/>
              <w:spacing w:before="40"/>
              <w:ind w:left="222"/>
              <w:jc w:val="both"/>
              <w:rPr>
                <w:u w:val="single"/>
              </w:rPr>
            </w:pPr>
            <w:r w:rsidRPr="005970A0">
              <w:rPr>
                <w:u w:val="single"/>
              </w:rPr>
              <w:t>Numerator/s</w:t>
            </w:r>
          </w:p>
          <w:p w:rsidR="007056F1" w:rsidRPr="005970A0" w:rsidRDefault="007056F1" w:rsidP="007056F1">
            <w:pPr>
              <w:pStyle w:val="TableBodyText"/>
              <w:keepNext w:val="0"/>
              <w:keepLines w:val="0"/>
              <w:spacing w:line="240" w:lineRule="auto"/>
              <w:ind w:left="222" w:right="0"/>
              <w:jc w:val="both"/>
              <w:rPr>
                <w:rFonts w:cs="Arial"/>
              </w:rPr>
            </w:pPr>
            <w:r w:rsidRPr="005970A0">
              <w:t>Government funded VET students who have self-identified</w:t>
            </w:r>
            <w:r w:rsidRPr="005970A0">
              <w:rPr>
                <w:rFonts w:cs="Arial"/>
              </w:rPr>
              <w:t xml:space="preserve"> on their VET enrolment form </w:t>
            </w:r>
            <w:r w:rsidRPr="005970A0">
              <w:t>that they are from at least one of the target groups below:</w:t>
            </w:r>
          </w:p>
          <w:p w:rsidR="007056F1" w:rsidRPr="005970A0" w:rsidRDefault="007056F1" w:rsidP="007056F1">
            <w:pPr>
              <w:numPr>
                <w:ilvl w:val="0"/>
                <w:numId w:val="24"/>
              </w:numPr>
              <w:tabs>
                <w:tab w:val="clear" w:pos="363"/>
                <w:tab w:val="num" w:pos="179"/>
              </w:tabs>
              <w:spacing w:after="40"/>
              <w:ind w:left="506" w:hanging="284"/>
              <w:jc w:val="both"/>
              <w:rPr>
                <w:rFonts w:ascii="Arial" w:hAnsi="Arial" w:cs="Arial"/>
                <w:sz w:val="20"/>
                <w:szCs w:val="20"/>
              </w:rPr>
            </w:pPr>
            <w:r w:rsidRPr="005970A0">
              <w:rPr>
                <w:rFonts w:ascii="Arial" w:hAnsi="Arial" w:cs="Arial"/>
                <w:sz w:val="20"/>
                <w:szCs w:val="20"/>
              </w:rPr>
              <w:t xml:space="preserve">(c) with </w:t>
            </w:r>
            <w:r w:rsidR="0053401B" w:rsidRPr="005970A0">
              <w:rPr>
                <w:rFonts w:ascii="Arial" w:hAnsi="Arial" w:cs="Arial"/>
                <w:sz w:val="20"/>
                <w:szCs w:val="20"/>
              </w:rPr>
              <w:t xml:space="preserve">a </w:t>
            </w:r>
            <w:r w:rsidRPr="005970A0">
              <w:rPr>
                <w:rFonts w:ascii="Arial" w:hAnsi="Arial" w:cs="Arial"/>
                <w:sz w:val="20"/>
                <w:szCs w:val="20"/>
              </w:rPr>
              <w:t>disability</w:t>
            </w:r>
          </w:p>
          <w:p w:rsidR="007056F1" w:rsidRPr="005970A0" w:rsidRDefault="007056F1" w:rsidP="007056F1">
            <w:pPr>
              <w:numPr>
                <w:ilvl w:val="0"/>
                <w:numId w:val="24"/>
              </w:numPr>
              <w:tabs>
                <w:tab w:val="clear" w:pos="363"/>
                <w:tab w:val="num" w:pos="179"/>
              </w:tabs>
              <w:spacing w:after="40"/>
              <w:ind w:left="506" w:hanging="284"/>
              <w:jc w:val="both"/>
              <w:rPr>
                <w:rFonts w:ascii="Arial" w:hAnsi="Arial" w:cs="Arial"/>
                <w:sz w:val="20"/>
                <w:szCs w:val="20"/>
              </w:rPr>
            </w:pPr>
            <w:r w:rsidRPr="005970A0">
              <w:rPr>
                <w:rFonts w:ascii="Arial" w:hAnsi="Arial" w:cs="Arial"/>
                <w:sz w:val="20"/>
                <w:szCs w:val="20"/>
              </w:rPr>
              <w:t xml:space="preserve">(d) speak a </w:t>
            </w:r>
            <w:proofErr w:type="spellStart"/>
            <w:r w:rsidRPr="005970A0">
              <w:rPr>
                <w:rFonts w:ascii="Arial" w:hAnsi="Arial" w:cs="Arial"/>
                <w:sz w:val="20"/>
                <w:szCs w:val="20"/>
              </w:rPr>
              <w:t>LOTE</w:t>
            </w:r>
            <w:proofErr w:type="spellEnd"/>
            <w:r w:rsidRPr="005970A0">
              <w:rPr>
                <w:rFonts w:ascii="Arial" w:hAnsi="Arial" w:cs="Arial"/>
                <w:sz w:val="20"/>
                <w:szCs w:val="20"/>
              </w:rPr>
              <w:t xml:space="preserve"> at home.</w:t>
            </w:r>
          </w:p>
          <w:p w:rsidR="007056F1" w:rsidRPr="005970A0" w:rsidRDefault="007056F1" w:rsidP="007056F1">
            <w:pPr>
              <w:pStyle w:val="TableBodyText"/>
              <w:spacing w:before="40"/>
              <w:ind w:left="222"/>
              <w:jc w:val="both"/>
              <w:rPr>
                <w:u w:val="single"/>
              </w:rPr>
            </w:pPr>
            <w:r w:rsidRPr="005970A0">
              <w:rPr>
                <w:u w:val="single"/>
              </w:rPr>
              <w:t>Denominator/s</w:t>
            </w:r>
          </w:p>
          <w:p w:rsidR="007056F1" w:rsidRPr="005970A0" w:rsidRDefault="007056F1" w:rsidP="007056F1">
            <w:pPr>
              <w:numPr>
                <w:ilvl w:val="0"/>
                <w:numId w:val="24"/>
              </w:numPr>
              <w:tabs>
                <w:tab w:val="clear" w:pos="363"/>
                <w:tab w:val="num" w:pos="179"/>
              </w:tabs>
              <w:spacing w:after="40"/>
              <w:ind w:left="506" w:hanging="284"/>
              <w:jc w:val="both"/>
              <w:rPr>
                <w:rFonts w:ascii="Arial" w:hAnsi="Arial" w:cs="Arial"/>
                <w:sz w:val="20"/>
                <w:szCs w:val="20"/>
              </w:rPr>
            </w:pPr>
            <w:r w:rsidRPr="005970A0">
              <w:rPr>
                <w:rFonts w:ascii="Arial" w:hAnsi="Arial" w:cs="Arial"/>
                <w:sz w:val="20"/>
                <w:szCs w:val="20"/>
              </w:rPr>
              <w:t>(e) government funded VET students.</w:t>
            </w:r>
          </w:p>
          <w:p w:rsidR="007056F1" w:rsidRPr="005970A0" w:rsidRDefault="007056F1" w:rsidP="007056F1">
            <w:pPr>
              <w:pStyle w:val="TableBodyText"/>
              <w:spacing w:before="40"/>
              <w:ind w:left="222"/>
              <w:jc w:val="both"/>
              <w:rPr>
                <w:u w:val="single"/>
              </w:rPr>
            </w:pPr>
            <w:r w:rsidRPr="005970A0">
              <w:rPr>
                <w:u w:val="single"/>
              </w:rPr>
              <w:t>Computation/s:</w:t>
            </w:r>
          </w:p>
          <w:p w:rsidR="008929C7" w:rsidRPr="005970A0" w:rsidRDefault="007056F1" w:rsidP="008929C7">
            <w:pPr>
              <w:pStyle w:val="TableBodyText"/>
              <w:keepNext w:val="0"/>
              <w:keepLines w:val="0"/>
              <w:spacing w:after="120" w:line="240" w:lineRule="auto"/>
              <w:ind w:left="222" w:right="0"/>
              <w:jc w:val="both"/>
              <w:rPr>
                <w:rStyle w:val="DraftingNote"/>
                <w:color w:val="auto"/>
                <w:sz w:val="20"/>
                <w:u w:val="none"/>
              </w:rPr>
            </w:pPr>
            <w:r w:rsidRPr="005970A0">
              <w:t xml:space="preserve">Numerator c divided by the denominator e, and separately, numerator d divided by denominator e (above). </w:t>
            </w:r>
          </w:p>
        </w:tc>
      </w:tr>
    </w:tbl>
    <w:p w:rsidR="00C423F3" w:rsidRPr="005970A0" w:rsidRDefault="00C423F3"/>
    <w:tbl>
      <w:tblPr>
        <w:tblW w:w="5000" w:type="pct"/>
        <w:tblLayout w:type="fixed"/>
        <w:tblCellMar>
          <w:left w:w="0" w:type="dxa"/>
          <w:right w:w="0" w:type="dxa"/>
        </w:tblCellMar>
        <w:tblLook w:val="0000" w:firstRow="0" w:lastRow="0" w:firstColumn="0" w:lastColumn="0" w:noHBand="0" w:noVBand="0"/>
      </w:tblPr>
      <w:tblGrid>
        <w:gridCol w:w="1559"/>
        <w:gridCol w:w="7230"/>
      </w:tblGrid>
      <w:tr w:rsidR="005970A0" w:rsidRPr="005970A0" w:rsidTr="00C423F3">
        <w:tc>
          <w:tcPr>
            <w:tcW w:w="887" w:type="pct"/>
          </w:tcPr>
          <w:p w:rsidR="007056F1" w:rsidRPr="005970A0" w:rsidRDefault="007056F1" w:rsidP="007056F1">
            <w:pPr>
              <w:pStyle w:val="TableBodyText"/>
              <w:jc w:val="both"/>
              <w:rPr>
                <w:b/>
              </w:rPr>
            </w:pPr>
            <w:r w:rsidRPr="005970A0">
              <w:rPr>
                <w:b/>
              </w:rPr>
              <w:lastRenderedPageBreak/>
              <w:t>Data source/s</w:t>
            </w:r>
          </w:p>
        </w:tc>
        <w:tc>
          <w:tcPr>
            <w:tcW w:w="4113" w:type="pct"/>
          </w:tcPr>
          <w:p w:rsidR="00530DD3" w:rsidRPr="005970A0" w:rsidRDefault="007056F1" w:rsidP="00530DD3">
            <w:pPr>
              <w:pStyle w:val="TableBodyText"/>
              <w:keepNext w:val="0"/>
              <w:keepLines w:val="0"/>
              <w:spacing w:after="80" w:line="240" w:lineRule="auto"/>
              <w:ind w:left="0" w:right="0"/>
              <w:jc w:val="both"/>
            </w:pPr>
            <w:r w:rsidRPr="005970A0">
              <w:rPr>
                <w:u w:val="single"/>
              </w:rPr>
              <w:t xml:space="preserve">VET student </w:t>
            </w:r>
            <w:r w:rsidR="005158B1" w:rsidRPr="005970A0">
              <w:rPr>
                <w:u w:val="single"/>
              </w:rPr>
              <w:t>data</w:t>
            </w:r>
            <w:r w:rsidRPr="005970A0">
              <w:t xml:space="preserve">: </w:t>
            </w:r>
          </w:p>
          <w:p w:rsidR="007056F1" w:rsidRPr="005970A0" w:rsidRDefault="007056F1" w:rsidP="007056F1">
            <w:pPr>
              <w:pStyle w:val="TableBodyText"/>
              <w:keepNext w:val="0"/>
              <w:keepLines w:val="0"/>
              <w:spacing w:after="120" w:line="240" w:lineRule="auto"/>
              <w:ind w:left="0" w:right="0"/>
              <w:jc w:val="both"/>
            </w:pPr>
            <w:r w:rsidRPr="005970A0">
              <w:t xml:space="preserve">All student data are unpublished and are sourced from </w:t>
            </w:r>
            <w:r w:rsidR="00173BD2" w:rsidRPr="005970A0">
              <w:t xml:space="preserve">the </w:t>
            </w:r>
            <w:proofErr w:type="spellStart"/>
            <w:r w:rsidRPr="005970A0">
              <w:t>NCVER</w:t>
            </w:r>
            <w:proofErr w:type="spellEnd"/>
            <w:r w:rsidRPr="005970A0">
              <w:t xml:space="preserve"> National VET Provider data collections.</w:t>
            </w:r>
          </w:p>
          <w:p w:rsidR="006A6DDF" w:rsidRPr="005970A0" w:rsidRDefault="007056F1" w:rsidP="00530DD3">
            <w:pPr>
              <w:pStyle w:val="TableBodyText"/>
              <w:keepNext w:val="0"/>
              <w:keepLines w:val="0"/>
              <w:spacing w:after="80" w:line="240" w:lineRule="auto"/>
              <w:ind w:left="0" w:right="0"/>
              <w:jc w:val="both"/>
            </w:pPr>
            <w:r w:rsidRPr="005970A0">
              <w:rPr>
                <w:u w:val="single"/>
              </w:rPr>
              <w:t>Population estimates:</w:t>
            </w:r>
            <w:r w:rsidRPr="005970A0">
              <w:t xml:space="preserve">  </w:t>
            </w:r>
          </w:p>
          <w:p w:rsidR="00F66F58" w:rsidRPr="005970A0" w:rsidRDefault="006A6DDF" w:rsidP="007056F1">
            <w:pPr>
              <w:pStyle w:val="TableBodyText"/>
              <w:keepNext w:val="0"/>
              <w:keepLines w:val="0"/>
              <w:spacing w:after="120" w:line="240" w:lineRule="auto"/>
              <w:ind w:left="0" w:right="0"/>
              <w:jc w:val="both"/>
            </w:pPr>
            <w:r w:rsidRPr="005970A0">
              <w:t xml:space="preserve">Indigenous population data </w:t>
            </w:r>
            <w:r w:rsidR="00F66F58" w:rsidRPr="005970A0">
              <w:t xml:space="preserve">are sourced from the ABS </w:t>
            </w:r>
            <w:r w:rsidR="00F66F58" w:rsidRPr="005970A0">
              <w:rPr>
                <w:i/>
              </w:rPr>
              <w:t>Experimental Estimates and Projections, Aboriginal and Torres Strait Islander</w:t>
            </w:r>
            <w:r w:rsidR="008929C7" w:rsidRPr="005970A0">
              <w:rPr>
                <w:i/>
              </w:rPr>
              <w:t xml:space="preserve"> Australians</w:t>
            </w:r>
            <w:r w:rsidR="00F66F58" w:rsidRPr="005970A0">
              <w:t>, 1991-2021. Cat. no. 3238.0 (September 2009)</w:t>
            </w:r>
            <w:r w:rsidR="00916C50" w:rsidRPr="005970A0">
              <w:t xml:space="preserve">. </w:t>
            </w:r>
          </w:p>
          <w:p w:rsidR="008929C7" w:rsidRPr="005970A0" w:rsidRDefault="008929C7" w:rsidP="00CB500D">
            <w:pPr>
              <w:pStyle w:val="TableBodyText"/>
              <w:keepNext w:val="0"/>
              <w:keepLines w:val="0"/>
              <w:spacing w:after="60" w:line="240" w:lineRule="auto"/>
              <w:ind w:left="0" w:right="0"/>
              <w:jc w:val="both"/>
            </w:pPr>
            <w:r w:rsidRPr="005970A0">
              <w:t>Population data for all Australians are sourced from the following ABS publications</w:t>
            </w:r>
            <w:r w:rsidR="00FA50E5" w:rsidRPr="005970A0">
              <w:t>. These data are referred to as estimated resident population (</w:t>
            </w:r>
            <w:proofErr w:type="spellStart"/>
            <w:r w:rsidR="00FA50E5" w:rsidRPr="005970A0">
              <w:t>ERP</w:t>
            </w:r>
            <w:proofErr w:type="spellEnd"/>
            <w:r w:rsidR="00FA50E5" w:rsidRPr="005970A0">
              <w:t>) data</w:t>
            </w:r>
            <w:r w:rsidRPr="005970A0">
              <w:t>:</w:t>
            </w:r>
          </w:p>
          <w:p w:rsidR="00F66F58" w:rsidRPr="005970A0" w:rsidRDefault="00A91952" w:rsidP="00CB500D">
            <w:pPr>
              <w:pStyle w:val="TableBodyText"/>
              <w:keepNext w:val="0"/>
              <w:keepLines w:val="0"/>
              <w:numPr>
                <w:ilvl w:val="0"/>
                <w:numId w:val="35"/>
              </w:numPr>
              <w:tabs>
                <w:tab w:val="left" w:pos="222"/>
              </w:tabs>
              <w:spacing w:after="60" w:line="240" w:lineRule="auto"/>
              <w:ind w:left="222" w:right="0" w:hanging="222"/>
              <w:jc w:val="both"/>
            </w:pPr>
            <w:r w:rsidRPr="005970A0">
              <w:t>d</w:t>
            </w:r>
            <w:r w:rsidR="00CB500D" w:rsidRPr="005970A0">
              <w:t>ata for 2002 to 2006 and 2011:</w:t>
            </w:r>
            <w:r w:rsidR="00CB500D" w:rsidRPr="005970A0">
              <w:rPr>
                <w:i/>
              </w:rPr>
              <w:t xml:space="preserve"> </w:t>
            </w:r>
            <w:r w:rsidR="008929C7" w:rsidRPr="005970A0">
              <w:rPr>
                <w:i/>
              </w:rPr>
              <w:t>Australian Demographic Statistics</w:t>
            </w:r>
            <w:r w:rsidR="008929C7" w:rsidRPr="005970A0">
              <w:t>, June 2011. Cat. no. 3101.0 (December 2011)</w:t>
            </w:r>
          </w:p>
          <w:p w:rsidR="00CB500D" w:rsidRPr="005970A0" w:rsidRDefault="00A91952" w:rsidP="000D08A8">
            <w:pPr>
              <w:pStyle w:val="TableBodyText"/>
              <w:keepNext w:val="0"/>
              <w:keepLines w:val="0"/>
              <w:numPr>
                <w:ilvl w:val="0"/>
                <w:numId w:val="35"/>
              </w:numPr>
              <w:tabs>
                <w:tab w:val="left" w:pos="222"/>
              </w:tabs>
              <w:spacing w:after="120" w:line="240" w:lineRule="auto"/>
              <w:ind w:left="222" w:right="0" w:hanging="222"/>
              <w:jc w:val="both"/>
            </w:pPr>
            <w:r w:rsidRPr="005970A0">
              <w:t>d</w:t>
            </w:r>
            <w:r w:rsidR="00CB500D" w:rsidRPr="005970A0">
              <w:t>ata for 2007 to 201</w:t>
            </w:r>
            <w:r w:rsidR="005F2A29">
              <w:t>2</w:t>
            </w:r>
            <w:r w:rsidR="00CB500D" w:rsidRPr="005970A0">
              <w:t xml:space="preserve">: </w:t>
            </w:r>
            <w:r w:rsidR="00CB500D" w:rsidRPr="005970A0">
              <w:rPr>
                <w:i/>
              </w:rPr>
              <w:t xml:space="preserve">Population by Age and Sex, Australian States and Territories, </w:t>
            </w:r>
            <w:r w:rsidR="00CB500D" w:rsidRPr="005970A0">
              <w:t xml:space="preserve"> </w:t>
            </w:r>
            <w:r w:rsidR="00CB500D" w:rsidRPr="005970A0">
              <w:rPr>
                <w:i/>
              </w:rPr>
              <w:t>June 2007-201</w:t>
            </w:r>
            <w:r w:rsidR="005F2A29">
              <w:rPr>
                <w:i/>
              </w:rPr>
              <w:t>2</w:t>
            </w:r>
            <w:r w:rsidR="00CB500D" w:rsidRPr="005970A0">
              <w:t>. Cat. no. 3101.0 (December 2007 to December 201</w:t>
            </w:r>
            <w:r w:rsidR="005F2A29">
              <w:t>2</w:t>
            </w:r>
            <w:r w:rsidR="00CB500D" w:rsidRPr="005970A0">
              <w:t>)</w:t>
            </w:r>
            <w:r w:rsidRPr="005970A0">
              <w:t>.</w:t>
            </w:r>
          </w:p>
          <w:p w:rsidR="0053401B" w:rsidRPr="005970A0" w:rsidRDefault="00A91952" w:rsidP="00A91952">
            <w:pPr>
              <w:pStyle w:val="TableBodyText"/>
              <w:keepNext w:val="0"/>
              <w:keepLines w:val="0"/>
              <w:spacing w:after="120" w:line="240" w:lineRule="auto"/>
              <w:ind w:left="0" w:right="0"/>
              <w:jc w:val="both"/>
            </w:pPr>
            <w:r w:rsidRPr="005970A0">
              <w:t>There are no comparable population data for the non-Indigenous population. Population estimates of the non-Indigenous population are therefore derived by subtracting Indigenous population estimates from total population estimates.</w:t>
            </w:r>
          </w:p>
        </w:tc>
      </w:tr>
      <w:tr w:rsidR="005970A0" w:rsidRPr="005970A0" w:rsidTr="00C423F3">
        <w:tc>
          <w:tcPr>
            <w:tcW w:w="5000" w:type="pct"/>
            <w:gridSpan w:val="2"/>
          </w:tcPr>
          <w:p w:rsidR="007056F1" w:rsidRPr="005970A0" w:rsidRDefault="007056F1" w:rsidP="007056F1">
            <w:pPr>
              <w:pStyle w:val="TableBodyText"/>
              <w:jc w:val="both"/>
              <w:rPr>
                <w:b/>
                <w:u w:val="single"/>
              </w:rPr>
            </w:pPr>
          </w:p>
          <w:p w:rsidR="007056F1" w:rsidRPr="005970A0" w:rsidRDefault="007056F1" w:rsidP="007056F1">
            <w:pPr>
              <w:pStyle w:val="TableBodyText"/>
              <w:jc w:val="both"/>
              <w:rPr>
                <w:b/>
                <w:u w:val="single"/>
              </w:rPr>
            </w:pPr>
            <w:r w:rsidRPr="005970A0">
              <w:rPr>
                <w:b/>
                <w:u w:val="single"/>
              </w:rPr>
              <w:t>Data Quality Framework Dimensions</w:t>
            </w:r>
          </w:p>
        </w:tc>
      </w:tr>
      <w:tr w:rsidR="007056F1" w:rsidRPr="005970A0" w:rsidTr="00C423F3">
        <w:tc>
          <w:tcPr>
            <w:tcW w:w="887" w:type="pct"/>
          </w:tcPr>
          <w:p w:rsidR="007056F1" w:rsidRPr="005970A0" w:rsidRDefault="007056F1" w:rsidP="007056F1">
            <w:pPr>
              <w:pStyle w:val="TableBodyText"/>
              <w:jc w:val="both"/>
              <w:rPr>
                <w:b/>
              </w:rPr>
            </w:pPr>
            <w:r w:rsidRPr="005970A0">
              <w:rPr>
                <w:b/>
              </w:rPr>
              <w:t>Institutional environment</w:t>
            </w:r>
          </w:p>
        </w:tc>
        <w:tc>
          <w:tcPr>
            <w:tcW w:w="4113" w:type="pct"/>
          </w:tcPr>
          <w:p w:rsidR="005158B1" w:rsidRPr="005970A0" w:rsidRDefault="005158B1" w:rsidP="007056F1">
            <w:pPr>
              <w:spacing w:after="120"/>
              <w:jc w:val="both"/>
              <w:rPr>
                <w:rFonts w:ascii="Arial" w:hAnsi="Arial" w:cs="Arial"/>
                <w:sz w:val="20"/>
                <w:szCs w:val="20"/>
                <w:u w:val="single"/>
              </w:rPr>
            </w:pPr>
            <w:r w:rsidRPr="005970A0">
              <w:rPr>
                <w:rFonts w:ascii="Arial" w:hAnsi="Arial" w:cs="Arial"/>
                <w:sz w:val="20"/>
                <w:szCs w:val="20"/>
                <w:u w:val="single"/>
              </w:rPr>
              <w:t>VET student data:</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The National Centre for Vocational Education Research (</w:t>
            </w:r>
            <w:proofErr w:type="spellStart"/>
            <w:r w:rsidRPr="005970A0">
              <w:rPr>
                <w:rFonts w:ascii="Arial" w:hAnsi="Arial" w:cs="Arial"/>
                <w:sz w:val="20"/>
                <w:szCs w:val="20"/>
              </w:rPr>
              <w:t>NCVER</w:t>
            </w:r>
            <w:proofErr w:type="spellEnd"/>
            <w:r w:rsidRPr="005970A0">
              <w:rPr>
                <w:rFonts w:ascii="Arial" w:hAnsi="Arial" w:cs="Arial"/>
                <w:sz w:val="20"/>
                <w:szCs w:val="20"/>
              </w:rPr>
              <w:t>) is a not-for-profit company owned by the federal, state and territory ministers responsible for training.</w:t>
            </w:r>
          </w:p>
          <w:p w:rsidR="007056F1" w:rsidRPr="005970A0" w:rsidRDefault="007056F1" w:rsidP="007056F1">
            <w:pPr>
              <w:spacing w:after="120"/>
              <w:jc w:val="both"/>
              <w:rPr>
                <w:rFonts w:ascii="Arial" w:hAnsi="Arial" w:cs="Arial"/>
                <w:sz w:val="20"/>
                <w:szCs w:val="20"/>
              </w:rPr>
            </w:pPr>
            <w:proofErr w:type="spellStart"/>
            <w:r w:rsidRPr="005970A0">
              <w:rPr>
                <w:rFonts w:ascii="Arial" w:hAnsi="Arial" w:cs="Arial"/>
                <w:sz w:val="20"/>
                <w:szCs w:val="20"/>
              </w:rPr>
              <w:t>NCVER</w:t>
            </w:r>
            <w:proofErr w:type="spellEnd"/>
            <w:r w:rsidRPr="005970A0">
              <w:rPr>
                <w:rFonts w:ascii="Arial" w:hAnsi="Arial" w:cs="Arial"/>
                <w:sz w:val="20"/>
                <w:szCs w:val="20"/>
              </w:rPr>
              <w:t xml:space="preserve">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7056F1" w:rsidRPr="005970A0" w:rsidRDefault="007056F1" w:rsidP="007056F1">
            <w:pPr>
              <w:pStyle w:val="TableBodyText"/>
              <w:keepNext w:val="0"/>
              <w:keepLines w:val="0"/>
              <w:spacing w:after="120" w:line="240" w:lineRule="auto"/>
              <w:ind w:left="0" w:right="0"/>
              <w:jc w:val="both"/>
              <w:rPr>
                <w:rStyle w:val="Hyperlink"/>
                <w:rFonts w:cs="Arial"/>
                <w:color w:val="auto"/>
              </w:rPr>
            </w:pPr>
            <w:r w:rsidRPr="005970A0">
              <w:rPr>
                <w:rFonts w:cs="Arial"/>
              </w:rPr>
              <w:t xml:space="preserve">For further information on the </w:t>
            </w:r>
            <w:proofErr w:type="spellStart"/>
            <w:r w:rsidRPr="005970A0">
              <w:rPr>
                <w:rFonts w:cs="Arial"/>
              </w:rPr>
              <w:t>NCVER</w:t>
            </w:r>
            <w:proofErr w:type="spellEnd"/>
            <w:r w:rsidRPr="005970A0">
              <w:rPr>
                <w:rFonts w:cs="Arial"/>
              </w:rPr>
              <w:t xml:space="preserve">, see </w:t>
            </w:r>
            <w:r w:rsidR="00530DD3" w:rsidRPr="00D86CD7">
              <w:rPr>
                <w:rFonts w:cs="Arial"/>
              </w:rPr>
              <w:t>http://</w:t>
            </w:r>
            <w:proofErr w:type="spellStart"/>
            <w:r w:rsidR="00530DD3" w:rsidRPr="00D86CD7">
              <w:rPr>
                <w:rFonts w:cs="Arial"/>
              </w:rPr>
              <w:t>www.ncver.edu.au</w:t>
            </w:r>
            <w:proofErr w:type="spellEnd"/>
            <w:r w:rsidR="00530DD3" w:rsidRPr="00D86CD7">
              <w:rPr>
                <w:rFonts w:cs="Arial"/>
              </w:rPr>
              <w:t>/</w:t>
            </w:r>
            <w:r w:rsidR="00530DD3" w:rsidRPr="00D86CD7">
              <w:rPr>
                <w:rFonts w:cs="Arial"/>
              </w:rPr>
              <w:br/>
            </w:r>
            <w:proofErr w:type="spellStart"/>
            <w:r w:rsidR="00530DD3" w:rsidRPr="00D86CD7">
              <w:rPr>
                <w:rFonts w:cs="Arial"/>
              </w:rPr>
              <w:t>aboutncver</w:t>
            </w:r>
            <w:proofErr w:type="spellEnd"/>
            <w:r w:rsidR="00530DD3" w:rsidRPr="00D86CD7">
              <w:rPr>
                <w:rFonts w:cs="Arial"/>
              </w:rPr>
              <w:t>/</w:t>
            </w:r>
            <w:proofErr w:type="spellStart"/>
            <w:r w:rsidR="00530DD3" w:rsidRPr="00D86CD7">
              <w:rPr>
                <w:rFonts w:cs="Arial"/>
              </w:rPr>
              <w:t>who.html</w:t>
            </w:r>
            <w:proofErr w:type="spellEnd"/>
          </w:p>
          <w:p w:rsidR="0087737B" w:rsidRPr="005970A0" w:rsidRDefault="0087737B" w:rsidP="0068153D">
            <w:pPr>
              <w:pStyle w:val="TableBodyText"/>
              <w:spacing w:after="120"/>
              <w:jc w:val="both"/>
              <w:rPr>
                <w:u w:val="single"/>
              </w:rPr>
            </w:pPr>
            <w:r w:rsidRPr="005970A0">
              <w:rPr>
                <w:u w:val="single"/>
              </w:rPr>
              <w:t>Population estimates:</w:t>
            </w:r>
          </w:p>
          <w:p w:rsidR="0068153D" w:rsidRPr="005970A0" w:rsidRDefault="0068153D" w:rsidP="0068153D">
            <w:pPr>
              <w:pStyle w:val="TableBodyText"/>
              <w:spacing w:after="120"/>
              <w:jc w:val="both"/>
            </w:pPr>
            <w:r w:rsidRPr="005970A0">
              <w:t xml:space="preserve">The ABS sources </w:t>
            </w:r>
            <w:proofErr w:type="spellStart"/>
            <w:r w:rsidRPr="005970A0">
              <w:t>ERP</w:t>
            </w:r>
            <w:proofErr w:type="spellEnd"/>
            <w:r w:rsidRPr="005970A0">
              <w:t xml:space="preserve"> data from a variety of institutional environments. Much of the data is administrative </w:t>
            </w:r>
            <w:proofErr w:type="spellStart"/>
            <w:r w:rsidRPr="005970A0">
              <w:t>by-product</w:t>
            </w:r>
            <w:proofErr w:type="spellEnd"/>
            <w:r w:rsidRPr="005970A0">
              <w:t xml:space="preserve"> data collected by other organisations for purposes other than estimating the population. Births and deaths statistics are extracted from registers administered by the various State and Territory Registrars of Births, Deaths and Marriages. Medicare Australia client address data is used to estimate interstate migration. Passenger card data and related information provided by the Department of Immigration and Citizenship (</w:t>
            </w:r>
            <w:proofErr w:type="spellStart"/>
            <w:r w:rsidRPr="005970A0">
              <w:t>DIAC</w:t>
            </w:r>
            <w:proofErr w:type="spellEnd"/>
            <w:r w:rsidRPr="005970A0">
              <w:t>) is used to calculate Net Overseas Migration (NOM).</w:t>
            </w:r>
          </w:p>
          <w:p w:rsidR="007056F1" w:rsidRPr="005970A0" w:rsidRDefault="0068153D" w:rsidP="0087737B">
            <w:pPr>
              <w:pStyle w:val="TableBodyText"/>
              <w:spacing w:after="120"/>
              <w:jc w:val="both"/>
            </w:pPr>
            <w:r w:rsidRPr="005970A0">
              <w:t xml:space="preserve">For information on the institutional environment of the ABS, including the legislative obligations of the ABS, which cover this collection, please see ABS Institutional Environment </w:t>
            </w:r>
            <w:r w:rsidR="0087737B" w:rsidRPr="00D86CD7">
              <w:t>http://</w:t>
            </w:r>
            <w:proofErr w:type="spellStart"/>
            <w:r w:rsidR="0087737B" w:rsidRPr="00D86CD7">
              <w:t>www.abs.gov.au</w:t>
            </w:r>
            <w:proofErr w:type="spellEnd"/>
            <w:r w:rsidR="0087737B" w:rsidRPr="00D86CD7">
              <w:t>/</w:t>
            </w:r>
            <w:proofErr w:type="spellStart"/>
            <w:r w:rsidR="0087737B" w:rsidRPr="00D86CD7">
              <w:t>websitedbs</w:t>
            </w:r>
            <w:proofErr w:type="spellEnd"/>
            <w:r w:rsidR="0087737B" w:rsidRPr="00D86CD7">
              <w:br/>
              <w:t>/d3310114.nsf/</w:t>
            </w:r>
            <w:r w:rsidRPr="005970A0">
              <w:rPr>
                <w:u w:val="single"/>
              </w:rPr>
              <w:t>4a256353001af3ed4b562bb00121564/10ca14cb967e5b83ca2573ae00197b65!OpenDocument</w:t>
            </w:r>
          </w:p>
        </w:tc>
      </w:tr>
    </w:tbl>
    <w:p w:rsidR="00C423F3" w:rsidRPr="005970A0" w:rsidRDefault="00C423F3"/>
    <w:tbl>
      <w:tblPr>
        <w:tblW w:w="5000" w:type="pct"/>
        <w:tblCellMar>
          <w:left w:w="0" w:type="dxa"/>
          <w:right w:w="0" w:type="dxa"/>
        </w:tblCellMar>
        <w:tblLook w:val="0000" w:firstRow="0" w:lastRow="0" w:firstColumn="0" w:lastColumn="0" w:noHBand="0" w:noVBand="0"/>
      </w:tblPr>
      <w:tblGrid>
        <w:gridCol w:w="1559"/>
        <w:gridCol w:w="7230"/>
      </w:tblGrid>
      <w:tr w:rsidR="005970A0" w:rsidRPr="005970A0" w:rsidTr="00C423F3">
        <w:tc>
          <w:tcPr>
            <w:tcW w:w="887" w:type="pct"/>
          </w:tcPr>
          <w:p w:rsidR="007056F1" w:rsidRPr="005970A0" w:rsidRDefault="007056F1" w:rsidP="007056F1">
            <w:pPr>
              <w:pStyle w:val="TableBodyText"/>
              <w:jc w:val="both"/>
              <w:rPr>
                <w:b/>
              </w:rPr>
            </w:pPr>
            <w:r w:rsidRPr="005970A0">
              <w:rPr>
                <w:b/>
              </w:rPr>
              <w:lastRenderedPageBreak/>
              <w:t>Relevance</w:t>
            </w:r>
          </w:p>
        </w:tc>
        <w:tc>
          <w:tcPr>
            <w:tcW w:w="4113" w:type="pct"/>
          </w:tcPr>
          <w:p w:rsidR="005158B1" w:rsidRPr="005970A0" w:rsidRDefault="005158B1" w:rsidP="005158B1">
            <w:pPr>
              <w:spacing w:after="120"/>
              <w:jc w:val="both"/>
              <w:rPr>
                <w:rFonts w:ascii="Arial" w:hAnsi="Arial" w:cs="Arial"/>
                <w:sz w:val="20"/>
                <w:szCs w:val="20"/>
                <w:u w:val="single"/>
              </w:rPr>
            </w:pPr>
            <w:r w:rsidRPr="005970A0">
              <w:rPr>
                <w:rFonts w:ascii="Arial" w:hAnsi="Arial" w:cs="Arial"/>
                <w:sz w:val="20"/>
                <w:szCs w:val="20"/>
                <w:u w:val="single"/>
              </w:rPr>
              <w:t>VET student data:</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The National VET Provider Collection collects information relating to students, courses, qualifications, training providers and funding in Australia’s publicly funded vocational education and training (VET) system.</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This collection does not report on the following types of training activity:</w:t>
            </w:r>
          </w:p>
          <w:p w:rsidR="007056F1" w:rsidRPr="005970A0" w:rsidRDefault="007056F1" w:rsidP="007056F1">
            <w:pPr>
              <w:numPr>
                <w:ilvl w:val="0"/>
                <w:numId w:val="24"/>
              </w:numPr>
              <w:tabs>
                <w:tab w:val="clear" w:pos="363"/>
                <w:tab w:val="num" w:pos="179"/>
              </w:tabs>
              <w:spacing w:after="40"/>
              <w:ind w:left="179" w:hanging="180"/>
              <w:jc w:val="both"/>
              <w:rPr>
                <w:rFonts w:ascii="Arial" w:hAnsi="Arial" w:cs="Arial"/>
                <w:sz w:val="20"/>
                <w:szCs w:val="20"/>
              </w:rPr>
            </w:pPr>
            <w:r w:rsidRPr="005970A0">
              <w:rPr>
                <w:rFonts w:ascii="Arial" w:hAnsi="Arial" w:cs="Arial"/>
                <w:sz w:val="20"/>
                <w:szCs w:val="20"/>
              </w:rPr>
              <w:t xml:space="preserve">recreation, leisure and personal enrichment </w:t>
            </w:r>
          </w:p>
          <w:p w:rsidR="007056F1" w:rsidRPr="005970A0" w:rsidRDefault="007056F1" w:rsidP="007056F1">
            <w:pPr>
              <w:numPr>
                <w:ilvl w:val="0"/>
                <w:numId w:val="24"/>
              </w:numPr>
              <w:tabs>
                <w:tab w:val="clear" w:pos="363"/>
                <w:tab w:val="num" w:pos="179"/>
              </w:tabs>
              <w:spacing w:after="40"/>
              <w:ind w:left="179" w:hanging="180"/>
              <w:jc w:val="both"/>
              <w:rPr>
                <w:rFonts w:ascii="Arial" w:hAnsi="Arial" w:cs="Arial"/>
                <w:sz w:val="20"/>
                <w:szCs w:val="20"/>
              </w:rPr>
            </w:pPr>
            <w:r w:rsidRPr="005970A0">
              <w:rPr>
                <w:rFonts w:ascii="Arial" w:hAnsi="Arial" w:cs="Arial"/>
                <w:sz w:val="20"/>
                <w:szCs w:val="20"/>
              </w:rPr>
              <w:t xml:space="preserve">fee-for-service VET by private providers </w:t>
            </w:r>
          </w:p>
          <w:p w:rsidR="007056F1" w:rsidRPr="005970A0" w:rsidRDefault="007056F1" w:rsidP="007056F1">
            <w:pPr>
              <w:numPr>
                <w:ilvl w:val="0"/>
                <w:numId w:val="24"/>
              </w:numPr>
              <w:tabs>
                <w:tab w:val="clear" w:pos="363"/>
                <w:tab w:val="num" w:pos="179"/>
              </w:tabs>
              <w:spacing w:after="40"/>
              <w:ind w:left="179" w:hanging="180"/>
              <w:jc w:val="both"/>
              <w:rPr>
                <w:rFonts w:ascii="Arial" w:hAnsi="Arial" w:cs="Arial"/>
                <w:sz w:val="20"/>
                <w:szCs w:val="20"/>
              </w:rPr>
            </w:pPr>
            <w:r w:rsidRPr="005970A0">
              <w:rPr>
                <w:rFonts w:ascii="Arial" w:hAnsi="Arial" w:cs="Arial"/>
                <w:sz w:val="20"/>
                <w:szCs w:val="20"/>
              </w:rPr>
              <w:t xml:space="preserve">delivery undertaken at overseas campuses of Australian VET institutions </w:t>
            </w:r>
          </w:p>
          <w:p w:rsidR="007056F1" w:rsidRPr="005970A0" w:rsidRDefault="007056F1" w:rsidP="007056F1">
            <w:pPr>
              <w:numPr>
                <w:ilvl w:val="0"/>
                <w:numId w:val="24"/>
              </w:numPr>
              <w:tabs>
                <w:tab w:val="clear" w:pos="363"/>
                <w:tab w:val="num" w:pos="179"/>
              </w:tabs>
              <w:spacing w:after="40"/>
              <w:ind w:left="179" w:hanging="180"/>
              <w:jc w:val="both"/>
              <w:rPr>
                <w:rFonts w:ascii="Arial" w:hAnsi="Arial" w:cs="Arial"/>
                <w:sz w:val="20"/>
                <w:szCs w:val="20"/>
              </w:rPr>
            </w:pPr>
            <w:r w:rsidRPr="005970A0">
              <w:rPr>
                <w:rFonts w:ascii="Arial" w:hAnsi="Arial" w:cs="Arial"/>
                <w:sz w:val="20"/>
                <w:szCs w:val="20"/>
              </w:rPr>
              <w:t>credit transfer</w:t>
            </w:r>
          </w:p>
          <w:p w:rsidR="007056F1" w:rsidRPr="005970A0" w:rsidRDefault="007056F1" w:rsidP="007056F1">
            <w:pPr>
              <w:numPr>
                <w:ilvl w:val="0"/>
                <w:numId w:val="24"/>
              </w:numPr>
              <w:tabs>
                <w:tab w:val="clear" w:pos="363"/>
                <w:tab w:val="num" w:pos="179"/>
              </w:tabs>
              <w:spacing w:after="120"/>
              <w:ind w:left="179" w:hanging="180"/>
              <w:jc w:val="both"/>
              <w:rPr>
                <w:rFonts w:ascii="Arial" w:hAnsi="Arial" w:cs="Arial"/>
                <w:sz w:val="20"/>
                <w:szCs w:val="20"/>
              </w:rPr>
            </w:pPr>
            <w:r w:rsidRPr="005970A0">
              <w:rPr>
                <w:rFonts w:ascii="Arial" w:hAnsi="Arial" w:cs="Arial"/>
                <w:sz w:val="20"/>
                <w:szCs w:val="20"/>
              </w:rPr>
              <w:t>VET delivered in schools, where the delivery has been undertaken by schools.</w:t>
            </w:r>
          </w:p>
          <w:p w:rsidR="0087737B" w:rsidRPr="005970A0" w:rsidRDefault="0087737B" w:rsidP="0087737B">
            <w:pPr>
              <w:pStyle w:val="TableBodyText"/>
              <w:spacing w:after="120"/>
              <w:jc w:val="both"/>
              <w:rPr>
                <w:u w:val="single"/>
              </w:rPr>
            </w:pPr>
            <w:r w:rsidRPr="005970A0">
              <w:rPr>
                <w:u w:val="single"/>
              </w:rPr>
              <w:t>Population estimates:</w:t>
            </w:r>
          </w:p>
          <w:p w:rsidR="007056F1" w:rsidRPr="005970A0" w:rsidRDefault="00477897" w:rsidP="00477897">
            <w:pPr>
              <w:spacing w:after="60"/>
              <w:jc w:val="both"/>
              <w:rPr>
                <w:rFonts w:ascii="Arial" w:hAnsi="Arial" w:cs="Arial"/>
                <w:sz w:val="20"/>
                <w:szCs w:val="20"/>
              </w:rPr>
            </w:pPr>
            <w:r w:rsidRPr="005970A0">
              <w:rPr>
                <w:rFonts w:ascii="Arial" w:hAnsi="Arial" w:cs="Arial"/>
                <w:sz w:val="20"/>
                <w:szCs w:val="20"/>
              </w:rPr>
              <w:t xml:space="preserve">The </w:t>
            </w:r>
            <w:proofErr w:type="spellStart"/>
            <w:r w:rsidRPr="005970A0">
              <w:rPr>
                <w:rFonts w:ascii="Arial" w:hAnsi="Arial" w:cs="Arial"/>
                <w:sz w:val="20"/>
                <w:szCs w:val="20"/>
              </w:rPr>
              <w:t>ERP</w:t>
            </w:r>
            <w:proofErr w:type="spellEnd"/>
            <w:r w:rsidRPr="005970A0">
              <w:rPr>
                <w:rFonts w:ascii="Arial" w:hAnsi="Arial" w:cs="Arial"/>
                <w:sz w:val="20"/>
                <w:szCs w:val="20"/>
              </w:rPr>
              <w:t xml:space="preserve"> is the official measure of the population of states and territories of Australia according to a usual residence population concept. </w:t>
            </w:r>
            <w:proofErr w:type="spellStart"/>
            <w:r w:rsidRPr="005970A0">
              <w:rPr>
                <w:rFonts w:ascii="Arial" w:hAnsi="Arial" w:cs="Arial"/>
                <w:sz w:val="20"/>
                <w:szCs w:val="20"/>
              </w:rPr>
              <w:t>ERP</w:t>
            </w:r>
            <w:proofErr w:type="spellEnd"/>
            <w:r w:rsidRPr="005970A0">
              <w:rPr>
                <w:rFonts w:ascii="Arial" w:hAnsi="Arial" w:cs="Arial"/>
                <w:sz w:val="20"/>
                <w:szCs w:val="20"/>
              </w:rPr>
              <w:t xml:space="preserve"> is used for a range of key decisions such as resource and funding distribution and apportioning seats in the House of Representatives to each state and territory.</w:t>
            </w:r>
          </w:p>
          <w:p w:rsidR="00477897" w:rsidRPr="005970A0" w:rsidRDefault="00477897" w:rsidP="00477897">
            <w:pPr>
              <w:jc w:val="both"/>
              <w:rPr>
                <w:rFonts w:ascii="Arial" w:hAnsi="Arial" w:cs="Arial"/>
                <w:sz w:val="20"/>
                <w:szCs w:val="20"/>
              </w:rPr>
            </w:pPr>
            <w:r w:rsidRPr="005970A0">
              <w:rPr>
                <w:rFonts w:ascii="Arial" w:hAnsi="Arial" w:cs="Arial"/>
                <w:sz w:val="20"/>
                <w:szCs w:val="20"/>
              </w:rPr>
              <w:t>In preparing Indigenous population estimates, the ABS formulated assumptions on the basis of past demographic trends, in conjunction with consultation with various individuals and government department representatives at the national and state/territory level. Consultation occurred between May and July 2009, after which the assumptions were finalised.</w:t>
            </w:r>
          </w:p>
        </w:tc>
      </w:tr>
      <w:tr w:rsidR="007056F1" w:rsidRPr="005970A0" w:rsidTr="00C423F3">
        <w:tc>
          <w:tcPr>
            <w:tcW w:w="887" w:type="pct"/>
          </w:tcPr>
          <w:p w:rsidR="007056F1" w:rsidRPr="005970A0" w:rsidRDefault="007056F1" w:rsidP="007056F1">
            <w:pPr>
              <w:pStyle w:val="TableBodyText"/>
              <w:jc w:val="both"/>
              <w:rPr>
                <w:b/>
              </w:rPr>
            </w:pPr>
            <w:r w:rsidRPr="005970A0">
              <w:rPr>
                <w:b/>
              </w:rPr>
              <w:t>Timeliness</w:t>
            </w:r>
          </w:p>
        </w:tc>
        <w:tc>
          <w:tcPr>
            <w:tcW w:w="4113" w:type="pct"/>
          </w:tcPr>
          <w:p w:rsidR="005158B1" w:rsidRPr="005970A0" w:rsidRDefault="005158B1" w:rsidP="005158B1">
            <w:pPr>
              <w:spacing w:after="120"/>
              <w:jc w:val="both"/>
              <w:rPr>
                <w:rFonts w:ascii="Arial" w:hAnsi="Arial" w:cs="Arial"/>
                <w:sz w:val="20"/>
                <w:szCs w:val="20"/>
                <w:u w:val="single"/>
              </w:rPr>
            </w:pPr>
            <w:r w:rsidRPr="005970A0">
              <w:rPr>
                <w:rFonts w:ascii="Arial" w:hAnsi="Arial" w:cs="Arial"/>
                <w:sz w:val="20"/>
                <w:szCs w:val="20"/>
                <w:u w:val="single"/>
              </w:rPr>
              <w:t>VET student data:</w:t>
            </w:r>
          </w:p>
          <w:p w:rsidR="007056F1" w:rsidRPr="005970A0" w:rsidRDefault="007056F1" w:rsidP="007056F1">
            <w:pPr>
              <w:pStyle w:val="TableBodyText"/>
              <w:keepNext w:val="0"/>
              <w:keepLines w:val="0"/>
              <w:spacing w:after="120" w:line="240" w:lineRule="auto"/>
              <w:ind w:left="0" w:right="0"/>
              <w:jc w:val="both"/>
            </w:pPr>
            <w:r w:rsidRPr="005970A0">
              <w:t xml:space="preserve">The National VET Provider Collection is an annual collection of data. Data are submitted to </w:t>
            </w:r>
            <w:proofErr w:type="spellStart"/>
            <w:r w:rsidRPr="005970A0">
              <w:t>NCVER</w:t>
            </w:r>
            <w:proofErr w:type="spellEnd"/>
            <w:r w:rsidRPr="005970A0">
              <w:t xml:space="preserve"> (via state training authorities) by 31 March in the year following activity. A summary of 20</w:t>
            </w:r>
            <w:r w:rsidR="00716CC0">
              <w:t>12</w:t>
            </w:r>
            <w:r w:rsidRPr="005970A0">
              <w:t xml:space="preserve"> data was released in early July </w:t>
            </w:r>
            <w:r w:rsidR="00716CC0" w:rsidRPr="005970A0">
              <w:t>201</w:t>
            </w:r>
            <w:r w:rsidR="00716CC0">
              <w:t>3</w:t>
            </w:r>
            <w:r w:rsidR="00716CC0" w:rsidRPr="005970A0">
              <w:t xml:space="preserve"> </w:t>
            </w:r>
            <w:r w:rsidRPr="005970A0">
              <w:t xml:space="preserve">in </w:t>
            </w:r>
            <w:r w:rsidRPr="00D86CD7">
              <w:t>Students and Courses</w:t>
            </w:r>
            <w:r w:rsidRPr="005970A0">
              <w:t>.</w:t>
            </w:r>
          </w:p>
          <w:p w:rsidR="0087737B" w:rsidRPr="005970A0" w:rsidRDefault="0087737B" w:rsidP="0087737B">
            <w:pPr>
              <w:pStyle w:val="TableBodyText"/>
              <w:spacing w:after="120"/>
              <w:jc w:val="both"/>
              <w:rPr>
                <w:u w:val="single"/>
              </w:rPr>
            </w:pPr>
            <w:r w:rsidRPr="005970A0">
              <w:rPr>
                <w:u w:val="single"/>
              </w:rPr>
              <w:t>Population estimates:</w:t>
            </w:r>
          </w:p>
          <w:p w:rsidR="007371E2" w:rsidRPr="005970A0" w:rsidRDefault="007371E2" w:rsidP="007371E2">
            <w:pPr>
              <w:pStyle w:val="TableBodyText"/>
              <w:spacing w:after="120"/>
              <w:jc w:val="both"/>
            </w:pPr>
            <w:r w:rsidRPr="005970A0">
              <w:t xml:space="preserve">Preliminary </w:t>
            </w:r>
            <w:proofErr w:type="spellStart"/>
            <w:r w:rsidRPr="005970A0">
              <w:t>ERP</w:t>
            </w:r>
            <w:proofErr w:type="spellEnd"/>
            <w:r w:rsidRPr="005970A0">
              <w:t xml:space="preserve"> data is compiled and published quarterly by the ABS, and is generally made available five to six months after the end of each reference quarter. Every year, the 30 June </w:t>
            </w:r>
            <w:proofErr w:type="spellStart"/>
            <w:r w:rsidRPr="005970A0">
              <w:t>ERP</w:t>
            </w:r>
            <w:proofErr w:type="spellEnd"/>
            <w:r w:rsidRPr="005970A0">
              <w:t xml:space="preserve"> is further disaggregated by sex and single year of age, and is made available five to six months after end of the reference quarter.</w:t>
            </w:r>
          </w:p>
          <w:p w:rsidR="007371E2" w:rsidRPr="005970A0" w:rsidRDefault="007371E2" w:rsidP="007371E2">
            <w:pPr>
              <w:pStyle w:val="TableBodyText"/>
              <w:spacing w:after="120"/>
              <w:jc w:val="both"/>
            </w:pPr>
            <w:r w:rsidRPr="005970A0">
              <w:t xml:space="preserve">Final estimates are made available every 5 years after a census and revisions are made to the previous </w:t>
            </w:r>
            <w:proofErr w:type="spellStart"/>
            <w:r w:rsidRPr="005970A0">
              <w:t>intercensal</w:t>
            </w:r>
            <w:proofErr w:type="spellEnd"/>
            <w:r w:rsidRPr="005970A0">
              <w:t xml:space="preserve"> period. </w:t>
            </w:r>
            <w:proofErr w:type="spellStart"/>
            <w:r w:rsidRPr="005970A0">
              <w:t>ERP</w:t>
            </w:r>
            <w:proofErr w:type="spellEnd"/>
            <w:r w:rsidRPr="005970A0">
              <w:t xml:space="preserve"> data are not changed once finalised. Releasing preliminary, revised and final </w:t>
            </w:r>
            <w:proofErr w:type="spellStart"/>
            <w:r w:rsidRPr="005970A0">
              <w:t>ERP</w:t>
            </w:r>
            <w:proofErr w:type="spellEnd"/>
            <w:r w:rsidRPr="005970A0">
              <w:t xml:space="preserve"> involves a balance between timeliness and accuracy.</w:t>
            </w:r>
          </w:p>
          <w:p w:rsidR="007056F1" w:rsidRPr="005970A0" w:rsidRDefault="007371E2" w:rsidP="007371E2">
            <w:pPr>
              <w:spacing w:after="60"/>
              <w:jc w:val="both"/>
              <w:rPr>
                <w:rFonts w:ascii="Arial" w:hAnsi="Arial"/>
                <w:sz w:val="20"/>
                <w:szCs w:val="20"/>
              </w:rPr>
            </w:pPr>
            <w:r w:rsidRPr="005970A0">
              <w:rPr>
                <w:rFonts w:ascii="Arial" w:hAnsi="Arial"/>
                <w:sz w:val="20"/>
                <w:szCs w:val="20"/>
              </w:rPr>
              <w:t>ABS Indigenous population estimates and projections are compiled and published once in each five year period; typically three years following the most recent census.</w:t>
            </w:r>
          </w:p>
        </w:tc>
      </w:tr>
    </w:tbl>
    <w:p w:rsidR="00C423F3" w:rsidRPr="005970A0" w:rsidRDefault="00C423F3"/>
    <w:tbl>
      <w:tblPr>
        <w:tblW w:w="5000" w:type="pct"/>
        <w:tblCellMar>
          <w:left w:w="0" w:type="dxa"/>
          <w:right w:w="0" w:type="dxa"/>
        </w:tblCellMar>
        <w:tblLook w:val="0000" w:firstRow="0" w:lastRow="0" w:firstColumn="0" w:lastColumn="0" w:noHBand="0" w:noVBand="0"/>
      </w:tblPr>
      <w:tblGrid>
        <w:gridCol w:w="1559"/>
        <w:gridCol w:w="62"/>
        <w:gridCol w:w="7168"/>
      </w:tblGrid>
      <w:tr w:rsidR="005970A0" w:rsidRPr="005970A0" w:rsidTr="00C423F3">
        <w:trPr>
          <w:trHeight w:val="13383"/>
        </w:trPr>
        <w:tc>
          <w:tcPr>
            <w:tcW w:w="887" w:type="pct"/>
          </w:tcPr>
          <w:p w:rsidR="007056F1" w:rsidRPr="005970A0" w:rsidRDefault="007056F1" w:rsidP="007056F1">
            <w:pPr>
              <w:pStyle w:val="TableBodyText"/>
              <w:jc w:val="both"/>
              <w:rPr>
                <w:b/>
              </w:rPr>
            </w:pPr>
            <w:r w:rsidRPr="005970A0">
              <w:rPr>
                <w:b/>
              </w:rPr>
              <w:lastRenderedPageBreak/>
              <w:t>Accuracy</w:t>
            </w:r>
          </w:p>
        </w:tc>
        <w:tc>
          <w:tcPr>
            <w:tcW w:w="4113" w:type="pct"/>
            <w:gridSpan w:val="2"/>
          </w:tcPr>
          <w:p w:rsidR="005158B1" w:rsidRPr="005970A0" w:rsidRDefault="005158B1" w:rsidP="005158B1">
            <w:pPr>
              <w:spacing w:after="120"/>
              <w:jc w:val="both"/>
              <w:rPr>
                <w:rFonts w:ascii="Arial" w:hAnsi="Arial" w:cs="Arial"/>
                <w:sz w:val="20"/>
                <w:szCs w:val="20"/>
                <w:u w:val="single"/>
              </w:rPr>
            </w:pPr>
            <w:r w:rsidRPr="005970A0">
              <w:rPr>
                <w:rFonts w:ascii="Arial" w:hAnsi="Arial" w:cs="Arial"/>
                <w:sz w:val="20"/>
                <w:szCs w:val="20"/>
                <w:u w:val="single"/>
              </w:rPr>
              <w:t>VET student data:</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The National VET Provider Collection is a collection of all publicly funded training activity in Australia in a particular year. It is an administrative collection.</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 xml:space="preserve">Publicly funded registered training organisations submit unit record data directly to state/territory training authorities, who in turn submit the data to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Prior to submissions to </w:t>
            </w:r>
            <w:proofErr w:type="spellStart"/>
            <w:r w:rsidRPr="005970A0">
              <w:rPr>
                <w:rFonts w:ascii="Arial" w:hAnsi="Arial" w:cs="Arial"/>
                <w:sz w:val="20"/>
                <w:szCs w:val="20"/>
              </w:rPr>
              <w:t>NCVER</w:t>
            </w:r>
            <w:proofErr w:type="spellEnd"/>
            <w:r w:rsidRPr="005970A0">
              <w:rPr>
                <w:rFonts w:ascii="Arial" w:hAnsi="Arial" w:cs="Arial"/>
                <w:sz w:val="20"/>
                <w:szCs w:val="20"/>
              </w:rPr>
              <w:t>, data must first pass a validation process to ensure that data conforms to the Australian vocational education and training management information statistical standard (</w:t>
            </w:r>
            <w:proofErr w:type="spellStart"/>
            <w:r w:rsidRPr="005970A0">
              <w:rPr>
                <w:rFonts w:ascii="Arial" w:hAnsi="Arial" w:cs="Arial"/>
                <w:sz w:val="20"/>
                <w:szCs w:val="20"/>
              </w:rPr>
              <w:t>AVETMISS</w:t>
            </w:r>
            <w:proofErr w:type="spellEnd"/>
            <w:r w:rsidRPr="005970A0">
              <w:rPr>
                <w:rFonts w:ascii="Arial" w:hAnsi="Arial" w:cs="Arial"/>
                <w:sz w:val="20"/>
                <w:szCs w:val="20"/>
              </w:rPr>
              <w:t xml:space="preserve">) (Refer to </w:t>
            </w:r>
            <w:r w:rsidRPr="005970A0">
              <w:rPr>
                <w:rFonts w:ascii="Arial" w:hAnsi="Arial" w:cs="Arial"/>
                <w:sz w:val="20"/>
                <w:szCs w:val="20"/>
                <w:u w:val="single"/>
              </w:rPr>
              <w:t>http://</w:t>
            </w:r>
            <w:proofErr w:type="spellStart"/>
            <w:r w:rsidRPr="005970A0">
              <w:rPr>
                <w:rFonts w:ascii="Arial" w:hAnsi="Arial" w:cs="Arial"/>
                <w:sz w:val="20"/>
                <w:szCs w:val="20"/>
                <w:u w:val="single"/>
              </w:rPr>
              <w:t>www.ncver.edu.au</w:t>
            </w:r>
            <w:proofErr w:type="spellEnd"/>
            <w:r w:rsidRPr="005970A0">
              <w:rPr>
                <w:rFonts w:ascii="Arial" w:hAnsi="Arial" w:cs="Arial"/>
                <w:sz w:val="20"/>
                <w:szCs w:val="20"/>
                <w:u w:val="single"/>
              </w:rPr>
              <w:t>/</w:t>
            </w:r>
            <w:proofErr w:type="spellStart"/>
            <w:r w:rsidRPr="005970A0">
              <w:rPr>
                <w:rFonts w:ascii="Arial" w:hAnsi="Arial" w:cs="Arial"/>
                <w:sz w:val="20"/>
                <w:szCs w:val="20"/>
                <w:u w:val="single"/>
              </w:rPr>
              <w:t>avetmiss</w:t>
            </w:r>
            <w:proofErr w:type="spellEnd"/>
            <w:r w:rsidRPr="005970A0">
              <w:rPr>
                <w:rFonts w:ascii="Arial" w:hAnsi="Arial" w:cs="Arial"/>
                <w:sz w:val="20"/>
                <w:szCs w:val="20"/>
                <w:u w:val="single"/>
              </w:rPr>
              <w:t>/</w:t>
            </w:r>
            <w:proofErr w:type="spellStart"/>
            <w:r w:rsidRPr="005970A0">
              <w:rPr>
                <w:rFonts w:ascii="Arial" w:hAnsi="Arial" w:cs="Arial"/>
                <w:sz w:val="20"/>
                <w:szCs w:val="20"/>
                <w:u w:val="single"/>
              </w:rPr>
              <w:t>21055.html</w:t>
            </w:r>
            <w:proofErr w:type="spellEnd"/>
            <w:r w:rsidRPr="005970A0">
              <w:rPr>
                <w:rFonts w:ascii="Arial" w:hAnsi="Arial" w:cs="Arial"/>
                <w:sz w:val="20"/>
                <w:szCs w:val="20"/>
              </w:rPr>
              <w:t xml:space="preserve">). </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 xml:space="preserve">Once data submissions are received by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they are subjected to a comprehensive data quality checking program to ensure accurate reporting against agreed Key Performance Measures (</w:t>
            </w:r>
            <w:proofErr w:type="spellStart"/>
            <w:r w:rsidRPr="005970A0">
              <w:rPr>
                <w:rFonts w:ascii="Arial" w:hAnsi="Arial" w:cs="Arial"/>
                <w:sz w:val="20"/>
                <w:szCs w:val="20"/>
              </w:rPr>
              <w:t>KPMs</w:t>
            </w:r>
            <w:proofErr w:type="spellEnd"/>
            <w:r w:rsidRPr="005970A0">
              <w:rPr>
                <w:rFonts w:ascii="Arial" w:hAnsi="Arial" w:cs="Arial"/>
                <w:sz w:val="20"/>
                <w:szCs w:val="20"/>
              </w:rPr>
              <w:t xml:space="preserve">). </w:t>
            </w:r>
          </w:p>
          <w:p w:rsidR="0087737B" w:rsidRPr="005970A0" w:rsidRDefault="0087737B" w:rsidP="0087737B">
            <w:pPr>
              <w:pStyle w:val="TableBodyText"/>
              <w:spacing w:after="120"/>
              <w:jc w:val="both"/>
              <w:rPr>
                <w:u w:val="single"/>
              </w:rPr>
            </w:pPr>
            <w:r w:rsidRPr="005970A0">
              <w:rPr>
                <w:u w:val="single"/>
              </w:rPr>
              <w:t>General population estimates (</w:t>
            </w:r>
            <w:proofErr w:type="spellStart"/>
            <w:r w:rsidRPr="005970A0">
              <w:rPr>
                <w:u w:val="single"/>
              </w:rPr>
              <w:t>ERP</w:t>
            </w:r>
            <w:proofErr w:type="spellEnd"/>
            <w:r w:rsidRPr="005970A0">
              <w:rPr>
                <w:u w:val="single"/>
              </w:rPr>
              <w:t>):</w:t>
            </w:r>
          </w:p>
          <w:p w:rsidR="0087737B" w:rsidRPr="005970A0" w:rsidRDefault="0087737B" w:rsidP="00C423F3">
            <w:pPr>
              <w:spacing w:after="80"/>
              <w:jc w:val="both"/>
              <w:rPr>
                <w:rFonts w:ascii="Arial" w:hAnsi="Arial" w:cs="Arial"/>
                <w:sz w:val="20"/>
                <w:szCs w:val="20"/>
              </w:rPr>
            </w:pPr>
            <w:r w:rsidRPr="005970A0">
              <w:rPr>
                <w:rFonts w:ascii="Arial" w:hAnsi="Arial" w:cs="Arial"/>
                <w:sz w:val="20"/>
                <w:szCs w:val="20"/>
              </w:rPr>
              <w:t xml:space="preserve">All </w:t>
            </w:r>
            <w:proofErr w:type="spellStart"/>
            <w:r w:rsidRPr="005970A0">
              <w:rPr>
                <w:rFonts w:ascii="Arial" w:hAnsi="Arial" w:cs="Arial"/>
                <w:sz w:val="20"/>
                <w:szCs w:val="20"/>
              </w:rPr>
              <w:t>ERP</w:t>
            </w:r>
            <w:proofErr w:type="spellEnd"/>
            <w:r w:rsidRPr="005970A0">
              <w:rPr>
                <w:rFonts w:ascii="Arial" w:hAnsi="Arial" w:cs="Arial"/>
                <w:sz w:val="20"/>
                <w:szCs w:val="20"/>
              </w:rPr>
              <w:t xml:space="preserve"> data sources are subject to non-sampling error. Non-sampling error can arise from inaccuracies in collecting, recording and processing the data. The ABS does not have control over any non-sampling error associated with births, deaths and migration data (see institutional environment).</w:t>
            </w:r>
            <w:r w:rsidR="00135150" w:rsidRPr="005970A0">
              <w:rPr>
                <w:rFonts w:ascii="Arial" w:hAnsi="Arial" w:cs="Arial"/>
                <w:sz w:val="20"/>
                <w:szCs w:val="20"/>
              </w:rPr>
              <w:t xml:space="preserve"> </w:t>
            </w:r>
            <w:r w:rsidRPr="005970A0">
              <w:rPr>
                <w:rFonts w:ascii="Arial" w:hAnsi="Arial" w:cs="Arial"/>
                <w:sz w:val="20"/>
                <w:szCs w:val="20"/>
              </w:rPr>
              <w:t>For more information see the Demography Working Paper 1998/2 - Quarterly birth and death estimates, 1998 (cat. no. 3114.0) and Population Estimates: Concepts, Sources and Methods, 2009 (cat. no. 3228.0.55.001).</w:t>
            </w:r>
          </w:p>
          <w:p w:rsidR="007056F1" w:rsidRPr="005970A0" w:rsidRDefault="0087737B" w:rsidP="00C423F3">
            <w:pPr>
              <w:spacing w:after="80"/>
              <w:jc w:val="both"/>
              <w:rPr>
                <w:rFonts w:ascii="Arial" w:hAnsi="Arial" w:cs="Arial"/>
                <w:sz w:val="20"/>
                <w:szCs w:val="20"/>
              </w:rPr>
            </w:pPr>
            <w:r w:rsidRPr="005970A0">
              <w:rPr>
                <w:rFonts w:ascii="Arial" w:hAnsi="Arial" w:cs="Arial"/>
                <w:sz w:val="20"/>
                <w:szCs w:val="20"/>
              </w:rPr>
              <w:t>After each Census the ABS uses the Census population count to update the original series of published quarterly population estimates since the previous Census. For example, 2011 Census results were used to update quarterly population estimates between the 2006 and 2011 Census. For more information on rebasing see the feature article in the December quarter 2011 issue of Australian Demographic Statistics (cat. no. 3101.0).</w:t>
            </w:r>
          </w:p>
          <w:p w:rsidR="0087737B" w:rsidRPr="005970A0" w:rsidRDefault="0087737B" w:rsidP="0087737B">
            <w:pPr>
              <w:pStyle w:val="TableBodyText"/>
              <w:spacing w:after="120"/>
              <w:jc w:val="both"/>
              <w:rPr>
                <w:u w:val="single"/>
              </w:rPr>
            </w:pPr>
            <w:r w:rsidRPr="005970A0">
              <w:rPr>
                <w:u w:val="single"/>
              </w:rPr>
              <w:t>Indigenous population estimates:</w:t>
            </w:r>
          </w:p>
          <w:p w:rsidR="0087737B" w:rsidRPr="005970A0" w:rsidRDefault="0087737B" w:rsidP="00C423F3">
            <w:pPr>
              <w:spacing w:after="80"/>
              <w:jc w:val="both"/>
              <w:rPr>
                <w:rFonts w:ascii="Arial" w:hAnsi="Arial" w:cs="Arial"/>
                <w:sz w:val="20"/>
                <w:szCs w:val="20"/>
              </w:rPr>
            </w:pPr>
            <w:r w:rsidRPr="005970A0">
              <w:rPr>
                <w:rFonts w:ascii="Arial" w:hAnsi="Arial" w:cs="Arial"/>
                <w:sz w:val="20"/>
                <w:szCs w:val="20"/>
              </w:rPr>
              <w:t>The estimates of the Indigenous population are based on results of the 2006 Census of Population and Housing, adjusted for net undercount as measured by the Post Enumeration Survey (</w:t>
            </w:r>
            <w:proofErr w:type="spellStart"/>
            <w:r w:rsidRPr="005970A0">
              <w:rPr>
                <w:rFonts w:ascii="Arial" w:hAnsi="Arial" w:cs="Arial"/>
                <w:sz w:val="20"/>
                <w:szCs w:val="20"/>
              </w:rPr>
              <w:t>PES</w:t>
            </w:r>
            <w:proofErr w:type="spellEnd"/>
            <w:r w:rsidRPr="005970A0">
              <w:rPr>
                <w:rFonts w:ascii="Arial" w:hAnsi="Arial" w:cs="Arial"/>
                <w:sz w:val="20"/>
                <w:szCs w:val="20"/>
              </w:rPr>
              <w:t xml:space="preserve">). </w:t>
            </w:r>
          </w:p>
          <w:p w:rsidR="0087737B" w:rsidRPr="005970A0" w:rsidRDefault="0087737B" w:rsidP="00C423F3">
            <w:pPr>
              <w:spacing w:after="80"/>
              <w:jc w:val="both"/>
              <w:rPr>
                <w:rFonts w:ascii="Arial" w:hAnsi="Arial" w:cs="Arial"/>
                <w:sz w:val="20"/>
                <w:szCs w:val="20"/>
              </w:rPr>
            </w:pPr>
            <w:r w:rsidRPr="005970A0">
              <w:rPr>
                <w:rFonts w:ascii="Arial" w:hAnsi="Arial" w:cs="Arial"/>
                <w:sz w:val="20"/>
                <w:szCs w:val="20"/>
              </w:rPr>
              <w:t xml:space="preserve">The ABS conducts the </w:t>
            </w:r>
            <w:proofErr w:type="spellStart"/>
            <w:r w:rsidRPr="005970A0">
              <w:rPr>
                <w:rFonts w:ascii="Arial" w:hAnsi="Arial" w:cs="Arial"/>
                <w:sz w:val="20"/>
                <w:szCs w:val="20"/>
              </w:rPr>
              <w:t>PES</w:t>
            </w:r>
            <w:proofErr w:type="spellEnd"/>
            <w:r w:rsidRPr="005970A0">
              <w:rPr>
                <w:rFonts w:ascii="Arial" w:hAnsi="Arial" w:cs="Arial"/>
                <w:sz w:val="20"/>
                <w:szCs w:val="20"/>
              </w:rPr>
              <w:t xml:space="preserve"> shortly after the census to determine how many people were missed in the census and how many were counted more than once. For 2006, the net undercount of the Indigenous population was 59,200 persons. The extent of </w:t>
            </w:r>
            <w:proofErr w:type="spellStart"/>
            <w:r w:rsidRPr="005970A0">
              <w:rPr>
                <w:rFonts w:ascii="Arial" w:hAnsi="Arial" w:cs="Arial"/>
                <w:sz w:val="20"/>
                <w:szCs w:val="20"/>
              </w:rPr>
              <w:t>undercoverage</w:t>
            </w:r>
            <w:proofErr w:type="spellEnd"/>
            <w:r w:rsidRPr="005970A0">
              <w:rPr>
                <w:rFonts w:ascii="Arial" w:hAnsi="Arial" w:cs="Arial"/>
                <w:sz w:val="20"/>
                <w:szCs w:val="20"/>
              </w:rPr>
              <w:t xml:space="preserve"> of Indigenous Australians in the 2006 Census, the relatively small sample size of the </w:t>
            </w:r>
            <w:proofErr w:type="spellStart"/>
            <w:r w:rsidRPr="005970A0">
              <w:rPr>
                <w:rFonts w:ascii="Arial" w:hAnsi="Arial" w:cs="Arial"/>
                <w:sz w:val="20"/>
                <w:szCs w:val="20"/>
              </w:rPr>
              <w:t>PES</w:t>
            </w:r>
            <w:proofErr w:type="spellEnd"/>
            <w:r w:rsidRPr="005970A0">
              <w:rPr>
                <w:rFonts w:ascii="Arial" w:hAnsi="Arial" w:cs="Arial"/>
                <w:sz w:val="20"/>
                <w:szCs w:val="20"/>
              </w:rPr>
              <w:t xml:space="preserve"> to adjust for that </w:t>
            </w:r>
            <w:proofErr w:type="spellStart"/>
            <w:r w:rsidRPr="005970A0">
              <w:rPr>
                <w:rFonts w:ascii="Arial" w:hAnsi="Arial" w:cs="Arial"/>
                <w:sz w:val="20"/>
                <w:szCs w:val="20"/>
              </w:rPr>
              <w:t>undercoverage</w:t>
            </w:r>
            <w:proofErr w:type="spellEnd"/>
            <w:r w:rsidRPr="005970A0">
              <w:rPr>
                <w:rFonts w:ascii="Arial" w:hAnsi="Arial" w:cs="Arial"/>
                <w:sz w:val="20"/>
                <w:szCs w:val="20"/>
              </w:rPr>
              <w:t>, and the number of records with unknown Indigenous status means that 2006 population estimates should be interpreted with caution, and are therefore labelled experimental. For more information see Experimental Estimates and Aboriginal and Torres Strait Islander Australians, Jun 2006 (cat. no. 3238.0.55.001).</w:t>
            </w:r>
          </w:p>
        </w:tc>
      </w:tr>
      <w:tr w:rsidR="005970A0" w:rsidRPr="005970A0" w:rsidTr="00C423F3">
        <w:tc>
          <w:tcPr>
            <w:tcW w:w="887" w:type="pct"/>
          </w:tcPr>
          <w:p w:rsidR="007056F1" w:rsidRPr="005970A0" w:rsidRDefault="007056F1" w:rsidP="007056F1">
            <w:pPr>
              <w:pStyle w:val="TableBodyText"/>
              <w:jc w:val="both"/>
              <w:rPr>
                <w:b/>
              </w:rPr>
            </w:pPr>
            <w:r w:rsidRPr="005970A0">
              <w:rPr>
                <w:b/>
              </w:rPr>
              <w:lastRenderedPageBreak/>
              <w:t>Coherence</w:t>
            </w:r>
          </w:p>
        </w:tc>
        <w:tc>
          <w:tcPr>
            <w:tcW w:w="4113" w:type="pct"/>
            <w:gridSpan w:val="2"/>
          </w:tcPr>
          <w:p w:rsidR="005158B1" w:rsidRPr="005970A0" w:rsidRDefault="005158B1" w:rsidP="005158B1">
            <w:pPr>
              <w:spacing w:after="120"/>
              <w:jc w:val="both"/>
              <w:rPr>
                <w:rFonts w:ascii="Arial" w:hAnsi="Arial" w:cs="Arial"/>
                <w:sz w:val="20"/>
                <w:szCs w:val="20"/>
                <w:u w:val="single"/>
              </w:rPr>
            </w:pPr>
            <w:r w:rsidRPr="005970A0">
              <w:rPr>
                <w:rFonts w:ascii="Arial" w:hAnsi="Arial" w:cs="Arial"/>
                <w:sz w:val="20"/>
                <w:szCs w:val="20"/>
                <w:u w:val="single"/>
              </w:rPr>
              <w:t>VET student data:</w:t>
            </w:r>
          </w:p>
          <w:p w:rsidR="007056F1" w:rsidRPr="005970A0" w:rsidRDefault="007056F1" w:rsidP="00EC5E2C">
            <w:pPr>
              <w:pStyle w:val="TableBodyText"/>
              <w:keepNext w:val="0"/>
              <w:keepLines w:val="0"/>
              <w:spacing w:after="120" w:line="240" w:lineRule="auto"/>
              <w:ind w:left="0" w:right="0"/>
              <w:jc w:val="both"/>
            </w:pPr>
            <w:proofErr w:type="spellStart"/>
            <w:r w:rsidRPr="005970A0">
              <w:t>AVETMISS</w:t>
            </w:r>
            <w:proofErr w:type="spellEnd"/>
            <w:r w:rsidRPr="005970A0">
              <w:t xml:space="preserve"> provides the foundation for nationally comparable data and includes a range of data items relevant to the VET system. </w:t>
            </w:r>
            <w:r w:rsidR="00DF031A" w:rsidRPr="005970A0">
              <w:t xml:space="preserve">From 2007, data comply with release 6.0 of </w:t>
            </w:r>
            <w:proofErr w:type="spellStart"/>
            <w:r w:rsidR="00DF031A" w:rsidRPr="005970A0">
              <w:t>AVETMISS</w:t>
            </w:r>
            <w:proofErr w:type="spellEnd"/>
            <w:r w:rsidR="00DF031A" w:rsidRPr="005970A0">
              <w:t xml:space="preserve">, whereas previous collections complied with earlier releases. For details, see </w:t>
            </w:r>
            <w:r w:rsidR="00DF031A" w:rsidRPr="00D86CD7">
              <w:t>http://</w:t>
            </w:r>
            <w:proofErr w:type="spellStart"/>
            <w:r w:rsidR="00DF031A" w:rsidRPr="00D86CD7">
              <w:t>www.ncver.edu.au</w:t>
            </w:r>
            <w:proofErr w:type="spellEnd"/>
            <w:r w:rsidR="00DF031A" w:rsidRPr="00D86CD7">
              <w:t>/</w:t>
            </w:r>
            <w:proofErr w:type="spellStart"/>
            <w:r w:rsidR="00DF031A" w:rsidRPr="00D86CD7">
              <w:t>avetmiss</w:t>
            </w:r>
            <w:proofErr w:type="spellEnd"/>
            <w:r w:rsidR="00DF031A" w:rsidRPr="00D86CD7">
              <w:t>/</w:t>
            </w:r>
            <w:proofErr w:type="spellStart"/>
            <w:r w:rsidR="00DF031A" w:rsidRPr="00D86CD7">
              <w:t>21055.html</w:t>
            </w:r>
            <w:proofErr w:type="spellEnd"/>
            <w:r w:rsidR="00DF031A" w:rsidRPr="005970A0">
              <w:t>.</w:t>
            </w:r>
            <w:r w:rsidR="00DF031A">
              <w:t xml:space="preserve"> </w:t>
            </w:r>
            <w:r w:rsidR="00DF031A" w:rsidRPr="00EC5E2C">
              <w:t xml:space="preserve">From 2012, data comply with release 6.1 of </w:t>
            </w:r>
            <w:proofErr w:type="spellStart"/>
            <w:r w:rsidR="00DF031A" w:rsidRPr="00EC5E2C">
              <w:t>AVETMISS</w:t>
            </w:r>
            <w:proofErr w:type="spellEnd"/>
            <w:r w:rsidR="00DF031A" w:rsidRPr="00EC5E2C">
              <w:t>, whereas previous collections complied with earlier releases. For details, see http://</w:t>
            </w:r>
            <w:proofErr w:type="spellStart"/>
            <w:r w:rsidR="00DF031A" w:rsidRPr="00EC5E2C">
              <w:t>www.ncver.edu.au</w:t>
            </w:r>
            <w:proofErr w:type="spellEnd"/>
            <w:r w:rsidR="00DF031A" w:rsidRPr="00EC5E2C">
              <w:t>/</w:t>
            </w:r>
            <w:proofErr w:type="spellStart"/>
            <w:r w:rsidR="00DF031A" w:rsidRPr="00EC5E2C">
              <w:t>avetmiss</w:t>
            </w:r>
            <w:proofErr w:type="spellEnd"/>
            <w:r w:rsidR="00DF031A" w:rsidRPr="00EC5E2C">
              <w:t>/</w:t>
            </w:r>
            <w:proofErr w:type="spellStart"/>
            <w:r w:rsidR="00DF031A" w:rsidRPr="00EC5E2C">
              <w:t>21055.html</w:t>
            </w:r>
            <w:proofErr w:type="spellEnd"/>
            <w:r w:rsidR="00DF031A" w:rsidRPr="00EC5E2C">
              <w:t>.</w:t>
            </w:r>
          </w:p>
          <w:p w:rsidR="007056F1" w:rsidRPr="005970A0" w:rsidRDefault="00090401" w:rsidP="007056F1">
            <w:pPr>
              <w:pStyle w:val="TableBodyText"/>
              <w:keepNext w:val="0"/>
              <w:keepLines w:val="0"/>
              <w:spacing w:after="120" w:line="240" w:lineRule="auto"/>
              <w:ind w:left="0" w:right="0"/>
              <w:jc w:val="both"/>
              <w:rPr>
                <w:u w:val="single"/>
              </w:rPr>
            </w:pPr>
            <w:r w:rsidRPr="005970A0">
              <w:rPr>
                <w:u w:val="single"/>
              </w:rPr>
              <w:t>General population estimates (</w:t>
            </w:r>
            <w:proofErr w:type="spellStart"/>
            <w:r w:rsidRPr="005970A0">
              <w:rPr>
                <w:u w:val="single"/>
              </w:rPr>
              <w:t>ERP</w:t>
            </w:r>
            <w:proofErr w:type="spellEnd"/>
            <w:r w:rsidRPr="005970A0">
              <w:rPr>
                <w:u w:val="single"/>
              </w:rPr>
              <w:t>):</w:t>
            </w:r>
          </w:p>
          <w:p w:rsidR="00090401" w:rsidRPr="005970A0" w:rsidRDefault="00090401" w:rsidP="00C423F3">
            <w:pPr>
              <w:pStyle w:val="TableBodyText"/>
              <w:keepNext w:val="0"/>
              <w:keepLines w:val="0"/>
              <w:spacing w:after="80" w:line="240" w:lineRule="auto"/>
              <w:ind w:left="0" w:right="0"/>
              <w:jc w:val="both"/>
            </w:pPr>
            <w:proofErr w:type="spellStart"/>
            <w:r w:rsidRPr="005970A0">
              <w:t>ERP</w:t>
            </w:r>
            <w:proofErr w:type="spellEnd"/>
            <w:r w:rsidRPr="005970A0">
              <w:t xml:space="preserve"> is derived from usual residence census counts, to which is added the estimated net census undercount and Australian residents temporarily overseas at the time of the census (overseas visitors in Australia are excluded from this calculation). </w:t>
            </w:r>
          </w:p>
          <w:p w:rsidR="00090401" w:rsidRPr="005970A0" w:rsidRDefault="00090401" w:rsidP="00C423F3">
            <w:pPr>
              <w:pStyle w:val="TableBodyText"/>
              <w:keepNext w:val="0"/>
              <w:keepLines w:val="0"/>
              <w:spacing w:after="80" w:line="240" w:lineRule="auto"/>
              <w:ind w:left="0" w:right="0"/>
              <w:jc w:val="both"/>
            </w:pPr>
            <w:r w:rsidRPr="005970A0">
              <w:t>An improved method for calculating Net Overseas Migration (NOM) was applied from September quarter 2006 onwards. For further information see Information Paper: Improving Net Overseas Migration Estimation, Mar 2010 (cat. no. 3412.0.55.001).</w:t>
            </w:r>
          </w:p>
          <w:p w:rsidR="007056F1" w:rsidRPr="005970A0" w:rsidRDefault="00090401" w:rsidP="00090401">
            <w:pPr>
              <w:pStyle w:val="TableBodyText"/>
              <w:keepNext w:val="0"/>
              <w:keepLines w:val="0"/>
              <w:spacing w:after="120" w:line="240" w:lineRule="auto"/>
              <w:ind w:left="0" w:right="0"/>
              <w:jc w:val="both"/>
            </w:pPr>
            <w:r w:rsidRPr="005970A0">
              <w:rPr>
                <w:u w:val="single"/>
              </w:rPr>
              <w:t>Indigenous population estimates</w:t>
            </w:r>
            <w:r w:rsidRPr="005970A0">
              <w:t>:</w:t>
            </w:r>
          </w:p>
          <w:p w:rsidR="00090401" w:rsidRPr="005970A0" w:rsidRDefault="00090401" w:rsidP="00C423F3">
            <w:pPr>
              <w:spacing w:after="80"/>
              <w:jc w:val="both"/>
            </w:pPr>
            <w:r w:rsidRPr="005970A0">
              <w:rPr>
                <w:rFonts w:ascii="Arial" w:hAnsi="Arial"/>
                <w:sz w:val="20"/>
                <w:szCs w:val="20"/>
              </w:rPr>
              <w:t xml:space="preserve">The estimates and projections presented in the </w:t>
            </w:r>
            <w:r w:rsidR="001305D2" w:rsidRPr="005970A0">
              <w:rPr>
                <w:rFonts w:ascii="Arial" w:hAnsi="Arial"/>
                <w:sz w:val="20"/>
                <w:szCs w:val="20"/>
              </w:rPr>
              <w:t>source</w:t>
            </w:r>
            <w:r w:rsidRPr="005970A0">
              <w:rPr>
                <w:rFonts w:ascii="Arial" w:hAnsi="Arial"/>
                <w:sz w:val="20"/>
                <w:szCs w:val="20"/>
              </w:rPr>
              <w:t xml:space="preserve"> publication are not consistent with estimates and projections based on 2001 or previous censuses. As the assumptions used in each successive set of Indigenous population estimates and projections incorporate recent trends, comparison of data across issues of this publication is not advised.</w:t>
            </w:r>
          </w:p>
        </w:tc>
      </w:tr>
      <w:tr w:rsidR="005970A0" w:rsidRPr="005970A0" w:rsidTr="00C423F3">
        <w:tc>
          <w:tcPr>
            <w:tcW w:w="887" w:type="pct"/>
          </w:tcPr>
          <w:p w:rsidR="007056F1" w:rsidRPr="005970A0" w:rsidRDefault="007056F1" w:rsidP="007056F1">
            <w:pPr>
              <w:pStyle w:val="TableBodyText"/>
              <w:jc w:val="both"/>
              <w:rPr>
                <w:b/>
              </w:rPr>
            </w:pPr>
            <w:r w:rsidRPr="005970A0">
              <w:rPr>
                <w:b/>
              </w:rPr>
              <w:t>Accessibility</w:t>
            </w:r>
          </w:p>
        </w:tc>
        <w:tc>
          <w:tcPr>
            <w:tcW w:w="4113" w:type="pct"/>
            <w:gridSpan w:val="2"/>
          </w:tcPr>
          <w:p w:rsidR="005158B1" w:rsidRPr="005970A0" w:rsidRDefault="005158B1" w:rsidP="005158B1">
            <w:pPr>
              <w:spacing w:after="120"/>
              <w:jc w:val="both"/>
              <w:rPr>
                <w:rFonts w:ascii="Arial" w:hAnsi="Arial" w:cs="Arial"/>
                <w:sz w:val="20"/>
                <w:szCs w:val="20"/>
                <w:u w:val="single"/>
              </w:rPr>
            </w:pPr>
            <w:r w:rsidRPr="005970A0">
              <w:rPr>
                <w:rFonts w:ascii="Arial" w:hAnsi="Arial" w:cs="Arial"/>
                <w:sz w:val="20"/>
                <w:szCs w:val="20"/>
                <w:u w:val="single"/>
              </w:rPr>
              <w:t>VET student data:</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 xml:space="preserve">Summary information is available free of charge in </w:t>
            </w:r>
            <w:r w:rsidRPr="005970A0">
              <w:rPr>
                <w:rFonts w:ascii="Arial" w:hAnsi="Arial" w:cs="Arial"/>
                <w:sz w:val="20"/>
                <w:szCs w:val="20"/>
                <w:u w:val="single"/>
              </w:rPr>
              <w:t>Students and Courses</w:t>
            </w:r>
            <w:r w:rsidRPr="005970A0">
              <w:rPr>
                <w:rFonts w:ascii="Arial" w:hAnsi="Arial" w:cs="Arial"/>
                <w:sz w:val="20"/>
                <w:szCs w:val="20"/>
              </w:rPr>
              <w:t xml:space="preserve"> on </w:t>
            </w:r>
            <w:proofErr w:type="spellStart"/>
            <w:r w:rsidRPr="005970A0">
              <w:rPr>
                <w:rFonts w:ascii="Arial" w:hAnsi="Arial" w:cs="Arial"/>
                <w:sz w:val="20"/>
                <w:szCs w:val="20"/>
              </w:rPr>
              <w:t>NCVER’s</w:t>
            </w:r>
            <w:proofErr w:type="spellEnd"/>
            <w:r w:rsidRPr="005970A0">
              <w:rPr>
                <w:rFonts w:ascii="Arial" w:hAnsi="Arial" w:cs="Arial"/>
                <w:sz w:val="20"/>
                <w:szCs w:val="20"/>
              </w:rPr>
              <w:t xml:space="preserve"> website at: </w:t>
            </w:r>
            <w:r w:rsidRPr="00D86CD7">
              <w:rPr>
                <w:rFonts w:ascii="Arial" w:hAnsi="Arial" w:cs="Arial"/>
                <w:sz w:val="20"/>
                <w:szCs w:val="20"/>
              </w:rPr>
              <w:t>http://</w:t>
            </w:r>
            <w:proofErr w:type="spellStart"/>
            <w:r w:rsidRPr="00D86CD7">
              <w:rPr>
                <w:rFonts w:ascii="Arial" w:hAnsi="Arial" w:cs="Arial"/>
                <w:sz w:val="20"/>
                <w:szCs w:val="20"/>
              </w:rPr>
              <w:t>www.ncver.edu.au</w:t>
            </w:r>
            <w:proofErr w:type="spellEnd"/>
            <w:r w:rsidRPr="00D86CD7">
              <w:rPr>
                <w:rFonts w:ascii="Arial" w:hAnsi="Arial" w:cs="Arial"/>
                <w:sz w:val="20"/>
                <w:szCs w:val="20"/>
              </w:rPr>
              <w:t>/statistic/</w:t>
            </w:r>
            <w:proofErr w:type="spellStart"/>
            <w:r w:rsidRPr="00D86CD7">
              <w:rPr>
                <w:rFonts w:ascii="Arial" w:hAnsi="Arial" w:cs="Arial"/>
                <w:sz w:val="20"/>
                <w:szCs w:val="20"/>
              </w:rPr>
              <w:t>21053.html</w:t>
            </w:r>
            <w:proofErr w:type="spellEnd"/>
            <w:r w:rsidRPr="005970A0">
              <w:rPr>
                <w:rFonts w:ascii="Arial" w:hAnsi="Arial" w:cs="Arial"/>
                <w:sz w:val="20"/>
                <w:szCs w:val="20"/>
              </w:rPr>
              <w:t xml:space="preserve">. Requests for more detailed statistical information can be made to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on (08) 8230 8400 or </w:t>
            </w:r>
            <w:proofErr w:type="spellStart"/>
            <w:r w:rsidRPr="005970A0">
              <w:rPr>
                <w:rFonts w:ascii="Arial" w:hAnsi="Arial" w:cs="Arial"/>
                <w:sz w:val="20"/>
                <w:szCs w:val="20"/>
                <w:u w:val="single"/>
              </w:rPr>
              <w:t>vet_req@ncver.edu.au</w:t>
            </w:r>
            <w:proofErr w:type="spellEnd"/>
          </w:p>
          <w:p w:rsidR="007056F1" w:rsidRPr="005970A0" w:rsidRDefault="007056F1" w:rsidP="007056F1">
            <w:pPr>
              <w:pStyle w:val="TableBodyText"/>
              <w:keepNext w:val="0"/>
              <w:keepLines w:val="0"/>
              <w:spacing w:after="120" w:line="240" w:lineRule="auto"/>
              <w:ind w:left="0" w:right="0"/>
              <w:jc w:val="both"/>
              <w:rPr>
                <w:rFonts w:cs="Arial"/>
                <w:u w:val="single"/>
              </w:rPr>
            </w:pPr>
            <w:r w:rsidRPr="005970A0">
              <w:rPr>
                <w:rFonts w:cs="Arial"/>
              </w:rPr>
              <w:t xml:space="preserve">A charge will be generally made by the </w:t>
            </w:r>
            <w:proofErr w:type="spellStart"/>
            <w:r w:rsidRPr="005970A0">
              <w:rPr>
                <w:rFonts w:cs="Arial"/>
              </w:rPr>
              <w:t>NCVER</w:t>
            </w:r>
            <w:proofErr w:type="spellEnd"/>
            <w:r w:rsidRPr="005970A0">
              <w:rPr>
                <w:rFonts w:cs="Arial"/>
              </w:rPr>
              <w:t xml:space="preserve"> for more complex requests for information. See </w:t>
            </w:r>
            <w:proofErr w:type="spellStart"/>
            <w:r w:rsidRPr="005970A0">
              <w:rPr>
                <w:rFonts w:cs="Arial"/>
              </w:rPr>
              <w:t>NCVER’s</w:t>
            </w:r>
            <w:proofErr w:type="spellEnd"/>
            <w:r w:rsidRPr="005970A0">
              <w:rPr>
                <w:rFonts w:cs="Arial"/>
              </w:rPr>
              <w:t xml:space="preserve"> fees and charges policy at </w:t>
            </w:r>
            <w:r w:rsidRPr="005970A0">
              <w:rPr>
                <w:rFonts w:cs="Arial"/>
                <w:u w:val="single"/>
              </w:rPr>
              <w:t>http://</w:t>
            </w:r>
            <w:proofErr w:type="spellStart"/>
            <w:r w:rsidRPr="005970A0">
              <w:rPr>
                <w:rFonts w:cs="Arial"/>
                <w:u w:val="single"/>
              </w:rPr>
              <w:t>www.ncver.edu.au</w:t>
            </w:r>
            <w:proofErr w:type="spellEnd"/>
            <w:r w:rsidRPr="005970A0">
              <w:rPr>
                <w:rFonts w:cs="Arial"/>
                <w:u w:val="single"/>
              </w:rPr>
              <w:t>/statistic/</w:t>
            </w:r>
            <w:proofErr w:type="spellStart"/>
            <w:r w:rsidRPr="005970A0">
              <w:rPr>
                <w:rFonts w:cs="Arial"/>
                <w:u w:val="single"/>
              </w:rPr>
              <w:t>21075.html</w:t>
            </w:r>
            <w:proofErr w:type="spellEnd"/>
          </w:p>
          <w:p w:rsidR="007E6C3A" w:rsidRPr="005970A0" w:rsidRDefault="007E6C3A" w:rsidP="007E6C3A">
            <w:pPr>
              <w:pStyle w:val="TableBodyText"/>
              <w:keepNext w:val="0"/>
              <w:keepLines w:val="0"/>
              <w:spacing w:after="120" w:line="240" w:lineRule="auto"/>
              <w:ind w:left="0" w:right="0"/>
              <w:jc w:val="both"/>
            </w:pPr>
            <w:proofErr w:type="spellStart"/>
            <w:r w:rsidRPr="005970A0">
              <w:rPr>
                <w:u w:val="single"/>
              </w:rPr>
              <w:t>ERP</w:t>
            </w:r>
            <w:proofErr w:type="spellEnd"/>
            <w:r w:rsidRPr="005970A0">
              <w:rPr>
                <w:u w:val="single"/>
              </w:rPr>
              <w:t xml:space="preserve"> and Indigenous population estimates</w:t>
            </w:r>
            <w:r w:rsidRPr="005970A0">
              <w:t>:</w:t>
            </w:r>
          </w:p>
          <w:p w:rsidR="007056F1" w:rsidRPr="005970A0" w:rsidRDefault="007E6C3A" w:rsidP="00C423F3">
            <w:pPr>
              <w:pStyle w:val="TableBodyText"/>
              <w:keepNext w:val="0"/>
              <w:keepLines w:val="0"/>
              <w:spacing w:after="80" w:line="240" w:lineRule="auto"/>
              <w:ind w:left="0" w:right="0"/>
              <w:jc w:val="both"/>
            </w:pPr>
            <w:proofErr w:type="spellStart"/>
            <w:r w:rsidRPr="005970A0">
              <w:t>ERP</w:t>
            </w:r>
            <w:proofErr w:type="spellEnd"/>
            <w:r w:rsidRPr="005970A0">
              <w:t xml:space="preserve"> and Indigenous population estimates are available in a variety of formats on the ABS website under the 3101.0, 3201.0 and 3238.0 product families and include time series spread sheets on population change, components of change. I</w:t>
            </w:r>
            <w:r w:rsidRPr="005970A0">
              <w:rPr>
                <w:rFonts w:cs="Arial"/>
              </w:rPr>
              <w:t xml:space="preserve">f the information is not available as a standard product, then ABS Consultancy Services can help with customised services. The National Information and Referral Service at the ABS can be contacted with inquiries about specific data requirements on 1300 135 070 or email </w:t>
            </w:r>
            <w:proofErr w:type="spellStart"/>
            <w:r w:rsidRPr="005970A0">
              <w:rPr>
                <w:rFonts w:cs="Arial"/>
              </w:rPr>
              <w:t>client.services@abs.gov.au</w:t>
            </w:r>
            <w:proofErr w:type="spellEnd"/>
          </w:p>
        </w:tc>
      </w:tr>
      <w:tr w:rsidR="005970A0" w:rsidRPr="005970A0" w:rsidTr="00C423F3">
        <w:tc>
          <w:tcPr>
            <w:tcW w:w="887" w:type="pct"/>
          </w:tcPr>
          <w:p w:rsidR="007056F1" w:rsidRPr="005970A0" w:rsidRDefault="007056F1" w:rsidP="007056F1">
            <w:pPr>
              <w:pStyle w:val="TableBodyText"/>
              <w:jc w:val="both"/>
              <w:rPr>
                <w:b/>
              </w:rPr>
            </w:pPr>
            <w:r w:rsidRPr="005970A0">
              <w:rPr>
                <w:b/>
              </w:rPr>
              <w:t>Interpretability</w:t>
            </w:r>
          </w:p>
        </w:tc>
        <w:tc>
          <w:tcPr>
            <w:tcW w:w="4113" w:type="pct"/>
            <w:gridSpan w:val="2"/>
          </w:tcPr>
          <w:p w:rsidR="005158B1" w:rsidRPr="005970A0" w:rsidRDefault="005158B1" w:rsidP="005158B1">
            <w:pPr>
              <w:spacing w:after="120"/>
              <w:jc w:val="both"/>
              <w:rPr>
                <w:rFonts w:ascii="Arial" w:hAnsi="Arial" w:cs="Arial"/>
                <w:sz w:val="20"/>
                <w:szCs w:val="20"/>
                <w:u w:val="single"/>
              </w:rPr>
            </w:pPr>
            <w:r w:rsidRPr="005970A0">
              <w:rPr>
                <w:rFonts w:ascii="Arial" w:hAnsi="Arial" w:cs="Arial"/>
                <w:sz w:val="20"/>
                <w:szCs w:val="20"/>
                <w:u w:val="single"/>
              </w:rPr>
              <w:t>VET student data:</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 xml:space="preserve">To aid interpretation, information on the National VET Provider Collection, </w:t>
            </w:r>
            <w:proofErr w:type="spellStart"/>
            <w:r w:rsidRPr="005970A0">
              <w:rPr>
                <w:rFonts w:ascii="Arial" w:hAnsi="Arial" w:cs="Arial"/>
                <w:sz w:val="20"/>
                <w:szCs w:val="20"/>
              </w:rPr>
              <w:t>AVETMISS</w:t>
            </w:r>
            <w:proofErr w:type="spellEnd"/>
            <w:r w:rsidRPr="005970A0">
              <w:rPr>
                <w:rFonts w:ascii="Arial" w:hAnsi="Arial" w:cs="Arial"/>
                <w:sz w:val="20"/>
                <w:szCs w:val="20"/>
              </w:rPr>
              <w:t xml:space="preserve">, and Students and Courses is available on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website.</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 xml:space="preserve">Among other standards detailed in </w:t>
            </w:r>
            <w:proofErr w:type="spellStart"/>
            <w:r w:rsidRPr="005970A0">
              <w:rPr>
                <w:rFonts w:ascii="Arial" w:hAnsi="Arial" w:cs="Arial"/>
                <w:sz w:val="20"/>
                <w:szCs w:val="20"/>
              </w:rPr>
              <w:t>AVETMISS</w:t>
            </w:r>
            <w:proofErr w:type="spellEnd"/>
            <w:r w:rsidRPr="005970A0">
              <w:rPr>
                <w:rFonts w:ascii="Arial" w:hAnsi="Arial" w:cs="Arial"/>
                <w:sz w:val="20"/>
                <w:szCs w:val="20"/>
              </w:rPr>
              <w:t>, the collection uses the:</w:t>
            </w:r>
          </w:p>
          <w:p w:rsidR="007056F1" w:rsidRPr="005970A0" w:rsidRDefault="007056F1" w:rsidP="007056F1">
            <w:pPr>
              <w:numPr>
                <w:ilvl w:val="0"/>
                <w:numId w:val="25"/>
              </w:numPr>
              <w:tabs>
                <w:tab w:val="clear" w:pos="720"/>
                <w:tab w:val="num" w:pos="179"/>
              </w:tabs>
              <w:autoSpaceDE w:val="0"/>
              <w:autoSpaceDN w:val="0"/>
              <w:adjustRightInd w:val="0"/>
              <w:spacing w:after="40" w:line="240" w:lineRule="atLeast"/>
              <w:ind w:left="179" w:hanging="177"/>
              <w:jc w:val="both"/>
              <w:rPr>
                <w:rFonts w:ascii="Arial" w:hAnsi="Arial" w:cs="Arial"/>
                <w:sz w:val="20"/>
                <w:szCs w:val="20"/>
              </w:rPr>
            </w:pPr>
            <w:r w:rsidRPr="005970A0">
              <w:rPr>
                <w:rFonts w:ascii="Arial" w:hAnsi="Arial" w:cs="Arial"/>
                <w:bCs/>
                <w:sz w:val="20"/>
                <w:szCs w:val="20"/>
                <w:u w:val="single"/>
              </w:rPr>
              <w:t>Australian Classification of Education (</w:t>
            </w:r>
            <w:proofErr w:type="spellStart"/>
            <w:r w:rsidRPr="005970A0">
              <w:rPr>
                <w:rFonts w:ascii="Arial" w:hAnsi="Arial" w:cs="Arial"/>
                <w:bCs/>
                <w:sz w:val="20"/>
                <w:szCs w:val="20"/>
                <w:u w:val="single"/>
              </w:rPr>
              <w:t>ASCED</w:t>
            </w:r>
            <w:proofErr w:type="spellEnd"/>
            <w:r w:rsidRPr="005970A0">
              <w:rPr>
                <w:rFonts w:ascii="Arial" w:hAnsi="Arial" w:cs="Arial"/>
                <w:bCs/>
                <w:sz w:val="20"/>
                <w:szCs w:val="20"/>
                <w:u w:val="single"/>
              </w:rPr>
              <w:t>) (ABS cat. no. 1272.0)</w:t>
            </w:r>
            <w:r w:rsidRPr="005970A0">
              <w:rPr>
                <w:rFonts w:ascii="Arial" w:hAnsi="Arial" w:cs="Arial"/>
                <w:sz w:val="20"/>
                <w:szCs w:val="20"/>
              </w:rPr>
              <w:t xml:space="preserve"> to classify the level and field of education</w:t>
            </w:r>
          </w:p>
          <w:p w:rsidR="007056F1" w:rsidRPr="005970A0" w:rsidRDefault="007056F1" w:rsidP="007056F1">
            <w:pPr>
              <w:numPr>
                <w:ilvl w:val="0"/>
                <w:numId w:val="25"/>
              </w:numPr>
              <w:tabs>
                <w:tab w:val="clear" w:pos="720"/>
                <w:tab w:val="num" w:pos="179"/>
              </w:tabs>
              <w:autoSpaceDE w:val="0"/>
              <w:autoSpaceDN w:val="0"/>
              <w:adjustRightInd w:val="0"/>
              <w:spacing w:after="40" w:line="240" w:lineRule="atLeast"/>
              <w:ind w:left="179" w:hanging="177"/>
              <w:jc w:val="both"/>
              <w:rPr>
                <w:rFonts w:ascii="Arial" w:hAnsi="Arial" w:cs="Arial"/>
                <w:sz w:val="20"/>
                <w:szCs w:val="20"/>
              </w:rPr>
            </w:pPr>
            <w:r w:rsidRPr="00D86CD7">
              <w:rPr>
                <w:rFonts w:ascii="Arial" w:hAnsi="Arial" w:cs="Arial"/>
                <w:sz w:val="20"/>
                <w:szCs w:val="20"/>
              </w:rPr>
              <w:t>Australian and New Zealand Standard Classification of Occupations (</w:t>
            </w:r>
            <w:proofErr w:type="spellStart"/>
            <w:r w:rsidRPr="00D86CD7">
              <w:rPr>
                <w:rFonts w:ascii="Arial" w:hAnsi="Arial" w:cs="Arial"/>
                <w:sz w:val="20"/>
                <w:szCs w:val="20"/>
              </w:rPr>
              <w:t>ANZSCO</w:t>
            </w:r>
            <w:proofErr w:type="spellEnd"/>
            <w:r w:rsidRPr="00D86CD7">
              <w:rPr>
                <w:rFonts w:ascii="Arial" w:hAnsi="Arial" w:cs="Arial"/>
                <w:sz w:val="20"/>
                <w:szCs w:val="20"/>
              </w:rPr>
              <w:t xml:space="preserve">, previously </w:t>
            </w:r>
            <w:proofErr w:type="spellStart"/>
            <w:r w:rsidRPr="00D86CD7">
              <w:rPr>
                <w:rFonts w:ascii="Arial" w:hAnsi="Arial" w:cs="Arial"/>
                <w:sz w:val="20"/>
                <w:szCs w:val="20"/>
              </w:rPr>
              <w:t>ASCO</w:t>
            </w:r>
            <w:proofErr w:type="spellEnd"/>
            <w:r w:rsidRPr="00D86CD7">
              <w:rPr>
                <w:rFonts w:ascii="Arial" w:hAnsi="Arial" w:cs="Arial"/>
                <w:sz w:val="20"/>
                <w:szCs w:val="20"/>
              </w:rPr>
              <w:t>) (ABS cat. no. 1220.0)</w:t>
            </w:r>
            <w:r w:rsidRPr="005970A0">
              <w:rPr>
                <w:rFonts w:ascii="Arial" w:hAnsi="Arial" w:cs="Arial"/>
                <w:sz w:val="20"/>
                <w:szCs w:val="20"/>
              </w:rPr>
              <w:t xml:space="preserve"> to classify occupation</w:t>
            </w:r>
          </w:p>
          <w:p w:rsidR="007056F1" w:rsidRPr="005970A0" w:rsidRDefault="007056F1" w:rsidP="007056F1">
            <w:pPr>
              <w:pStyle w:val="TableBullet"/>
              <w:numPr>
                <w:ilvl w:val="0"/>
                <w:numId w:val="25"/>
              </w:numPr>
              <w:tabs>
                <w:tab w:val="clear" w:pos="720"/>
                <w:tab w:val="num" w:pos="179"/>
              </w:tabs>
              <w:spacing w:after="120"/>
              <w:ind w:left="179" w:hanging="177"/>
              <w:jc w:val="both"/>
            </w:pPr>
            <w:r w:rsidRPr="005970A0">
              <w:rPr>
                <w:rFonts w:cs="Arial"/>
                <w:u w:val="single"/>
              </w:rPr>
              <w:t>Access/Remoteness Index of Australia (ARIA+)</w:t>
            </w:r>
            <w:r w:rsidRPr="005970A0">
              <w:rPr>
                <w:rFonts w:cs="Arial"/>
              </w:rPr>
              <w:t xml:space="preserve"> to classify remoteness. It was developed by the National Centre for Applications of Geographic Information </w:t>
            </w:r>
            <w:r w:rsidRPr="005970A0">
              <w:rPr>
                <w:rFonts w:cs="Arial"/>
              </w:rPr>
              <w:lastRenderedPageBreak/>
              <w:t xml:space="preserve">Systems </w:t>
            </w:r>
            <w:r w:rsidRPr="005970A0">
              <w:rPr>
                <w:rFonts w:cs="Arial"/>
                <w:u w:val="single"/>
              </w:rPr>
              <w:t>(</w:t>
            </w:r>
            <w:proofErr w:type="spellStart"/>
            <w:r w:rsidRPr="005970A0">
              <w:rPr>
                <w:rFonts w:cs="Arial"/>
                <w:u w:val="single"/>
              </w:rPr>
              <w:t>GISCA</w:t>
            </w:r>
            <w:proofErr w:type="spellEnd"/>
            <w:r w:rsidRPr="005970A0">
              <w:rPr>
                <w:rFonts w:cs="Arial"/>
                <w:u w:val="single"/>
              </w:rPr>
              <w:t>)</w:t>
            </w:r>
            <w:r w:rsidRPr="005970A0">
              <w:rPr>
                <w:rFonts w:cs="Arial"/>
              </w:rPr>
              <w:t xml:space="preserve"> and is the standard ABS endorsed measure of remoteness.</w:t>
            </w:r>
          </w:p>
          <w:p w:rsidR="001C7F97" w:rsidRPr="004A75E6" w:rsidRDefault="004A75E6" w:rsidP="00EC5E2C">
            <w:pPr>
              <w:spacing w:after="120"/>
              <w:jc w:val="both"/>
              <w:rPr>
                <w:rFonts w:ascii="Arial" w:hAnsi="Arial" w:cs="Arial"/>
                <w:sz w:val="20"/>
                <w:szCs w:val="20"/>
              </w:rPr>
            </w:pPr>
            <w:r w:rsidRPr="004A75E6">
              <w:rPr>
                <w:rFonts w:ascii="Arial" w:hAnsi="Arial" w:cs="Arial"/>
                <w:sz w:val="20"/>
                <w:szCs w:val="20"/>
              </w:rPr>
              <w:t>Student remoteness is based on the Access/Remoteness Index of Australia (ARIA+), which was developed by the National Centre for Social Applications of Geographic Information Systems (</w:t>
            </w:r>
            <w:proofErr w:type="spellStart"/>
            <w:r w:rsidRPr="004A75E6">
              <w:rPr>
                <w:rFonts w:ascii="Arial" w:hAnsi="Arial" w:cs="Arial"/>
                <w:sz w:val="20"/>
                <w:szCs w:val="20"/>
              </w:rPr>
              <w:t>GISCA</w:t>
            </w:r>
            <w:proofErr w:type="spellEnd"/>
            <w:r w:rsidRPr="004A75E6">
              <w:rPr>
                <w:rFonts w:ascii="Arial" w:hAnsi="Arial" w:cs="Arial"/>
                <w:sz w:val="20"/>
                <w:szCs w:val="20"/>
              </w:rPr>
              <w:t xml:space="preserve">). ARIA+ is now the standard ABS-endorsed measure of remoteness. From 2011, Student remoteness (ARIA+) is determined from ARIA+ remoteness regions and ABS </w:t>
            </w:r>
            <w:proofErr w:type="spellStart"/>
            <w:r w:rsidRPr="004A75E6">
              <w:rPr>
                <w:rFonts w:ascii="Arial" w:hAnsi="Arial" w:cs="Arial"/>
                <w:sz w:val="20"/>
                <w:szCs w:val="20"/>
              </w:rPr>
              <w:t>SA2</w:t>
            </w:r>
            <w:proofErr w:type="spellEnd"/>
            <w:r w:rsidRPr="004A75E6">
              <w:rPr>
                <w:rFonts w:ascii="Arial" w:hAnsi="Arial" w:cs="Arial"/>
                <w:sz w:val="20"/>
                <w:szCs w:val="20"/>
              </w:rPr>
              <w:t xml:space="preserve"> regions. Data prior to 2011 is based on ABS postal areas and ARIA+. Student remoteness (ARIA+) regions use the same ARIA+ ranges as the ABS remoteness areas and are therefore an approximation of the ABS remoteness areas. For more details of ARIA+ refer to &lt;</w:t>
            </w:r>
            <w:r w:rsidRPr="00D86CD7">
              <w:rPr>
                <w:rFonts w:ascii="Arial" w:hAnsi="Arial" w:cs="Arial"/>
                <w:sz w:val="20"/>
                <w:szCs w:val="20"/>
              </w:rPr>
              <w:t>www.adelaide.edu.au/apmrc/research/projects/category/about_aria.html</w:t>
            </w:r>
            <w:r w:rsidRPr="004A75E6">
              <w:rPr>
                <w:rFonts w:ascii="Arial" w:hAnsi="Arial" w:cs="Arial"/>
                <w:sz w:val="20"/>
                <w:szCs w:val="20"/>
              </w:rPr>
              <w:t>&gt;</w:t>
            </w:r>
          </w:p>
          <w:p w:rsidR="007056F1" w:rsidRPr="005970A0" w:rsidRDefault="007E6C3A" w:rsidP="007E6C3A">
            <w:pPr>
              <w:spacing w:after="120"/>
              <w:jc w:val="both"/>
              <w:rPr>
                <w:rFonts w:ascii="Arial" w:hAnsi="Arial" w:cs="Arial"/>
                <w:sz w:val="20"/>
                <w:szCs w:val="20"/>
              </w:rPr>
            </w:pPr>
            <w:proofErr w:type="spellStart"/>
            <w:r w:rsidRPr="005970A0">
              <w:rPr>
                <w:rFonts w:ascii="Arial" w:hAnsi="Arial" w:cs="Arial"/>
                <w:sz w:val="20"/>
                <w:szCs w:val="20"/>
                <w:u w:val="single"/>
              </w:rPr>
              <w:t>ERP</w:t>
            </w:r>
            <w:proofErr w:type="spellEnd"/>
            <w:r w:rsidRPr="005970A0">
              <w:rPr>
                <w:rFonts w:ascii="Arial" w:hAnsi="Arial" w:cs="Arial"/>
                <w:sz w:val="20"/>
                <w:szCs w:val="20"/>
                <w:u w:val="single"/>
              </w:rPr>
              <w:t xml:space="preserve"> and Indigenous population estimates</w:t>
            </w:r>
            <w:r w:rsidRPr="005970A0">
              <w:rPr>
                <w:rFonts w:ascii="Arial" w:hAnsi="Arial" w:cs="Arial"/>
                <w:sz w:val="20"/>
                <w:szCs w:val="20"/>
              </w:rPr>
              <w:t>:</w:t>
            </w:r>
          </w:p>
          <w:p w:rsidR="007E6C3A" w:rsidRPr="005970A0" w:rsidRDefault="007E6C3A" w:rsidP="00C423F3">
            <w:pPr>
              <w:spacing w:after="80"/>
              <w:jc w:val="both"/>
              <w:rPr>
                <w:rFonts w:ascii="Arial" w:hAnsi="Arial" w:cs="Arial"/>
                <w:sz w:val="20"/>
                <w:szCs w:val="20"/>
              </w:rPr>
            </w:pPr>
            <w:proofErr w:type="spellStart"/>
            <w:r w:rsidRPr="005970A0">
              <w:rPr>
                <w:rFonts w:ascii="Arial" w:hAnsi="Arial" w:cs="Arial"/>
                <w:sz w:val="20"/>
                <w:szCs w:val="20"/>
              </w:rPr>
              <w:t>ERP</w:t>
            </w:r>
            <w:proofErr w:type="spellEnd"/>
            <w:r w:rsidRPr="005970A0">
              <w:rPr>
                <w:rFonts w:ascii="Arial" w:hAnsi="Arial" w:cs="Arial"/>
                <w:sz w:val="20"/>
                <w:szCs w:val="20"/>
              </w:rPr>
              <w:t xml:space="preserve"> is generally easy to interpret as the official measure of Australia's population (by state and territory) on a place of usual residence basis. However, there are still some common misconceptions. For example, a population estimate uses the term 'estimate' in a different sense than is commonly used. Generally the word estimate is used to describe a guess, or approximation. Demographers mean that they apply the demographic balancing equation by adding births, subtracting deaths and adding the net of overseas and interstate migration. Each of the components of </w:t>
            </w:r>
            <w:proofErr w:type="spellStart"/>
            <w:r w:rsidRPr="005970A0">
              <w:rPr>
                <w:rFonts w:ascii="Arial" w:hAnsi="Arial" w:cs="Arial"/>
                <w:sz w:val="20"/>
                <w:szCs w:val="20"/>
              </w:rPr>
              <w:t>ERP</w:t>
            </w:r>
            <w:proofErr w:type="spellEnd"/>
            <w:r w:rsidRPr="005970A0">
              <w:rPr>
                <w:rFonts w:ascii="Arial" w:hAnsi="Arial" w:cs="Arial"/>
                <w:sz w:val="20"/>
                <w:szCs w:val="20"/>
              </w:rPr>
              <w:t xml:space="preserve"> is subject to error, but </w:t>
            </w:r>
            <w:proofErr w:type="spellStart"/>
            <w:r w:rsidRPr="005970A0">
              <w:rPr>
                <w:rFonts w:ascii="Arial" w:hAnsi="Arial" w:cs="Arial"/>
                <w:sz w:val="20"/>
                <w:szCs w:val="20"/>
              </w:rPr>
              <w:t>ERP</w:t>
            </w:r>
            <w:proofErr w:type="spellEnd"/>
            <w:r w:rsidRPr="005970A0">
              <w:rPr>
                <w:rFonts w:ascii="Arial" w:hAnsi="Arial" w:cs="Arial"/>
                <w:sz w:val="20"/>
                <w:szCs w:val="20"/>
              </w:rPr>
              <w:t xml:space="preserve"> itself is not in any way a guess. It is what the population would be if the components are measured well.</w:t>
            </w:r>
          </w:p>
          <w:p w:rsidR="007056F1" w:rsidRPr="005970A0" w:rsidRDefault="007E6C3A" w:rsidP="00C423F3">
            <w:pPr>
              <w:spacing w:after="80"/>
              <w:jc w:val="both"/>
              <w:rPr>
                <w:rFonts w:ascii="Arial" w:hAnsi="Arial" w:cs="Arial"/>
                <w:sz w:val="20"/>
                <w:szCs w:val="20"/>
              </w:rPr>
            </w:pPr>
            <w:r w:rsidRPr="005970A0">
              <w:rPr>
                <w:rFonts w:ascii="Arial" w:hAnsi="Arial" w:cs="Arial"/>
                <w:sz w:val="20"/>
                <w:szCs w:val="20"/>
              </w:rPr>
              <w:t>Th</w:t>
            </w:r>
            <w:r w:rsidR="004E6A74" w:rsidRPr="005970A0">
              <w:rPr>
                <w:rFonts w:ascii="Arial" w:hAnsi="Arial" w:cs="Arial"/>
                <w:sz w:val="20"/>
                <w:szCs w:val="20"/>
              </w:rPr>
              <w:t xml:space="preserve">e source </w:t>
            </w:r>
            <w:r w:rsidRPr="005970A0">
              <w:rPr>
                <w:rFonts w:ascii="Arial" w:hAnsi="Arial" w:cs="Arial"/>
                <w:sz w:val="20"/>
                <w:szCs w:val="20"/>
              </w:rPr>
              <w:t>publication</w:t>
            </w:r>
            <w:r w:rsidR="004E6A74" w:rsidRPr="005970A0">
              <w:rPr>
                <w:rFonts w:ascii="Arial" w:hAnsi="Arial" w:cs="Arial"/>
                <w:sz w:val="20"/>
                <w:szCs w:val="20"/>
              </w:rPr>
              <w:t>s</w:t>
            </w:r>
            <w:r w:rsidRPr="005970A0">
              <w:rPr>
                <w:rFonts w:ascii="Arial" w:hAnsi="Arial" w:cs="Arial"/>
                <w:sz w:val="20"/>
                <w:szCs w:val="20"/>
              </w:rPr>
              <w:t xml:space="preserve"> contain notes on the assumptions and methods used to produce the population estimates. It also contains Explanatory Notes and Glossary that provide information on the data sources, terminology, classifications and other technical aspects associated with these statistics.</w:t>
            </w:r>
          </w:p>
        </w:tc>
      </w:tr>
      <w:tr w:rsidR="005970A0" w:rsidRPr="005970A0" w:rsidTr="00C423F3">
        <w:tc>
          <w:tcPr>
            <w:tcW w:w="5000" w:type="pct"/>
            <w:gridSpan w:val="3"/>
            <w:shd w:val="clear" w:color="auto" w:fill="auto"/>
          </w:tcPr>
          <w:p w:rsidR="007056F1" w:rsidRPr="005970A0" w:rsidRDefault="007056F1" w:rsidP="007056F1">
            <w:pPr>
              <w:pStyle w:val="TableBodyText"/>
              <w:jc w:val="both"/>
              <w:rPr>
                <w:b/>
                <w:u w:val="single"/>
              </w:rPr>
            </w:pPr>
          </w:p>
          <w:p w:rsidR="007056F1" w:rsidRPr="005970A0" w:rsidRDefault="007056F1" w:rsidP="007056F1">
            <w:pPr>
              <w:pStyle w:val="TableBodyText"/>
              <w:jc w:val="both"/>
              <w:rPr>
                <w:b/>
                <w:u w:val="single"/>
              </w:rPr>
            </w:pPr>
            <w:r w:rsidRPr="005970A0">
              <w:rPr>
                <w:b/>
                <w:u w:val="single"/>
              </w:rPr>
              <w:t>Data Gaps/Issues Analysis</w:t>
            </w:r>
          </w:p>
        </w:tc>
      </w:tr>
      <w:tr w:rsidR="007056F1" w:rsidRPr="005970A0" w:rsidTr="00C423F3">
        <w:tc>
          <w:tcPr>
            <w:tcW w:w="922" w:type="pct"/>
            <w:gridSpan w:val="2"/>
            <w:shd w:val="clear" w:color="auto" w:fill="auto"/>
          </w:tcPr>
          <w:p w:rsidR="007056F1" w:rsidRPr="005970A0" w:rsidRDefault="007056F1" w:rsidP="007056F1">
            <w:pPr>
              <w:pStyle w:val="TableBodyText"/>
              <w:jc w:val="both"/>
              <w:rPr>
                <w:b/>
              </w:rPr>
            </w:pPr>
            <w:r w:rsidRPr="005970A0">
              <w:rPr>
                <w:b/>
              </w:rPr>
              <w:t>Key data gaps/ issues</w:t>
            </w:r>
          </w:p>
        </w:tc>
        <w:tc>
          <w:tcPr>
            <w:tcW w:w="4078" w:type="pct"/>
            <w:shd w:val="clear" w:color="auto" w:fill="auto"/>
          </w:tcPr>
          <w:p w:rsidR="007056F1" w:rsidRPr="005970A0" w:rsidRDefault="007056F1" w:rsidP="007056F1">
            <w:pPr>
              <w:pStyle w:val="TableBodyText"/>
              <w:keepNext w:val="0"/>
              <w:keepLines w:val="0"/>
              <w:spacing w:after="120" w:line="240" w:lineRule="auto"/>
              <w:ind w:left="0" w:right="0"/>
              <w:jc w:val="both"/>
            </w:pPr>
            <w:r w:rsidRPr="005970A0">
              <w:t xml:space="preserve">The Steering Committee notes the following key data gaps/issues: </w:t>
            </w:r>
          </w:p>
          <w:p w:rsidR="007056F1" w:rsidRPr="005970A0" w:rsidRDefault="007056F1" w:rsidP="007056F1">
            <w:pPr>
              <w:pStyle w:val="TableBullet"/>
              <w:tabs>
                <w:tab w:val="clear" w:pos="170"/>
                <w:tab w:val="num" w:pos="179"/>
              </w:tabs>
              <w:spacing w:after="120"/>
              <w:ind w:left="179" w:hanging="179"/>
              <w:jc w:val="both"/>
            </w:pPr>
            <w:r w:rsidRPr="005970A0">
              <w:t xml:space="preserve">Care needs to be taken in interpreting the participation rates presented for people with disability, people speaking a </w:t>
            </w:r>
            <w:proofErr w:type="spellStart"/>
            <w:r w:rsidRPr="005970A0">
              <w:t>LOTE</w:t>
            </w:r>
            <w:proofErr w:type="spellEnd"/>
            <w:r w:rsidRPr="005970A0">
              <w:t xml:space="preserve"> at home, and Indigenous people, because the data depend on self-identification at the time of enrolment and the number of non-responses (that is, students who did not indicate whether or not they belong to these groups) varies across jurisdictions.</w:t>
            </w:r>
          </w:p>
          <w:p w:rsidR="007056F1" w:rsidRPr="005970A0" w:rsidRDefault="007056F1" w:rsidP="007056F1">
            <w:pPr>
              <w:pStyle w:val="TableBullet"/>
              <w:spacing w:after="120"/>
              <w:ind w:left="179" w:hanging="179"/>
              <w:jc w:val="both"/>
            </w:pPr>
            <w:r w:rsidRPr="005970A0">
              <w:t>A VET student may be enrolled in more than one VET training program, and therefore there are more ‘course enrolments’ in the VET system than ‘students’. This distinction between student numbers and the number of course enrolments may be of importance if comparing VET data in this chapter with other VET data.</w:t>
            </w:r>
          </w:p>
        </w:tc>
      </w:tr>
    </w:tbl>
    <w:p w:rsidR="007056F1" w:rsidRPr="005970A0" w:rsidRDefault="007056F1" w:rsidP="00C423F3">
      <w:pPr>
        <w:pStyle w:val="Box"/>
        <w:spacing w:before="0"/>
      </w:pPr>
    </w:p>
    <w:p w:rsidR="007056F1" w:rsidRPr="005970A0" w:rsidRDefault="007056F1" w:rsidP="007056F1">
      <w:pPr>
        <w:pStyle w:val="BodyText"/>
        <w:rPr>
          <w:rFonts w:ascii="Arial" w:hAnsi="Arial"/>
        </w:rPr>
      </w:pPr>
      <w:r w:rsidRPr="005970A0">
        <w:br w:type="page"/>
      </w:r>
    </w:p>
    <w:p w:rsidR="007056F1" w:rsidRPr="005970A0" w:rsidRDefault="007056F1" w:rsidP="00D21520">
      <w:pPr>
        <w:pStyle w:val="Heading3"/>
        <w:spacing w:before="120"/>
      </w:pPr>
      <w:bookmarkStart w:id="18" w:name="_Toc325398235"/>
      <w:bookmarkStart w:id="19" w:name="_Toc370472616"/>
      <w:r w:rsidRPr="005970A0">
        <w:lastRenderedPageBreak/>
        <w:t>Student participation in VET</w:t>
      </w:r>
      <w:bookmarkEnd w:id="18"/>
      <w:bookmarkEnd w:id="19"/>
    </w:p>
    <w:p w:rsidR="007056F1" w:rsidRPr="005970A0" w:rsidRDefault="007056F1" w:rsidP="007056F1">
      <w:pPr>
        <w:pStyle w:val="Box"/>
      </w:pPr>
      <w:r w:rsidRPr="005970A0">
        <w:t>Data quality information for this indicator has been drafted by the National Centre for Vocational Education Research (</w:t>
      </w:r>
      <w:proofErr w:type="spellStart"/>
      <w:r w:rsidRPr="005970A0">
        <w:t>NCVER</w:t>
      </w:r>
      <w:proofErr w:type="spellEnd"/>
      <w:r w:rsidRPr="005970A0">
        <w:t>) and the Secretariat, in consultation with the VET Working Group.</w:t>
      </w:r>
    </w:p>
    <w:tbl>
      <w:tblPr>
        <w:tblW w:w="5000" w:type="pct"/>
        <w:tblLayout w:type="fixed"/>
        <w:tblCellMar>
          <w:left w:w="0" w:type="dxa"/>
          <w:right w:w="0" w:type="dxa"/>
        </w:tblCellMar>
        <w:tblLook w:val="0000" w:firstRow="0" w:lastRow="0" w:firstColumn="0" w:lastColumn="0" w:noHBand="0" w:noVBand="0"/>
      </w:tblPr>
      <w:tblGrid>
        <w:gridCol w:w="1559"/>
        <w:gridCol w:w="7230"/>
      </w:tblGrid>
      <w:tr w:rsidR="005970A0" w:rsidRPr="005970A0" w:rsidTr="00530DD3">
        <w:tc>
          <w:tcPr>
            <w:tcW w:w="5000" w:type="pct"/>
            <w:gridSpan w:val="2"/>
          </w:tcPr>
          <w:p w:rsidR="007056F1" w:rsidRPr="005970A0" w:rsidRDefault="007056F1" w:rsidP="007056F1">
            <w:pPr>
              <w:pStyle w:val="TableBodyText"/>
              <w:jc w:val="both"/>
              <w:rPr>
                <w:b/>
                <w:u w:val="single"/>
              </w:rPr>
            </w:pPr>
          </w:p>
          <w:p w:rsidR="007056F1" w:rsidRPr="005970A0" w:rsidRDefault="007056F1" w:rsidP="007056F1">
            <w:pPr>
              <w:pStyle w:val="TableBodyText"/>
              <w:jc w:val="both"/>
            </w:pPr>
            <w:r w:rsidRPr="005970A0">
              <w:rPr>
                <w:b/>
                <w:u w:val="single"/>
              </w:rPr>
              <w:t>Indicator definition and description</w:t>
            </w:r>
            <w:r w:rsidRPr="005970A0">
              <w:rPr>
                <w:rFonts w:cs="Arial"/>
                <w:b/>
                <w:sz w:val="22"/>
                <w:szCs w:val="22"/>
                <w:u w:val="single"/>
              </w:rPr>
              <w:t xml:space="preserve"> </w:t>
            </w:r>
          </w:p>
        </w:tc>
      </w:tr>
      <w:tr w:rsidR="005970A0" w:rsidRPr="005970A0" w:rsidTr="00530DD3">
        <w:tc>
          <w:tcPr>
            <w:tcW w:w="887" w:type="pct"/>
          </w:tcPr>
          <w:p w:rsidR="007056F1" w:rsidRPr="005970A0" w:rsidRDefault="007056F1" w:rsidP="007056F1">
            <w:pPr>
              <w:pStyle w:val="TableBodyText"/>
              <w:jc w:val="both"/>
              <w:rPr>
                <w:b/>
              </w:rPr>
            </w:pPr>
            <w:r w:rsidRPr="005970A0">
              <w:rPr>
                <w:b/>
              </w:rPr>
              <w:t>Element</w:t>
            </w:r>
          </w:p>
        </w:tc>
        <w:tc>
          <w:tcPr>
            <w:tcW w:w="4113" w:type="pct"/>
          </w:tcPr>
          <w:p w:rsidR="007056F1" w:rsidRPr="005970A0" w:rsidRDefault="007056F1" w:rsidP="007D21A0">
            <w:pPr>
              <w:pStyle w:val="TableBodyText"/>
              <w:keepNext w:val="0"/>
              <w:keepLines w:val="0"/>
              <w:spacing w:after="80" w:line="240" w:lineRule="auto"/>
              <w:ind w:left="0" w:right="0"/>
              <w:jc w:val="both"/>
            </w:pPr>
            <w:r w:rsidRPr="005970A0">
              <w:t>Output/effectiveness.</w:t>
            </w:r>
          </w:p>
        </w:tc>
      </w:tr>
      <w:tr w:rsidR="005970A0" w:rsidRPr="005970A0" w:rsidTr="00530DD3">
        <w:tc>
          <w:tcPr>
            <w:tcW w:w="887" w:type="pct"/>
          </w:tcPr>
          <w:p w:rsidR="007056F1" w:rsidRPr="005970A0" w:rsidRDefault="007056F1" w:rsidP="007056F1">
            <w:pPr>
              <w:pStyle w:val="TableBodyText"/>
              <w:jc w:val="both"/>
              <w:rPr>
                <w:b/>
              </w:rPr>
            </w:pPr>
            <w:r w:rsidRPr="005970A0">
              <w:rPr>
                <w:b/>
              </w:rPr>
              <w:t>Indicator</w:t>
            </w:r>
          </w:p>
        </w:tc>
        <w:tc>
          <w:tcPr>
            <w:tcW w:w="4113" w:type="pct"/>
          </w:tcPr>
          <w:p w:rsidR="007056F1" w:rsidRPr="005970A0" w:rsidRDefault="00A239BB" w:rsidP="007D21A0">
            <w:pPr>
              <w:pStyle w:val="TableBodyText"/>
              <w:keepNext w:val="0"/>
              <w:keepLines w:val="0"/>
              <w:spacing w:after="80" w:line="240" w:lineRule="auto"/>
              <w:ind w:left="0" w:right="0"/>
              <w:jc w:val="both"/>
            </w:pPr>
            <w:r w:rsidRPr="005970A0">
              <w:t>Student participation in VET</w:t>
            </w:r>
          </w:p>
        </w:tc>
      </w:tr>
      <w:tr w:rsidR="005970A0" w:rsidRPr="005970A0" w:rsidTr="00530DD3">
        <w:tc>
          <w:tcPr>
            <w:tcW w:w="887" w:type="pct"/>
          </w:tcPr>
          <w:p w:rsidR="007056F1" w:rsidRPr="005970A0" w:rsidRDefault="007056F1" w:rsidP="007056F1">
            <w:pPr>
              <w:pStyle w:val="TableBodyText"/>
              <w:jc w:val="both"/>
              <w:rPr>
                <w:b/>
              </w:rPr>
            </w:pPr>
            <w:r w:rsidRPr="005970A0">
              <w:rPr>
                <w:b/>
              </w:rPr>
              <w:t>Measure (computation)</w:t>
            </w:r>
          </w:p>
        </w:tc>
        <w:tc>
          <w:tcPr>
            <w:tcW w:w="4113" w:type="pct"/>
          </w:tcPr>
          <w:p w:rsidR="007056F1" w:rsidRPr="005970A0" w:rsidRDefault="007056F1" w:rsidP="007056F1">
            <w:pPr>
              <w:pStyle w:val="TableBodyText"/>
              <w:jc w:val="both"/>
              <w:rPr>
                <w:u w:val="single"/>
              </w:rPr>
            </w:pPr>
            <w:r w:rsidRPr="005970A0">
              <w:rPr>
                <w:u w:val="single"/>
              </w:rPr>
              <w:t>Definition</w:t>
            </w:r>
          </w:p>
          <w:p w:rsidR="007056F1" w:rsidRPr="005970A0" w:rsidRDefault="007056F1" w:rsidP="007D21A0">
            <w:pPr>
              <w:pStyle w:val="TableBodyText"/>
              <w:keepNext w:val="0"/>
              <w:keepLines w:val="0"/>
              <w:spacing w:after="80" w:line="240" w:lineRule="auto"/>
              <w:ind w:left="0" w:right="0"/>
              <w:jc w:val="both"/>
            </w:pPr>
            <w:r w:rsidRPr="005970A0">
              <w:t>The indicator is defined by three measures:</w:t>
            </w:r>
          </w:p>
          <w:p w:rsidR="007056F1" w:rsidRPr="005970A0" w:rsidRDefault="007056F1" w:rsidP="00302802">
            <w:pPr>
              <w:numPr>
                <w:ilvl w:val="0"/>
                <w:numId w:val="24"/>
              </w:numPr>
              <w:tabs>
                <w:tab w:val="clear" w:pos="363"/>
                <w:tab w:val="num" w:pos="222"/>
              </w:tabs>
              <w:spacing w:after="40"/>
              <w:ind w:left="222" w:hanging="222"/>
              <w:jc w:val="both"/>
              <w:rPr>
                <w:rFonts w:ascii="Arial" w:hAnsi="Arial" w:cs="Arial"/>
                <w:sz w:val="20"/>
                <w:szCs w:val="20"/>
              </w:rPr>
            </w:pPr>
            <w:r w:rsidRPr="005970A0">
              <w:rPr>
                <w:rFonts w:ascii="Arial" w:hAnsi="Arial" w:cs="Arial"/>
                <w:sz w:val="20"/>
                <w:szCs w:val="20"/>
              </w:rPr>
              <w:t>the number of people aged 15–64 years participating in VET as a proportion of the population aged 15–64 years</w:t>
            </w:r>
          </w:p>
          <w:p w:rsidR="007056F1" w:rsidRPr="005970A0" w:rsidRDefault="007056F1" w:rsidP="00302802">
            <w:pPr>
              <w:numPr>
                <w:ilvl w:val="0"/>
                <w:numId w:val="24"/>
              </w:numPr>
              <w:tabs>
                <w:tab w:val="clear" w:pos="363"/>
                <w:tab w:val="num" w:pos="222"/>
              </w:tabs>
              <w:spacing w:after="40"/>
              <w:ind w:left="222" w:hanging="222"/>
              <w:jc w:val="both"/>
              <w:rPr>
                <w:rFonts w:ascii="Arial" w:hAnsi="Arial" w:cs="Arial"/>
                <w:sz w:val="20"/>
                <w:szCs w:val="20"/>
              </w:rPr>
            </w:pPr>
            <w:r w:rsidRPr="005970A0">
              <w:rPr>
                <w:rFonts w:ascii="Arial" w:hAnsi="Arial" w:cs="Arial"/>
                <w:sz w:val="20"/>
                <w:szCs w:val="20"/>
              </w:rPr>
              <w:t>the number of people aged 15–64 years participating in VET at certificate level III and above as a proportion of the population aged 15–64 years</w:t>
            </w:r>
          </w:p>
          <w:p w:rsidR="007056F1" w:rsidRPr="005970A0" w:rsidRDefault="007056F1" w:rsidP="00302802">
            <w:pPr>
              <w:numPr>
                <w:ilvl w:val="0"/>
                <w:numId w:val="24"/>
              </w:numPr>
              <w:tabs>
                <w:tab w:val="clear" w:pos="363"/>
                <w:tab w:val="num" w:pos="222"/>
              </w:tabs>
              <w:spacing w:after="40"/>
              <w:ind w:left="222" w:hanging="222"/>
              <w:jc w:val="both"/>
              <w:rPr>
                <w:rFonts w:ascii="Arial" w:hAnsi="Arial" w:cs="Arial"/>
                <w:sz w:val="20"/>
                <w:szCs w:val="20"/>
              </w:rPr>
            </w:pPr>
            <w:r w:rsidRPr="005970A0">
              <w:rPr>
                <w:rFonts w:ascii="Arial" w:hAnsi="Arial" w:cs="Arial"/>
                <w:sz w:val="20"/>
                <w:szCs w:val="20"/>
              </w:rPr>
              <w:t>the number of people aged 15–64 years participating in VET at diploma level and above as a proportion of the population aged 15–64 years.</w:t>
            </w:r>
          </w:p>
          <w:p w:rsidR="007056F1" w:rsidRPr="005970A0" w:rsidRDefault="007056F1" w:rsidP="007056F1">
            <w:pPr>
              <w:pStyle w:val="TableBodyText"/>
              <w:spacing w:before="120"/>
              <w:ind w:left="0"/>
              <w:jc w:val="both"/>
              <w:rPr>
                <w:u w:val="single"/>
              </w:rPr>
            </w:pPr>
            <w:r w:rsidRPr="005970A0">
              <w:rPr>
                <w:u w:val="single"/>
              </w:rPr>
              <w:t>Numerator/s</w:t>
            </w:r>
          </w:p>
          <w:p w:rsidR="007056F1" w:rsidRPr="005970A0" w:rsidRDefault="007056F1" w:rsidP="007056F1">
            <w:pPr>
              <w:pStyle w:val="TableBodyText"/>
              <w:keepNext w:val="0"/>
              <w:keepLines w:val="0"/>
              <w:spacing w:line="240" w:lineRule="auto"/>
              <w:ind w:left="0" w:right="0"/>
              <w:jc w:val="both"/>
              <w:rPr>
                <w:rFonts w:cs="Arial"/>
              </w:rPr>
            </w:pPr>
            <w:r w:rsidRPr="005970A0">
              <w:t>Government funded VET students who have self-identified</w:t>
            </w:r>
            <w:r w:rsidRPr="005970A0">
              <w:rPr>
                <w:rFonts w:cs="Arial"/>
              </w:rPr>
              <w:t xml:space="preserve"> on their VET enrolment form </w:t>
            </w:r>
            <w:r w:rsidRPr="005970A0">
              <w:t xml:space="preserve">that they aged </w:t>
            </w:r>
            <w:r w:rsidRPr="005970A0">
              <w:rPr>
                <w:rFonts w:cs="Arial"/>
              </w:rPr>
              <w:t>15</w:t>
            </w:r>
            <w:r w:rsidRPr="005970A0">
              <w:rPr>
                <w:rFonts w:cs="Arial"/>
              </w:rPr>
              <w:noBreakHyphen/>
              <w:t>64 years. A separate numerator applies as follows, for each of the three measures:</w:t>
            </w:r>
          </w:p>
          <w:p w:rsidR="007056F1" w:rsidRPr="005970A0" w:rsidRDefault="007056F1" w:rsidP="007D21A0">
            <w:pPr>
              <w:numPr>
                <w:ilvl w:val="0"/>
                <w:numId w:val="24"/>
              </w:numPr>
              <w:tabs>
                <w:tab w:val="clear" w:pos="363"/>
                <w:tab w:val="num" w:pos="179"/>
              </w:tabs>
              <w:ind w:left="222" w:hanging="222"/>
              <w:jc w:val="both"/>
              <w:rPr>
                <w:rFonts w:ascii="Arial" w:hAnsi="Arial" w:cs="Arial"/>
                <w:sz w:val="20"/>
                <w:szCs w:val="20"/>
              </w:rPr>
            </w:pPr>
            <w:r w:rsidRPr="005970A0">
              <w:rPr>
                <w:rFonts w:ascii="Arial" w:hAnsi="Arial" w:cs="Arial"/>
                <w:sz w:val="20"/>
                <w:szCs w:val="20"/>
              </w:rPr>
              <w:t>enrolled in VET at any qualification level</w:t>
            </w:r>
          </w:p>
          <w:p w:rsidR="007056F1" w:rsidRPr="005970A0" w:rsidRDefault="007056F1" w:rsidP="007D21A0">
            <w:pPr>
              <w:numPr>
                <w:ilvl w:val="0"/>
                <w:numId w:val="24"/>
              </w:numPr>
              <w:tabs>
                <w:tab w:val="clear" w:pos="363"/>
                <w:tab w:val="num" w:pos="179"/>
              </w:tabs>
              <w:ind w:left="222" w:hanging="222"/>
              <w:jc w:val="both"/>
              <w:rPr>
                <w:rFonts w:ascii="Arial" w:hAnsi="Arial" w:cs="Arial"/>
                <w:sz w:val="20"/>
                <w:szCs w:val="20"/>
              </w:rPr>
            </w:pPr>
            <w:r w:rsidRPr="005970A0">
              <w:rPr>
                <w:rFonts w:ascii="Arial" w:hAnsi="Arial" w:cs="Arial"/>
                <w:sz w:val="20"/>
                <w:szCs w:val="20"/>
              </w:rPr>
              <w:t>enrolled at certificate level III and above</w:t>
            </w:r>
          </w:p>
          <w:p w:rsidR="007056F1" w:rsidRPr="005970A0" w:rsidRDefault="007056F1" w:rsidP="00302802">
            <w:pPr>
              <w:numPr>
                <w:ilvl w:val="0"/>
                <w:numId w:val="24"/>
              </w:numPr>
              <w:tabs>
                <w:tab w:val="clear" w:pos="363"/>
                <w:tab w:val="num" w:pos="179"/>
              </w:tabs>
              <w:spacing w:after="40"/>
              <w:ind w:left="222" w:hanging="222"/>
              <w:jc w:val="both"/>
              <w:rPr>
                <w:rFonts w:ascii="Arial" w:hAnsi="Arial" w:cs="Arial"/>
                <w:sz w:val="20"/>
                <w:szCs w:val="20"/>
              </w:rPr>
            </w:pPr>
            <w:r w:rsidRPr="005970A0">
              <w:rPr>
                <w:rFonts w:ascii="Arial" w:hAnsi="Arial" w:cs="Arial"/>
                <w:sz w:val="20"/>
                <w:szCs w:val="20"/>
              </w:rPr>
              <w:t>enrolled at diploma level and above.</w:t>
            </w:r>
          </w:p>
          <w:p w:rsidR="007056F1" w:rsidRPr="005970A0" w:rsidRDefault="007056F1" w:rsidP="007056F1">
            <w:pPr>
              <w:pStyle w:val="TableBodyText"/>
              <w:spacing w:before="120"/>
              <w:ind w:left="0"/>
              <w:jc w:val="both"/>
              <w:rPr>
                <w:u w:val="single"/>
              </w:rPr>
            </w:pPr>
            <w:r w:rsidRPr="005970A0">
              <w:rPr>
                <w:u w:val="single"/>
              </w:rPr>
              <w:t>Denominator/s</w:t>
            </w:r>
          </w:p>
          <w:p w:rsidR="007056F1" w:rsidRPr="005970A0" w:rsidRDefault="007056F1" w:rsidP="007056F1">
            <w:pPr>
              <w:pStyle w:val="TableBodyText"/>
              <w:keepNext w:val="0"/>
              <w:keepLines w:val="0"/>
              <w:spacing w:line="240" w:lineRule="auto"/>
              <w:ind w:left="0" w:right="0"/>
              <w:jc w:val="both"/>
            </w:pPr>
            <w:r w:rsidRPr="005970A0">
              <w:t xml:space="preserve">The number of persons in the Australian population aged </w:t>
            </w:r>
            <w:r w:rsidRPr="005970A0">
              <w:rPr>
                <w:rFonts w:cs="Arial"/>
              </w:rPr>
              <w:t>15</w:t>
            </w:r>
            <w:r w:rsidRPr="005970A0">
              <w:rPr>
                <w:rFonts w:cs="Arial"/>
              </w:rPr>
              <w:noBreakHyphen/>
              <w:t>64 years</w:t>
            </w:r>
            <w:r w:rsidRPr="005970A0">
              <w:t>.</w:t>
            </w:r>
          </w:p>
          <w:p w:rsidR="007056F1" w:rsidRPr="005970A0" w:rsidRDefault="007056F1" w:rsidP="007056F1">
            <w:pPr>
              <w:pStyle w:val="TableBodyText"/>
              <w:spacing w:before="120"/>
              <w:ind w:left="0"/>
              <w:jc w:val="both"/>
              <w:rPr>
                <w:u w:val="single"/>
              </w:rPr>
            </w:pPr>
            <w:r w:rsidRPr="005970A0">
              <w:rPr>
                <w:u w:val="single"/>
              </w:rPr>
              <w:t>Computation/s:</w:t>
            </w:r>
          </w:p>
          <w:p w:rsidR="007056F1" w:rsidRPr="005970A0" w:rsidRDefault="007056F1" w:rsidP="007D21A0">
            <w:pPr>
              <w:pStyle w:val="TableBodyText"/>
              <w:keepNext w:val="0"/>
              <w:keepLines w:val="0"/>
              <w:spacing w:after="80" w:line="240" w:lineRule="auto"/>
              <w:ind w:left="0" w:right="0"/>
              <w:jc w:val="both"/>
            </w:pPr>
            <w:r w:rsidRPr="005970A0">
              <w:t>Numerator (above) divided by denominator (above), calculated separately for each of the three measures.</w:t>
            </w:r>
          </w:p>
          <w:p w:rsidR="007056F1" w:rsidRPr="005970A0" w:rsidRDefault="007056F1" w:rsidP="007D21A0">
            <w:pPr>
              <w:pStyle w:val="TableBodyText"/>
              <w:keepNext w:val="0"/>
              <w:keepLines w:val="0"/>
              <w:spacing w:after="80" w:line="240" w:lineRule="auto"/>
              <w:ind w:left="0" w:right="0"/>
              <w:jc w:val="both"/>
              <w:rPr>
                <w:rStyle w:val="DraftingNote"/>
                <w:color w:val="auto"/>
                <w:sz w:val="20"/>
                <w:u w:val="none"/>
              </w:rPr>
            </w:pPr>
            <w:r w:rsidRPr="005970A0">
              <w:t>Comparative rates are also calculated by Indigenous status, for which Indigenous status is based on self</w:t>
            </w:r>
            <w:r w:rsidRPr="005970A0">
              <w:noBreakHyphen/>
              <w:t>identification by students on their VET enrolment form.</w:t>
            </w:r>
          </w:p>
        </w:tc>
      </w:tr>
      <w:tr w:rsidR="005970A0" w:rsidRPr="005970A0" w:rsidTr="00530DD3">
        <w:tc>
          <w:tcPr>
            <w:tcW w:w="887" w:type="pct"/>
          </w:tcPr>
          <w:p w:rsidR="007056F1" w:rsidRPr="005970A0" w:rsidRDefault="007056F1" w:rsidP="007056F1">
            <w:pPr>
              <w:pStyle w:val="TableBodyText"/>
              <w:jc w:val="both"/>
              <w:rPr>
                <w:b/>
              </w:rPr>
            </w:pPr>
            <w:r w:rsidRPr="005970A0">
              <w:rPr>
                <w:b/>
              </w:rPr>
              <w:t>Data source/s</w:t>
            </w:r>
          </w:p>
        </w:tc>
        <w:tc>
          <w:tcPr>
            <w:tcW w:w="4113" w:type="pct"/>
          </w:tcPr>
          <w:p w:rsidR="007056F1" w:rsidRPr="005970A0" w:rsidRDefault="007056F1" w:rsidP="00A74624">
            <w:pPr>
              <w:pStyle w:val="TableBodyText"/>
              <w:keepNext w:val="0"/>
              <w:keepLines w:val="0"/>
              <w:spacing w:after="80" w:line="240" w:lineRule="auto"/>
              <w:ind w:left="0" w:right="0"/>
              <w:jc w:val="both"/>
            </w:pPr>
            <w:r w:rsidRPr="005970A0">
              <w:rPr>
                <w:u w:val="single"/>
              </w:rPr>
              <w:t xml:space="preserve">VET student </w:t>
            </w:r>
            <w:r w:rsidR="00530DD3" w:rsidRPr="005970A0">
              <w:rPr>
                <w:u w:val="single"/>
              </w:rPr>
              <w:t>data</w:t>
            </w:r>
            <w:r w:rsidRPr="005970A0">
              <w:t>:</w:t>
            </w:r>
            <w:r w:rsidR="00A74624" w:rsidRPr="005970A0">
              <w:t xml:space="preserve">  </w:t>
            </w:r>
            <w:r w:rsidRPr="005970A0">
              <w:t xml:space="preserve">All student data are unpublished and are sourced from </w:t>
            </w:r>
            <w:proofErr w:type="spellStart"/>
            <w:r w:rsidRPr="005970A0">
              <w:t>NCVER</w:t>
            </w:r>
            <w:proofErr w:type="spellEnd"/>
            <w:r w:rsidRPr="005970A0">
              <w:t xml:space="preserve"> National VET Provider data collections.</w:t>
            </w:r>
          </w:p>
          <w:p w:rsidR="00530DD3" w:rsidRPr="005970A0" w:rsidRDefault="00530DD3" w:rsidP="00530DD3">
            <w:pPr>
              <w:pStyle w:val="TableBodyText"/>
              <w:keepNext w:val="0"/>
              <w:keepLines w:val="0"/>
              <w:spacing w:after="80" w:line="240" w:lineRule="auto"/>
              <w:ind w:left="0" w:right="0"/>
              <w:jc w:val="both"/>
            </w:pPr>
            <w:r w:rsidRPr="005970A0">
              <w:rPr>
                <w:u w:val="single"/>
              </w:rPr>
              <w:t>Population estimates:</w:t>
            </w:r>
            <w:r w:rsidRPr="005970A0">
              <w:t xml:space="preserve">  </w:t>
            </w:r>
          </w:p>
          <w:p w:rsidR="00530DD3" w:rsidRPr="005970A0" w:rsidRDefault="00530DD3" w:rsidP="007D21A0">
            <w:pPr>
              <w:pStyle w:val="TableBodyText"/>
              <w:keepNext w:val="0"/>
              <w:keepLines w:val="0"/>
              <w:spacing w:after="80" w:line="240" w:lineRule="auto"/>
              <w:ind w:left="0" w:right="0"/>
              <w:jc w:val="both"/>
            </w:pPr>
            <w:r w:rsidRPr="005970A0">
              <w:t xml:space="preserve">Indigenous population data are sourced from the ABS </w:t>
            </w:r>
            <w:r w:rsidRPr="005970A0">
              <w:rPr>
                <w:i/>
              </w:rPr>
              <w:t>Experimental Estimates and Projections, Aboriginal and Torres Strait Islander Australians</w:t>
            </w:r>
            <w:r w:rsidRPr="005970A0">
              <w:t>, 1991-2021. Cat. no. 3238.0 (September 2009). Unpublished data from this source have been used for estimates of the Indigenous population aged 18-24 years.</w:t>
            </w:r>
          </w:p>
          <w:p w:rsidR="00530DD3" w:rsidRPr="005970A0" w:rsidRDefault="00530DD3" w:rsidP="00A74624">
            <w:pPr>
              <w:pStyle w:val="TableBodyText"/>
              <w:keepNext w:val="0"/>
              <w:keepLines w:val="0"/>
              <w:spacing w:after="60" w:line="240" w:lineRule="auto"/>
              <w:ind w:left="0" w:right="0"/>
              <w:jc w:val="both"/>
            </w:pPr>
            <w:r w:rsidRPr="005970A0">
              <w:t>Population data for all Australians are sourced from the following ABS publications. These data are referred to as estimated resident population (</w:t>
            </w:r>
            <w:proofErr w:type="spellStart"/>
            <w:r w:rsidRPr="005970A0">
              <w:t>ERP</w:t>
            </w:r>
            <w:proofErr w:type="spellEnd"/>
            <w:r w:rsidRPr="005970A0">
              <w:t>) data:</w:t>
            </w:r>
          </w:p>
          <w:p w:rsidR="00530DD3" w:rsidRPr="005970A0" w:rsidRDefault="00530DD3" w:rsidP="00530DD3">
            <w:pPr>
              <w:pStyle w:val="TableBodyText"/>
              <w:keepNext w:val="0"/>
              <w:keepLines w:val="0"/>
              <w:numPr>
                <w:ilvl w:val="0"/>
                <w:numId w:val="35"/>
              </w:numPr>
              <w:tabs>
                <w:tab w:val="left" w:pos="222"/>
              </w:tabs>
              <w:spacing w:after="60" w:line="240" w:lineRule="auto"/>
              <w:ind w:left="222" w:right="0" w:hanging="222"/>
              <w:jc w:val="both"/>
            </w:pPr>
            <w:r w:rsidRPr="005970A0">
              <w:t>data for 2002 to 2006 and 2011:</w:t>
            </w:r>
            <w:r w:rsidRPr="005970A0">
              <w:rPr>
                <w:i/>
              </w:rPr>
              <w:t xml:space="preserve"> Australian Demographic Statistics</w:t>
            </w:r>
            <w:r w:rsidRPr="005970A0">
              <w:t>, June 2011. Cat. no. 3101.0 (December 2011)</w:t>
            </w:r>
          </w:p>
          <w:p w:rsidR="00530DD3" w:rsidRPr="005970A0" w:rsidRDefault="00530DD3" w:rsidP="00530DD3">
            <w:pPr>
              <w:pStyle w:val="TableBodyText"/>
              <w:keepNext w:val="0"/>
              <w:keepLines w:val="0"/>
              <w:numPr>
                <w:ilvl w:val="0"/>
                <w:numId w:val="35"/>
              </w:numPr>
              <w:tabs>
                <w:tab w:val="left" w:pos="222"/>
              </w:tabs>
              <w:spacing w:after="120" w:line="240" w:lineRule="auto"/>
              <w:ind w:left="222" w:right="0" w:hanging="222"/>
              <w:jc w:val="both"/>
            </w:pPr>
            <w:r w:rsidRPr="005970A0">
              <w:t>data for 2007 to 20</w:t>
            </w:r>
            <w:r w:rsidR="005F2A29">
              <w:t>12</w:t>
            </w:r>
            <w:r w:rsidRPr="005970A0">
              <w:t xml:space="preserve">: </w:t>
            </w:r>
            <w:r w:rsidRPr="005970A0">
              <w:rPr>
                <w:i/>
              </w:rPr>
              <w:t xml:space="preserve">Population by Age and Sex, Australian States and Territories, </w:t>
            </w:r>
            <w:r w:rsidRPr="005970A0">
              <w:t xml:space="preserve"> </w:t>
            </w:r>
            <w:r w:rsidRPr="005970A0">
              <w:rPr>
                <w:i/>
              </w:rPr>
              <w:t>June 2007-201</w:t>
            </w:r>
            <w:r w:rsidR="005F2A29">
              <w:rPr>
                <w:i/>
              </w:rPr>
              <w:t>2</w:t>
            </w:r>
            <w:r w:rsidRPr="005970A0">
              <w:t>. Cat. no. 3101.0 (December 2007 to December 201</w:t>
            </w:r>
            <w:r w:rsidR="005F2A29">
              <w:t>2</w:t>
            </w:r>
            <w:r w:rsidRPr="005970A0">
              <w:t>).</w:t>
            </w:r>
          </w:p>
          <w:p w:rsidR="007056F1" w:rsidRPr="005970A0" w:rsidRDefault="00530DD3" w:rsidP="007D21A0">
            <w:pPr>
              <w:pStyle w:val="TableBodyText"/>
              <w:keepNext w:val="0"/>
              <w:keepLines w:val="0"/>
              <w:spacing w:after="80" w:line="240" w:lineRule="auto"/>
              <w:ind w:left="0" w:right="0"/>
              <w:jc w:val="both"/>
            </w:pPr>
            <w:r w:rsidRPr="005970A0">
              <w:t>There are no comparable population data for the non-Indigenous population. Population estimates of the non-Indigenous population are therefore derived by subtracting Indigenous population estimates from total population estimates.</w:t>
            </w:r>
          </w:p>
        </w:tc>
      </w:tr>
      <w:tr w:rsidR="005970A0" w:rsidRPr="005970A0" w:rsidTr="00530DD3">
        <w:tc>
          <w:tcPr>
            <w:tcW w:w="5000" w:type="pct"/>
            <w:gridSpan w:val="2"/>
          </w:tcPr>
          <w:p w:rsidR="007056F1" w:rsidRPr="005970A0" w:rsidRDefault="007056F1" w:rsidP="007056F1">
            <w:pPr>
              <w:pStyle w:val="TableBodyText"/>
              <w:jc w:val="both"/>
              <w:rPr>
                <w:b/>
                <w:u w:val="single"/>
              </w:rPr>
            </w:pPr>
            <w:r w:rsidRPr="005970A0">
              <w:rPr>
                <w:b/>
                <w:u w:val="single"/>
              </w:rPr>
              <w:lastRenderedPageBreak/>
              <w:t>Data Quality Framework Dimensions</w:t>
            </w:r>
          </w:p>
        </w:tc>
      </w:tr>
      <w:tr w:rsidR="005970A0" w:rsidRPr="005970A0" w:rsidTr="00530DD3">
        <w:tc>
          <w:tcPr>
            <w:tcW w:w="887" w:type="pct"/>
          </w:tcPr>
          <w:p w:rsidR="007056F1" w:rsidRPr="005970A0" w:rsidRDefault="007056F1" w:rsidP="007056F1">
            <w:pPr>
              <w:pStyle w:val="TableBodyText"/>
              <w:jc w:val="both"/>
              <w:rPr>
                <w:b/>
              </w:rPr>
            </w:pPr>
            <w:r w:rsidRPr="005970A0">
              <w:rPr>
                <w:b/>
              </w:rPr>
              <w:t>Institutional environment</w:t>
            </w:r>
          </w:p>
        </w:tc>
        <w:tc>
          <w:tcPr>
            <w:tcW w:w="4113" w:type="pct"/>
          </w:tcPr>
          <w:p w:rsidR="00530DD3" w:rsidRPr="005970A0" w:rsidRDefault="00530DD3" w:rsidP="00530DD3">
            <w:pPr>
              <w:spacing w:after="120"/>
              <w:jc w:val="both"/>
              <w:rPr>
                <w:rFonts w:ascii="Arial" w:hAnsi="Arial" w:cs="Arial"/>
                <w:sz w:val="20"/>
                <w:szCs w:val="20"/>
                <w:u w:val="single"/>
              </w:rPr>
            </w:pPr>
            <w:r w:rsidRPr="005970A0">
              <w:rPr>
                <w:rFonts w:ascii="Arial" w:hAnsi="Arial" w:cs="Arial"/>
                <w:sz w:val="20"/>
                <w:szCs w:val="20"/>
                <w:u w:val="single"/>
              </w:rPr>
              <w:t>VET student data:</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The National Centre for Vocational Education Research (</w:t>
            </w:r>
            <w:proofErr w:type="spellStart"/>
            <w:r w:rsidRPr="005970A0">
              <w:rPr>
                <w:rFonts w:ascii="Arial" w:hAnsi="Arial" w:cs="Arial"/>
                <w:sz w:val="20"/>
                <w:szCs w:val="20"/>
              </w:rPr>
              <w:t>NCVER</w:t>
            </w:r>
            <w:proofErr w:type="spellEnd"/>
            <w:r w:rsidRPr="005970A0">
              <w:rPr>
                <w:rFonts w:ascii="Arial" w:hAnsi="Arial" w:cs="Arial"/>
                <w:sz w:val="20"/>
                <w:szCs w:val="20"/>
              </w:rPr>
              <w:t>) is a not-for-profit company owned by the federal, state and territory ministers responsible for training.</w:t>
            </w:r>
          </w:p>
          <w:p w:rsidR="007056F1" w:rsidRPr="005970A0" w:rsidRDefault="007056F1" w:rsidP="007056F1">
            <w:pPr>
              <w:spacing w:after="120"/>
              <w:jc w:val="both"/>
              <w:rPr>
                <w:rFonts w:ascii="Arial" w:hAnsi="Arial" w:cs="Arial"/>
                <w:sz w:val="20"/>
                <w:szCs w:val="20"/>
              </w:rPr>
            </w:pPr>
            <w:proofErr w:type="spellStart"/>
            <w:r w:rsidRPr="005970A0">
              <w:rPr>
                <w:rFonts w:ascii="Arial" w:hAnsi="Arial" w:cs="Arial"/>
                <w:sz w:val="20"/>
                <w:szCs w:val="20"/>
              </w:rPr>
              <w:t>NCVER</w:t>
            </w:r>
            <w:proofErr w:type="spellEnd"/>
            <w:r w:rsidRPr="005970A0">
              <w:rPr>
                <w:rFonts w:ascii="Arial" w:hAnsi="Arial" w:cs="Arial"/>
                <w:sz w:val="20"/>
                <w:szCs w:val="20"/>
              </w:rPr>
              <w:t xml:space="preserve">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7056F1" w:rsidRPr="005970A0" w:rsidRDefault="007056F1" w:rsidP="007056F1">
            <w:pPr>
              <w:pStyle w:val="TableBodyText"/>
              <w:keepNext w:val="0"/>
              <w:keepLines w:val="0"/>
              <w:spacing w:after="120" w:line="240" w:lineRule="auto"/>
              <w:ind w:left="0" w:right="0"/>
              <w:jc w:val="both"/>
              <w:rPr>
                <w:rStyle w:val="Hyperlink"/>
                <w:rFonts w:cs="Arial"/>
                <w:color w:val="auto"/>
              </w:rPr>
            </w:pPr>
            <w:r w:rsidRPr="005970A0">
              <w:rPr>
                <w:rFonts w:cs="Arial"/>
              </w:rPr>
              <w:t xml:space="preserve">For further information on the </w:t>
            </w:r>
            <w:proofErr w:type="spellStart"/>
            <w:r w:rsidRPr="005970A0">
              <w:rPr>
                <w:rFonts w:cs="Arial"/>
              </w:rPr>
              <w:t>NCVER</w:t>
            </w:r>
            <w:proofErr w:type="spellEnd"/>
            <w:r w:rsidRPr="005970A0">
              <w:rPr>
                <w:rFonts w:cs="Arial"/>
              </w:rPr>
              <w:t xml:space="preserve">, see </w:t>
            </w:r>
            <w:r w:rsidR="00530DD3" w:rsidRPr="00D86CD7">
              <w:rPr>
                <w:rFonts w:cs="Arial"/>
              </w:rPr>
              <w:t>http://</w:t>
            </w:r>
            <w:proofErr w:type="spellStart"/>
            <w:r w:rsidR="00530DD3" w:rsidRPr="00D86CD7">
              <w:rPr>
                <w:rFonts w:cs="Arial"/>
              </w:rPr>
              <w:t>www.ncver.edu.au</w:t>
            </w:r>
            <w:proofErr w:type="spellEnd"/>
            <w:r w:rsidR="00530DD3" w:rsidRPr="00D86CD7">
              <w:rPr>
                <w:rFonts w:cs="Arial"/>
              </w:rPr>
              <w:t>/</w:t>
            </w:r>
            <w:r w:rsidR="00530DD3" w:rsidRPr="00D86CD7">
              <w:rPr>
                <w:rFonts w:cs="Arial"/>
              </w:rPr>
              <w:br/>
            </w:r>
            <w:proofErr w:type="spellStart"/>
            <w:r w:rsidR="00530DD3" w:rsidRPr="00D86CD7">
              <w:rPr>
                <w:rFonts w:cs="Arial"/>
              </w:rPr>
              <w:t>aboutncver</w:t>
            </w:r>
            <w:proofErr w:type="spellEnd"/>
            <w:r w:rsidR="00530DD3" w:rsidRPr="00D86CD7">
              <w:rPr>
                <w:rFonts w:cs="Arial"/>
              </w:rPr>
              <w:t>/</w:t>
            </w:r>
            <w:proofErr w:type="spellStart"/>
            <w:r w:rsidR="00530DD3" w:rsidRPr="00D86CD7">
              <w:rPr>
                <w:rFonts w:cs="Arial"/>
              </w:rPr>
              <w:t>who.html</w:t>
            </w:r>
            <w:proofErr w:type="spellEnd"/>
          </w:p>
          <w:p w:rsidR="00530DD3" w:rsidRPr="005970A0" w:rsidRDefault="00530DD3" w:rsidP="00530DD3">
            <w:pPr>
              <w:pStyle w:val="TableBodyText"/>
              <w:spacing w:after="120"/>
              <w:jc w:val="both"/>
              <w:rPr>
                <w:u w:val="single"/>
              </w:rPr>
            </w:pPr>
            <w:r w:rsidRPr="005970A0">
              <w:rPr>
                <w:u w:val="single"/>
              </w:rPr>
              <w:t>Population estimates:</w:t>
            </w:r>
          </w:p>
          <w:p w:rsidR="00530DD3" w:rsidRPr="005970A0" w:rsidRDefault="00530DD3" w:rsidP="00530DD3">
            <w:pPr>
              <w:pStyle w:val="TableBodyText"/>
              <w:spacing w:after="120"/>
              <w:jc w:val="both"/>
            </w:pPr>
            <w:r w:rsidRPr="005970A0">
              <w:t xml:space="preserve">The ABS sources </w:t>
            </w:r>
            <w:proofErr w:type="spellStart"/>
            <w:r w:rsidRPr="005970A0">
              <w:t>ERP</w:t>
            </w:r>
            <w:proofErr w:type="spellEnd"/>
            <w:r w:rsidRPr="005970A0">
              <w:t xml:space="preserve"> data from a variety of institutional environments. Much of the data is administrative </w:t>
            </w:r>
            <w:proofErr w:type="spellStart"/>
            <w:r w:rsidRPr="005970A0">
              <w:t>by-product</w:t>
            </w:r>
            <w:proofErr w:type="spellEnd"/>
            <w:r w:rsidRPr="005970A0">
              <w:t xml:space="preserve"> data collected by other organisations for purposes other than estimating the population. Births and deaths statistics are extracted from registers administered by the various State and Territory Registrars of Births, Deaths and Marriages. Medicare Australia client address data is used to estimate interstate migration. Passenger card data and related information provided by the Department of Immigration and Citizenship (</w:t>
            </w:r>
            <w:proofErr w:type="spellStart"/>
            <w:r w:rsidRPr="005970A0">
              <w:t>DIAC</w:t>
            </w:r>
            <w:proofErr w:type="spellEnd"/>
            <w:r w:rsidRPr="005970A0">
              <w:t>) is used to calculate Net Overseas Migration (NOM).</w:t>
            </w:r>
          </w:p>
          <w:p w:rsidR="007056F1" w:rsidRPr="005970A0" w:rsidRDefault="00530DD3" w:rsidP="00530DD3">
            <w:pPr>
              <w:pStyle w:val="TableBodyText"/>
              <w:keepNext w:val="0"/>
              <w:keepLines w:val="0"/>
              <w:spacing w:after="120" w:line="240" w:lineRule="auto"/>
              <w:ind w:left="0" w:right="0"/>
              <w:jc w:val="both"/>
              <w:rPr>
                <w:rFonts w:cs="Arial"/>
                <w:u w:val="single"/>
              </w:rPr>
            </w:pPr>
            <w:r w:rsidRPr="005970A0">
              <w:t xml:space="preserve">For information on the institutional environment of the ABS, including the legislative obligations of the ABS, which cover this collection, please see ABS Institutional Environment </w:t>
            </w:r>
            <w:r w:rsidRPr="00D86CD7">
              <w:t>http://</w:t>
            </w:r>
            <w:proofErr w:type="spellStart"/>
            <w:r w:rsidRPr="00D86CD7">
              <w:t>www.abs.gov.au</w:t>
            </w:r>
            <w:proofErr w:type="spellEnd"/>
            <w:r w:rsidRPr="00D86CD7">
              <w:t>/</w:t>
            </w:r>
            <w:proofErr w:type="spellStart"/>
            <w:r w:rsidRPr="00D86CD7">
              <w:t>websitedbs</w:t>
            </w:r>
            <w:proofErr w:type="spellEnd"/>
            <w:r w:rsidRPr="00D86CD7">
              <w:t>/</w:t>
            </w:r>
            <w:proofErr w:type="spellStart"/>
            <w:r w:rsidRPr="00D86CD7">
              <w:t>d3310114.nsf</w:t>
            </w:r>
            <w:proofErr w:type="spellEnd"/>
            <w:r w:rsidRPr="00D86CD7">
              <w:t>/</w:t>
            </w:r>
            <w:r w:rsidRPr="005970A0">
              <w:rPr>
                <w:u w:val="single"/>
              </w:rPr>
              <w:br/>
              <w:t>4a256353001af3ed4b562bb00121564/10ca14cb967e5b83ca2573ae00197b65!OpenDocument</w:t>
            </w:r>
          </w:p>
        </w:tc>
      </w:tr>
      <w:tr w:rsidR="005970A0" w:rsidRPr="005970A0" w:rsidTr="00530DD3">
        <w:tc>
          <w:tcPr>
            <w:tcW w:w="887" w:type="pct"/>
          </w:tcPr>
          <w:p w:rsidR="007056F1" w:rsidRPr="005970A0" w:rsidRDefault="007056F1" w:rsidP="007056F1">
            <w:pPr>
              <w:pStyle w:val="TableBodyText"/>
              <w:jc w:val="both"/>
              <w:rPr>
                <w:b/>
              </w:rPr>
            </w:pPr>
            <w:r w:rsidRPr="005970A0">
              <w:rPr>
                <w:b/>
              </w:rPr>
              <w:t>Relevance</w:t>
            </w:r>
          </w:p>
        </w:tc>
        <w:tc>
          <w:tcPr>
            <w:tcW w:w="4113" w:type="pct"/>
          </w:tcPr>
          <w:p w:rsidR="002B4CC9" w:rsidRPr="005970A0" w:rsidRDefault="002B4CC9" w:rsidP="002B4CC9">
            <w:pPr>
              <w:spacing w:after="120"/>
              <w:jc w:val="both"/>
              <w:rPr>
                <w:rFonts w:ascii="Arial" w:hAnsi="Arial" w:cs="Arial"/>
                <w:sz w:val="20"/>
                <w:szCs w:val="20"/>
                <w:u w:val="single"/>
              </w:rPr>
            </w:pPr>
            <w:r w:rsidRPr="005970A0">
              <w:rPr>
                <w:rFonts w:ascii="Arial" w:hAnsi="Arial" w:cs="Arial"/>
                <w:sz w:val="20"/>
                <w:szCs w:val="20"/>
                <w:u w:val="single"/>
              </w:rPr>
              <w:t>VET student data:</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The National VET Provider Collection collects information relating to students, courses, qualifications, training providers and funding in Australia’s publicly funded vocational education and training (VET) system.</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This collection does not report on the following types of training activity:</w:t>
            </w:r>
          </w:p>
          <w:p w:rsidR="007056F1" w:rsidRPr="005970A0" w:rsidRDefault="007056F1" w:rsidP="007056F1">
            <w:pPr>
              <w:numPr>
                <w:ilvl w:val="0"/>
                <w:numId w:val="24"/>
              </w:numPr>
              <w:tabs>
                <w:tab w:val="clear" w:pos="363"/>
                <w:tab w:val="num" w:pos="179"/>
              </w:tabs>
              <w:spacing w:after="40"/>
              <w:ind w:left="179" w:hanging="180"/>
              <w:jc w:val="both"/>
              <w:rPr>
                <w:rFonts w:ascii="Arial" w:hAnsi="Arial" w:cs="Arial"/>
                <w:sz w:val="20"/>
                <w:szCs w:val="20"/>
              </w:rPr>
            </w:pPr>
            <w:r w:rsidRPr="005970A0">
              <w:rPr>
                <w:rFonts w:ascii="Arial" w:hAnsi="Arial" w:cs="Arial"/>
                <w:sz w:val="20"/>
                <w:szCs w:val="20"/>
              </w:rPr>
              <w:t xml:space="preserve">recreation, leisure and personal enrichment </w:t>
            </w:r>
          </w:p>
          <w:p w:rsidR="007056F1" w:rsidRPr="005970A0" w:rsidRDefault="007056F1" w:rsidP="007056F1">
            <w:pPr>
              <w:numPr>
                <w:ilvl w:val="0"/>
                <w:numId w:val="24"/>
              </w:numPr>
              <w:tabs>
                <w:tab w:val="clear" w:pos="363"/>
                <w:tab w:val="num" w:pos="179"/>
              </w:tabs>
              <w:spacing w:after="40"/>
              <w:ind w:left="179" w:hanging="180"/>
              <w:jc w:val="both"/>
              <w:rPr>
                <w:rFonts w:ascii="Arial" w:hAnsi="Arial" w:cs="Arial"/>
                <w:sz w:val="20"/>
                <w:szCs w:val="20"/>
              </w:rPr>
            </w:pPr>
            <w:r w:rsidRPr="005970A0">
              <w:rPr>
                <w:rFonts w:ascii="Arial" w:hAnsi="Arial" w:cs="Arial"/>
                <w:sz w:val="20"/>
                <w:szCs w:val="20"/>
              </w:rPr>
              <w:t xml:space="preserve">fee-for-service VET by private providers </w:t>
            </w:r>
          </w:p>
          <w:p w:rsidR="007056F1" w:rsidRPr="005970A0" w:rsidRDefault="007056F1" w:rsidP="007056F1">
            <w:pPr>
              <w:numPr>
                <w:ilvl w:val="0"/>
                <w:numId w:val="24"/>
              </w:numPr>
              <w:tabs>
                <w:tab w:val="clear" w:pos="363"/>
                <w:tab w:val="num" w:pos="179"/>
              </w:tabs>
              <w:spacing w:after="40"/>
              <w:ind w:left="179" w:hanging="180"/>
              <w:jc w:val="both"/>
              <w:rPr>
                <w:rFonts w:ascii="Arial" w:hAnsi="Arial" w:cs="Arial"/>
                <w:sz w:val="20"/>
                <w:szCs w:val="20"/>
              </w:rPr>
            </w:pPr>
            <w:r w:rsidRPr="005970A0">
              <w:rPr>
                <w:rFonts w:ascii="Arial" w:hAnsi="Arial" w:cs="Arial"/>
                <w:sz w:val="20"/>
                <w:szCs w:val="20"/>
              </w:rPr>
              <w:t xml:space="preserve">delivery undertaken at overseas campuses of Australian VET institutions </w:t>
            </w:r>
          </w:p>
          <w:p w:rsidR="007056F1" w:rsidRPr="005970A0" w:rsidRDefault="007056F1" w:rsidP="007056F1">
            <w:pPr>
              <w:numPr>
                <w:ilvl w:val="0"/>
                <w:numId w:val="24"/>
              </w:numPr>
              <w:tabs>
                <w:tab w:val="clear" w:pos="363"/>
                <w:tab w:val="num" w:pos="179"/>
              </w:tabs>
              <w:spacing w:after="40"/>
              <w:ind w:left="179" w:hanging="180"/>
              <w:jc w:val="both"/>
              <w:rPr>
                <w:rFonts w:ascii="Arial" w:hAnsi="Arial" w:cs="Arial"/>
                <w:sz w:val="20"/>
                <w:szCs w:val="20"/>
              </w:rPr>
            </w:pPr>
            <w:r w:rsidRPr="005970A0">
              <w:rPr>
                <w:rFonts w:ascii="Arial" w:hAnsi="Arial" w:cs="Arial"/>
                <w:sz w:val="20"/>
                <w:szCs w:val="20"/>
              </w:rPr>
              <w:t>credit transfer</w:t>
            </w:r>
          </w:p>
          <w:p w:rsidR="00A74624" w:rsidRPr="005970A0" w:rsidRDefault="007056F1" w:rsidP="00A74624">
            <w:pPr>
              <w:numPr>
                <w:ilvl w:val="0"/>
                <w:numId w:val="24"/>
              </w:numPr>
              <w:tabs>
                <w:tab w:val="clear" w:pos="363"/>
                <w:tab w:val="num" w:pos="179"/>
              </w:tabs>
              <w:spacing w:after="120"/>
              <w:ind w:left="179" w:hanging="180"/>
              <w:jc w:val="both"/>
              <w:rPr>
                <w:rFonts w:ascii="Arial" w:hAnsi="Arial" w:cs="Arial"/>
                <w:sz w:val="20"/>
                <w:szCs w:val="20"/>
              </w:rPr>
            </w:pPr>
            <w:r w:rsidRPr="005970A0">
              <w:rPr>
                <w:rFonts w:ascii="Arial" w:hAnsi="Arial" w:cs="Arial"/>
                <w:sz w:val="20"/>
                <w:szCs w:val="20"/>
              </w:rPr>
              <w:t>VET delivered in schools, where the delivery has been undertaken by schools.</w:t>
            </w:r>
          </w:p>
        </w:tc>
      </w:tr>
    </w:tbl>
    <w:p w:rsidR="002E6155" w:rsidRPr="005970A0" w:rsidRDefault="002E6155">
      <w:r w:rsidRPr="005970A0">
        <w:br w:type="page"/>
      </w:r>
    </w:p>
    <w:tbl>
      <w:tblPr>
        <w:tblW w:w="5000" w:type="pct"/>
        <w:tblLayout w:type="fixed"/>
        <w:tblCellMar>
          <w:left w:w="0" w:type="dxa"/>
          <w:right w:w="0" w:type="dxa"/>
        </w:tblCellMar>
        <w:tblLook w:val="0000" w:firstRow="0" w:lastRow="0" w:firstColumn="0" w:lastColumn="0" w:noHBand="0" w:noVBand="0"/>
      </w:tblPr>
      <w:tblGrid>
        <w:gridCol w:w="1559"/>
        <w:gridCol w:w="62"/>
        <w:gridCol w:w="7168"/>
      </w:tblGrid>
      <w:tr w:rsidR="005970A0" w:rsidRPr="005970A0" w:rsidTr="00530DD3">
        <w:tc>
          <w:tcPr>
            <w:tcW w:w="887" w:type="pct"/>
          </w:tcPr>
          <w:p w:rsidR="002E6155" w:rsidRPr="005970A0" w:rsidRDefault="002E6155" w:rsidP="007056F1">
            <w:pPr>
              <w:pStyle w:val="TableBodyText"/>
              <w:jc w:val="both"/>
              <w:rPr>
                <w:b/>
              </w:rPr>
            </w:pPr>
          </w:p>
        </w:tc>
        <w:tc>
          <w:tcPr>
            <w:tcW w:w="4113" w:type="pct"/>
            <w:gridSpan w:val="2"/>
          </w:tcPr>
          <w:p w:rsidR="002E6155" w:rsidRPr="005970A0" w:rsidRDefault="002E6155" w:rsidP="002E6155">
            <w:pPr>
              <w:spacing w:after="120"/>
              <w:jc w:val="both"/>
              <w:rPr>
                <w:rFonts w:ascii="Arial" w:hAnsi="Arial" w:cs="Arial"/>
                <w:sz w:val="20"/>
                <w:szCs w:val="20"/>
                <w:u w:val="single"/>
              </w:rPr>
            </w:pPr>
            <w:r w:rsidRPr="005970A0">
              <w:rPr>
                <w:rFonts w:ascii="Arial" w:hAnsi="Arial" w:cs="Arial"/>
                <w:sz w:val="20"/>
                <w:szCs w:val="20"/>
                <w:u w:val="single"/>
              </w:rPr>
              <w:t>Population estimates:</w:t>
            </w:r>
          </w:p>
          <w:p w:rsidR="002E6155" w:rsidRPr="005970A0" w:rsidRDefault="002E6155" w:rsidP="002E6155">
            <w:pPr>
              <w:spacing w:after="120"/>
              <w:jc w:val="both"/>
              <w:rPr>
                <w:rFonts w:ascii="Arial" w:hAnsi="Arial" w:cs="Arial"/>
                <w:sz w:val="20"/>
                <w:szCs w:val="20"/>
              </w:rPr>
            </w:pPr>
            <w:r w:rsidRPr="005970A0">
              <w:rPr>
                <w:rFonts w:ascii="Arial" w:hAnsi="Arial" w:cs="Arial"/>
                <w:sz w:val="20"/>
                <w:szCs w:val="20"/>
              </w:rPr>
              <w:t xml:space="preserve">The </w:t>
            </w:r>
            <w:proofErr w:type="spellStart"/>
            <w:r w:rsidRPr="005970A0">
              <w:rPr>
                <w:rFonts w:ascii="Arial" w:hAnsi="Arial" w:cs="Arial"/>
                <w:sz w:val="20"/>
                <w:szCs w:val="20"/>
              </w:rPr>
              <w:t>ERP</w:t>
            </w:r>
            <w:proofErr w:type="spellEnd"/>
            <w:r w:rsidRPr="005970A0">
              <w:rPr>
                <w:rFonts w:ascii="Arial" w:hAnsi="Arial" w:cs="Arial"/>
                <w:sz w:val="20"/>
                <w:szCs w:val="20"/>
              </w:rPr>
              <w:t xml:space="preserve"> is the official measure of the population of states and territories of Australia according to a usual residence population concept. </w:t>
            </w:r>
            <w:proofErr w:type="spellStart"/>
            <w:r w:rsidRPr="005970A0">
              <w:rPr>
                <w:rFonts w:ascii="Arial" w:hAnsi="Arial" w:cs="Arial"/>
                <w:sz w:val="20"/>
                <w:szCs w:val="20"/>
              </w:rPr>
              <w:t>ERP</w:t>
            </w:r>
            <w:proofErr w:type="spellEnd"/>
            <w:r w:rsidRPr="005970A0">
              <w:rPr>
                <w:rFonts w:ascii="Arial" w:hAnsi="Arial" w:cs="Arial"/>
                <w:sz w:val="20"/>
                <w:szCs w:val="20"/>
              </w:rPr>
              <w:t xml:space="preserve"> is used for a range of key decisions such as resource and funding distribution and apportioning seats in the House of Representatives to each state and territory.</w:t>
            </w:r>
          </w:p>
          <w:p w:rsidR="002E6155" w:rsidRPr="005970A0" w:rsidRDefault="002E6155" w:rsidP="002E6155">
            <w:pPr>
              <w:spacing w:after="120"/>
              <w:jc w:val="both"/>
              <w:rPr>
                <w:rFonts w:ascii="Arial" w:hAnsi="Arial" w:cs="Arial"/>
                <w:sz w:val="20"/>
                <w:szCs w:val="20"/>
                <w:u w:val="single"/>
              </w:rPr>
            </w:pPr>
            <w:r w:rsidRPr="005970A0">
              <w:rPr>
                <w:rFonts w:ascii="Arial" w:hAnsi="Arial" w:cs="Arial"/>
                <w:sz w:val="20"/>
                <w:szCs w:val="20"/>
              </w:rPr>
              <w:t>In preparing Indigenous population estimates, the ABS formulated assumptions on the basis of past demographic trends, in conjunction with consultation with various individuals and government department representatives at the national and state/territory level. Consultation occurred between May and July 2009, after which the assumptions were finalised.</w:t>
            </w:r>
          </w:p>
        </w:tc>
      </w:tr>
      <w:tr w:rsidR="005970A0" w:rsidRPr="005970A0" w:rsidTr="00530DD3">
        <w:tc>
          <w:tcPr>
            <w:tcW w:w="887" w:type="pct"/>
          </w:tcPr>
          <w:p w:rsidR="007056F1" w:rsidRPr="005970A0" w:rsidRDefault="007056F1" w:rsidP="007056F1">
            <w:pPr>
              <w:pStyle w:val="TableBodyText"/>
              <w:jc w:val="both"/>
              <w:rPr>
                <w:b/>
              </w:rPr>
            </w:pPr>
            <w:r w:rsidRPr="005970A0">
              <w:rPr>
                <w:b/>
              </w:rPr>
              <w:t>Timeliness</w:t>
            </w:r>
          </w:p>
        </w:tc>
        <w:tc>
          <w:tcPr>
            <w:tcW w:w="4113" w:type="pct"/>
            <w:gridSpan w:val="2"/>
          </w:tcPr>
          <w:p w:rsidR="002B4CC9" w:rsidRPr="005970A0" w:rsidRDefault="002B4CC9" w:rsidP="002B4CC9">
            <w:pPr>
              <w:spacing w:after="120"/>
              <w:jc w:val="both"/>
              <w:rPr>
                <w:rFonts w:ascii="Arial" w:hAnsi="Arial" w:cs="Arial"/>
                <w:sz w:val="20"/>
                <w:szCs w:val="20"/>
                <w:u w:val="single"/>
              </w:rPr>
            </w:pPr>
            <w:r w:rsidRPr="005970A0">
              <w:rPr>
                <w:rFonts w:ascii="Arial" w:hAnsi="Arial" w:cs="Arial"/>
                <w:sz w:val="20"/>
                <w:szCs w:val="20"/>
                <w:u w:val="single"/>
              </w:rPr>
              <w:t>VET student data:</w:t>
            </w:r>
          </w:p>
          <w:p w:rsidR="007056F1" w:rsidRPr="005970A0" w:rsidRDefault="007056F1" w:rsidP="002B4CC9">
            <w:pPr>
              <w:pStyle w:val="TableBodyText"/>
              <w:keepNext w:val="0"/>
              <w:keepLines w:val="0"/>
              <w:spacing w:after="120" w:line="240" w:lineRule="auto"/>
              <w:ind w:left="0" w:right="0"/>
              <w:jc w:val="both"/>
            </w:pPr>
            <w:r w:rsidRPr="005970A0">
              <w:t xml:space="preserve">The National VET Provider Collection is an annual collection of data. Data are submitted to </w:t>
            </w:r>
            <w:proofErr w:type="spellStart"/>
            <w:r w:rsidRPr="005970A0">
              <w:t>NCVER</w:t>
            </w:r>
            <w:proofErr w:type="spellEnd"/>
            <w:r w:rsidRPr="005970A0">
              <w:t xml:space="preserve"> (via state training authorities) by 31 March in the year following activity. A summary of </w:t>
            </w:r>
            <w:r w:rsidR="00716CC0">
              <w:t>2012</w:t>
            </w:r>
            <w:r w:rsidR="00716CC0" w:rsidRPr="005970A0">
              <w:t xml:space="preserve"> </w:t>
            </w:r>
            <w:r w:rsidRPr="005970A0">
              <w:t xml:space="preserve">data was released in early July </w:t>
            </w:r>
            <w:r w:rsidR="00716CC0">
              <w:t>2013</w:t>
            </w:r>
            <w:r w:rsidR="00716CC0" w:rsidRPr="005970A0">
              <w:t xml:space="preserve"> </w:t>
            </w:r>
            <w:r w:rsidRPr="005970A0">
              <w:t xml:space="preserve">in </w:t>
            </w:r>
            <w:r w:rsidRPr="00D86CD7">
              <w:t>Students and Courses</w:t>
            </w:r>
            <w:r w:rsidRPr="005970A0">
              <w:t>.</w:t>
            </w:r>
          </w:p>
          <w:p w:rsidR="002B4CC9" w:rsidRPr="005970A0" w:rsidRDefault="002B4CC9" w:rsidP="002B4CC9">
            <w:pPr>
              <w:pStyle w:val="TableBodyText"/>
              <w:spacing w:before="240" w:after="80"/>
              <w:jc w:val="both"/>
            </w:pPr>
            <w:r w:rsidRPr="005970A0">
              <w:rPr>
                <w:u w:val="single"/>
              </w:rPr>
              <w:t>Population estimates</w:t>
            </w:r>
            <w:r w:rsidRPr="005970A0">
              <w:t>:</w:t>
            </w:r>
          </w:p>
          <w:p w:rsidR="002B4CC9" w:rsidRPr="005970A0" w:rsidRDefault="002B4CC9" w:rsidP="002B4CC9">
            <w:pPr>
              <w:pStyle w:val="TableBodyText"/>
              <w:spacing w:after="120"/>
              <w:jc w:val="both"/>
            </w:pPr>
            <w:r w:rsidRPr="005970A0">
              <w:t xml:space="preserve">Preliminary </w:t>
            </w:r>
            <w:proofErr w:type="spellStart"/>
            <w:r w:rsidRPr="005970A0">
              <w:t>ERP</w:t>
            </w:r>
            <w:proofErr w:type="spellEnd"/>
            <w:r w:rsidRPr="005970A0">
              <w:t xml:space="preserve"> data </w:t>
            </w:r>
            <w:r w:rsidR="002E6155" w:rsidRPr="005970A0">
              <w:t>are</w:t>
            </w:r>
            <w:r w:rsidRPr="005970A0">
              <w:t xml:space="preserve"> compiled and published quarterly by the ABS, and is generally made available five to six months after the end of each reference quarter. Every year, the 30 June </w:t>
            </w:r>
            <w:proofErr w:type="spellStart"/>
            <w:r w:rsidRPr="005970A0">
              <w:t>ERP</w:t>
            </w:r>
            <w:proofErr w:type="spellEnd"/>
            <w:r w:rsidRPr="005970A0">
              <w:t xml:space="preserve"> is further disaggregated by sex and single year of age, and is made available five to six months after end of the reference quarter.</w:t>
            </w:r>
          </w:p>
          <w:p w:rsidR="002B4CC9" w:rsidRPr="005970A0" w:rsidRDefault="002B4CC9" w:rsidP="002B4CC9">
            <w:pPr>
              <w:pStyle w:val="TableBodyText"/>
              <w:spacing w:after="120"/>
              <w:jc w:val="both"/>
            </w:pPr>
            <w:r w:rsidRPr="005970A0">
              <w:t xml:space="preserve">Final estimates are made available every 5 years after a census and revisions are made to the previous </w:t>
            </w:r>
            <w:proofErr w:type="spellStart"/>
            <w:r w:rsidRPr="005970A0">
              <w:t>intercensal</w:t>
            </w:r>
            <w:proofErr w:type="spellEnd"/>
            <w:r w:rsidRPr="005970A0">
              <w:t xml:space="preserve"> period. </w:t>
            </w:r>
            <w:proofErr w:type="spellStart"/>
            <w:r w:rsidRPr="005970A0">
              <w:t>ERP</w:t>
            </w:r>
            <w:proofErr w:type="spellEnd"/>
            <w:r w:rsidRPr="005970A0">
              <w:t xml:space="preserve"> data are not changed once finalised. Releasing preliminary, revised and final </w:t>
            </w:r>
            <w:proofErr w:type="spellStart"/>
            <w:r w:rsidRPr="005970A0">
              <w:t>ERP</w:t>
            </w:r>
            <w:proofErr w:type="spellEnd"/>
            <w:r w:rsidRPr="005970A0">
              <w:t xml:space="preserve"> involves a balance between timeliness and accuracy.</w:t>
            </w:r>
          </w:p>
          <w:p w:rsidR="002B4CC9" w:rsidRPr="005970A0" w:rsidRDefault="002B4CC9" w:rsidP="002B4CC9">
            <w:pPr>
              <w:pStyle w:val="TableBodyText"/>
              <w:keepNext w:val="0"/>
              <w:keepLines w:val="0"/>
              <w:spacing w:after="120" w:line="240" w:lineRule="auto"/>
              <w:ind w:left="0" w:right="0"/>
              <w:jc w:val="both"/>
            </w:pPr>
            <w:r w:rsidRPr="005970A0">
              <w:t>ABS Indigenous population estimates and projections are compiled and published once in each five year period; typically three years following the most recent census.</w:t>
            </w:r>
          </w:p>
        </w:tc>
      </w:tr>
      <w:tr w:rsidR="005970A0" w:rsidRPr="005970A0" w:rsidTr="00033993">
        <w:trPr>
          <w:trHeight w:val="3730"/>
        </w:trPr>
        <w:tc>
          <w:tcPr>
            <w:tcW w:w="922" w:type="pct"/>
            <w:gridSpan w:val="2"/>
          </w:tcPr>
          <w:p w:rsidR="007056F1" w:rsidRPr="005970A0" w:rsidRDefault="007056F1" w:rsidP="007056F1">
            <w:pPr>
              <w:pStyle w:val="TableBodyText"/>
              <w:jc w:val="both"/>
              <w:rPr>
                <w:b/>
              </w:rPr>
            </w:pPr>
            <w:r w:rsidRPr="005970A0">
              <w:rPr>
                <w:b/>
              </w:rPr>
              <w:t>Accuracy</w:t>
            </w:r>
          </w:p>
          <w:p w:rsidR="007056F1" w:rsidRPr="005970A0" w:rsidRDefault="007056F1" w:rsidP="007056F1">
            <w:pPr>
              <w:pStyle w:val="BodyText"/>
              <w:jc w:val="center"/>
            </w:pPr>
          </w:p>
        </w:tc>
        <w:tc>
          <w:tcPr>
            <w:tcW w:w="4078" w:type="pct"/>
          </w:tcPr>
          <w:p w:rsidR="002B4CC9" w:rsidRPr="005970A0" w:rsidRDefault="002B4CC9" w:rsidP="007056F1">
            <w:pPr>
              <w:spacing w:after="120"/>
              <w:jc w:val="both"/>
              <w:rPr>
                <w:rFonts w:ascii="Arial" w:hAnsi="Arial" w:cs="Arial"/>
                <w:sz w:val="20"/>
                <w:szCs w:val="20"/>
                <w:u w:val="single"/>
              </w:rPr>
            </w:pPr>
            <w:r w:rsidRPr="005970A0">
              <w:rPr>
                <w:rFonts w:ascii="Arial" w:hAnsi="Arial" w:cs="Arial"/>
                <w:sz w:val="20"/>
                <w:szCs w:val="20"/>
                <w:u w:val="single"/>
              </w:rPr>
              <w:t>VET student data:</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The National VET Provider Collection is a collection of all publicly funded training activity in Australia in a particular year. It is an administrative collection.</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 xml:space="preserve">Publicly funded registered training organisations submit unit record data directly to state/territory training authorities, who in turn submit the data to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Prior to submissions to </w:t>
            </w:r>
            <w:proofErr w:type="spellStart"/>
            <w:r w:rsidRPr="005970A0">
              <w:rPr>
                <w:rFonts w:ascii="Arial" w:hAnsi="Arial" w:cs="Arial"/>
                <w:sz w:val="20"/>
                <w:szCs w:val="20"/>
              </w:rPr>
              <w:t>NCVER</w:t>
            </w:r>
            <w:proofErr w:type="spellEnd"/>
            <w:r w:rsidRPr="005970A0">
              <w:rPr>
                <w:rFonts w:ascii="Arial" w:hAnsi="Arial" w:cs="Arial"/>
                <w:sz w:val="20"/>
                <w:szCs w:val="20"/>
              </w:rPr>
              <w:t>, data must first pass a validation process to ensure that data conforms to the Australian vocational education and training management information statistical standard (</w:t>
            </w:r>
            <w:proofErr w:type="spellStart"/>
            <w:r w:rsidRPr="005970A0">
              <w:rPr>
                <w:rFonts w:ascii="Arial" w:hAnsi="Arial" w:cs="Arial"/>
                <w:sz w:val="20"/>
                <w:szCs w:val="20"/>
              </w:rPr>
              <w:t>AVETMISS</w:t>
            </w:r>
            <w:proofErr w:type="spellEnd"/>
            <w:r w:rsidRPr="005970A0">
              <w:rPr>
                <w:rFonts w:ascii="Arial" w:hAnsi="Arial" w:cs="Arial"/>
                <w:sz w:val="20"/>
                <w:szCs w:val="20"/>
              </w:rPr>
              <w:t xml:space="preserve">) (Refer to </w:t>
            </w:r>
            <w:r w:rsidRPr="005970A0">
              <w:rPr>
                <w:rFonts w:ascii="Arial" w:hAnsi="Arial" w:cs="Arial"/>
                <w:sz w:val="20"/>
                <w:szCs w:val="20"/>
                <w:u w:val="single"/>
              </w:rPr>
              <w:t>http://</w:t>
            </w:r>
            <w:proofErr w:type="spellStart"/>
            <w:r w:rsidRPr="005970A0">
              <w:rPr>
                <w:rFonts w:ascii="Arial" w:hAnsi="Arial" w:cs="Arial"/>
                <w:sz w:val="20"/>
                <w:szCs w:val="20"/>
                <w:u w:val="single"/>
              </w:rPr>
              <w:t>www.ncver.edu.au</w:t>
            </w:r>
            <w:proofErr w:type="spellEnd"/>
            <w:r w:rsidRPr="005970A0">
              <w:rPr>
                <w:rFonts w:ascii="Arial" w:hAnsi="Arial" w:cs="Arial"/>
                <w:sz w:val="20"/>
                <w:szCs w:val="20"/>
                <w:u w:val="single"/>
              </w:rPr>
              <w:t>/</w:t>
            </w:r>
            <w:proofErr w:type="spellStart"/>
            <w:r w:rsidRPr="005970A0">
              <w:rPr>
                <w:rFonts w:ascii="Arial" w:hAnsi="Arial" w:cs="Arial"/>
                <w:sz w:val="20"/>
                <w:szCs w:val="20"/>
                <w:u w:val="single"/>
              </w:rPr>
              <w:t>avetmiss</w:t>
            </w:r>
            <w:proofErr w:type="spellEnd"/>
            <w:r w:rsidRPr="005970A0">
              <w:rPr>
                <w:rFonts w:ascii="Arial" w:hAnsi="Arial" w:cs="Arial"/>
                <w:sz w:val="20"/>
                <w:szCs w:val="20"/>
                <w:u w:val="single"/>
              </w:rPr>
              <w:t>/</w:t>
            </w:r>
            <w:proofErr w:type="spellStart"/>
            <w:r w:rsidRPr="005970A0">
              <w:rPr>
                <w:rFonts w:ascii="Arial" w:hAnsi="Arial" w:cs="Arial"/>
                <w:sz w:val="20"/>
                <w:szCs w:val="20"/>
                <w:u w:val="single"/>
              </w:rPr>
              <w:t>21055.html</w:t>
            </w:r>
            <w:proofErr w:type="spellEnd"/>
            <w:r w:rsidRPr="005970A0">
              <w:rPr>
                <w:rFonts w:ascii="Arial" w:hAnsi="Arial" w:cs="Arial"/>
                <w:sz w:val="20"/>
                <w:szCs w:val="20"/>
              </w:rPr>
              <w:t xml:space="preserve">). </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 xml:space="preserve">Once data submissions are received by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they are subjected to a comprehensive data quality checking program to ensure accurate reporting against agreed Key Performance Measures (</w:t>
            </w:r>
            <w:proofErr w:type="spellStart"/>
            <w:r w:rsidRPr="005970A0">
              <w:rPr>
                <w:rFonts w:ascii="Arial" w:hAnsi="Arial" w:cs="Arial"/>
                <w:sz w:val="20"/>
                <w:szCs w:val="20"/>
              </w:rPr>
              <w:t>KPMs</w:t>
            </w:r>
            <w:proofErr w:type="spellEnd"/>
            <w:r w:rsidRPr="005970A0">
              <w:rPr>
                <w:rFonts w:ascii="Arial" w:hAnsi="Arial" w:cs="Arial"/>
                <w:sz w:val="20"/>
                <w:szCs w:val="20"/>
              </w:rPr>
              <w:t xml:space="preserve">). </w:t>
            </w:r>
          </w:p>
          <w:p w:rsidR="004E6E88" w:rsidRPr="005970A0" w:rsidRDefault="004E6E88" w:rsidP="004E6E88">
            <w:pPr>
              <w:pStyle w:val="TableBodyText"/>
              <w:spacing w:after="120"/>
              <w:jc w:val="both"/>
              <w:rPr>
                <w:u w:val="single"/>
              </w:rPr>
            </w:pPr>
            <w:r w:rsidRPr="005970A0">
              <w:rPr>
                <w:u w:val="single"/>
              </w:rPr>
              <w:t>General population estimates (</w:t>
            </w:r>
            <w:proofErr w:type="spellStart"/>
            <w:r w:rsidRPr="005970A0">
              <w:rPr>
                <w:u w:val="single"/>
              </w:rPr>
              <w:t>ERP</w:t>
            </w:r>
            <w:proofErr w:type="spellEnd"/>
            <w:r w:rsidRPr="005970A0">
              <w:rPr>
                <w:u w:val="single"/>
              </w:rPr>
              <w:t>):</w:t>
            </w:r>
          </w:p>
          <w:p w:rsidR="004E6E88" w:rsidRPr="005970A0" w:rsidRDefault="004E6E88" w:rsidP="004E6E88">
            <w:pPr>
              <w:spacing w:after="80"/>
              <w:jc w:val="both"/>
              <w:rPr>
                <w:rFonts w:ascii="Arial" w:hAnsi="Arial" w:cs="Arial"/>
                <w:sz w:val="20"/>
                <w:szCs w:val="20"/>
              </w:rPr>
            </w:pPr>
            <w:r w:rsidRPr="005970A0">
              <w:rPr>
                <w:rFonts w:ascii="Arial" w:hAnsi="Arial" w:cs="Arial"/>
                <w:sz w:val="20"/>
                <w:szCs w:val="20"/>
              </w:rPr>
              <w:t xml:space="preserve">All </w:t>
            </w:r>
            <w:proofErr w:type="spellStart"/>
            <w:r w:rsidRPr="005970A0">
              <w:rPr>
                <w:rFonts w:ascii="Arial" w:hAnsi="Arial" w:cs="Arial"/>
                <w:sz w:val="20"/>
                <w:szCs w:val="20"/>
              </w:rPr>
              <w:t>ERP</w:t>
            </w:r>
            <w:proofErr w:type="spellEnd"/>
            <w:r w:rsidRPr="005970A0">
              <w:rPr>
                <w:rFonts w:ascii="Arial" w:hAnsi="Arial" w:cs="Arial"/>
                <w:sz w:val="20"/>
                <w:szCs w:val="20"/>
              </w:rPr>
              <w:t xml:space="preserve"> data sources are subject to non-sampling error. Non-sampling error can arise from inaccuracies in collecting, recording and processing the data. The ABS does not have control over any non-sampling error associated with births, deaths and migration data (see institutional environment). For more information see the Demography Working Paper 1998/2 - Quarterly birth and death estimates, 1998 (cat. no. 3114.0) and Population Estimates: Concepts, Sources and Methods, 2009 (cat. no. 3228.0.55.001).</w:t>
            </w:r>
          </w:p>
          <w:p w:rsidR="00033993" w:rsidRDefault="00033993" w:rsidP="004E6E88">
            <w:pPr>
              <w:spacing w:after="80"/>
              <w:jc w:val="both"/>
              <w:rPr>
                <w:rFonts w:ascii="Arial" w:hAnsi="Arial" w:cs="Arial"/>
                <w:sz w:val="20"/>
                <w:szCs w:val="20"/>
              </w:rPr>
            </w:pPr>
          </w:p>
          <w:p w:rsidR="004E6E88" w:rsidRPr="005970A0" w:rsidRDefault="004E6E88" w:rsidP="004E6E88">
            <w:pPr>
              <w:spacing w:after="80"/>
              <w:jc w:val="both"/>
              <w:rPr>
                <w:rFonts w:ascii="Arial" w:hAnsi="Arial" w:cs="Arial"/>
                <w:sz w:val="20"/>
                <w:szCs w:val="20"/>
              </w:rPr>
            </w:pPr>
            <w:r w:rsidRPr="005970A0">
              <w:rPr>
                <w:rFonts w:ascii="Arial" w:hAnsi="Arial" w:cs="Arial"/>
                <w:sz w:val="20"/>
                <w:szCs w:val="20"/>
              </w:rPr>
              <w:lastRenderedPageBreak/>
              <w:t>After each Census the ABS uses the Census population count to update the original series of published quarterly population estimates since the previous Census. For example, 2011 Census results were used to update quarterly population estimates between the 2006 and 2011 Census. For more information on rebasing see the feature article in the December quarter 2011 issue of Australian Demographic Statistics (cat. no. 3101.0).</w:t>
            </w:r>
          </w:p>
          <w:p w:rsidR="004E6E88" w:rsidRPr="005970A0" w:rsidRDefault="004E6E88" w:rsidP="004E6E88">
            <w:pPr>
              <w:pStyle w:val="TableBodyText"/>
              <w:spacing w:after="120"/>
              <w:jc w:val="both"/>
              <w:rPr>
                <w:u w:val="single"/>
              </w:rPr>
            </w:pPr>
            <w:r w:rsidRPr="005970A0">
              <w:rPr>
                <w:u w:val="single"/>
              </w:rPr>
              <w:t>Indigenous population estimates:</w:t>
            </w:r>
          </w:p>
          <w:p w:rsidR="004E6E88" w:rsidRPr="005970A0" w:rsidRDefault="004E6E88" w:rsidP="004E6E88">
            <w:pPr>
              <w:spacing w:after="80"/>
              <w:jc w:val="both"/>
              <w:rPr>
                <w:rFonts w:ascii="Arial" w:hAnsi="Arial" w:cs="Arial"/>
                <w:sz w:val="20"/>
                <w:szCs w:val="20"/>
              </w:rPr>
            </w:pPr>
            <w:r w:rsidRPr="005970A0">
              <w:rPr>
                <w:rFonts w:ascii="Arial" w:hAnsi="Arial" w:cs="Arial"/>
                <w:sz w:val="20"/>
                <w:szCs w:val="20"/>
              </w:rPr>
              <w:t>The estimates of the Indigenous population are based on results of the 2006 Census of Population and Housing, adjusted for net undercount as measured by the Post Enumeration Survey (</w:t>
            </w:r>
            <w:proofErr w:type="spellStart"/>
            <w:r w:rsidRPr="005970A0">
              <w:rPr>
                <w:rFonts w:ascii="Arial" w:hAnsi="Arial" w:cs="Arial"/>
                <w:sz w:val="20"/>
                <w:szCs w:val="20"/>
              </w:rPr>
              <w:t>PES</w:t>
            </w:r>
            <w:proofErr w:type="spellEnd"/>
            <w:r w:rsidRPr="005970A0">
              <w:rPr>
                <w:rFonts w:ascii="Arial" w:hAnsi="Arial" w:cs="Arial"/>
                <w:sz w:val="20"/>
                <w:szCs w:val="20"/>
              </w:rPr>
              <w:t xml:space="preserve">). </w:t>
            </w:r>
          </w:p>
          <w:p w:rsidR="002E6155" w:rsidRPr="005970A0" w:rsidRDefault="004E6E88" w:rsidP="004E6E88">
            <w:pPr>
              <w:spacing w:after="120"/>
              <w:jc w:val="both"/>
              <w:rPr>
                <w:rFonts w:ascii="Arial" w:hAnsi="Arial" w:cs="Arial"/>
                <w:sz w:val="20"/>
                <w:szCs w:val="20"/>
              </w:rPr>
            </w:pPr>
            <w:r w:rsidRPr="005970A0">
              <w:rPr>
                <w:rFonts w:ascii="Arial" w:hAnsi="Arial" w:cs="Arial"/>
                <w:sz w:val="20"/>
                <w:szCs w:val="20"/>
              </w:rPr>
              <w:t xml:space="preserve">The ABS conducts the </w:t>
            </w:r>
            <w:proofErr w:type="spellStart"/>
            <w:r w:rsidRPr="005970A0">
              <w:rPr>
                <w:rFonts w:ascii="Arial" w:hAnsi="Arial" w:cs="Arial"/>
                <w:sz w:val="20"/>
                <w:szCs w:val="20"/>
              </w:rPr>
              <w:t>PES</w:t>
            </w:r>
            <w:proofErr w:type="spellEnd"/>
            <w:r w:rsidRPr="005970A0">
              <w:rPr>
                <w:rFonts w:ascii="Arial" w:hAnsi="Arial" w:cs="Arial"/>
                <w:sz w:val="20"/>
                <w:szCs w:val="20"/>
              </w:rPr>
              <w:t xml:space="preserve"> shortly after the census to determine how many people were missed in the census and how many were counted more than once. For 2006, the net undercount of the Indigenous population was 59,200 persons. The extent of </w:t>
            </w:r>
            <w:proofErr w:type="spellStart"/>
            <w:r w:rsidRPr="005970A0">
              <w:rPr>
                <w:rFonts w:ascii="Arial" w:hAnsi="Arial" w:cs="Arial"/>
                <w:sz w:val="20"/>
                <w:szCs w:val="20"/>
              </w:rPr>
              <w:t>undercoverage</w:t>
            </w:r>
            <w:proofErr w:type="spellEnd"/>
            <w:r w:rsidRPr="005970A0">
              <w:rPr>
                <w:rFonts w:ascii="Arial" w:hAnsi="Arial" w:cs="Arial"/>
                <w:sz w:val="20"/>
                <w:szCs w:val="20"/>
              </w:rPr>
              <w:t xml:space="preserve"> of Indigenous Australians in the 2006 Census, the relatively small sample size of the </w:t>
            </w:r>
            <w:proofErr w:type="spellStart"/>
            <w:r w:rsidRPr="005970A0">
              <w:rPr>
                <w:rFonts w:ascii="Arial" w:hAnsi="Arial" w:cs="Arial"/>
                <w:sz w:val="20"/>
                <w:szCs w:val="20"/>
              </w:rPr>
              <w:t>PES</w:t>
            </w:r>
            <w:proofErr w:type="spellEnd"/>
            <w:r w:rsidRPr="005970A0">
              <w:rPr>
                <w:rFonts w:ascii="Arial" w:hAnsi="Arial" w:cs="Arial"/>
                <w:sz w:val="20"/>
                <w:szCs w:val="20"/>
              </w:rPr>
              <w:t xml:space="preserve"> to adjust for that </w:t>
            </w:r>
            <w:proofErr w:type="spellStart"/>
            <w:r w:rsidRPr="005970A0">
              <w:rPr>
                <w:rFonts w:ascii="Arial" w:hAnsi="Arial" w:cs="Arial"/>
                <w:sz w:val="20"/>
                <w:szCs w:val="20"/>
              </w:rPr>
              <w:t>undercoverage</w:t>
            </w:r>
            <w:proofErr w:type="spellEnd"/>
            <w:r w:rsidRPr="005970A0">
              <w:rPr>
                <w:rFonts w:ascii="Arial" w:hAnsi="Arial" w:cs="Arial"/>
                <w:sz w:val="20"/>
                <w:szCs w:val="20"/>
              </w:rPr>
              <w:t>, and the number of records with unknown Indigenous status means that 2006 population estimates should be interpreted with caution, and are therefore labelled experimental. For more information see Experimental Estimates and Aboriginal and Torres Strait Islander Australians, Jun 2006 (cat. no. 3238.0.55.001).</w:t>
            </w:r>
          </w:p>
        </w:tc>
      </w:tr>
      <w:tr w:rsidR="005970A0" w:rsidRPr="005970A0" w:rsidTr="007056F1">
        <w:tc>
          <w:tcPr>
            <w:tcW w:w="922" w:type="pct"/>
            <w:gridSpan w:val="2"/>
          </w:tcPr>
          <w:p w:rsidR="007056F1" w:rsidRPr="005970A0" w:rsidRDefault="007056F1" w:rsidP="007056F1">
            <w:pPr>
              <w:pStyle w:val="TableBodyText"/>
              <w:jc w:val="both"/>
              <w:rPr>
                <w:b/>
              </w:rPr>
            </w:pPr>
            <w:r w:rsidRPr="005970A0">
              <w:rPr>
                <w:b/>
              </w:rPr>
              <w:lastRenderedPageBreak/>
              <w:t>Coherence</w:t>
            </w:r>
          </w:p>
        </w:tc>
        <w:tc>
          <w:tcPr>
            <w:tcW w:w="4078" w:type="pct"/>
          </w:tcPr>
          <w:p w:rsidR="002B4CC9" w:rsidRPr="005970A0" w:rsidRDefault="002B4CC9" w:rsidP="002B4CC9">
            <w:pPr>
              <w:spacing w:after="120"/>
              <w:jc w:val="both"/>
              <w:rPr>
                <w:rFonts w:ascii="Arial" w:hAnsi="Arial" w:cs="Arial"/>
                <w:sz w:val="20"/>
                <w:szCs w:val="20"/>
                <w:u w:val="single"/>
              </w:rPr>
            </w:pPr>
            <w:r w:rsidRPr="005970A0">
              <w:rPr>
                <w:rFonts w:ascii="Arial" w:hAnsi="Arial" w:cs="Arial"/>
                <w:sz w:val="20"/>
                <w:szCs w:val="20"/>
                <w:u w:val="single"/>
              </w:rPr>
              <w:t>VET student data:</w:t>
            </w:r>
          </w:p>
          <w:p w:rsidR="007056F1" w:rsidRPr="005970A0" w:rsidRDefault="007056F1" w:rsidP="002E6155">
            <w:pPr>
              <w:pStyle w:val="TableBodyText"/>
              <w:keepNext w:val="0"/>
              <w:keepLines w:val="0"/>
              <w:spacing w:after="0" w:line="240" w:lineRule="auto"/>
              <w:ind w:left="0" w:right="0"/>
              <w:jc w:val="both"/>
            </w:pPr>
            <w:proofErr w:type="spellStart"/>
            <w:r w:rsidRPr="005970A0">
              <w:t>AVETMISS</w:t>
            </w:r>
            <w:proofErr w:type="spellEnd"/>
            <w:r w:rsidRPr="005970A0">
              <w:t xml:space="preserve"> provides the foundation for nationally comparable data and includes a range of data items relevant to the VET system. </w:t>
            </w:r>
            <w:r w:rsidR="00DF031A" w:rsidRPr="005970A0">
              <w:t xml:space="preserve">From 2007, data comply with release 6.0 of </w:t>
            </w:r>
            <w:proofErr w:type="spellStart"/>
            <w:r w:rsidR="00DF031A" w:rsidRPr="005970A0">
              <w:t>AVETMISS</w:t>
            </w:r>
            <w:proofErr w:type="spellEnd"/>
            <w:r w:rsidR="00DF031A" w:rsidRPr="005970A0">
              <w:t xml:space="preserve">, whereas previous collections complied with earlier releases. For details, see </w:t>
            </w:r>
            <w:r w:rsidR="00DF031A" w:rsidRPr="00D86CD7">
              <w:t>http://</w:t>
            </w:r>
            <w:proofErr w:type="spellStart"/>
            <w:r w:rsidR="00DF031A" w:rsidRPr="00D86CD7">
              <w:t>www.ncver.edu.au</w:t>
            </w:r>
            <w:proofErr w:type="spellEnd"/>
            <w:r w:rsidR="00DF031A" w:rsidRPr="00D86CD7">
              <w:t>/</w:t>
            </w:r>
            <w:proofErr w:type="spellStart"/>
            <w:r w:rsidR="00DF031A" w:rsidRPr="00D86CD7">
              <w:t>avetmiss</w:t>
            </w:r>
            <w:proofErr w:type="spellEnd"/>
            <w:r w:rsidR="00DF031A" w:rsidRPr="00D86CD7">
              <w:t>/</w:t>
            </w:r>
            <w:proofErr w:type="spellStart"/>
            <w:r w:rsidR="00DF031A" w:rsidRPr="00D86CD7">
              <w:t>21055.html</w:t>
            </w:r>
            <w:proofErr w:type="spellEnd"/>
            <w:r w:rsidR="00DF031A" w:rsidRPr="00EC5E2C">
              <w:t xml:space="preserve">. From 2012, data comply with release 6.1 of </w:t>
            </w:r>
            <w:proofErr w:type="spellStart"/>
            <w:r w:rsidR="00DF031A" w:rsidRPr="00EC5E2C">
              <w:t>AVETMISS</w:t>
            </w:r>
            <w:proofErr w:type="spellEnd"/>
            <w:r w:rsidR="00DF031A" w:rsidRPr="00EC5E2C">
              <w:t>, whereas previous collections complied with earlier releases. For details, see http://</w:t>
            </w:r>
            <w:proofErr w:type="spellStart"/>
            <w:r w:rsidR="00DF031A" w:rsidRPr="00EC5E2C">
              <w:t>www.ncver.edu.au</w:t>
            </w:r>
            <w:proofErr w:type="spellEnd"/>
            <w:r w:rsidR="00DF031A" w:rsidRPr="00EC5E2C">
              <w:t>/</w:t>
            </w:r>
            <w:proofErr w:type="spellStart"/>
            <w:r w:rsidR="00DF031A" w:rsidRPr="00EC5E2C">
              <w:t>avetmiss</w:t>
            </w:r>
            <w:proofErr w:type="spellEnd"/>
            <w:r w:rsidR="00DF031A" w:rsidRPr="00EC5E2C">
              <w:t>/</w:t>
            </w:r>
            <w:proofErr w:type="spellStart"/>
            <w:r w:rsidR="00DF031A" w:rsidRPr="00EC5E2C">
              <w:t>21055.html</w:t>
            </w:r>
            <w:proofErr w:type="spellEnd"/>
            <w:r w:rsidR="00DF031A" w:rsidRPr="00EC5E2C">
              <w:t>.</w:t>
            </w:r>
          </w:p>
          <w:p w:rsidR="002B4CC9" w:rsidRPr="005970A0" w:rsidRDefault="002B4CC9" w:rsidP="002B4CC9">
            <w:pPr>
              <w:pStyle w:val="TableBodyText"/>
              <w:spacing w:before="240" w:after="120"/>
              <w:jc w:val="both"/>
            </w:pPr>
            <w:r w:rsidRPr="005970A0">
              <w:rPr>
                <w:u w:val="single"/>
              </w:rPr>
              <w:t>General population estimates (</w:t>
            </w:r>
            <w:proofErr w:type="spellStart"/>
            <w:r w:rsidRPr="005970A0">
              <w:rPr>
                <w:u w:val="single"/>
              </w:rPr>
              <w:t>ERP</w:t>
            </w:r>
            <w:proofErr w:type="spellEnd"/>
            <w:r w:rsidRPr="005970A0">
              <w:rPr>
                <w:u w:val="single"/>
              </w:rPr>
              <w:t>)</w:t>
            </w:r>
            <w:r w:rsidRPr="005970A0">
              <w:t>:</w:t>
            </w:r>
          </w:p>
          <w:p w:rsidR="002B4CC9" w:rsidRPr="005970A0" w:rsidRDefault="002B4CC9" w:rsidP="002B4CC9">
            <w:pPr>
              <w:pStyle w:val="TableBodyText"/>
              <w:spacing w:after="120"/>
              <w:jc w:val="both"/>
            </w:pPr>
            <w:proofErr w:type="spellStart"/>
            <w:r w:rsidRPr="005970A0">
              <w:t>ERP</w:t>
            </w:r>
            <w:proofErr w:type="spellEnd"/>
            <w:r w:rsidRPr="005970A0">
              <w:t xml:space="preserve"> is derived from usual residence census counts, to which is added the estimated net census undercount and Australian residents temporarily overseas at the time of the census (overseas visitors in Australia are excluded from this calculation). </w:t>
            </w:r>
          </w:p>
          <w:p w:rsidR="002B4CC9" w:rsidRPr="005970A0" w:rsidRDefault="002B4CC9" w:rsidP="002B4CC9">
            <w:pPr>
              <w:pStyle w:val="TableBodyText"/>
              <w:spacing w:after="120"/>
              <w:jc w:val="both"/>
            </w:pPr>
            <w:r w:rsidRPr="005970A0">
              <w:t>An improved method for calculating Net Overseas Migration (NOM) was applied from September quarter 2006 onwards. For further information see Information Paper: Improving Net Overseas Migration Estimation, Mar 2010 (cat. no. 3412.0.55.001).</w:t>
            </w:r>
          </w:p>
          <w:p w:rsidR="002B4CC9" w:rsidRPr="005970A0" w:rsidRDefault="002B4CC9" w:rsidP="002E6155">
            <w:pPr>
              <w:pStyle w:val="TableBodyText"/>
              <w:spacing w:after="80"/>
              <w:jc w:val="both"/>
            </w:pPr>
            <w:r w:rsidRPr="005970A0">
              <w:rPr>
                <w:u w:val="single"/>
              </w:rPr>
              <w:t>Indigenous population estimates</w:t>
            </w:r>
            <w:r w:rsidRPr="005970A0">
              <w:t>:</w:t>
            </w:r>
          </w:p>
          <w:p w:rsidR="007056F1" w:rsidRPr="005970A0" w:rsidRDefault="002B4CC9" w:rsidP="002E6155">
            <w:pPr>
              <w:pStyle w:val="TableBodyText"/>
              <w:keepNext w:val="0"/>
              <w:keepLines w:val="0"/>
              <w:spacing w:after="80" w:line="240" w:lineRule="auto"/>
              <w:ind w:left="0" w:right="0"/>
              <w:jc w:val="both"/>
            </w:pPr>
            <w:r w:rsidRPr="005970A0">
              <w:t xml:space="preserve">The estimates and projections presented in the </w:t>
            </w:r>
            <w:r w:rsidR="001305D2" w:rsidRPr="005970A0">
              <w:t>source</w:t>
            </w:r>
            <w:r w:rsidRPr="005970A0">
              <w:t xml:space="preserve"> publication are not consistent with estimates and projections based on 2001 or previous censuses. As the assumptions used in each successive set of Indigenous population estimates and projections incorporate recent trends, comparison of data across issues of this publication is not advised.</w:t>
            </w:r>
          </w:p>
        </w:tc>
      </w:tr>
    </w:tbl>
    <w:p w:rsidR="00033993" w:rsidRDefault="00033993">
      <w:r>
        <w:br w:type="page"/>
      </w:r>
    </w:p>
    <w:tbl>
      <w:tblPr>
        <w:tblW w:w="5000" w:type="pct"/>
        <w:tblLayout w:type="fixed"/>
        <w:tblCellMar>
          <w:left w:w="0" w:type="dxa"/>
          <w:right w:w="0" w:type="dxa"/>
        </w:tblCellMar>
        <w:tblLook w:val="0000" w:firstRow="0" w:lastRow="0" w:firstColumn="0" w:lastColumn="0" w:noHBand="0" w:noVBand="0"/>
      </w:tblPr>
      <w:tblGrid>
        <w:gridCol w:w="1621"/>
        <w:gridCol w:w="7168"/>
      </w:tblGrid>
      <w:tr w:rsidR="005970A0" w:rsidRPr="005970A0" w:rsidTr="007056F1">
        <w:tc>
          <w:tcPr>
            <w:tcW w:w="922" w:type="pct"/>
          </w:tcPr>
          <w:p w:rsidR="007056F1" w:rsidRPr="005970A0" w:rsidRDefault="007056F1" w:rsidP="007056F1">
            <w:pPr>
              <w:pStyle w:val="TableBodyText"/>
              <w:jc w:val="both"/>
              <w:rPr>
                <w:b/>
              </w:rPr>
            </w:pPr>
            <w:r w:rsidRPr="005970A0">
              <w:rPr>
                <w:b/>
              </w:rPr>
              <w:lastRenderedPageBreak/>
              <w:t>Accessibility</w:t>
            </w:r>
          </w:p>
        </w:tc>
        <w:tc>
          <w:tcPr>
            <w:tcW w:w="4078" w:type="pct"/>
          </w:tcPr>
          <w:p w:rsidR="002B4CC9" w:rsidRPr="005970A0" w:rsidRDefault="002B4CC9" w:rsidP="002B4CC9">
            <w:pPr>
              <w:spacing w:after="120"/>
              <w:jc w:val="both"/>
              <w:rPr>
                <w:rFonts w:ascii="Arial" w:hAnsi="Arial" w:cs="Arial"/>
                <w:sz w:val="20"/>
                <w:szCs w:val="20"/>
              </w:rPr>
            </w:pPr>
            <w:r w:rsidRPr="005970A0">
              <w:rPr>
                <w:rFonts w:ascii="Arial" w:hAnsi="Arial" w:cs="Arial"/>
                <w:sz w:val="20"/>
                <w:szCs w:val="20"/>
                <w:u w:val="single"/>
              </w:rPr>
              <w:t>VET student data</w:t>
            </w:r>
            <w:r w:rsidRPr="005970A0">
              <w:rPr>
                <w:rFonts w:ascii="Arial" w:hAnsi="Arial" w:cs="Arial"/>
                <w:sz w:val="20"/>
                <w:szCs w:val="20"/>
              </w:rPr>
              <w:t>:</w:t>
            </w:r>
          </w:p>
          <w:p w:rsidR="002B4CC9" w:rsidRPr="005970A0" w:rsidRDefault="002B4CC9" w:rsidP="002B4CC9">
            <w:pPr>
              <w:spacing w:after="120"/>
              <w:jc w:val="both"/>
              <w:rPr>
                <w:rFonts w:ascii="Arial" w:hAnsi="Arial" w:cs="Arial"/>
                <w:sz w:val="20"/>
                <w:szCs w:val="20"/>
              </w:rPr>
            </w:pPr>
            <w:r w:rsidRPr="005970A0">
              <w:rPr>
                <w:rFonts w:ascii="Arial" w:hAnsi="Arial" w:cs="Arial"/>
                <w:sz w:val="20"/>
                <w:szCs w:val="20"/>
              </w:rPr>
              <w:t xml:space="preserve">Summary information is available free of charge in Students and Courses on </w:t>
            </w:r>
            <w:proofErr w:type="spellStart"/>
            <w:r w:rsidRPr="005970A0">
              <w:rPr>
                <w:rFonts w:ascii="Arial" w:hAnsi="Arial" w:cs="Arial"/>
                <w:sz w:val="20"/>
                <w:szCs w:val="20"/>
              </w:rPr>
              <w:t>NCVER’s</w:t>
            </w:r>
            <w:proofErr w:type="spellEnd"/>
            <w:r w:rsidRPr="005970A0">
              <w:rPr>
                <w:rFonts w:ascii="Arial" w:hAnsi="Arial" w:cs="Arial"/>
                <w:sz w:val="20"/>
                <w:szCs w:val="20"/>
              </w:rPr>
              <w:t xml:space="preserve"> website at: http://</w:t>
            </w:r>
            <w:proofErr w:type="spellStart"/>
            <w:r w:rsidRPr="005970A0">
              <w:rPr>
                <w:rFonts w:ascii="Arial" w:hAnsi="Arial" w:cs="Arial"/>
                <w:sz w:val="20"/>
                <w:szCs w:val="20"/>
              </w:rPr>
              <w:t>www.ncver.edu.au</w:t>
            </w:r>
            <w:proofErr w:type="spellEnd"/>
            <w:r w:rsidRPr="005970A0">
              <w:rPr>
                <w:rFonts w:ascii="Arial" w:hAnsi="Arial" w:cs="Arial"/>
                <w:sz w:val="20"/>
                <w:szCs w:val="20"/>
              </w:rPr>
              <w:t>/statistic/</w:t>
            </w:r>
            <w:proofErr w:type="spellStart"/>
            <w:r w:rsidRPr="005970A0">
              <w:rPr>
                <w:rFonts w:ascii="Arial" w:hAnsi="Arial" w:cs="Arial"/>
                <w:sz w:val="20"/>
                <w:szCs w:val="20"/>
              </w:rPr>
              <w:t>21053.html</w:t>
            </w:r>
            <w:proofErr w:type="spellEnd"/>
            <w:r w:rsidRPr="005970A0">
              <w:rPr>
                <w:rFonts w:ascii="Arial" w:hAnsi="Arial" w:cs="Arial"/>
                <w:sz w:val="20"/>
                <w:szCs w:val="20"/>
              </w:rPr>
              <w:t xml:space="preserve">. Requests for more detailed statistical information can be made to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on (08) 8230 8400 or </w:t>
            </w:r>
            <w:proofErr w:type="spellStart"/>
            <w:r w:rsidRPr="005970A0">
              <w:rPr>
                <w:rFonts w:ascii="Arial" w:hAnsi="Arial" w:cs="Arial"/>
                <w:sz w:val="20"/>
                <w:szCs w:val="20"/>
              </w:rPr>
              <w:t>vet_req@ncver.edu.au</w:t>
            </w:r>
            <w:proofErr w:type="spellEnd"/>
          </w:p>
          <w:p w:rsidR="007056F1" w:rsidRPr="005970A0" w:rsidRDefault="002B4CC9" w:rsidP="00EC5E2C">
            <w:pPr>
              <w:pStyle w:val="TableBodyText"/>
              <w:keepNext w:val="0"/>
              <w:keepLines w:val="0"/>
              <w:spacing w:after="120" w:line="240" w:lineRule="auto"/>
              <w:ind w:left="0" w:right="0"/>
              <w:jc w:val="both"/>
              <w:rPr>
                <w:rFonts w:cs="Arial"/>
              </w:rPr>
            </w:pPr>
            <w:r w:rsidRPr="005970A0">
              <w:rPr>
                <w:rFonts w:cs="Arial"/>
              </w:rPr>
              <w:t xml:space="preserve">A charge will be generally made by the </w:t>
            </w:r>
            <w:proofErr w:type="spellStart"/>
            <w:r w:rsidRPr="005970A0">
              <w:rPr>
                <w:rFonts w:cs="Arial"/>
              </w:rPr>
              <w:t>NCVER</w:t>
            </w:r>
            <w:proofErr w:type="spellEnd"/>
            <w:r w:rsidRPr="005970A0">
              <w:rPr>
                <w:rFonts w:cs="Arial"/>
              </w:rPr>
              <w:t xml:space="preserve"> for more complex requests for information. See </w:t>
            </w:r>
            <w:proofErr w:type="spellStart"/>
            <w:r w:rsidRPr="005970A0">
              <w:rPr>
                <w:rFonts w:cs="Arial"/>
              </w:rPr>
              <w:t>NCVER’s</w:t>
            </w:r>
            <w:proofErr w:type="spellEnd"/>
            <w:r w:rsidRPr="005970A0">
              <w:rPr>
                <w:rFonts w:cs="Arial"/>
              </w:rPr>
              <w:t xml:space="preserve"> fees and charges policy at http://</w:t>
            </w:r>
            <w:proofErr w:type="spellStart"/>
            <w:r w:rsidRPr="005970A0">
              <w:rPr>
                <w:rFonts w:cs="Arial"/>
              </w:rPr>
              <w:t>www.ncver.edu.au</w:t>
            </w:r>
            <w:proofErr w:type="spellEnd"/>
            <w:r w:rsidRPr="005970A0">
              <w:rPr>
                <w:rFonts w:cs="Arial"/>
              </w:rPr>
              <w:t>/statistic/</w:t>
            </w:r>
            <w:proofErr w:type="spellStart"/>
            <w:r w:rsidRPr="005970A0">
              <w:rPr>
                <w:rFonts w:cs="Arial"/>
              </w:rPr>
              <w:t>21075.html</w:t>
            </w:r>
            <w:proofErr w:type="spellEnd"/>
          </w:p>
          <w:p w:rsidR="004A75E6" w:rsidRPr="004A75E6" w:rsidRDefault="004A75E6" w:rsidP="00EC5E2C">
            <w:pPr>
              <w:spacing w:after="120"/>
              <w:jc w:val="both"/>
              <w:rPr>
                <w:rFonts w:ascii="Arial" w:hAnsi="Arial" w:cs="Arial"/>
                <w:sz w:val="20"/>
                <w:szCs w:val="20"/>
              </w:rPr>
            </w:pPr>
            <w:r w:rsidRPr="004A75E6">
              <w:rPr>
                <w:rFonts w:ascii="Arial" w:hAnsi="Arial" w:cs="Arial"/>
                <w:sz w:val="20"/>
                <w:szCs w:val="20"/>
              </w:rPr>
              <w:t>Student remoteness is based on the Access/Remoteness Index of Australia (ARIA+), which was developed by the National Centre for Social Applications of Geographic Information Systems (</w:t>
            </w:r>
            <w:proofErr w:type="spellStart"/>
            <w:r w:rsidRPr="004A75E6">
              <w:rPr>
                <w:rFonts w:ascii="Arial" w:hAnsi="Arial" w:cs="Arial"/>
                <w:sz w:val="20"/>
                <w:szCs w:val="20"/>
              </w:rPr>
              <w:t>GISCA</w:t>
            </w:r>
            <w:proofErr w:type="spellEnd"/>
            <w:r w:rsidRPr="004A75E6">
              <w:rPr>
                <w:rFonts w:ascii="Arial" w:hAnsi="Arial" w:cs="Arial"/>
                <w:sz w:val="20"/>
                <w:szCs w:val="20"/>
              </w:rPr>
              <w:t xml:space="preserve">). ARIA+ is now the standard ABS-endorsed measure of remoteness. From 2011, Student remoteness (ARIA+) is determined from ARIA+ remoteness regions and ABS </w:t>
            </w:r>
            <w:proofErr w:type="spellStart"/>
            <w:r w:rsidRPr="004A75E6">
              <w:rPr>
                <w:rFonts w:ascii="Arial" w:hAnsi="Arial" w:cs="Arial"/>
                <w:sz w:val="20"/>
                <w:szCs w:val="20"/>
              </w:rPr>
              <w:t>SA2</w:t>
            </w:r>
            <w:proofErr w:type="spellEnd"/>
            <w:r w:rsidRPr="004A75E6">
              <w:rPr>
                <w:rFonts w:ascii="Arial" w:hAnsi="Arial" w:cs="Arial"/>
                <w:sz w:val="20"/>
                <w:szCs w:val="20"/>
              </w:rPr>
              <w:t xml:space="preserve"> regions. Data prior to 2011 is based on ABS postal areas and ARIA+. Student remoteness (ARIA+) regions use the same ARIA+ ranges as the ABS remoteness areas and are therefore an approximation of the ABS remoteness areas. For more details of ARIA+ refer to &lt;</w:t>
            </w:r>
            <w:r w:rsidRPr="00D86CD7">
              <w:rPr>
                <w:rFonts w:ascii="Arial" w:hAnsi="Arial" w:cs="Arial"/>
                <w:sz w:val="20"/>
                <w:szCs w:val="20"/>
              </w:rPr>
              <w:t>www.adelaide.edu.au/apmrc/research/projects/category/about_aria.html</w:t>
            </w:r>
            <w:r w:rsidRPr="004A75E6">
              <w:rPr>
                <w:rFonts w:ascii="Arial" w:hAnsi="Arial" w:cs="Arial"/>
                <w:sz w:val="20"/>
                <w:szCs w:val="20"/>
              </w:rPr>
              <w:t>&gt;</w:t>
            </w:r>
          </w:p>
          <w:p w:rsidR="002B4CC9" w:rsidRPr="005970A0" w:rsidRDefault="002B4CC9" w:rsidP="00033993">
            <w:pPr>
              <w:pStyle w:val="TableBodyText"/>
              <w:spacing w:before="120" w:after="120"/>
              <w:jc w:val="both"/>
              <w:rPr>
                <w:rFonts w:cs="Arial"/>
              </w:rPr>
            </w:pPr>
            <w:proofErr w:type="spellStart"/>
            <w:r w:rsidRPr="005970A0">
              <w:rPr>
                <w:rFonts w:cs="Arial"/>
                <w:u w:val="single"/>
              </w:rPr>
              <w:t>ERP</w:t>
            </w:r>
            <w:proofErr w:type="spellEnd"/>
            <w:r w:rsidRPr="005970A0">
              <w:rPr>
                <w:rFonts w:cs="Arial"/>
                <w:u w:val="single"/>
              </w:rPr>
              <w:t xml:space="preserve"> and Indigenous population estimates</w:t>
            </w:r>
            <w:r w:rsidRPr="005970A0">
              <w:rPr>
                <w:rFonts w:cs="Arial"/>
              </w:rPr>
              <w:t>:</w:t>
            </w:r>
          </w:p>
          <w:p w:rsidR="007056F1" w:rsidRPr="005970A0" w:rsidRDefault="002B4CC9" w:rsidP="002B4CC9">
            <w:pPr>
              <w:pStyle w:val="TableBodyText"/>
              <w:keepNext w:val="0"/>
              <w:keepLines w:val="0"/>
              <w:spacing w:after="120" w:line="240" w:lineRule="auto"/>
              <w:ind w:left="0" w:right="0"/>
              <w:jc w:val="both"/>
            </w:pPr>
            <w:proofErr w:type="spellStart"/>
            <w:r w:rsidRPr="005970A0">
              <w:rPr>
                <w:rFonts w:cs="Arial"/>
              </w:rPr>
              <w:t>ERP</w:t>
            </w:r>
            <w:proofErr w:type="spellEnd"/>
            <w:r w:rsidRPr="005970A0">
              <w:rPr>
                <w:rFonts w:cs="Arial"/>
              </w:rPr>
              <w:t xml:space="preserve"> and Indigenous population estimates are available in a variety of formats on the ABS website under the 3101.0, 3201.0 and 3238.0 product families and include time series spread sheets on population change, components of change. If the information is not available as a standard product, then ABS Consultancy Services can help with customised services. The National Information and Referral Service at the ABS can be contacted with inquiries about specific data requirements on 1300 135 070 or email </w:t>
            </w:r>
            <w:proofErr w:type="spellStart"/>
            <w:r w:rsidRPr="005970A0">
              <w:rPr>
                <w:rFonts w:cs="Arial"/>
              </w:rPr>
              <w:t>client.services@abs.gov.au</w:t>
            </w:r>
            <w:proofErr w:type="spellEnd"/>
          </w:p>
        </w:tc>
      </w:tr>
      <w:tr w:rsidR="005970A0" w:rsidRPr="005970A0" w:rsidTr="007056F1">
        <w:tc>
          <w:tcPr>
            <w:tcW w:w="922" w:type="pct"/>
          </w:tcPr>
          <w:p w:rsidR="007056F1" w:rsidRPr="005970A0" w:rsidRDefault="007056F1" w:rsidP="007056F1">
            <w:pPr>
              <w:pStyle w:val="TableBodyText"/>
              <w:jc w:val="both"/>
              <w:rPr>
                <w:b/>
              </w:rPr>
            </w:pPr>
            <w:r w:rsidRPr="005970A0">
              <w:rPr>
                <w:b/>
              </w:rPr>
              <w:t>Interpretability</w:t>
            </w:r>
          </w:p>
        </w:tc>
        <w:tc>
          <w:tcPr>
            <w:tcW w:w="4078" w:type="pct"/>
          </w:tcPr>
          <w:p w:rsidR="002B4CC9" w:rsidRPr="005970A0" w:rsidRDefault="002B4CC9" w:rsidP="002B4CC9">
            <w:pPr>
              <w:spacing w:after="120"/>
              <w:jc w:val="both"/>
              <w:rPr>
                <w:rFonts w:ascii="Arial" w:hAnsi="Arial" w:cs="Arial"/>
                <w:sz w:val="20"/>
                <w:szCs w:val="20"/>
                <w:u w:val="single"/>
              </w:rPr>
            </w:pPr>
            <w:r w:rsidRPr="005970A0">
              <w:rPr>
                <w:rFonts w:ascii="Arial" w:hAnsi="Arial" w:cs="Arial"/>
                <w:sz w:val="20"/>
                <w:szCs w:val="20"/>
                <w:u w:val="single"/>
              </w:rPr>
              <w:t>VET student data:</w:t>
            </w:r>
          </w:p>
          <w:p w:rsidR="002B4CC9" w:rsidRPr="005970A0" w:rsidRDefault="002B4CC9" w:rsidP="002B4CC9">
            <w:pPr>
              <w:spacing w:after="120"/>
              <w:jc w:val="both"/>
              <w:rPr>
                <w:rFonts w:ascii="Arial" w:hAnsi="Arial" w:cs="Arial"/>
                <w:sz w:val="20"/>
                <w:szCs w:val="20"/>
              </w:rPr>
            </w:pPr>
            <w:r w:rsidRPr="005970A0">
              <w:rPr>
                <w:rFonts w:ascii="Arial" w:hAnsi="Arial" w:cs="Arial"/>
                <w:sz w:val="20"/>
                <w:szCs w:val="20"/>
              </w:rPr>
              <w:t xml:space="preserve">To aid interpretation, information on the National VET Provider Collection, </w:t>
            </w:r>
            <w:proofErr w:type="spellStart"/>
            <w:r w:rsidRPr="005970A0">
              <w:rPr>
                <w:rFonts w:ascii="Arial" w:hAnsi="Arial" w:cs="Arial"/>
                <w:sz w:val="20"/>
                <w:szCs w:val="20"/>
              </w:rPr>
              <w:t>AVETMISS</w:t>
            </w:r>
            <w:proofErr w:type="spellEnd"/>
            <w:r w:rsidRPr="005970A0">
              <w:rPr>
                <w:rFonts w:ascii="Arial" w:hAnsi="Arial" w:cs="Arial"/>
                <w:sz w:val="20"/>
                <w:szCs w:val="20"/>
              </w:rPr>
              <w:t xml:space="preserve">, and Students and Courses is available on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website.</w:t>
            </w:r>
          </w:p>
          <w:p w:rsidR="002B4CC9" w:rsidRPr="005970A0" w:rsidRDefault="002B4CC9" w:rsidP="00033993">
            <w:pPr>
              <w:spacing w:after="80"/>
              <w:jc w:val="both"/>
              <w:rPr>
                <w:rFonts w:ascii="Arial" w:hAnsi="Arial" w:cs="Arial"/>
                <w:sz w:val="20"/>
                <w:szCs w:val="20"/>
              </w:rPr>
            </w:pPr>
            <w:r w:rsidRPr="005970A0">
              <w:rPr>
                <w:rFonts w:ascii="Arial" w:hAnsi="Arial" w:cs="Arial"/>
                <w:sz w:val="20"/>
                <w:szCs w:val="20"/>
              </w:rPr>
              <w:t xml:space="preserve">Among other standards detailed in </w:t>
            </w:r>
            <w:proofErr w:type="spellStart"/>
            <w:r w:rsidRPr="005970A0">
              <w:rPr>
                <w:rFonts w:ascii="Arial" w:hAnsi="Arial" w:cs="Arial"/>
                <w:sz w:val="20"/>
                <w:szCs w:val="20"/>
              </w:rPr>
              <w:t>AVETMISS</w:t>
            </w:r>
            <w:proofErr w:type="spellEnd"/>
            <w:r w:rsidRPr="005970A0">
              <w:rPr>
                <w:rFonts w:ascii="Arial" w:hAnsi="Arial" w:cs="Arial"/>
                <w:sz w:val="20"/>
                <w:szCs w:val="20"/>
              </w:rPr>
              <w:t>, the collection uses the:</w:t>
            </w:r>
          </w:p>
          <w:p w:rsidR="002B4CC9" w:rsidRPr="005970A0" w:rsidRDefault="002B4CC9" w:rsidP="002B4CC9">
            <w:pPr>
              <w:numPr>
                <w:ilvl w:val="0"/>
                <w:numId w:val="25"/>
              </w:numPr>
              <w:tabs>
                <w:tab w:val="clear" w:pos="720"/>
                <w:tab w:val="num" w:pos="179"/>
              </w:tabs>
              <w:autoSpaceDE w:val="0"/>
              <w:autoSpaceDN w:val="0"/>
              <w:adjustRightInd w:val="0"/>
              <w:spacing w:after="40" w:line="240" w:lineRule="atLeast"/>
              <w:ind w:left="179" w:hanging="177"/>
              <w:jc w:val="both"/>
              <w:rPr>
                <w:rFonts w:ascii="Arial" w:hAnsi="Arial" w:cs="Arial"/>
                <w:sz w:val="20"/>
                <w:szCs w:val="20"/>
              </w:rPr>
            </w:pPr>
            <w:r w:rsidRPr="005970A0">
              <w:rPr>
                <w:rFonts w:ascii="Arial" w:hAnsi="Arial" w:cs="Arial"/>
                <w:bCs/>
                <w:sz w:val="20"/>
                <w:szCs w:val="20"/>
                <w:u w:val="single"/>
              </w:rPr>
              <w:t>Australian Classification of Education (</w:t>
            </w:r>
            <w:proofErr w:type="spellStart"/>
            <w:r w:rsidRPr="005970A0">
              <w:rPr>
                <w:rFonts w:ascii="Arial" w:hAnsi="Arial" w:cs="Arial"/>
                <w:bCs/>
                <w:sz w:val="20"/>
                <w:szCs w:val="20"/>
                <w:u w:val="single"/>
              </w:rPr>
              <w:t>ASCED</w:t>
            </w:r>
            <w:proofErr w:type="spellEnd"/>
            <w:r w:rsidRPr="005970A0">
              <w:rPr>
                <w:rFonts w:ascii="Arial" w:hAnsi="Arial" w:cs="Arial"/>
                <w:bCs/>
                <w:sz w:val="20"/>
                <w:szCs w:val="20"/>
                <w:u w:val="single"/>
              </w:rPr>
              <w:t>) (ABS cat. no. 1272.0)</w:t>
            </w:r>
            <w:r w:rsidRPr="005970A0">
              <w:rPr>
                <w:rFonts w:ascii="Arial" w:hAnsi="Arial" w:cs="Arial"/>
                <w:sz w:val="20"/>
                <w:szCs w:val="20"/>
              </w:rPr>
              <w:t xml:space="preserve"> to classify the level and field of education</w:t>
            </w:r>
          </w:p>
          <w:p w:rsidR="002B4CC9" w:rsidRPr="005970A0" w:rsidRDefault="002B4CC9" w:rsidP="002B4CC9">
            <w:pPr>
              <w:numPr>
                <w:ilvl w:val="0"/>
                <w:numId w:val="25"/>
              </w:numPr>
              <w:tabs>
                <w:tab w:val="clear" w:pos="720"/>
                <w:tab w:val="num" w:pos="179"/>
              </w:tabs>
              <w:autoSpaceDE w:val="0"/>
              <w:autoSpaceDN w:val="0"/>
              <w:adjustRightInd w:val="0"/>
              <w:spacing w:after="40" w:line="240" w:lineRule="atLeast"/>
              <w:ind w:left="179" w:hanging="177"/>
              <w:jc w:val="both"/>
              <w:rPr>
                <w:rFonts w:ascii="Arial" w:hAnsi="Arial" w:cs="Arial"/>
                <w:sz w:val="20"/>
                <w:szCs w:val="20"/>
              </w:rPr>
            </w:pPr>
            <w:r w:rsidRPr="00D86CD7">
              <w:rPr>
                <w:rFonts w:ascii="Arial" w:hAnsi="Arial" w:cs="Arial"/>
                <w:sz w:val="20"/>
                <w:szCs w:val="20"/>
              </w:rPr>
              <w:t>Australian and New Zealand Standard Classification of Occupations (</w:t>
            </w:r>
            <w:proofErr w:type="spellStart"/>
            <w:r w:rsidRPr="00D86CD7">
              <w:rPr>
                <w:rFonts w:ascii="Arial" w:hAnsi="Arial" w:cs="Arial"/>
                <w:sz w:val="20"/>
                <w:szCs w:val="20"/>
              </w:rPr>
              <w:t>ANZSCO</w:t>
            </w:r>
            <w:proofErr w:type="spellEnd"/>
            <w:r w:rsidRPr="00D86CD7">
              <w:rPr>
                <w:rFonts w:ascii="Arial" w:hAnsi="Arial" w:cs="Arial"/>
                <w:sz w:val="20"/>
                <w:szCs w:val="20"/>
              </w:rPr>
              <w:t xml:space="preserve">, previously </w:t>
            </w:r>
            <w:proofErr w:type="spellStart"/>
            <w:r w:rsidRPr="00D86CD7">
              <w:rPr>
                <w:rFonts w:ascii="Arial" w:hAnsi="Arial" w:cs="Arial"/>
                <w:sz w:val="20"/>
                <w:szCs w:val="20"/>
              </w:rPr>
              <w:t>ASCO</w:t>
            </w:r>
            <w:proofErr w:type="spellEnd"/>
            <w:r w:rsidRPr="00D86CD7">
              <w:rPr>
                <w:rFonts w:ascii="Arial" w:hAnsi="Arial" w:cs="Arial"/>
                <w:sz w:val="20"/>
                <w:szCs w:val="20"/>
              </w:rPr>
              <w:t>) (ABS cat. no. 1220.0)</w:t>
            </w:r>
            <w:r w:rsidRPr="005970A0">
              <w:rPr>
                <w:rFonts w:ascii="Arial" w:hAnsi="Arial" w:cs="Arial"/>
                <w:sz w:val="20"/>
                <w:szCs w:val="20"/>
              </w:rPr>
              <w:t xml:space="preserve"> to classify occupation</w:t>
            </w:r>
          </w:p>
          <w:p w:rsidR="002B4CC9" w:rsidRPr="005970A0" w:rsidRDefault="002B4CC9" w:rsidP="002B4CC9">
            <w:pPr>
              <w:pStyle w:val="TableBullet"/>
              <w:numPr>
                <w:ilvl w:val="0"/>
                <w:numId w:val="25"/>
              </w:numPr>
              <w:tabs>
                <w:tab w:val="clear" w:pos="720"/>
                <w:tab w:val="num" w:pos="179"/>
              </w:tabs>
              <w:spacing w:after="120"/>
              <w:ind w:left="179" w:hanging="177"/>
              <w:jc w:val="both"/>
            </w:pPr>
            <w:r w:rsidRPr="005970A0">
              <w:rPr>
                <w:rFonts w:cs="Arial"/>
                <w:u w:val="single"/>
              </w:rPr>
              <w:t>Access/Remoteness Index of Australia (ARIA+)</w:t>
            </w:r>
            <w:r w:rsidRPr="005970A0">
              <w:rPr>
                <w:rFonts w:cs="Arial"/>
              </w:rPr>
              <w:t xml:space="preserve"> to classify remoteness. It was developed by the National Centre for Applications of Geographic Information Systems </w:t>
            </w:r>
            <w:r w:rsidRPr="005970A0">
              <w:rPr>
                <w:rFonts w:cs="Arial"/>
                <w:u w:val="single"/>
              </w:rPr>
              <w:t>(</w:t>
            </w:r>
            <w:proofErr w:type="spellStart"/>
            <w:r w:rsidRPr="005970A0">
              <w:rPr>
                <w:rFonts w:cs="Arial"/>
                <w:u w:val="single"/>
              </w:rPr>
              <w:t>GISCA</w:t>
            </w:r>
            <w:proofErr w:type="spellEnd"/>
            <w:r w:rsidRPr="005970A0">
              <w:rPr>
                <w:rFonts w:cs="Arial"/>
                <w:u w:val="single"/>
              </w:rPr>
              <w:t>)</w:t>
            </w:r>
            <w:r w:rsidRPr="005970A0">
              <w:rPr>
                <w:rFonts w:cs="Arial"/>
              </w:rPr>
              <w:t xml:space="preserve"> and is the standard ABS endorsed measure of remoteness.</w:t>
            </w:r>
          </w:p>
          <w:p w:rsidR="002B4CC9" w:rsidRPr="005970A0" w:rsidRDefault="002B4CC9" w:rsidP="002B4CC9">
            <w:pPr>
              <w:spacing w:after="120"/>
              <w:jc w:val="both"/>
              <w:rPr>
                <w:rFonts w:ascii="Arial" w:hAnsi="Arial" w:cs="Arial"/>
                <w:sz w:val="20"/>
                <w:szCs w:val="20"/>
              </w:rPr>
            </w:pPr>
            <w:proofErr w:type="spellStart"/>
            <w:r w:rsidRPr="005970A0">
              <w:rPr>
                <w:rFonts w:ascii="Arial" w:hAnsi="Arial" w:cs="Arial"/>
                <w:sz w:val="20"/>
                <w:szCs w:val="20"/>
                <w:u w:val="single"/>
              </w:rPr>
              <w:t>ERP</w:t>
            </w:r>
            <w:proofErr w:type="spellEnd"/>
            <w:r w:rsidRPr="005970A0">
              <w:rPr>
                <w:rFonts w:ascii="Arial" w:hAnsi="Arial" w:cs="Arial"/>
                <w:sz w:val="20"/>
                <w:szCs w:val="20"/>
                <w:u w:val="single"/>
              </w:rPr>
              <w:t xml:space="preserve"> and Indigenous population estimates</w:t>
            </w:r>
            <w:r w:rsidRPr="005970A0">
              <w:rPr>
                <w:rFonts w:ascii="Arial" w:hAnsi="Arial" w:cs="Arial"/>
                <w:sz w:val="20"/>
                <w:szCs w:val="20"/>
              </w:rPr>
              <w:t>:</w:t>
            </w:r>
          </w:p>
          <w:p w:rsidR="002B4CC9" w:rsidRPr="005970A0" w:rsidRDefault="002B4CC9" w:rsidP="002B4CC9">
            <w:pPr>
              <w:spacing w:after="80"/>
              <w:jc w:val="both"/>
              <w:rPr>
                <w:rFonts w:ascii="Arial" w:hAnsi="Arial" w:cs="Arial"/>
                <w:sz w:val="20"/>
                <w:szCs w:val="20"/>
              </w:rPr>
            </w:pPr>
            <w:proofErr w:type="spellStart"/>
            <w:r w:rsidRPr="005970A0">
              <w:rPr>
                <w:rFonts w:ascii="Arial" w:hAnsi="Arial" w:cs="Arial"/>
                <w:sz w:val="20"/>
                <w:szCs w:val="20"/>
              </w:rPr>
              <w:t>ERP</w:t>
            </w:r>
            <w:proofErr w:type="spellEnd"/>
            <w:r w:rsidRPr="005970A0">
              <w:rPr>
                <w:rFonts w:ascii="Arial" w:hAnsi="Arial" w:cs="Arial"/>
                <w:sz w:val="20"/>
                <w:szCs w:val="20"/>
              </w:rPr>
              <w:t xml:space="preserve"> is generally easy to interpret as the official measure of Australia's population (by state and territory) on a place of usual residence basis. However, there are still some common misconceptions. For example, a population estimate uses the term 'estimate' in a different sense than is commonly used. Generally the word estimate is used to describe a guess, or approximation. Demographers mean that they apply the demographic balancing equation by adding births, subtracting deaths and adding the net of overseas and interstate migration. Each of the components of </w:t>
            </w:r>
            <w:proofErr w:type="spellStart"/>
            <w:r w:rsidRPr="005970A0">
              <w:rPr>
                <w:rFonts w:ascii="Arial" w:hAnsi="Arial" w:cs="Arial"/>
                <w:sz w:val="20"/>
                <w:szCs w:val="20"/>
              </w:rPr>
              <w:t>ERP</w:t>
            </w:r>
            <w:proofErr w:type="spellEnd"/>
            <w:r w:rsidRPr="005970A0">
              <w:rPr>
                <w:rFonts w:ascii="Arial" w:hAnsi="Arial" w:cs="Arial"/>
                <w:sz w:val="20"/>
                <w:szCs w:val="20"/>
              </w:rPr>
              <w:t xml:space="preserve"> is subject to error, but </w:t>
            </w:r>
            <w:proofErr w:type="spellStart"/>
            <w:r w:rsidRPr="005970A0">
              <w:rPr>
                <w:rFonts w:ascii="Arial" w:hAnsi="Arial" w:cs="Arial"/>
                <w:sz w:val="20"/>
                <w:szCs w:val="20"/>
              </w:rPr>
              <w:t>ERP</w:t>
            </w:r>
            <w:proofErr w:type="spellEnd"/>
            <w:r w:rsidRPr="005970A0">
              <w:rPr>
                <w:rFonts w:ascii="Arial" w:hAnsi="Arial" w:cs="Arial"/>
                <w:sz w:val="20"/>
                <w:szCs w:val="20"/>
              </w:rPr>
              <w:t xml:space="preserve"> itself is not in any way a guess. It is what the population would be if the components are measured well.</w:t>
            </w:r>
          </w:p>
          <w:p w:rsidR="007056F1" w:rsidRPr="005970A0" w:rsidRDefault="002B4CC9" w:rsidP="00033993">
            <w:pPr>
              <w:jc w:val="both"/>
              <w:rPr>
                <w:rFonts w:ascii="Arial" w:hAnsi="Arial" w:cs="Arial"/>
                <w:sz w:val="20"/>
                <w:szCs w:val="20"/>
              </w:rPr>
            </w:pPr>
            <w:r w:rsidRPr="005970A0">
              <w:rPr>
                <w:rFonts w:ascii="Arial" w:hAnsi="Arial" w:cs="Arial"/>
                <w:sz w:val="20"/>
                <w:szCs w:val="20"/>
              </w:rPr>
              <w:t xml:space="preserve">The source publications contain notes on the assumptions and methods used to produce the population estimates. It also contains Explanatory Notes and </w:t>
            </w:r>
            <w:r w:rsidRPr="005970A0">
              <w:rPr>
                <w:rFonts w:ascii="Arial" w:hAnsi="Arial" w:cs="Arial"/>
                <w:sz w:val="20"/>
                <w:szCs w:val="20"/>
              </w:rPr>
              <w:lastRenderedPageBreak/>
              <w:t>Glossary that provide information on the data sources, terminology, classifications and other technical aspects associated with these statistics.</w:t>
            </w:r>
          </w:p>
        </w:tc>
      </w:tr>
      <w:tr w:rsidR="005970A0" w:rsidRPr="005970A0" w:rsidTr="007056F1">
        <w:tc>
          <w:tcPr>
            <w:tcW w:w="5000" w:type="pct"/>
            <w:gridSpan w:val="2"/>
            <w:shd w:val="clear" w:color="auto" w:fill="auto"/>
          </w:tcPr>
          <w:p w:rsidR="007056F1" w:rsidRPr="005970A0" w:rsidRDefault="007056F1" w:rsidP="007056F1">
            <w:pPr>
              <w:pStyle w:val="TableBodyText"/>
              <w:jc w:val="both"/>
              <w:rPr>
                <w:b/>
                <w:u w:val="single"/>
              </w:rPr>
            </w:pPr>
          </w:p>
          <w:p w:rsidR="007056F1" w:rsidRPr="005970A0" w:rsidRDefault="007056F1" w:rsidP="007056F1">
            <w:pPr>
              <w:pStyle w:val="TableBodyText"/>
              <w:jc w:val="both"/>
              <w:rPr>
                <w:b/>
                <w:u w:val="single"/>
              </w:rPr>
            </w:pPr>
            <w:r w:rsidRPr="005970A0">
              <w:rPr>
                <w:b/>
                <w:u w:val="single"/>
              </w:rPr>
              <w:t>Data Gaps/Issues Analysis</w:t>
            </w:r>
          </w:p>
        </w:tc>
      </w:tr>
      <w:tr w:rsidR="007056F1" w:rsidRPr="005970A0" w:rsidTr="007056F1">
        <w:tc>
          <w:tcPr>
            <w:tcW w:w="922" w:type="pct"/>
            <w:shd w:val="clear" w:color="auto" w:fill="auto"/>
          </w:tcPr>
          <w:p w:rsidR="007056F1" w:rsidRPr="005970A0" w:rsidRDefault="007056F1" w:rsidP="007056F1">
            <w:pPr>
              <w:pStyle w:val="TableBodyText"/>
              <w:jc w:val="both"/>
              <w:rPr>
                <w:b/>
              </w:rPr>
            </w:pPr>
            <w:r w:rsidRPr="005970A0">
              <w:rPr>
                <w:b/>
              </w:rPr>
              <w:t>Key data gaps/ issues</w:t>
            </w:r>
          </w:p>
        </w:tc>
        <w:tc>
          <w:tcPr>
            <w:tcW w:w="4078" w:type="pct"/>
            <w:shd w:val="clear" w:color="auto" w:fill="auto"/>
          </w:tcPr>
          <w:p w:rsidR="007056F1" w:rsidRPr="005970A0" w:rsidRDefault="007056F1" w:rsidP="007056F1">
            <w:pPr>
              <w:pStyle w:val="TableBodyText"/>
              <w:keepNext w:val="0"/>
              <w:keepLines w:val="0"/>
              <w:spacing w:after="120" w:line="240" w:lineRule="auto"/>
              <w:ind w:left="0" w:right="0"/>
              <w:jc w:val="both"/>
            </w:pPr>
            <w:r w:rsidRPr="005970A0">
              <w:t xml:space="preserve">The Steering Committee notes the following key data gaps/issues: </w:t>
            </w:r>
          </w:p>
          <w:p w:rsidR="007056F1" w:rsidRPr="005970A0" w:rsidRDefault="007056F1" w:rsidP="00033993">
            <w:pPr>
              <w:pStyle w:val="TableBullet"/>
              <w:spacing w:after="0"/>
              <w:ind w:left="179" w:hanging="179"/>
              <w:jc w:val="both"/>
            </w:pPr>
            <w:r w:rsidRPr="005970A0">
              <w:t>A VET student may be enrolled in more than one VET training program, and therefore there are more ‘course enrolments’ in the VET system than ‘students’. This distinction between student numbers and the number of course enrolments may be of importance if comparing VET data in this chapter with other VET data.</w:t>
            </w:r>
          </w:p>
        </w:tc>
      </w:tr>
    </w:tbl>
    <w:p w:rsidR="004549A9" w:rsidRDefault="004549A9" w:rsidP="00D21520">
      <w:pPr>
        <w:pStyle w:val="Heading3"/>
        <w:spacing w:before="120"/>
      </w:pPr>
      <w:bookmarkStart w:id="20" w:name="_Toc370472617"/>
    </w:p>
    <w:p w:rsidR="004549A9" w:rsidRDefault="004549A9">
      <w:pPr>
        <w:rPr>
          <w:rFonts w:ascii="Arial" w:hAnsi="Arial"/>
          <w:b/>
        </w:rPr>
      </w:pPr>
      <w:r>
        <w:br w:type="page"/>
      </w:r>
    </w:p>
    <w:p w:rsidR="00A97467" w:rsidRPr="005970A0" w:rsidRDefault="00A97467" w:rsidP="00D21520">
      <w:pPr>
        <w:pStyle w:val="Heading3"/>
        <w:spacing w:before="120"/>
      </w:pPr>
      <w:r w:rsidRPr="005970A0">
        <w:lastRenderedPageBreak/>
        <w:t>Government recurrent expenditure per annual hour</w:t>
      </w:r>
      <w:bookmarkEnd w:id="20"/>
    </w:p>
    <w:p w:rsidR="00A97467" w:rsidRPr="005970A0" w:rsidRDefault="00A97467" w:rsidP="00A97467">
      <w:pPr>
        <w:pStyle w:val="Box"/>
      </w:pPr>
      <w:r w:rsidRPr="005970A0">
        <w:t>Data quality information for this indicator has been drafted by the National Centre for Vocational Education Research (</w:t>
      </w:r>
      <w:proofErr w:type="spellStart"/>
      <w:r w:rsidRPr="005970A0">
        <w:t>NCVER</w:t>
      </w:r>
      <w:proofErr w:type="spellEnd"/>
      <w:r w:rsidRPr="005970A0">
        <w:t>)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A97467">
        <w:tc>
          <w:tcPr>
            <w:tcW w:w="5000" w:type="pct"/>
            <w:gridSpan w:val="2"/>
          </w:tcPr>
          <w:p w:rsidR="00A97467" w:rsidRPr="005970A0" w:rsidRDefault="00A97467" w:rsidP="00A97467">
            <w:pPr>
              <w:pStyle w:val="TableBodyText"/>
              <w:jc w:val="both"/>
              <w:rPr>
                <w:b/>
                <w:u w:val="single"/>
              </w:rPr>
            </w:pPr>
          </w:p>
          <w:p w:rsidR="00B70FFA" w:rsidRPr="005970A0" w:rsidRDefault="00A97467" w:rsidP="00A97467">
            <w:pPr>
              <w:pStyle w:val="TableBodyText"/>
              <w:jc w:val="both"/>
              <w:rPr>
                <w:rFonts w:cs="Arial"/>
                <w:b/>
                <w:sz w:val="22"/>
                <w:szCs w:val="22"/>
                <w:u w:val="single"/>
              </w:rPr>
            </w:pPr>
            <w:r w:rsidRPr="005970A0">
              <w:rPr>
                <w:b/>
                <w:u w:val="single"/>
              </w:rPr>
              <w:t>Indicator definition and description</w:t>
            </w:r>
            <w:r w:rsidRPr="005970A0">
              <w:rPr>
                <w:rFonts w:cs="Arial"/>
                <w:b/>
                <w:sz w:val="22"/>
                <w:szCs w:val="22"/>
                <w:u w:val="single"/>
              </w:rPr>
              <w:t xml:space="preserve"> </w:t>
            </w:r>
          </w:p>
        </w:tc>
      </w:tr>
      <w:tr w:rsidR="005970A0" w:rsidRPr="005970A0" w:rsidTr="00A97467">
        <w:tc>
          <w:tcPr>
            <w:tcW w:w="922" w:type="pct"/>
          </w:tcPr>
          <w:p w:rsidR="00A97467" w:rsidRPr="005970A0" w:rsidRDefault="00A97467" w:rsidP="00A97467">
            <w:pPr>
              <w:pStyle w:val="TableBodyText"/>
              <w:jc w:val="both"/>
              <w:rPr>
                <w:b/>
              </w:rPr>
            </w:pPr>
            <w:r w:rsidRPr="005970A0">
              <w:rPr>
                <w:b/>
              </w:rPr>
              <w:t>Element</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Output/efficiency.</w:t>
            </w:r>
          </w:p>
        </w:tc>
      </w:tr>
      <w:tr w:rsidR="005970A0" w:rsidRPr="005970A0" w:rsidTr="00A97467">
        <w:tc>
          <w:tcPr>
            <w:tcW w:w="922" w:type="pct"/>
          </w:tcPr>
          <w:p w:rsidR="00A97467" w:rsidRPr="005970A0" w:rsidRDefault="00A97467" w:rsidP="00A97467">
            <w:pPr>
              <w:pStyle w:val="TableBodyText"/>
              <w:jc w:val="both"/>
              <w:rPr>
                <w:b/>
              </w:rPr>
            </w:pPr>
            <w:r w:rsidRPr="005970A0">
              <w:rPr>
                <w:b/>
              </w:rPr>
              <w:t>Indicator</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Government recurrent expenditure per annual hour</w:t>
            </w:r>
          </w:p>
        </w:tc>
      </w:tr>
      <w:tr w:rsidR="005970A0" w:rsidRPr="005970A0" w:rsidTr="00A97467">
        <w:tc>
          <w:tcPr>
            <w:tcW w:w="922" w:type="pct"/>
          </w:tcPr>
          <w:p w:rsidR="00A97467" w:rsidRPr="005970A0" w:rsidRDefault="00A97467" w:rsidP="00A97467">
            <w:pPr>
              <w:pStyle w:val="TableBodyText"/>
              <w:jc w:val="both"/>
              <w:rPr>
                <w:b/>
              </w:rPr>
            </w:pPr>
            <w:r w:rsidRPr="005970A0">
              <w:rPr>
                <w:b/>
              </w:rPr>
              <w:t>Measure (computation)</w:t>
            </w:r>
          </w:p>
        </w:tc>
        <w:tc>
          <w:tcPr>
            <w:tcW w:w="4078" w:type="pct"/>
          </w:tcPr>
          <w:p w:rsidR="00A97467" w:rsidRPr="005970A0" w:rsidRDefault="00A97467" w:rsidP="00A97467">
            <w:pPr>
              <w:pStyle w:val="TableBodyText"/>
              <w:jc w:val="both"/>
            </w:pPr>
            <w:r w:rsidRPr="005970A0">
              <w:rPr>
                <w:u w:val="single"/>
              </w:rPr>
              <w:t>Definition</w:t>
            </w:r>
          </w:p>
          <w:p w:rsidR="00A97467" w:rsidRPr="005970A0" w:rsidRDefault="00A97467" w:rsidP="00A97467">
            <w:pPr>
              <w:pStyle w:val="TableBodyText"/>
              <w:keepNext w:val="0"/>
              <w:keepLines w:val="0"/>
              <w:spacing w:after="120" w:line="240" w:lineRule="auto"/>
              <w:ind w:left="0" w:right="0"/>
              <w:jc w:val="both"/>
            </w:pPr>
            <w:r w:rsidRPr="005970A0">
              <w:t xml:space="preserve">Government recurrent expenditure divided by government funded annual hours. </w:t>
            </w:r>
          </w:p>
          <w:p w:rsidR="00A97467" w:rsidRPr="005970A0" w:rsidRDefault="00A97467" w:rsidP="00A97467">
            <w:pPr>
              <w:pStyle w:val="TableBodyText"/>
              <w:jc w:val="both"/>
              <w:rPr>
                <w:u w:val="single"/>
              </w:rPr>
            </w:pPr>
            <w:r w:rsidRPr="005970A0">
              <w:rPr>
                <w:u w:val="single"/>
              </w:rPr>
              <w:t>Numerator/s</w:t>
            </w:r>
          </w:p>
          <w:p w:rsidR="00A97467" w:rsidRPr="005970A0" w:rsidRDefault="00A97467" w:rsidP="00A97467">
            <w:pPr>
              <w:pStyle w:val="TableBodyText"/>
              <w:keepNext w:val="0"/>
              <w:keepLines w:val="0"/>
              <w:spacing w:after="120" w:line="240" w:lineRule="auto"/>
              <w:ind w:left="0" w:right="0"/>
              <w:jc w:val="both"/>
            </w:pPr>
            <w:r w:rsidRPr="005970A0">
              <w:t xml:space="preserve">Government recurrent expenditure is calculated by adding the following </w:t>
            </w:r>
            <w:proofErr w:type="spellStart"/>
            <w:r w:rsidRPr="005970A0">
              <w:t>AVETMISS</w:t>
            </w:r>
            <w:proofErr w:type="spellEnd"/>
            <w:r w:rsidRPr="005970A0">
              <w:t xml:space="preserve"> financial statements revenue items for the government recurrent payments received by states and territories: Commonwealth National Agreement revenue, State recurrent revenue, Commonwealth Administered Programs revenue and revenue for VET expenses and liabilities of State/Territory training departments undertaken by another department or agency but required to be reported in the financial accounts of the training department. The reported government recurrent expenditure excludes capital expenditure.</w:t>
            </w:r>
          </w:p>
          <w:p w:rsidR="00A97467" w:rsidRPr="005970A0" w:rsidRDefault="00A97467" w:rsidP="00A97467">
            <w:pPr>
              <w:pStyle w:val="TableBodyText"/>
              <w:jc w:val="both"/>
              <w:rPr>
                <w:u w:val="single"/>
              </w:rPr>
            </w:pPr>
            <w:r w:rsidRPr="005970A0">
              <w:rPr>
                <w:u w:val="single"/>
              </w:rPr>
              <w:t>Denominator/s</w:t>
            </w:r>
          </w:p>
          <w:p w:rsidR="00A97467" w:rsidRPr="005970A0" w:rsidRDefault="00A97467" w:rsidP="00A97467">
            <w:pPr>
              <w:pStyle w:val="TableBodyText"/>
              <w:keepNext w:val="0"/>
              <w:keepLines w:val="0"/>
              <w:spacing w:after="120" w:line="240" w:lineRule="auto"/>
              <w:ind w:left="0" w:right="0"/>
              <w:jc w:val="both"/>
            </w:pPr>
            <w:r w:rsidRPr="005970A0">
              <w:t>The total hours of delivery based on the standard nominal hour value for each subject undertaken. These represent the hours of supervised training under a traditional delivery strategy. Annual hours are adjusted to account for invalid module enrolments.</w:t>
            </w:r>
          </w:p>
          <w:p w:rsidR="00A97467" w:rsidRPr="005970A0" w:rsidRDefault="00A97467" w:rsidP="00A97467">
            <w:pPr>
              <w:pStyle w:val="TableBodyText"/>
              <w:jc w:val="both"/>
              <w:rPr>
                <w:u w:val="single"/>
              </w:rPr>
            </w:pPr>
            <w:r w:rsidRPr="005970A0">
              <w:rPr>
                <w:u w:val="single"/>
              </w:rPr>
              <w:t>Computation/s</w:t>
            </w:r>
            <w:r w:rsidRPr="005970A0">
              <w:t>:</w:t>
            </w:r>
          </w:p>
          <w:p w:rsidR="00A97467" w:rsidRPr="005970A0" w:rsidRDefault="00A97467" w:rsidP="00A97467">
            <w:pPr>
              <w:pStyle w:val="TableBodyText"/>
              <w:keepNext w:val="0"/>
              <w:keepLines w:val="0"/>
              <w:spacing w:after="120" w:line="240" w:lineRule="auto"/>
              <w:ind w:left="0" w:right="0"/>
              <w:jc w:val="both"/>
            </w:pPr>
            <w:r w:rsidRPr="005970A0">
              <w:t>Numerator (above) divided by denominator (above). Measure is adjusted for course mix differences across jurisdictions.</w:t>
            </w:r>
          </w:p>
        </w:tc>
      </w:tr>
      <w:tr w:rsidR="005970A0" w:rsidRPr="005970A0" w:rsidTr="00A97467">
        <w:tc>
          <w:tcPr>
            <w:tcW w:w="922" w:type="pct"/>
          </w:tcPr>
          <w:p w:rsidR="00A97467" w:rsidRPr="005970A0" w:rsidRDefault="00A97467" w:rsidP="00A97467">
            <w:pPr>
              <w:pStyle w:val="TableBodyText"/>
              <w:jc w:val="both"/>
              <w:rPr>
                <w:b/>
              </w:rPr>
            </w:pPr>
            <w:r w:rsidRPr="005970A0">
              <w:rPr>
                <w:b/>
              </w:rPr>
              <w:t>Data source/s</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 xml:space="preserve">All data are unpublished and are derived from </w:t>
            </w:r>
            <w:proofErr w:type="spellStart"/>
            <w:r w:rsidRPr="005970A0">
              <w:t>NCVER</w:t>
            </w:r>
            <w:proofErr w:type="spellEnd"/>
            <w:r w:rsidRPr="005970A0">
              <w:t xml:space="preserve"> national financial and VET provider data collections.</w:t>
            </w:r>
          </w:p>
        </w:tc>
      </w:tr>
      <w:tr w:rsidR="005970A0" w:rsidRPr="005970A0" w:rsidTr="00A97467">
        <w:tc>
          <w:tcPr>
            <w:tcW w:w="5000" w:type="pct"/>
            <w:gridSpan w:val="2"/>
          </w:tcPr>
          <w:p w:rsidR="00A97467" w:rsidRPr="005970A0" w:rsidRDefault="00A97467" w:rsidP="00A97467">
            <w:pPr>
              <w:pStyle w:val="TableBodyText"/>
              <w:jc w:val="both"/>
              <w:rPr>
                <w:b/>
                <w:u w:val="single"/>
              </w:rPr>
            </w:pPr>
          </w:p>
          <w:p w:rsidR="00A97467" w:rsidRPr="005970A0" w:rsidRDefault="00A97467" w:rsidP="00A97467">
            <w:pPr>
              <w:pStyle w:val="TableBodyText"/>
              <w:jc w:val="both"/>
              <w:rPr>
                <w:b/>
                <w:u w:val="single"/>
              </w:rPr>
            </w:pPr>
            <w:r w:rsidRPr="005970A0">
              <w:rPr>
                <w:b/>
                <w:u w:val="single"/>
              </w:rPr>
              <w:t>Data Quality Framework Dimensions</w:t>
            </w:r>
          </w:p>
        </w:tc>
      </w:tr>
      <w:tr w:rsidR="005970A0" w:rsidRPr="005970A0" w:rsidTr="00A97467">
        <w:tc>
          <w:tcPr>
            <w:tcW w:w="922" w:type="pct"/>
          </w:tcPr>
          <w:p w:rsidR="00A97467" w:rsidRPr="005970A0" w:rsidRDefault="00A97467" w:rsidP="00A97467">
            <w:pPr>
              <w:pStyle w:val="TableBodyText"/>
              <w:jc w:val="both"/>
              <w:rPr>
                <w:b/>
              </w:rPr>
            </w:pPr>
            <w:r w:rsidRPr="005970A0">
              <w:rPr>
                <w:b/>
              </w:rPr>
              <w:t>Institutional environment</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The National Centre for Vocational Education Research (</w:t>
            </w:r>
            <w:proofErr w:type="spellStart"/>
            <w:r w:rsidRPr="005970A0">
              <w:t>NCVER</w:t>
            </w:r>
            <w:proofErr w:type="spellEnd"/>
            <w:r w:rsidRPr="005970A0">
              <w:t>) is a not-for-profit company owned by the federal, state and territory ministers responsible for training.</w:t>
            </w:r>
          </w:p>
          <w:p w:rsidR="00A97467" w:rsidRPr="005970A0" w:rsidRDefault="00A97467" w:rsidP="00A97467">
            <w:pPr>
              <w:pStyle w:val="TableBodyText"/>
              <w:keepNext w:val="0"/>
              <w:keepLines w:val="0"/>
              <w:spacing w:after="120" w:line="240" w:lineRule="auto"/>
              <w:ind w:left="0" w:right="0"/>
              <w:jc w:val="both"/>
            </w:pPr>
            <w:proofErr w:type="spellStart"/>
            <w:r w:rsidRPr="005970A0">
              <w:t>NCVER</w:t>
            </w:r>
            <w:proofErr w:type="spellEnd"/>
            <w:r w:rsidRPr="005970A0">
              <w:t xml:space="preserve"> is a professional and independent body responsible for collecting, managing, analysing, evaluating and communicating research and statistics about vocational education and training (VET) nationally. It is Australia's principal provider of VET research and statistics.</w:t>
            </w:r>
          </w:p>
        </w:tc>
      </w:tr>
      <w:tr w:rsidR="00B82092" w:rsidRPr="005970A0" w:rsidTr="00A97467">
        <w:tc>
          <w:tcPr>
            <w:tcW w:w="922" w:type="pct"/>
          </w:tcPr>
          <w:p w:rsidR="00A97467" w:rsidRPr="005970A0" w:rsidRDefault="00A97467" w:rsidP="00A97467">
            <w:pPr>
              <w:pStyle w:val="TableBodyText"/>
              <w:jc w:val="both"/>
              <w:rPr>
                <w:b/>
              </w:rPr>
            </w:pPr>
            <w:r w:rsidRPr="005970A0">
              <w:rPr>
                <w:b/>
              </w:rPr>
              <w:t>Relevance</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 xml:space="preserve">The scope of the financial data collection covers all transactions that affect the financial performance, financial position and financing of the public VET system. The collection focuses on vocational education and training administered or provided by the main training authority or training department within each state and territory, their public training providers and the Department of </w:t>
            </w:r>
            <w:r w:rsidR="000D1F3A" w:rsidRPr="005970A0">
              <w:t>Industry</w:t>
            </w:r>
            <w:r w:rsidR="008F23A1">
              <w:t>.</w:t>
            </w:r>
            <w:r w:rsidRPr="005970A0">
              <w:t xml:space="preserve"> </w:t>
            </w:r>
          </w:p>
          <w:p w:rsidR="00A97467" w:rsidRPr="005970A0" w:rsidRDefault="00A97467" w:rsidP="00A97467">
            <w:pPr>
              <w:pStyle w:val="TableBodyText"/>
              <w:keepNext w:val="0"/>
              <w:keepLines w:val="0"/>
              <w:spacing w:after="120" w:line="240" w:lineRule="auto"/>
              <w:ind w:left="0" w:right="0"/>
              <w:jc w:val="both"/>
            </w:pPr>
            <w:r w:rsidRPr="005970A0">
              <w:t>The financial information has been extracted from accrual-based financial records.</w:t>
            </w:r>
          </w:p>
        </w:tc>
      </w:tr>
    </w:tbl>
    <w:p w:rsidR="00302802" w:rsidRPr="005970A0" w:rsidRDefault="00302802"/>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A97467">
        <w:tc>
          <w:tcPr>
            <w:tcW w:w="922" w:type="pct"/>
          </w:tcPr>
          <w:p w:rsidR="00A97467" w:rsidRPr="005970A0" w:rsidRDefault="00A97467" w:rsidP="00A97467">
            <w:pPr>
              <w:pStyle w:val="TableBodyText"/>
              <w:jc w:val="both"/>
              <w:rPr>
                <w:b/>
              </w:rPr>
            </w:pPr>
            <w:r w:rsidRPr="005970A0">
              <w:rPr>
                <w:b/>
              </w:rPr>
              <w:lastRenderedPageBreak/>
              <w:t>Timeliness</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 xml:space="preserve">The National VET Finance Collection is an annual collection of data. Audited data are submitted to </w:t>
            </w:r>
            <w:proofErr w:type="spellStart"/>
            <w:r w:rsidRPr="005970A0">
              <w:t>NCVER</w:t>
            </w:r>
            <w:proofErr w:type="spellEnd"/>
            <w:r w:rsidRPr="005970A0">
              <w:t xml:space="preserve"> (via state training authorities) by 8 July in the year following activity.</w:t>
            </w:r>
          </w:p>
        </w:tc>
      </w:tr>
      <w:tr w:rsidR="005970A0" w:rsidRPr="005970A0" w:rsidTr="00A97467">
        <w:tc>
          <w:tcPr>
            <w:tcW w:w="922" w:type="pct"/>
          </w:tcPr>
          <w:p w:rsidR="00A97467" w:rsidRPr="005970A0" w:rsidRDefault="00A97467" w:rsidP="00A97467">
            <w:pPr>
              <w:pStyle w:val="TableBodyText"/>
              <w:jc w:val="both"/>
              <w:rPr>
                <w:b/>
              </w:rPr>
            </w:pPr>
            <w:r w:rsidRPr="005970A0">
              <w:rPr>
                <w:b/>
              </w:rPr>
              <w:t>Accuracy</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Key financial data are audited to provide additional assurance on the quality of the reported data and consistent adoption of the requirements of the Australian Vocational Education and Training Management Information Statistical Standard (</w:t>
            </w:r>
            <w:proofErr w:type="spellStart"/>
            <w:r w:rsidRPr="005970A0">
              <w:t>AVETMISS</w:t>
            </w:r>
            <w:proofErr w:type="spellEnd"/>
            <w:r w:rsidRPr="005970A0">
              <w:t>).</w:t>
            </w:r>
          </w:p>
          <w:p w:rsidR="00A97467" w:rsidRPr="005970A0" w:rsidRDefault="00A97467" w:rsidP="00A97467">
            <w:pPr>
              <w:pStyle w:val="TableBodyText"/>
              <w:keepNext w:val="0"/>
              <w:keepLines w:val="0"/>
              <w:spacing w:after="120" w:line="240" w:lineRule="auto"/>
              <w:ind w:left="0" w:right="0"/>
              <w:jc w:val="both"/>
            </w:pPr>
            <w:r w:rsidRPr="005970A0">
              <w:t xml:space="preserve">Differences exist across the accounting policies applied by state and territory governments; for example, in relation to the valuation and measurement of investments and property, and plant and equipment. Details of accounting policies for each jurisdiction are in the </w:t>
            </w:r>
            <w:proofErr w:type="spellStart"/>
            <w:r w:rsidRPr="005970A0">
              <w:t>AVETMISS</w:t>
            </w:r>
            <w:proofErr w:type="spellEnd"/>
            <w:r w:rsidRPr="005970A0">
              <w:t xml:space="preserve"> for VET financial data located at </w:t>
            </w:r>
            <w:r w:rsidRPr="00D86CD7">
              <w:rPr>
                <w:szCs w:val="22"/>
              </w:rPr>
              <w:t>http://</w:t>
            </w:r>
            <w:proofErr w:type="spellStart"/>
            <w:r w:rsidRPr="00D86CD7">
              <w:rPr>
                <w:szCs w:val="22"/>
              </w:rPr>
              <w:t>www.ncver.edu.au</w:t>
            </w:r>
            <w:proofErr w:type="spellEnd"/>
            <w:r w:rsidRPr="00D86CD7">
              <w:rPr>
                <w:szCs w:val="22"/>
              </w:rPr>
              <w:t>/</w:t>
            </w:r>
            <w:proofErr w:type="spellStart"/>
            <w:r w:rsidRPr="00D86CD7">
              <w:rPr>
                <w:szCs w:val="22"/>
              </w:rPr>
              <w:t>avetmiss</w:t>
            </w:r>
            <w:proofErr w:type="spellEnd"/>
            <w:r w:rsidRPr="00D86CD7">
              <w:rPr>
                <w:szCs w:val="22"/>
              </w:rPr>
              <w:t>/</w:t>
            </w:r>
            <w:proofErr w:type="spellStart"/>
            <w:r w:rsidRPr="00D86CD7">
              <w:rPr>
                <w:szCs w:val="22"/>
              </w:rPr>
              <w:t>21064.html</w:t>
            </w:r>
            <w:proofErr w:type="spellEnd"/>
            <w:r w:rsidRPr="005970A0">
              <w:t>.</w:t>
            </w:r>
          </w:p>
          <w:p w:rsidR="00A97467" w:rsidRPr="005970A0" w:rsidRDefault="00A97467" w:rsidP="00A97467">
            <w:pPr>
              <w:pStyle w:val="TableBodyText"/>
              <w:keepNext w:val="0"/>
              <w:keepLines w:val="0"/>
              <w:spacing w:after="120" w:line="240" w:lineRule="auto"/>
              <w:ind w:left="0" w:right="0"/>
              <w:jc w:val="both"/>
            </w:pPr>
            <w:r w:rsidRPr="005970A0">
              <w:t>State and territory governments and the Australian Government were not required to submit detailed working papers. The data are supported by relevant working papers held by them and, where possible, reconciled to public documents such as annual reports and budget papers.</w:t>
            </w:r>
          </w:p>
        </w:tc>
      </w:tr>
      <w:tr w:rsidR="005970A0" w:rsidRPr="005970A0" w:rsidTr="00A97467">
        <w:tc>
          <w:tcPr>
            <w:tcW w:w="922" w:type="pct"/>
          </w:tcPr>
          <w:p w:rsidR="00A97467" w:rsidRPr="005970A0" w:rsidRDefault="00A97467" w:rsidP="00A97467">
            <w:pPr>
              <w:pStyle w:val="TableBodyText"/>
              <w:jc w:val="both"/>
              <w:rPr>
                <w:b/>
              </w:rPr>
            </w:pPr>
            <w:r w:rsidRPr="005970A0">
              <w:rPr>
                <w:b/>
              </w:rPr>
              <w:t>Coherence</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 xml:space="preserve">VET in schools revenue can no longer be separated from the other specific purpose program payments made by the </w:t>
            </w:r>
            <w:r w:rsidR="00B86A90" w:rsidRPr="005970A0">
              <w:t>Australian Government</w:t>
            </w:r>
            <w:r w:rsidRPr="005970A0">
              <w:t xml:space="preserve"> to the states and territories. Hence, the numerator (</w:t>
            </w:r>
            <w:r w:rsidR="00156D50">
              <w:t>‘g</w:t>
            </w:r>
            <w:r w:rsidRPr="005970A0">
              <w:t>overnment recurrent expenditure</w:t>
            </w:r>
            <w:r w:rsidR="00156D50">
              <w:t>’</w:t>
            </w:r>
            <w:r w:rsidRPr="005970A0">
              <w:t xml:space="preserve">) includes payments received by states and territories for VET in schools programs. </w:t>
            </w:r>
            <w:r w:rsidR="00156D50" w:rsidRPr="00645C35">
              <w:t>In 2009, those payments for VET in schools previously excluded was approximately 0.2 per cent of government recurrent expenditure for VET.</w:t>
            </w:r>
          </w:p>
          <w:p w:rsidR="00A97467" w:rsidRPr="005970A0" w:rsidRDefault="00A97467" w:rsidP="00A97467">
            <w:pPr>
              <w:pStyle w:val="TableBodyText"/>
              <w:keepNext w:val="0"/>
              <w:keepLines w:val="0"/>
              <w:spacing w:after="120" w:line="240" w:lineRule="auto"/>
              <w:ind w:left="0" w:right="0"/>
              <w:jc w:val="both"/>
            </w:pPr>
            <w:r w:rsidRPr="005970A0">
              <w:t>In 2007, Victoria adopted standard nominal hour values for common units of competency as the basis of calculating total annual hours of delivery, thereby achieving consistency with all other states and territories. To enable comparison over time, standard nominal hour values have been used to revise the time series back to 2002, except for Victoria, where data prior to 2007 cannot be rebased from scheduled hours to standard nominal hours.</w:t>
            </w:r>
          </w:p>
          <w:p w:rsidR="00A97467" w:rsidRPr="005970A0" w:rsidRDefault="00A97467" w:rsidP="008F23A1">
            <w:pPr>
              <w:pStyle w:val="TableBodyText"/>
              <w:keepNext w:val="0"/>
              <w:keepLines w:val="0"/>
              <w:spacing w:after="120" w:line="240" w:lineRule="auto"/>
              <w:ind w:left="0" w:right="0"/>
              <w:jc w:val="both"/>
            </w:pPr>
            <w:r w:rsidRPr="005970A0">
              <w:t xml:space="preserve">In 2010, the invalid enrolment audit cycle changed, with states and territories now being audited for invalid enrolments over a three-year cycle rather than annually. For </w:t>
            </w:r>
            <w:r w:rsidR="008F23A1" w:rsidRPr="005970A0">
              <w:t>201</w:t>
            </w:r>
            <w:r w:rsidR="008F23A1">
              <w:t>2</w:t>
            </w:r>
            <w:r w:rsidR="008F23A1" w:rsidRPr="005970A0">
              <w:t xml:space="preserve"> </w:t>
            </w:r>
            <w:r w:rsidR="000D1F3A" w:rsidRPr="005970A0">
              <w:t>training activity</w:t>
            </w:r>
            <w:r w:rsidRPr="005970A0">
              <w:t xml:space="preserve">, </w:t>
            </w:r>
            <w:r w:rsidR="008F23A1">
              <w:t>Queensland, Western Australia</w:t>
            </w:r>
            <w:r w:rsidR="00A50EE0">
              <w:t>,</w:t>
            </w:r>
            <w:r w:rsidR="008F23A1">
              <w:t xml:space="preserve"> and the Australian Capital Territory </w:t>
            </w:r>
            <w:r w:rsidRPr="005970A0">
              <w:t xml:space="preserve">were audited and received a new invalid enrolment rate; the invalid enrolment rates for the other states and territories for </w:t>
            </w:r>
            <w:r w:rsidR="008F23A1" w:rsidRPr="005970A0">
              <w:t>201</w:t>
            </w:r>
            <w:r w:rsidR="008F23A1">
              <w:t>2</w:t>
            </w:r>
            <w:r w:rsidR="008F23A1" w:rsidRPr="005970A0">
              <w:t xml:space="preserve"> </w:t>
            </w:r>
            <w:r w:rsidRPr="005970A0">
              <w:t xml:space="preserve">are those calculated for </w:t>
            </w:r>
            <w:r w:rsidR="008F23A1" w:rsidRPr="005970A0">
              <w:t>201</w:t>
            </w:r>
            <w:r w:rsidR="008F23A1">
              <w:t>1</w:t>
            </w:r>
            <w:r w:rsidRPr="005970A0">
              <w:t>.</w:t>
            </w:r>
          </w:p>
        </w:tc>
      </w:tr>
      <w:tr w:rsidR="005970A0" w:rsidRPr="005970A0" w:rsidTr="00A97467">
        <w:tc>
          <w:tcPr>
            <w:tcW w:w="922" w:type="pct"/>
          </w:tcPr>
          <w:p w:rsidR="00A97467" w:rsidRPr="005970A0" w:rsidRDefault="00A97467" w:rsidP="00A97467">
            <w:pPr>
              <w:pStyle w:val="TableBodyText"/>
              <w:jc w:val="both"/>
              <w:rPr>
                <w:b/>
              </w:rPr>
            </w:pPr>
            <w:r w:rsidRPr="005970A0">
              <w:rPr>
                <w:b/>
              </w:rPr>
              <w:t>Accessibility</w:t>
            </w:r>
          </w:p>
        </w:tc>
        <w:tc>
          <w:tcPr>
            <w:tcW w:w="4078" w:type="pct"/>
          </w:tcPr>
          <w:p w:rsidR="00A97467" w:rsidRPr="005970A0" w:rsidRDefault="00A97467" w:rsidP="00A97467">
            <w:pPr>
              <w:pStyle w:val="TableBodyText"/>
              <w:jc w:val="both"/>
            </w:pPr>
            <w:r w:rsidRPr="005970A0">
              <w:t xml:space="preserve">Summary information is available free of charge on </w:t>
            </w:r>
            <w:proofErr w:type="spellStart"/>
            <w:r w:rsidRPr="005970A0">
              <w:t>NCVER’s</w:t>
            </w:r>
            <w:proofErr w:type="spellEnd"/>
            <w:r w:rsidRPr="005970A0">
              <w:t xml:space="preserve"> website at: </w:t>
            </w:r>
            <w:r w:rsidRPr="00D86CD7">
              <w:rPr>
                <w:szCs w:val="22"/>
              </w:rPr>
              <w:t>http://</w:t>
            </w:r>
            <w:proofErr w:type="spellStart"/>
            <w:r w:rsidRPr="00D86CD7">
              <w:rPr>
                <w:szCs w:val="22"/>
              </w:rPr>
              <w:t>www.ncver.edu.au</w:t>
            </w:r>
            <w:proofErr w:type="spellEnd"/>
            <w:r w:rsidRPr="00D86CD7">
              <w:rPr>
                <w:szCs w:val="22"/>
              </w:rPr>
              <w:t>/statistic/</w:t>
            </w:r>
            <w:proofErr w:type="spellStart"/>
            <w:r w:rsidRPr="00D86CD7">
              <w:rPr>
                <w:szCs w:val="22"/>
              </w:rPr>
              <w:t>21051.html</w:t>
            </w:r>
            <w:proofErr w:type="spellEnd"/>
            <w:r w:rsidRPr="005970A0">
              <w:t xml:space="preserve">. </w:t>
            </w:r>
          </w:p>
          <w:p w:rsidR="00A97467" w:rsidRPr="005970A0" w:rsidRDefault="00A97467" w:rsidP="00A97467">
            <w:pPr>
              <w:pStyle w:val="TableBodyText"/>
              <w:keepNext w:val="0"/>
              <w:keepLines w:val="0"/>
              <w:spacing w:after="120" w:line="240" w:lineRule="auto"/>
              <w:ind w:left="0" w:right="0"/>
              <w:jc w:val="both"/>
            </w:pPr>
            <w:r w:rsidRPr="005970A0">
              <w:t xml:space="preserve">Requests for more detailed statistical information can be made to </w:t>
            </w:r>
            <w:proofErr w:type="spellStart"/>
            <w:r w:rsidRPr="005970A0">
              <w:t>NCVER</w:t>
            </w:r>
            <w:proofErr w:type="spellEnd"/>
            <w:r w:rsidRPr="005970A0">
              <w:t xml:space="preserve">. However, a charge will be generally made for more complex requests for information. See </w:t>
            </w:r>
            <w:proofErr w:type="spellStart"/>
            <w:r w:rsidRPr="005970A0">
              <w:t>NCVER’s</w:t>
            </w:r>
            <w:proofErr w:type="spellEnd"/>
            <w:r w:rsidRPr="005970A0">
              <w:t xml:space="preserve"> fees and charges policy at: </w:t>
            </w:r>
            <w:r w:rsidRPr="00D86CD7">
              <w:rPr>
                <w:szCs w:val="22"/>
              </w:rPr>
              <w:t>http://</w:t>
            </w:r>
            <w:proofErr w:type="spellStart"/>
            <w:r w:rsidRPr="00D86CD7">
              <w:rPr>
                <w:szCs w:val="22"/>
              </w:rPr>
              <w:t>www.ncver.edu.au</w:t>
            </w:r>
            <w:proofErr w:type="spellEnd"/>
            <w:r w:rsidRPr="00D86CD7">
              <w:rPr>
                <w:szCs w:val="22"/>
              </w:rPr>
              <w:t>/statistic/</w:t>
            </w:r>
            <w:proofErr w:type="spellStart"/>
            <w:r w:rsidRPr="00D86CD7">
              <w:rPr>
                <w:szCs w:val="22"/>
              </w:rPr>
              <w:t>21075.html</w:t>
            </w:r>
            <w:proofErr w:type="spellEnd"/>
            <w:r w:rsidRPr="005970A0">
              <w:t>.</w:t>
            </w:r>
          </w:p>
        </w:tc>
      </w:tr>
      <w:tr w:rsidR="005970A0" w:rsidRPr="005970A0" w:rsidTr="00A97467">
        <w:tc>
          <w:tcPr>
            <w:tcW w:w="922" w:type="pct"/>
          </w:tcPr>
          <w:p w:rsidR="00A97467" w:rsidRPr="005970A0" w:rsidRDefault="00A97467" w:rsidP="00A97467">
            <w:pPr>
              <w:pStyle w:val="TableBodyText"/>
              <w:jc w:val="both"/>
              <w:rPr>
                <w:b/>
              </w:rPr>
            </w:pPr>
            <w:r w:rsidRPr="005970A0">
              <w:rPr>
                <w:b/>
              </w:rPr>
              <w:t>Interpretability</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 xml:space="preserve">To aid interpretation, a statistical standard for the National VET Finance Collection is provided at: </w:t>
            </w:r>
            <w:r w:rsidRPr="00D86CD7">
              <w:rPr>
                <w:szCs w:val="22"/>
              </w:rPr>
              <w:t>http://</w:t>
            </w:r>
            <w:proofErr w:type="spellStart"/>
            <w:r w:rsidRPr="00D86CD7">
              <w:rPr>
                <w:szCs w:val="22"/>
              </w:rPr>
              <w:t>www.ncver.edu.au</w:t>
            </w:r>
            <w:proofErr w:type="spellEnd"/>
            <w:r w:rsidRPr="00D86CD7">
              <w:rPr>
                <w:szCs w:val="22"/>
              </w:rPr>
              <w:t>/</w:t>
            </w:r>
            <w:proofErr w:type="spellStart"/>
            <w:r w:rsidRPr="00D86CD7">
              <w:rPr>
                <w:szCs w:val="22"/>
              </w:rPr>
              <w:t>avetmiss</w:t>
            </w:r>
            <w:proofErr w:type="spellEnd"/>
            <w:r w:rsidRPr="00D86CD7">
              <w:rPr>
                <w:szCs w:val="22"/>
              </w:rPr>
              <w:t>/</w:t>
            </w:r>
            <w:proofErr w:type="spellStart"/>
            <w:r w:rsidRPr="00D86CD7">
              <w:rPr>
                <w:szCs w:val="22"/>
              </w:rPr>
              <w:t>21064.html</w:t>
            </w:r>
            <w:proofErr w:type="spellEnd"/>
            <w:r w:rsidRPr="005970A0">
              <w:t xml:space="preserve">. </w:t>
            </w:r>
          </w:p>
        </w:tc>
      </w:tr>
    </w:tbl>
    <w:p w:rsidR="000A0BB0" w:rsidRPr="005970A0" w:rsidRDefault="000A0BB0">
      <w:r w:rsidRPr="005970A0">
        <w:br w:type="page"/>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A97467">
        <w:tc>
          <w:tcPr>
            <w:tcW w:w="5000" w:type="pct"/>
            <w:gridSpan w:val="2"/>
            <w:shd w:val="clear" w:color="auto" w:fill="auto"/>
          </w:tcPr>
          <w:p w:rsidR="00FF27CE" w:rsidRPr="005970A0" w:rsidRDefault="00A97467" w:rsidP="00B82092">
            <w:pPr>
              <w:pStyle w:val="TableBodyText"/>
              <w:ind w:left="0"/>
              <w:jc w:val="both"/>
              <w:rPr>
                <w:rStyle w:val="DraftingNote"/>
                <w:b/>
                <w:color w:val="auto"/>
                <w:sz w:val="20"/>
                <w:u w:val="single"/>
              </w:rPr>
            </w:pPr>
            <w:r w:rsidRPr="005970A0">
              <w:rPr>
                <w:b/>
                <w:u w:val="single"/>
              </w:rPr>
              <w:lastRenderedPageBreak/>
              <w:t>Data Gaps/Issues Analysis</w:t>
            </w:r>
          </w:p>
        </w:tc>
      </w:tr>
      <w:tr w:rsidR="005970A0" w:rsidRPr="005970A0" w:rsidTr="00A97467">
        <w:tc>
          <w:tcPr>
            <w:tcW w:w="922" w:type="pct"/>
            <w:shd w:val="clear" w:color="auto" w:fill="auto"/>
          </w:tcPr>
          <w:p w:rsidR="00A97467" w:rsidRPr="005970A0" w:rsidRDefault="00A97467" w:rsidP="00A97467">
            <w:pPr>
              <w:pStyle w:val="TableBodyText"/>
              <w:jc w:val="both"/>
              <w:rPr>
                <w:b/>
              </w:rPr>
            </w:pPr>
            <w:r w:rsidRPr="005970A0">
              <w:rPr>
                <w:b/>
              </w:rPr>
              <w:t>Key data gaps/ issues</w:t>
            </w:r>
          </w:p>
        </w:tc>
        <w:tc>
          <w:tcPr>
            <w:tcW w:w="4078" w:type="pct"/>
            <w:shd w:val="clear" w:color="auto" w:fill="auto"/>
          </w:tcPr>
          <w:p w:rsidR="00A97467" w:rsidRPr="005970A0" w:rsidRDefault="00A97467" w:rsidP="00A97467">
            <w:pPr>
              <w:pStyle w:val="TableBodyText"/>
              <w:keepNext w:val="0"/>
              <w:keepLines w:val="0"/>
              <w:spacing w:after="120" w:line="240" w:lineRule="auto"/>
              <w:ind w:left="0" w:right="0"/>
              <w:jc w:val="both"/>
            </w:pPr>
            <w:r w:rsidRPr="005970A0">
              <w:t xml:space="preserve">The Steering Committee notes the following key data gaps/issues: </w:t>
            </w:r>
          </w:p>
          <w:p w:rsidR="00A97467" w:rsidRPr="005970A0" w:rsidRDefault="00A97467" w:rsidP="00A97467">
            <w:pPr>
              <w:pStyle w:val="TableBodyText"/>
              <w:keepNext w:val="0"/>
              <w:keepLines w:val="0"/>
              <w:spacing w:after="120" w:line="240" w:lineRule="auto"/>
              <w:ind w:left="0" w:right="0"/>
              <w:jc w:val="both"/>
            </w:pPr>
            <w:r w:rsidRPr="005970A0">
              <w:t>Government recurrent expenditure per annual hour needs to be interpreted carefully because low or decreasing unit costs do not necessarily reflect a lessening of quality. The factors that have the greatest impact on efficiency include:</w:t>
            </w:r>
          </w:p>
          <w:p w:rsidR="00A97467" w:rsidRPr="005970A0" w:rsidRDefault="00A97467" w:rsidP="00302802">
            <w:pPr>
              <w:pStyle w:val="TableBullet"/>
              <w:keepNext w:val="0"/>
              <w:keepLines w:val="0"/>
              <w:tabs>
                <w:tab w:val="clear" w:pos="170"/>
                <w:tab w:val="num" w:pos="222"/>
              </w:tabs>
              <w:spacing w:after="80" w:line="240" w:lineRule="auto"/>
              <w:ind w:left="222" w:right="0" w:hanging="223"/>
              <w:jc w:val="both"/>
            </w:pPr>
            <w:r w:rsidRPr="005970A0">
              <w:t>training related factors, such as class sizes, teaching salaries, teaching hours per full time equivalent staff member and differences in the length of training programs</w:t>
            </w:r>
          </w:p>
          <w:p w:rsidR="00A97467" w:rsidRPr="005970A0" w:rsidRDefault="00A97467" w:rsidP="00302802">
            <w:pPr>
              <w:pStyle w:val="TableBullet"/>
              <w:keepNext w:val="0"/>
              <w:keepLines w:val="0"/>
              <w:tabs>
                <w:tab w:val="clear" w:pos="170"/>
                <w:tab w:val="num" w:pos="222"/>
              </w:tabs>
              <w:spacing w:after="80" w:line="240" w:lineRule="auto"/>
              <w:ind w:left="222" w:right="0" w:hanging="223"/>
              <w:jc w:val="both"/>
            </w:pPr>
            <w:r w:rsidRPr="005970A0">
              <w:t>differences across jurisdictions, including socio-demographic composition, administrative scale, and dispersion and scale of service delivery</w:t>
            </w:r>
          </w:p>
          <w:p w:rsidR="00A97467" w:rsidRPr="005970A0" w:rsidRDefault="00A97467" w:rsidP="00302802">
            <w:pPr>
              <w:pStyle w:val="TableBullet"/>
              <w:keepNext w:val="0"/>
              <w:keepLines w:val="0"/>
              <w:tabs>
                <w:tab w:val="clear" w:pos="170"/>
                <w:tab w:val="num" w:pos="222"/>
              </w:tabs>
              <w:spacing w:after="80" w:line="240" w:lineRule="auto"/>
              <w:ind w:left="222" w:right="0" w:hanging="223"/>
              <w:jc w:val="both"/>
            </w:pPr>
            <w:r w:rsidRPr="005970A0">
              <w:t>VET policies and practices, including the level of fees and charges paid by students.</w:t>
            </w:r>
          </w:p>
        </w:tc>
      </w:tr>
    </w:tbl>
    <w:p w:rsidR="00A97467" w:rsidRPr="005970A0" w:rsidRDefault="00A97467" w:rsidP="00D21520">
      <w:pPr>
        <w:pStyle w:val="Heading3"/>
        <w:spacing w:before="120"/>
      </w:pPr>
      <w:r w:rsidRPr="005970A0">
        <w:br w:type="page"/>
      </w:r>
      <w:bookmarkStart w:id="21" w:name="_Toc370472618"/>
      <w:r w:rsidRPr="005970A0">
        <w:lastRenderedPageBreak/>
        <w:t>Government recurrent expenditure per load pass</w:t>
      </w:r>
      <w:bookmarkEnd w:id="21"/>
    </w:p>
    <w:p w:rsidR="00A97467" w:rsidRPr="005970A0" w:rsidRDefault="00A97467" w:rsidP="00A97467">
      <w:pPr>
        <w:pStyle w:val="Box"/>
      </w:pPr>
      <w:r w:rsidRPr="005970A0">
        <w:t>Data quality information for this indicator has been drafted by the National Centre for Vocational Education Research (</w:t>
      </w:r>
      <w:proofErr w:type="spellStart"/>
      <w:r w:rsidRPr="005970A0">
        <w:t>NCVER</w:t>
      </w:r>
      <w:proofErr w:type="spellEnd"/>
      <w:r w:rsidRPr="005970A0">
        <w:t>)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A97467">
        <w:tc>
          <w:tcPr>
            <w:tcW w:w="5000" w:type="pct"/>
            <w:gridSpan w:val="2"/>
          </w:tcPr>
          <w:p w:rsidR="00A97467" w:rsidRPr="005970A0" w:rsidRDefault="00A97467" w:rsidP="00A97467">
            <w:pPr>
              <w:pStyle w:val="TableBodyText"/>
              <w:jc w:val="both"/>
              <w:rPr>
                <w:b/>
                <w:u w:val="single"/>
              </w:rPr>
            </w:pPr>
          </w:p>
          <w:p w:rsidR="00B70FFA" w:rsidRPr="005970A0" w:rsidRDefault="00A97467" w:rsidP="00A97467">
            <w:pPr>
              <w:pStyle w:val="TableBodyText"/>
              <w:jc w:val="both"/>
              <w:rPr>
                <w:rFonts w:cs="Arial"/>
                <w:b/>
                <w:sz w:val="22"/>
                <w:szCs w:val="22"/>
                <w:u w:val="single"/>
              </w:rPr>
            </w:pPr>
            <w:r w:rsidRPr="005970A0">
              <w:rPr>
                <w:b/>
                <w:u w:val="single"/>
              </w:rPr>
              <w:t>Indicator definition and description</w:t>
            </w:r>
            <w:r w:rsidRPr="005970A0">
              <w:rPr>
                <w:rFonts w:cs="Arial"/>
                <w:b/>
                <w:sz w:val="22"/>
                <w:szCs w:val="22"/>
                <w:u w:val="single"/>
              </w:rPr>
              <w:t xml:space="preserve"> </w:t>
            </w:r>
          </w:p>
        </w:tc>
      </w:tr>
      <w:tr w:rsidR="005970A0" w:rsidRPr="005970A0" w:rsidTr="00A97467">
        <w:tc>
          <w:tcPr>
            <w:tcW w:w="922" w:type="pct"/>
          </w:tcPr>
          <w:p w:rsidR="00A97467" w:rsidRPr="005970A0" w:rsidRDefault="00A97467" w:rsidP="00A97467">
            <w:pPr>
              <w:pStyle w:val="TableBodyText"/>
              <w:jc w:val="both"/>
              <w:rPr>
                <w:b/>
              </w:rPr>
            </w:pPr>
            <w:r w:rsidRPr="005970A0">
              <w:rPr>
                <w:b/>
              </w:rPr>
              <w:t>Element</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Output/efficiency.</w:t>
            </w:r>
          </w:p>
        </w:tc>
      </w:tr>
      <w:tr w:rsidR="005970A0" w:rsidRPr="005970A0" w:rsidTr="00A97467">
        <w:tc>
          <w:tcPr>
            <w:tcW w:w="922" w:type="pct"/>
          </w:tcPr>
          <w:p w:rsidR="00A97467" w:rsidRPr="005970A0" w:rsidRDefault="00A97467" w:rsidP="00A97467">
            <w:pPr>
              <w:pStyle w:val="TableBodyText"/>
              <w:jc w:val="both"/>
              <w:rPr>
                <w:b/>
              </w:rPr>
            </w:pPr>
            <w:r w:rsidRPr="005970A0">
              <w:rPr>
                <w:b/>
              </w:rPr>
              <w:t>Indicator</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Government recurrent expenditure per load pass</w:t>
            </w:r>
          </w:p>
        </w:tc>
      </w:tr>
      <w:tr w:rsidR="005970A0" w:rsidRPr="005970A0" w:rsidTr="00A97467">
        <w:tc>
          <w:tcPr>
            <w:tcW w:w="922" w:type="pct"/>
          </w:tcPr>
          <w:p w:rsidR="00A97467" w:rsidRPr="005970A0" w:rsidRDefault="00A97467" w:rsidP="00A97467">
            <w:pPr>
              <w:pStyle w:val="TableBodyText"/>
              <w:jc w:val="both"/>
              <w:rPr>
                <w:b/>
              </w:rPr>
            </w:pPr>
            <w:r w:rsidRPr="005970A0">
              <w:rPr>
                <w:b/>
              </w:rPr>
              <w:t>Measure (computation)</w:t>
            </w:r>
          </w:p>
        </w:tc>
        <w:tc>
          <w:tcPr>
            <w:tcW w:w="4078" w:type="pct"/>
          </w:tcPr>
          <w:p w:rsidR="00A97467" w:rsidRPr="005970A0" w:rsidRDefault="00A97467" w:rsidP="00A97467">
            <w:pPr>
              <w:pStyle w:val="TableBodyText"/>
              <w:jc w:val="both"/>
            </w:pPr>
            <w:r w:rsidRPr="005970A0">
              <w:rPr>
                <w:u w:val="single"/>
              </w:rPr>
              <w:t>Definition</w:t>
            </w:r>
          </w:p>
          <w:p w:rsidR="00A97467" w:rsidRPr="005970A0" w:rsidRDefault="00A97467" w:rsidP="00A97467">
            <w:pPr>
              <w:pStyle w:val="TableBodyText"/>
              <w:keepNext w:val="0"/>
              <w:keepLines w:val="0"/>
              <w:spacing w:after="120" w:line="240" w:lineRule="auto"/>
              <w:ind w:left="0" w:right="0"/>
              <w:jc w:val="both"/>
            </w:pPr>
            <w:r w:rsidRPr="005970A0">
              <w:t xml:space="preserve">Government recurrent expenditure divided by hours of publicly funded load pass. </w:t>
            </w:r>
          </w:p>
          <w:p w:rsidR="00A97467" w:rsidRPr="005970A0" w:rsidRDefault="00A97467" w:rsidP="00A97467">
            <w:pPr>
              <w:pStyle w:val="TableBodyText"/>
              <w:jc w:val="both"/>
              <w:rPr>
                <w:u w:val="single"/>
              </w:rPr>
            </w:pPr>
            <w:r w:rsidRPr="005970A0">
              <w:rPr>
                <w:u w:val="single"/>
              </w:rPr>
              <w:t>Numerator/s</w:t>
            </w:r>
          </w:p>
          <w:p w:rsidR="00A97467" w:rsidRPr="005970A0" w:rsidRDefault="00A97467" w:rsidP="00A97467">
            <w:pPr>
              <w:pStyle w:val="TableBodyText"/>
              <w:keepNext w:val="0"/>
              <w:keepLines w:val="0"/>
              <w:spacing w:after="120" w:line="240" w:lineRule="auto"/>
              <w:ind w:left="0" w:right="0"/>
              <w:jc w:val="both"/>
            </w:pPr>
            <w:r w:rsidRPr="005970A0">
              <w:t xml:space="preserve">Government recurrent expenditure is calculated by adding the following </w:t>
            </w:r>
            <w:proofErr w:type="spellStart"/>
            <w:r w:rsidRPr="005970A0">
              <w:t>AVETMISS</w:t>
            </w:r>
            <w:proofErr w:type="spellEnd"/>
            <w:r w:rsidRPr="005970A0">
              <w:t xml:space="preserve"> financial statements revenue items for the government recurrent payments received by states and territories: Commonwealth National Agreement revenue, State recurrent revenue, Commonwealth Administered Programs revenue and revenue for VET expenses and liabilities of State/Territory training departments undertaken by another department or agency but required to be reported in the financial accounts of the training department. The reported government recurrent expenditure excludes capital expenditure.</w:t>
            </w:r>
          </w:p>
          <w:p w:rsidR="00A97467" w:rsidRPr="005970A0" w:rsidRDefault="00A97467" w:rsidP="00A97467">
            <w:pPr>
              <w:pStyle w:val="TableBodyText"/>
              <w:jc w:val="both"/>
              <w:rPr>
                <w:u w:val="single"/>
              </w:rPr>
            </w:pPr>
            <w:r w:rsidRPr="005970A0">
              <w:rPr>
                <w:u w:val="single"/>
              </w:rPr>
              <w:t>Denominator/s</w:t>
            </w:r>
          </w:p>
          <w:p w:rsidR="00A97467" w:rsidRPr="005970A0" w:rsidRDefault="00A97467" w:rsidP="00A97467">
            <w:pPr>
              <w:pStyle w:val="TableBodyText"/>
              <w:keepNext w:val="0"/>
              <w:keepLines w:val="0"/>
              <w:spacing w:after="120" w:line="240" w:lineRule="auto"/>
              <w:ind w:left="0" w:right="0"/>
              <w:jc w:val="both"/>
            </w:pPr>
            <w:r w:rsidRPr="005970A0">
              <w:t xml:space="preserve">Load pass is based on assessable enrolments of modules and units of competency achieved/passed and </w:t>
            </w:r>
            <w:proofErr w:type="spellStart"/>
            <w:r w:rsidRPr="005970A0">
              <w:t>RPL</w:t>
            </w:r>
            <w:proofErr w:type="spellEnd"/>
            <w:r w:rsidRPr="005970A0">
              <w:t>, and does not include non-assessable enrolments.</w:t>
            </w:r>
          </w:p>
          <w:p w:rsidR="00A97467" w:rsidRPr="005970A0" w:rsidRDefault="00A97467" w:rsidP="00A97467">
            <w:pPr>
              <w:pStyle w:val="TableBodyText"/>
              <w:jc w:val="both"/>
              <w:rPr>
                <w:u w:val="single"/>
              </w:rPr>
            </w:pPr>
            <w:r w:rsidRPr="005970A0">
              <w:rPr>
                <w:u w:val="single"/>
              </w:rPr>
              <w:t>Computation/s</w:t>
            </w:r>
            <w:r w:rsidRPr="005970A0">
              <w:t>:</w:t>
            </w:r>
          </w:p>
          <w:p w:rsidR="00A97467" w:rsidRPr="005970A0" w:rsidRDefault="00A97467" w:rsidP="00A97467">
            <w:pPr>
              <w:pStyle w:val="TableBodyText"/>
              <w:keepNext w:val="0"/>
              <w:keepLines w:val="0"/>
              <w:spacing w:after="120" w:line="240" w:lineRule="auto"/>
              <w:ind w:left="0" w:right="0"/>
              <w:jc w:val="both"/>
            </w:pPr>
            <w:r w:rsidRPr="005970A0">
              <w:t>Numerator (above) divided by denominator (above).</w:t>
            </w:r>
          </w:p>
        </w:tc>
      </w:tr>
      <w:tr w:rsidR="005970A0" w:rsidRPr="005970A0" w:rsidTr="00A97467">
        <w:tc>
          <w:tcPr>
            <w:tcW w:w="922" w:type="pct"/>
          </w:tcPr>
          <w:p w:rsidR="00A97467" w:rsidRPr="005970A0" w:rsidRDefault="00A97467" w:rsidP="00A97467">
            <w:pPr>
              <w:pStyle w:val="TableBodyText"/>
              <w:jc w:val="both"/>
              <w:rPr>
                <w:b/>
              </w:rPr>
            </w:pPr>
            <w:r w:rsidRPr="005970A0">
              <w:rPr>
                <w:b/>
              </w:rPr>
              <w:t>Data source/s</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 xml:space="preserve">All data are unpublished and are derived from </w:t>
            </w:r>
            <w:proofErr w:type="spellStart"/>
            <w:r w:rsidRPr="005970A0">
              <w:t>NCVER</w:t>
            </w:r>
            <w:proofErr w:type="spellEnd"/>
            <w:r w:rsidRPr="005970A0">
              <w:t xml:space="preserve"> national financial and VET provider data collections.</w:t>
            </w:r>
          </w:p>
        </w:tc>
      </w:tr>
      <w:tr w:rsidR="005970A0" w:rsidRPr="005970A0" w:rsidTr="00A97467">
        <w:tc>
          <w:tcPr>
            <w:tcW w:w="5000" w:type="pct"/>
            <w:gridSpan w:val="2"/>
          </w:tcPr>
          <w:p w:rsidR="00A97467" w:rsidRPr="005970A0" w:rsidRDefault="00A97467" w:rsidP="00A97467">
            <w:pPr>
              <w:pStyle w:val="TableBodyText"/>
              <w:jc w:val="both"/>
              <w:rPr>
                <w:b/>
                <w:u w:val="single"/>
              </w:rPr>
            </w:pPr>
          </w:p>
          <w:p w:rsidR="00A97467" w:rsidRPr="005970A0" w:rsidRDefault="00A97467" w:rsidP="00A97467">
            <w:pPr>
              <w:pStyle w:val="TableBodyText"/>
              <w:jc w:val="both"/>
              <w:rPr>
                <w:b/>
                <w:u w:val="single"/>
              </w:rPr>
            </w:pPr>
            <w:r w:rsidRPr="005970A0">
              <w:rPr>
                <w:b/>
                <w:u w:val="single"/>
              </w:rPr>
              <w:t>Data Quality Framework Dimensions</w:t>
            </w:r>
          </w:p>
        </w:tc>
      </w:tr>
      <w:tr w:rsidR="005970A0" w:rsidRPr="005970A0" w:rsidTr="00A97467">
        <w:tc>
          <w:tcPr>
            <w:tcW w:w="922" w:type="pct"/>
          </w:tcPr>
          <w:p w:rsidR="00A97467" w:rsidRPr="005970A0" w:rsidRDefault="00A97467" w:rsidP="00A97467">
            <w:pPr>
              <w:pStyle w:val="TableBodyText"/>
              <w:jc w:val="both"/>
              <w:rPr>
                <w:b/>
              </w:rPr>
            </w:pPr>
            <w:r w:rsidRPr="005970A0">
              <w:rPr>
                <w:b/>
              </w:rPr>
              <w:t>Institutional environment</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The National Centre for Vocational Education Research (</w:t>
            </w:r>
            <w:proofErr w:type="spellStart"/>
            <w:r w:rsidRPr="005970A0">
              <w:t>NCVER</w:t>
            </w:r>
            <w:proofErr w:type="spellEnd"/>
            <w:r w:rsidRPr="005970A0">
              <w:t>) is a not-for-profit company owned by the federal, state and territory ministers responsible for training.</w:t>
            </w:r>
          </w:p>
          <w:p w:rsidR="00A97467" w:rsidRPr="005970A0" w:rsidRDefault="00A97467" w:rsidP="00A97467">
            <w:pPr>
              <w:pStyle w:val="TableBodyText"/>
              <w:keepNext w:val="0"/>
              <w:keepLines w:val="0"/>
              <w:spacing w:after="120" w:line="240" w:lineRule="auto"/>
              <w:ind w:left="0" w:right="0"/>
              <w:jc w:val="both"/>
            </w:pPr>
            <w:proofErr w:type="spellStart"/>
            <w:r w:rsidRPr="005970A0">
              <w:t>NCVER</w:t>
            </w:r>
            <w:proofErr w:type="spellEnd"/>
            <w:r w:rsidRPr="005970A0">
              <w:t xml:space="preserve"> is a professional and independent body responsible for collecting, managing, analysing, evaluating and communicating research and statistics about vocational education and training (VET) nationally. It is Australia's principal provider of VET research and statistics.</w:t>
            </w:r>
          </w:p>
        </w:tc>
      </w:tr>
      <w:tr w:rsidR="00A97467" w:rsidRPr="005970A0" w:rsidTr="00A97467">
        <w:tc>
          <w:tcPr>
            <w:tcW w:w="922" w:type="pct"/>
          </w:tcPr>
          <w:p w:rsidR="00A97467" w:rsidRPr="005970A0" w:rsidRDefault="00A97467" w:rsidP="00A97467">
            <w:pPr>
              <w:pStyle w:val="TableBodyText"/>
              <w:jc w:val="both"/>
              <w:rPr>
                <w:b/>
              </w:rPr>
            </w:pPr>
            <w:r w:rsidRPr="005970A0">
              <w:rPr>
                <w:b/>
              </w:rPr>
              <w:t>Relevance</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 xml:space="preserve">The scope of the financial data collection covers all transactions that affect the financial performance, financial position and financing of the public VET system. The collection focuses on vocational education and training administered or provided by the main training authority or training department within each state and territory, their public training providers and </w:t>
            </w:r>
            <w:r w:rsidR="008E16E3" w:rsidRPr="005970A0">
              <w:t>the Department of Industry</w:t>
            </w:r>
            <w:r w:rsidR="0000415A">
              <w:t>.</w:t>
            </w:r>
            <w:r w:rsidRPr="005970A0">
              <w:t xml:space="preserve"> </w:t>
            </w:r>
          </w:p>
          <w:p w:rsidR="00A97467" w:rsidRPr="005970A0" w:rsidRDefault="00A97467" w:rsidP="00A97467">
            <w:pPr>
              <w:pStyle w:val="TableBodyText"/>
              <w:keepNext w:val="0"/>
              <w:keepLines w:val="0"/>
              <w:spacing w:after="120" w:line="240" w:lineRule="auto"/>
              <w:ind w:left="0" w:right="0"/>
              <w:jc w:val="both"/>
            </w:pPr>
            <w:r w:rsidRPr="005970A0">
              <w:t>The financial information has been extracted from accrual-based financial records.</w:t>
            </w:r>
          </w:p>
        </w:tc>
      </w:tr>
    </w:tbl>
    <w:p w:rsidR="001654FD" w:rsidRDefault="001654FD">
      <w:r>
        <w:br w:type="page"/>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A97467">
        <w:tc>
          <w:tcPr>
            <w:tcW w:w="922" w:type="pct"/>
          </w:tcPr>
          <w:p w:rsidR="00A97467" w:rsidRPr="005970A0" w:rsidRDefault="00A97467" w:rsidP="00A97467">
            <w:pPr>
              <w:pStyle w:val="TableBodyText"/>
              <w:jc w:val="both"/>
              <w:rPr>
                <w:b/>
              </w:rPr>
            </w:pPr>
            <w:r w:rsidRPr="005970A0">
              <w:rPr>
                <w:b/>
              </w:rPr>
              <w:lastRenderedPageBreak/>
              <w:t>Timeliness</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 xml:space="preserve">The National VET Finance Collection is an annual collection of data. Audited data are submitted to </w:t>
            </w:r>
            <w:proofErr w:type="spellStart"/>
            <w:r w:rsidRPr="005970A0">
              <w:t>NCVER</w:t>
            </w:r>
            <w:proofErr w:type="spellEnd"/>
            <w:r w:rsidRPr="005970A0">
              <w:t xml:space="preserve"> (via state training authorities) by 8 July in the year following activity.</w:t>
            </w:r>
          </w:p>
        </w:tc>
      </w:tr>
      <w:tr w:rsidR="005970A0" w:rsidRPr="005970A0" w:rsidTr="00A97467">
        <w:tc>
          <w:tcPr>
            <w:tcW w:w="922" w:type="pct"/>
          </w:tcPr>
          <w:p w:rsidR="00A97467" w:rsidRPr="005970A0" w:rsidRDefault="00A97467" w:rsidP="00A97467">
            <w:pPr>
              <w:pStyle w:val="TableBodyText"/>
              <w:jc w:val="both"/>
              <w:rPr>
                <w:b/>
              </w:rPr>
            </w:pPr>
            <w:r w:rsidRPr="005970A0">
              <w:rPr>
                <w:b/>
              </w:rPr>
              <w:t>Accuracy</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Key financial data are audited to provide additional assurance on the quality of the reported data and consistent adoption of the requirements of the Australian Vocational Education and Training Management Information Statistical Standard (</w:t>
            </w:r>
            <w:proofErr w:type="spellStart"/>
            <w:r w:rsidRPr="005970A0">
              <w:t>AVETMISS</w:t>
            </w:r>
            <w:proofErr w:type="spellEnd"/>
            <w:r w:rsidRPr="005970A0">
              <w:t>).</w:t>
            </w:r>
          </w:p>
          <w:p w:rsidR="00A97467" w:rsidRPr="005970A0" w:rsidRDefault="00A97467" w:rsidP="00A97467">
            <w:pPr>
              <w:pStyle w:val="TableBodyText"/>
              <w:keepNext w:val="0"/>
              <w:keepLines w:val="0"/>
              <w:spacing w:after="120" w:line="240" w:lineRule="auto"/>
              <w:ind w:left="0" w:right="0"/>
              <w:jc w:val="both"/>
            </w:pPr>
            <w:r w:rsidRPr="005970A0">
              <w:t xml:space="preserve">Differences exist across the accounting policies applied by state and territory governments; for example, in relation to the valuation and measurement of investments and property, and plant and equipment. Details of accounting policies for each jurisdiction are in the </w:t>
            </w:r>
            <w:proofErr w:type="spellStart"/>
            <w:r w:rsidRPr="005970A0">
              <w:t>AVETMISS</w:t>
            </w:r>
            <w:proofErr w:type="spellEnd"/>
            <w:r w:rsidRPr="005970A0">
              <w:t xml:space="preserve"> for VET financial data located at </w:t>
            </w:r>
            <w:r w:rsidRPr="00D86CD7">
              <w:rPr>
                <w:szCs w:val="22"/>
              </w:rPr>
              <w:t>http://</w:t>
            </w:r>
            <w:proofErr w:type="spellStart"/>
            <w:r w:rsidRPr="00D86CD7">
              <w:rPr>
                <w:szCs w:val="22"/>
              </w:rPr>
              <w:t>www.ncver.edu.au</w:t>
            </w:r>
            <w:proofErr w:type="spellEnd"/>
            <w:r w:rsidRPr="00D86CD7">
              <w:rPr>
                <w:szCs w:val="22"/>
              </w:rPr>
              <w:t>/</w:t>
            </w:r>
            <w:proofErr w:type="spellStart"/>
            <w:r w:rsidRPr="00D86CD7">
              <w:rPr>
                <w:szCs w:val="22"/>
              </w:rPr>
              <w:t>avetmiss</w:t>
            </w:r>
            <w:proofErr w:type="spellEnd"/>
            <w:r w:rsidRPr="00D86CD7">
              <w:rPr>
                <w:szCs w:val="22"/>
              </w:rPr>
              <w:t>/</w:t>
            </w:r>
            <w:proofErr w:type="spellStart"/>
            <w:r w:rsidRPr="00D86CD7">
              <w:rPr>
                <w:szCs w:val="22"/>
              </w:rPr>
              <w:t>21064.html</w:t>
            </w:r>
            <w:proofErr w:type="spellEnd"/>
            <w:r w:rsidRPr="005970A0">
              <w:t>.</w:t>
            </w:r>
          </w:p>
          <w:p w:rsidR="00A97467" w:rsidRPr="005970A0" w:rsidRDefault="00A97467" w:rsidP="00A97467">
            <w:pPr>
              <w:pStyle w:val="TableBodyText"/>
              <w:keepNext w:val="0"/>
              <w:keepLines w:val="0"/>
              <w:spacing w:after="120" w:line="240" w:lineRule="auto"/>
              <w:ind w:left="0" w:right="0"/>
              <w:jc w:val="both"/>
            </w:pPr>
            <w:r w:rsidRPr="005970A0">
              <w:t>State and territory governments and the Australian Government were not required to submit detailed working papers. The data are supported by relevant working papers held by them and, where possible, reconciled to public documents such as annual reports and budget papers.</w:t>
            </w:r>
          </w:p>
        </w:tc>
      </w:tr>
      <w:tr w:rsidR="005970A0" w:rsidRPr="005970A0" w:rsidTr="00A97467">
        <w:tc>
          <w:tcPr>
            <w:tcW w:w="922" w:type="pct"/>
          </w:tcPr>
          <w:p w:rsidR="00A97467" w:rsidRPr="005970A0" w:rsidRDefault="00A97467" w:rsidP="00A97467">
            <w:pPr>
              <w:pStyle w:val="TableBodyText"/>
              <w:jc w:val="both"/>
              <w:rPr>
                <w:b/>
              </w:rPr>
            </w:pPr>
            <w:r w:rsidRPr="005970A0">
              <w:rPr>
                <w:b/>
              </w:rPr>
              <w:t>Coherence</w:t>
            </w:r>
          </w:p>
        </w:tc>
        <w:tc>
          <w:tcPr>
            <w:tcW w:w="4078" w:type="pct"/>
          </w:tcPr>
          <w:p w:rsidR="00156D50" w:rsidRPr="005970A0" w:rsidRDefault="00156D50" w:rsidP="00156D50">
            <w:pPr>
              <w:pStyle w:val="TableBodyText"/>
              <w:keepNext w:val="0"/>
              <w:keepLines w:val="0"/>
              <w:spacing w:after="120" w:line="240" w:lineRule="auto"/>
              <w:ind w:left="0" w:right="0"/>
              <w:jc w:val="both"/>
            </w:pPr>
            <w:r w:rsidRPr="005970A0">
              <w:t>VET in schools revenue can no longer be separated from the other specific purpose program payments made by the Australian Government to the states and territories. Hence, the numerator (</w:t>
            </w:r>
            <w:r>
              <w:t>‘g</w:t>
            </w:r>
            <w:r w:rsidRPr="005970A0">
              <w:t>overnment recurrent expenditure</w:t>
            </w:r>
            <w:r>
              <w:t>’</w:t>
            </w:r>
            <w:r w:rsidRPr="005970A0">
              <w:t xml:space="preserve">) includes payments received by states and territories for VET in schools programs. </w:t>
            </w:r>
            <w:r w:rsidRPr="00645C35">
              <w:t>In 2009, those payments for VET in schools previously excluded was approximately 0.2 per cent of government recurrent expenditure for VET.</w:t>
            </w:r>
          </w:p>
          <w:p w:rsidR="00A97467" w:rsidRPr="005970A0" w:rsidRDefault="00A97467" w:rsidP="00A97467">
            <w:pPr>
              <w:pStyle w:val="TableBodyText"/>
              <w:keepNext w:val="0"/>
              <w:keepLines w:val="0"/>
              <w:spacing w:after="120" w:line="240" w:lineRule="auto"/>
              <w:ind w:left="0" w:right="0"/>
              <w:jc w:val="both"/>
            </w:pPr>
            <w:r w:rsidRPr="005970A0">
              <w:t>In 2007, Victoria adopted standard nominal hour values for common units of competency as the basis of calculating total annual hours of delivery, thereby achieving consistency with all other states and territories. To enable comparison over time, standard nominal hour values have been used to revise the time series back to 2002, except for Victoria, where data prior to 2007 cannot be rebased from scheduled hours to standard nominal hours.</w:t>
            </w:r>
          </w:p>
        </w:tc>
      </w:tr>
      <w:tr w:rsidR="005970A0" w:rsidRPr="005970A0" w:rsidTr="00A97467">
        <w:tc>
          <w:tcPr>
            <w:tcW w:w="922" w:type="pct"/>
          </w:tcPr>
          <w:p w:rsidR="00A97467" w:rsidRPr="005970A0" w:rsidRDefault="00A97467" w:rsidP="00A97467">
            <w:pPr>
              <w:pStyle w:val="TableBodyText"/>
              <w:jc w:val="both"/>
              <w:rPr>
                <w:b/>
              </w:rPr>
            </w:pPr>
            <w:r w:rsidRPr="005970A0">
              <w:rPr>
                <w:b/>
              </w:rPr>
              <w:t>Accessibility</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 xml:space="preserve">Summary information is available free of charge on </w:t>
            </w:r>
            <w:proofErr w:type="spellStart"/>
            <w:r w:rsidRPr="005970A0">
              <w:t>NCVER’s</w:t>
            </w:r>
            <w:proofErr w:type="spellEnd"/>
            <w:r w:rsidRPr="005970A0">
              <w:t xml:space="preserve"> website at: </w:t>
            </w:r>
            <w:r w:rsidRPr="00D86CD7">
              <w:rPr>
                <w:szCs w:val="22"/>
              </w:rPr>
              <w:t>http://</w:t>
            </w:r>
            <w:proofErr w:type="spellStart"/>
            <w:r w:rsidRPr="00D86CD7">
              <w:rPr>
                <w:szCs w:val="22"/>
              </w:rPr>
              <w:t>www.ncver.edu.au</w:t>
            </w:r>
            <w:proofErr w:type="spellEnd"/>
            <w:r w:rsidRPr="00D86CD7">
              <w:rPr>
                <w:szCs w:val="22"/>
              </w:rPr>
              <w:t>/statistic/</w:t>
            </w:r>
            <w:proofErr w:type="spellStart"/>
            <w:r w:rsidRPr="00D86CD7">
              <w:rPr>
                <w:szCs w:val="22"/>
              </w:rPr>
              <w:t>21051.html</w:t>
            </w:r>
            <w:proofErr w:type="spellEnd"/>
            <w:r w:rsidRPr="005970A0">
              <w:t xml:space="preserve">. </w:t>
            </w:r>
          </w:p>
          <w:p w:rsidR="00A97467" w:rsidRPr="005970A0" w:rsidRDefault="00A97467" w:rsidP="00A97467">
            <w:pPr>
              <w:pStyle w:val="TableBodyText"/>
              <w:keepNext w:val="0"/>
              <w:keepLines w:val="0"/>
              <w:spacing w:after="120" w:line="240" w:lineRule="auto"/>
              <w:ind w:left="0" w:right="0"/>
              <w:jc w:val="both"/>
            </w:pPr>
            <w:r w:rsidRPr="005970A0">
              <w:t xml:space="preserve">Requests for more detailed statistical information can be made to </w:t>
            </w:r>
            <w:proofErr w:type="spellStart"/>
            <w:r w:rsidRPr="005970A0">
              <w:t>NCVER</w:t>
            </w:r>
            <w:proofErr w:type="spellEnd"/>
            <w:r w:rsidRPr="005970A0">
              <w:t xml:space="preserve">. However, a charge will be generally made for more complex requests for information. See </w:t>
            </w:r>
            <w:proofErr w:type="spellStart"/>
            <w:r w:rsidRPr="005970A0">
              <w:t>NCVER’s</w:t>
            </w:r>
            <w:proofErr w:type="spellEnd"/>
            <w:r w:rsidRPr="005970A0">
              <w:t xml:space="preserve"> fees and charges policy at: </w:t>
            </w:r>
            <w:r w:rsidRPr="00D86CD7">
              <w:rPr>
                <w:szCs w:val="22"/>
              </w:rPr>
              <w:t>http://</w:t>
            </w:r>
            <w:proofErr w:type="spellStart"/>
            <w:r w:rsidRPr="00D86CD7">
              <w:rPr>
                <w:szCs w:val="22"/>
              </w:rPr>
              <w:t>www.ncver.edu.au</w:t>
            </w:r>
            <w:proofErr w:type="spellEnd"/>
            <w:r w:rsidRPr="00D86CD7">
              <w:rPr>
                <w:szCs w:val="22"/>
              </w:rPr>
              <w:t>/statistic/</w:t>
            </w:r>
            <w:proofErr w:type="spellStart"/>
            <w:r w:rsidRPr="00D86CD7">
              <w:rPr>
                <w:szCs w:val="22"/>
              </w:rPr>
              <w:t>21075.html</w:t>
            </w:r>
            <w:proofErr w:type="spellEnd"/>
            <w:r w:rsidRPr="005970A0">
              <w:t>.</w:t>
            </w:r>
          </w:p>
        </w:tc>
      </w:tr>
      <w:tr w:rsidR="005970A0" w:rsidRPr="005970A0" w:rsidTr="00A97467">
        <w:tc>
          <w:tcPr>
            <w:tcW w:w="922" w:type="pct"/>
          </w:tcPr>
          <w:p w:rsidR="00A97467" w:rsidRPr="005970A0" w:rsidRDefault="00A97467" w:rsidP="00A97467">
            <w:pPr>
              <w:pStyle w:val="TableBodyText"/>
              <w:jc w:val="both"/>
              <w:rPr>
                <w:b/>
              </w:rPr>
            </w:pPr>
            <w:r w:rsidRPr="005970A0">
              <w:rPr>
                <w:b/>
              </w:rPr>
              <w:t>Interpretability</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 xml:space="preserve">To aid interpretation, a statistical standard for the National VET Finance Collection is provided at: </w:t>
            </w:r>
            <w:r w:rsidRPr="00D86CD7">
              <w:rPr>
                <w:szCs w:val="22"/>
              </w:rPr>
              <w:t>http://</w:t>
            </w:r>
            <w:proofErr w:type="spellStart"/>
            <w:r w:rsidRPr="00D86CD7">
              <w:rPr>
                <w:szCs w:val="22"/>
              </w:rPr>
              <w:t>www.ncver.edu.au</w:t>
            </w:r>
            <w:proofErr w:type="spellEnd"/>
            <w:r w:rsidRPr="00D86CD7">
              <w:rPr>
                <w:szCs w:val="22"/>
              </w:rPr>
              <w:t>/</w:t>
            </w:r>
            <w:proofErr w:type="spellStart"/>
            <w:r w:rsidRPr="00D86CD7">
              <w:rPr>
                <w:szCs w:val="22"/>
              </w:rPr>
              <w:t>avetmiss</w:t>
            </w:r>
            <w:proofErr w:type="spellEnd"/>
            <w:r w:rsidRPr="00D86CD7">
              <w:rPr>
                <w:szCs w:val="22"/>
              </w:rPr>
              <w:t>/</w:t>
            </w:r>
            <w:proofErr w:type="spellStart"/>
            <w:r w:rsidRPr="00D86CD7">
              <w:rPr>
                <w:szCs w:val="22"/>
              </w:rPr>
              <w:t>21064.html</w:t>
            </w:r>
            <w:proofErr w:type="spellEnd"/>
            <w:r w:rsidRPr="005970A0">
              <w:t xml:space="preserve">. </w:t>
            </w:r>
          </w:p>
        </w:tc>
      </w:tr>
      <w:tr w:rsidR="005970A0" w:rsidRPr="005970A0" w:rsidTr="00A97467">
        <w:tc>
          <w:tcPr>
            <w:tcW w:w="5000" w:type="pct"/>
            <w:gridSpan w:val="2"/>
            <w:shd w:val="clear" w:color="auto" w:fill="auto"/>
          </w:tcPr>
          <w:p w:rsidR="00A97467" w:rsidRPr="005970A0" w:rsidRDefault="00A97467" w:rsidP="00A97467">
            <w:pPr>
              <w:pStyle w:val="TableBodyText"/>
              <w:jc w:val="both"/>
              <w:rPr>
                <w:b/>
                <w:u w:val="single"/>
              </w:rPr>
            </w:pPr>
          </w:p>
          <w:p w:rsidR="00B70FFA" w:rsidRPr="005970A0" w:rsidRDefault="00A97467" w:rsidP="00A97467">
            <w:pPr>
              <w:pStyle w:val="TableBodyText"/>
              <w:jc w:val="both"/>
              <w:rPr>
                <w:b/>
                <w:u w:val="single"/>
              </w:rPr>
            </w:pPr>
            <w:r w:rsidRPr="005970A0">
              <w:rPr>
                <w:b/>
                <w:u w:val="single"/>
              </w:rPr>
              <w:t>Data Gaps/Issues Analysis</w:t>
            </w:r>
          </w:p>
        </w:tc>
      </w:tr>
      <w:tr w:rsidR="005970A0" w:rsidRPr="005970A0" w:rsidTr="00A97467">
        <w:tc>
          <w:tcPr>
            <w:tcW w:w="922" w:type="pct"/>
            <w:shd w:val="clear" w:color="auto" w:fill="auto"/>
          </w:tcPr>
          <w:p w:rsidR="00A97467" w:rsidRPr="005970A0" w:rsidRDefault="00A97467" w:rsidP="00A97467">
            <w:pPr>
              <w:pStyle w:val="TableBodyText"/>
              <w:jc w:val="both"/>
              <w:rPr>
                <w:b/>
              </w:rPr>
            </w:pPr>
            <w:r w:rsidRPr="005970A0">
              <w:rPr>
                <w:b/>
              </w:rPr>
              <w:t>Key data gaps/ issues</w:t>
            </w:r>
          </w:p>
        </w:tc>
        <w:tc>
          <w:tcPr>
            <w:tcW w:w="4078" w:type="pct"/>
            <w:shd w:val="clear" w:color="auto" w:fill="auto"/>
          </w:tcPr>
          <w:p w:rsidR="00A97467" w:rsidRPr="005970A0" w:rsidRDefault="00A97467" w:rsidP="00A97467">
            <w:pPr>
              <w:pStyle w:val="TableBodyText"/>
              <w:keepNext w:val="0"/>
              <w:keepLines w:val="0"/>
              <w:spacing w:after="120" w:line="240" w:lineRule="auto"/>
              <w:ind w:left="0" w:right="0"/>
              <w:jc w:val="both"/>
            </w:pPr>
            <w:r w:rsidRPr="005970A0">
              <w:t xml:space="preserve">The Steering Committee notes the following key data gaps/issues: </w:t>
            </w:r>
          </w:p>
          <w:p w:rsidR="00A97467" w:rsidRPr="005970A0" w:rsidRDefault="00A97467" w:rsidP="00302802">
            <w:pPr>
              <w:pStyle w:val="TableBullet"/>
              <w:keepNext w:val="0"/>
              <w:keepLines w:val="0"/>
              <w:tabs>
                <w:tab w:val="clear" w:pos="170"/>
                <w:tab w:val="num" w:pos="222"/>
              </w:tabs>
              <w:spacing w:after="80" w:line="240" w:lineRule="auto"/>
              <w:ind w:left="222" w:right="0" w:hanging="222"/>
              <w:jc w:val="both"/>
            </w:pPr>
            <w:r w:rsidRPr="005970A0">
              <w:t xml:space="preserve">Low unit costs can indicate efficient delivery of VET services per successfully completed load pass. </w:t>
            </w:r>
          </w:p>
          <w:p w:rsidR="00A97467" w:rsidRPr="005970A0" w:rsidRDefault="00A97467" w:rsidP="00302802">
            <w:pPr>
              <w:pStyle w:val="TableBullet"/>
              <w:keepNext w:val="0"/>
              <w:keepLines w:val="0"/>
              <w:tabs>
                <w:tab w:val="clear" w:pos="170"/>
                <w:tab w:val="num" w:pos="222"/>
              </w:tabs>
              <w:spacing w:after="80" w:line="240" w:lineRule="auto"/>
              <w:ind w:left="222" w:right="0" w:hanging="222"/>
              <w:jc w:val="both"/>
            </w:pPr>
            <w:r w:rsidRPr="005970A0">
              <w:t>The factors that have the greatest impact on efficiency include:</w:t>
            </w:r>
          </w:p>
          <w:p w:rsidR="00A97467" w:rsidRPr="005970A0" w:rsidRDefault="00A97467" w:rsidP="00302802">
            <w:pPr>
              <w:pStyle w:val="TableBullet"/>
              <w:keepNext w:val="0"/>
              <w:keepLines w:val="0"/>
              <w:numPr>
                <w:ilvl w:val="0"/>
                <w:numId w:val="0"/>
              </w:numPr>
              <w:tabs>
                <w:tab w:val="left" w:pos="364"/>
              </w:tabs>
              <w:spacing w:after="80" w:line="240" w:lineRule="auto"/>
              <w:ind w:left="364" w:right="0" w:hanging="142"/>
              <w:jc w:val="both"/>
            </w:pPr>
            <w:r w:rsidRPr="005970A0">
              <w:noBreakHyphen/>
              <w:t xml:space="preserve"> </w:t>
            </w:r>
            <w:r w:rsidRPr="005970A0">
              <w:tab/>
              <w:t>training related factors, such as class sizes, teaching salaries, teaching hours per full time equivalent staff member, and differences in the length of training programs</w:t>
            </w:r>
          </w:p>
          <w:p w:rsidR="00A97467" w:rsidRPr="005970A0" w:rsidRDefault="00A97467" w:rsidP="00302802">
            <w:pPr>
              <w:pStyle w:val="TableBullet"/>
              <w:keepNext w:val="0"/>
              <w:keepLines w:val="0"/>
              <w:numPr>
                <w:ilvl w:val="0"/>
                <w:numId w:val="0"/>
              </w:numPr>
              <w:tabs>
                <w:tab w:val="left" w:pos="364"/>
              </w:tabs>
              <w:spacing w:after="80" w:line="240" w:lineRule="auto"/>
              <w:ind w:left="364" w:right="0" w:hanging="142"/>
              <w:jc w:val="both"/>
            </w:pPr>
            <w:r w:rsidRPr="005970A0">
              <w:noBreakHyphen/>
              <w:t xml:space="preserve"> </w:t>
            </w:r>
            <w:r w:rsidRPr="005970A0">
              <w:tab/>
              <w:t>differences across jurisdictions, including socio-demographic composition, administrative scale, and dispersion and scale of service delivery</w:t>
            </w:r>
          </w:p>
          <w:p w:rsidR="00A97467" w:rsidRPr="005970A0" w:rsidRDefault="00A97467" w:rsidP="00302802">
            <w:pPr>
              <w:pStyle w:val="TableBullet"/>
              <w:keepNext w:val="0"/>
              <w:keepLines w:val="0"/>
              <w:numPr>
                <w:ilvl w:val="0"/>
                <w:numId w:val="0"/>
              </w:numPr>
              <w:tabs>
                <w:tab w:val="left" w:pos="364"/>
              </w:tabs>
              <w:spacing w:after="80" w:line="240" w:lineRule="auto"/>
              <w:ind w:left="364" w:right="0" w:hanging="142"/>
              <w:jc w:val="both"/>
            </w:pPr>
            <w:r w:rsidRPr="005970A0">
              <w:noBreakHyphen/>
              <w:t xml:space="preserve"> </w:t>
            </w:r>
            <w:r w:rsidRPr="005970A0">
              <w:tab/>
              <w:t>VET policies and practices, including the level of fees and charges paid by students.</w:t>
            </w:r>
          </w:p>
        </w:tc>
      </w:tr>
    </w:tbl>
    <w:p w:rsidR="00A97467" w:rsidRPr="005970A0" w:rsidRDefault="00A97467" w:rsidP="00D21520">
      <w:pPr>
        <w:pStyle w:val="Heading3"/>
        <w:spacing w:before="120"/>
      </w:pPr>
      <w:r w:rsidRPr="005970A0">
        <w:br w:type="page"/>
      </w:r>
      <w:bookmarkStart w:id="22" w:name="_Toc370472619"/>
      <w:r w:rsidRPr="005970A0">
        <w:lastRenderedPageBreak/>
        <w:t>User cost of capital per annual hour</w:t>
      </w:r>
      <w:bookmarkEnd w:id="22"/>
    </w:p>
    <w:p w:rsidR="00A97467" w:rsidRPr="005970A0" w:rsidRDefault="00A97467" w:rsidP="00A97467">
      <w:pPr>
        <w:pStyle w:val="Box"/>
      </w:pPr>
      <w:r w:rsidRPr="005970A0">
        <w:t>Data quality information for this indicator has been drafted by the National Centre for Vocational Education Research (</w:t>
      </w:r>
      <w:proofErr w:type="spellStart"/>
      <w:r w:rsidRPr="005970A0">
        <w:t>NCVER</w:t>
      </w:r>
      <w:proofErr w:type="spellEnd"/>
      <w:r w:rsidRPr="005970A0">
        <w:t>)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A97467">
        <w:tc>
          <w:tcPr>
            <w:tcW w:w="5000" w:type="pct"/>
            <w:gridSpan w:val="2"/>
          </w:tcPr>
          <w:p w:rsidR="00A97467" w:rsidRPr="005970A0" w:rsidRDefault="00A97467" w:rsidP="00A97467">
            <w:pPr>
              <w:pStyle w:val="TableBodyText"/>
              <w:jc w:val="both"/>
              <w:rPr>
                <w:b/>
                <w:u w:val="single"/>
              </w:rPr>
            </w:pPr>
          </w:p>
          <w:p w:rsidR="00B70FFA" w:rsidRPr="005970A0" w:rsidRDefault="00A97467" w:rsidP="00A97467">
            <w:pPr>
              <w:pStyle w:val="TableBodyText"/>
              <w:jc w:val="both"/>
              <w:rPr>
                <w:rFonts w:cs="Arial"/>
                <w:b/>
                <w:sz w:val="22"/>
                <w:szCs w:val="22"/>
                <w:u w:val="single"/>
              </w:rPr>
            </w:pPr>
            <w:r w:rsidRPr="005970A0">
              <w:rPr>
                <w:b/>
                <w:u w:val="single"/>
              </w:rPr>
              <w:t>Indicator definition and description</w:t>
            </w:r>
            <w:r w:rsidRPr="005970A0">
              <w:rPr>
                <w:rFonts w:cs="Arial"/>
                <w:b/>
                <w:sz w:val="22"/>
                <w:szCs w:val="22"/>
                <w:u w:val="single"/>
              </w:rPr>
              <w:t xml:space="preserve"> </w:t>
            </w:r>
          </w:p>
        </w:tc>
      </w:tr>
      <w:tr w:rsidR="005970A0" w:rsidRPr="005970A0" w:rsidTr="00A97467">
        <w:tc>
          <w:tcPr>
            <w:tcW w:w="922" w:type="pct"/>
          </w:tcPr>
          <w:p w:rsidR="00A97467" w:rsidRPr="005970A0" w:rsidRDefault="00A97467" w:rsidP="00A97467">
            <w:pPr>
              <w:pStyle w:val="TableBodyText"/>
              <w:jc w:val="both"/>
              <w:rPr>
                <w:b/>
              </w:rPr>
            </w:pPr>
            <w:r w:rsidRPr="005970A0">
              <w:rPr>
                <w:b/>
              </w:rPr>
              <w:t>Element</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Output/efficiency.</w:t>
            </w:r>
          </w:p>
        </w:tc>
      </w:tr>
      <w:tr w:rsidR="005970A0" w:rsidRPr="005970A0" w:rsidTr="00A97467">
        <w:tc>
          <w:tcPr>
            <w:tcW w:w="922" w:type="pct"/>
          </w:tcPr>
          <w:p w:rsidR="00A97467" w:rsidRPr="005970A0" w:rsidRDefault="00A97467" w:rsidP="00A97467">
            <w:pPr>
              <w:pStyle w:val="TableBodyText"/>
              <w:jc w:val="both"/>
              <w:rPr>
                <w:b/>
              </w:rPr>
            </w:pPr>
            <w:r w:rsidRPr="005970A0">
              <w:rPr>
                <w:b/>
              </w:rPr>
              <w:t>Indicator</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User cost of capital per annual hour</w:t>
            </w:r>
          </w:p>
        </w:tc>
      </w:tr>
      <w:tr w:rsidR="005970A0" w:rsidRPr="005970A0" w:rsidTr="00A97467">
        <w:tc>
          <w:tcPr>
            <w:tcW w:w="922" w:type="pct"/>
          </w:tcPr>
          <w:p w:rsidR="00A97467" w:rsidRPr="005970A0" w:rsidRDefault="00A97467" w:rsidP="00A97467">
            <w:pPr>
              <w:pStyle w:val="TableBodyText"/>
              <w:jc w:val="both"/>
              <w:rPr>
                <w:b/>
              </w:rPr>
            </w:pPr>
            <w:r w:rsidRPr="005970A0">
              <w:rPr>
                <w:b/>
              </w:rPr>
              <w:t>Measure (computation)</w:t>
            </w:r>
          </w:p>
        </w:tc>
        <w:tc>
          <w:tcPr>
            <w:tcW w:w="4078" w:type="pct"/>
          </w:tcPr>
          <w:p w:rsidR="00A97467" w:rsidRPr="005970A0" w:rsidRDefault="00A97467" w:rsidP="00A97467">
            <w:pPr>
              <w:pStyle w:val="TableBodyText"/>
              <w:jc w:val="both"/>
            </w:pPr>
            <w:r w:rsidRPr="005970A0">
              <w:rPr>
                <w:u w:val="single"/>
              </w:rPr>
              <w:t>Definition</w:t>
            </w:r>
          </w:p>
          <w:p w:rsidR="00A97467" w:rsidRPr="005970A0" w:rsidRDefault="00A97467" w:rsidP="00A97467">
            <w:pPr>
              <w:pStyle w:val="TableBodyText"/>
              <w:keepNext w:val="0"/>
              <w:keepLines w:val="0"/>
              <w:spacing w:after="120" w:line="240" w:lineRule="auto"/>
              <w:ind w:left="0" w:right="0"/>
              <w:jc w:val="both"/>
            </w:pPr>
            <w:r w:rsidRPr="005970A0">
              <w:t>The user cost of capital divided by government funded annual hours.</w:t>
            </w:r>
          </w:p>
          <w:p w:rsidR="00A97467" w:rsidRPr="005970A0" w:rsidRDefault="00A97467" w:rsidP="00A97467">
            <w:pPr>
              <w:pStyle w:val="TableBodyText"/>
              <w:jc w:val="both"/>
              <w:rPr>
                <w:u w:val="single"/>
              </w:rPr>
            </w:pPr>
            <w:r w:rsidRPr="005970A0">
              <w:rPr>
                <w:u w:val="single"/>
              </w:rPr>
              <w:t>Numerator/s</w:t>
            </w:r>
          </w:p>
          <w:p w:rsidR="00A97467" w:rsidRPr="005970A0" w:rsidRDefault="00A97467" w:rsidP="00A97467">
            <w:pPr>
              <w:pStyle w:val="TableBodyText"/>
              <w:keepNext w:val="0"/>
              <w:keepLines w:val="0"/>
              <w:spacing w:after="120" w:line="240" w:lineRule="auto"/>
              <w:ind w:left="0" w:right="0"/>
              <w:jc w:val="both"/>
            </w:pPr>
            <w:r w:rsidRPr="005970A0">
              <w:t>User cost of capital is 8 per cent of the value of total physical non-current assets.</w:t>
            </w:r>
          </w:p>
          <w:p w:rsidR="00A97467" w:rsidRPr="005970A0" w:rsidRDefault="00A97467" w:rsidP="00A97467">
            <w:pPr>
              <w:pStyle w:val="TableBodyText"/>
              <w:jc w:val="both"/>
              <w:rPr>
                <w:u w:val="single"/>
              </w:rPr>
            </w:pPr>
            <w:r w:rsidRPr="005970A0">
              <w:rPr>
                <w:u w:val="single"/>
              </w:rPr>
              <w:t>Denominator/s</w:t>
            </w:r>
          </w:p>
          <w:p w:rsidR="00A97467" w:rsidRPr="005970A0" w:rsidRDefault="00A97467" w:rsidP="00A97467">
            <w:pPr>
              <w:pStyle w:val="TableBodyText"/>
              <w:keepNext w:val="0"/>
              <w:keepLines w:val="0"/>
              <w:spacing w:after="120" w:line="240" w:lineRule="auto"/>
              <w:ind w:left="0" w:right="0"/>
              <w:jc w:val="both"/>
            </w:pPr>
            <w:r w:rsidRPr="005970A0">
              <w:t>Annual hours are the total hours of delivery based on the standard nominal hour value for each subject undertaken. These represent the hours of supervised training under a traditional delivery strategy. Annual hours are adjusted to account for invalid module enrolments.</w:t>
            </w:r>
          </w:p>
          <w:p w:rsidR="00A97467" w:rsidRPr="005970A0" w:rsidRDefault="00A97467" w:rsidP="00A97467">
            <w:pPr>
              <w:pStyle w:val="TableBodyText"/>
              <w:jc w:val="both"/>
              <w:rPr>
                <w:u w:val="single"/>
              </w:rPr>
            </w:pPr>
            <w:r w:rsidRPr="005970A0">
              <w:rPr>
                <w:u w:val="single"/>
              </w:rPr>
              <w:t>Computation/s</w:t>
            </w:r>
            <w:r w:rsidRPr="005970A0">
              <w:t>:</w:t>
            </w:r>
          </w:p>
          <w:p w:rsidR="00A97467" w:rsidRPr="005970A0" w:rsidRDefault="00A97467" w:rsidP="00A97467">
            <w:pPr>
              <w:pStyle w:val="TableBodyText"/>
              <w:keepNext w:val="0"/>
              <w:keepLines w:val="0"/>
              <w:spacing w:after="120" w:line="240" w:lineRule="auto"/>
              <w:ind w:left="0" w:right="0"/>
              <w:jc w:val="both"/>
            </w:pPr>
            <w:r w:rsidRPr="005970A0">
              <w:t>Numerator (above) divided by denominator (above). Measure is adjusted for course mix differences across jurisdictions.</w:t>
            </w:r>
          </w:p>
        </w:tc>
      </w:tr>
      <w:tr w:rsidR="005970A0" w:rsidRPr="005970A0" w:rsidTr="00A97467">
        <w:tc>
          <w:tcPr>
            <w:tcW w:w="922" w:type="pct"/>
          </w:tcPr>
          <w:p w:rsidR="00A97467" w:rsidRPr="005970A0" w:rsidRDefault="00A97467" w:rsidP="00A97467">
            <w:pPr>
              <w:pStyle w:val="TableBodyText"/>
              <w:jc w:val="both"/>
              <w:rPr>
                <w:b/>
              </w:rPr>
            </w:pPr>
            <w:r w:rsidRPr="005970A0">
              <w:rPr>
                <w:b/>
              </w:rPr>
              <w:t>Data source/s</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 xml:space="preserve">All data are unpublished and are derived from </w:t>
            </w:r>
            <w:proofErr w:type="spellStart"/>
            <w:r w:rsidRPr="005970A0">
              <w:t>NCVER</w:t>
            </w:r>
            <w:proofErr w:type="spellEnd"/>
            <w:r w:rsidRPr="005970A0">
              <w:t xml:space="preserve"> national financial and VET provider data collections.</w:t>
            </w:r>
          </w:p>
        </w:tc>
      </w:tr>
      <w:tr w:rsidR="005970A0" w:rsidRPr="005970A0" w:rsidTr="00A97467">
        <w:tc>
          <w:tcPr>
            <w:tcW w:w="5000" w:type="pct"/>
            <w:gridSpan w:val="2"/>
          </w:tcPr>
          <w:p w:rsidR="00A97467" w:rsidRPr="005970A0" w:rsidRDefault="00A97467" w:rsidP="00A97467">
            <w:pPr>
              <w:pStyle w:val="TableBodyText"/>
              <w:jc w:val="both"/>
              <w:rPr>
                <w:b/>
                <w:u w:val="single"/>
              </w:rPr>
            </w:pPr>
          </w:p>
          <w:p w:rsidR="00A97467" w:rsidRPr="005970A0" w:rsidRDefault="00A97467" w:rsidP="00A97467">
            <w:pPr>
              <w:pStyle w:val="TableBodyText"/>
              <w:jc w:val="both"/>
              <w:rPr>
                <w:b/>
                <w:u w:val="single"/>
              </w:rPr>
            </w:pPr>
            <w:r w:rsidRPr="005970A0">
              <w:rPr>
                <w:b/>
                <w:u w:val="single"/>
              </w:rPr>
              <w:t>Data Quality Framework Dimensions</w:t>
            </w:r>
          </w:p>
        </w:tc>
      </w:tr>
      <w:tr w:rsidR="005970A0" w:rsidRPr="005970A0" w:rsidTr="00A97467">
        <w:tc>
          <w:tcPr>
            <w:tcW w:w="922" w:type="pct"/>
          </w:tcPr>
          <w:p w:rsidR="00A97467" w:rsidRPr="005970A0" w:rsidRDefault="00A97467" w:rsidP="00A97467">
            <w:pPr>
              <w:pStyle w:val="TableBodyText"/>
              <w:jc w:val="both"/>
              <w:rPr>
                <w:b/>
              </w:rPr>
            </w:pPr>
            <w:r w:rsidRPr="005970A0">
              <w:rPr>
                <w:b/>
              </w:rPr>
              <w:t>Institutional environment</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The National Centre for Vocational Education Research (</w:t>
            </w:r>
            <w:proofErr w:type="spellStart"/>
            <w:r w:rsidRPr="005970A0">
              <w:t>NCVER</w:t>
            </w:r>
            <w:proofErr w:type="spellEnd"/>
            <w:r w:rsidRPr="005970A0">
              <w:t>) is a not-for-profit company owned by the federal, state and territory ministers responsible for training.</w:t>
            </w:r>
          </w:p>
          <w:p w:rsidR="00A97467" w:rsidRPr="005970A0" w:rsidRDefault="00A97467" w:rsidP="00A97467">
            <w:pPr>
              <w:pStyle w:val="TableBodyText"/>
              <w:keepNext w:val="0"/>
              <w:keepLines w:val="0"/>
              <w:spacing w:after="120" w:line="240" w:lineRule="auto"/>
              <w:ind w:left="0" w:right="0"/>
              <w:jc w:val="both"/>
            </w:pPr>
            <w:proofErr w:type="spellStart"/>
            <w:r w:rsidRPr="005970A0">
              <w:t>NCVER</w:t>
            </w:r>
            <w:proofErr w:type="spellEnd"/>
            <w:r w:rsidRPr="005970A0">
              <w:t xml:space="preserve"> is a professional and independent body responsible for collecting, managing, analysing, evaluating and communicating research and statistics about vocational education and training (VET) nationally. It is Australia's principal provider of VET research and statistics.</w:t>
            </w:r>
          </w:p>
        </w:tc>
      </w:tr>
      <w:tr w:rsidR="005970A0" w:rsidRPr="005970A0" w:rsidTr="00A97467">
        <w:tc>
          <w:tcPr>
            <w:tcW w:w="922" w:type="pct"/>
          </w:tcPr>
          <w:p w:rsidR="00A97467" w:rsidRPr="005970A0" w:rsidRDefault="00A97467" w:rsidP="00A97467">
            <w:pPr>
              <w:pStyle w:val="TableBodyText"/>
              <w:jc w:val="both"/>
              <w:rPr>
                <w:b/>
              </w:rPr>
            </w:pPr>
            <w:r w:rsidRPr="005970A0">
              <w:rPr>
                <w:b/>
              </w:rPr>
              <w:t>Relevance</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 xml:space="preserve">The scope of the financial data collection covers all transactions that affect the financial performance, financial position and financing of the public VET system. The collection focuses on vocational education and training administered or provided by the main training authority or training department within each state and territory, their public training providers and </w:t>
            </w:r>
            <w:r w:rsidR="00853268" w:rsidRPr="005970A0">
              <w:t>the Department of Industry</w:t>
            </w:r>
            <w:r w:rsidR="00D94226">
              <w:t>.</w:t>
            </w:r>
            <w:r w:rsidRPr="005970A0">
              <w:t xml:space="preserve"> </w:t>
            </w:r>
          </w:p>
          <w:p w:rsidR="00A97467" w:rsidRPr="005970A0" w:rsidRDefault="00A97467" w:rsidP="00A97467">
            <w:pPr>
              <w:pStyle w:val="TableBodyText"/>
              <w:keepNext w:val="0"/>
              <w:keepLines w:val="0"/>
              <w:spacing w:after="120" w:line="240" w:lineRule="auto"/>
              <w:ind w:left="0" w:right="0"/>
              <w:jc w:val="both"/>
            </w:pPr>
            <w:r w:rsidRPr="005970A0">
              <w:t>The financial information has been extracted from accrual-based financial records.</w:t>
            </w:r>
          </w:p>
        </w:tc>
      </w:tr>
      <w:tr w:rsidR="005970A0" w:rsidRPr="005970A0" w:rsidTr="00A97467">
        <w:tc>
          <w:tcPr>
            <w:tcW w:w="922" w:type="pct"/>
          </w:tcPr>
          <w:p w:rsidR="00A97467" w:rsidRPr="005970A0" w:rsidRDefault="00A97467" w:rsidP="00A97467">
            <w:pPr>
              <w:pStyle w:val="TableBodyText"/>
              <w:jc w:val="both"/>
              <w:rPr>
                <w:b/>
              </w:rPr>
            </w:pPr>
            <w:r w:rsidRPr="005970A0">
              <w:rPr>
                <w:b/>
              </w:rPr>
              <w:t>Timeliness</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 xml:space="preserve">The National VET Finance Collection is an annual collection of data. Audited data are submitted to </w:t>
            </w:r>
            <w:proofErr w:type="spellStart"/>
            <w:r w:rsidRPr="005970A0">
              <w:t>NCVER</w:t>
            </w:r>
            <w:proofErr w:type="spellEnd"/>
            <w:r w:rsidRPr="005970A0">
              <w:t xml:space="preserve"> (via state training authorities) by 8 July in the year following activity.</w:t>
            </w:r>
          </w:p>
        </w:tc>
      </w:tr>
    </w:tbl>
    <w:p w:rsidR="00A97467" w:rsidRPr="005970A0" w:rsidRDefault="00A97467">
      <w:r w:rsidRPr="005970A0">
        <w:br w:type="page"/>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A97467">
        <w:tc>
          <w:tcPr>
            <w:tcW w:w="922" w:type="pct"/>
          </w:tcPr>
          <w:p w:rsidR="00A97467" w:rsidRPr="005970A0" w:rsidRDefault="00A97467" w:rsidP="00A97467">
            <w:pPr>
              <w:pStyle w:val="TableBodyText"/>
              <w:jc w:val="both"/>
              <w:rPr>
                <w:b/>
              </w:rPr>
            </w:pPr>
            <w:r w:rsidRPr="005970A0">
              <w:rPr>
                <w:b/>
              </w:rPr>
              <w:lastRenderedPageBreak/>
              <w:t>Accuracy</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Key financial data are audited to provide additional assurance on the quality of the reported data and consistent adoption of the requirements of the Australian Vocational Education and Training Management Information Statistical Standard (</w:t>
            </w:r>
            <w:proofErr w:type="spellStart"/>
            <w:r w:rsidRPr="005970A0">
              <w:t>AVETMISS</w:t>
            </w:r>
            <w:proofErr w:type="spellEnd"/>
            <w:r w:rsidRPr="005970A0">
              <w:t>).</w:t>
            </w:r>
          </w:p>
          <w:p w:rsidR="00A97467" w:rsidRPr="005970A0" w:rsidRDefault="00A97467" w:rsidP="00A97467">
            <w:pPr>
              <w:pStyle w:val="TableBodyText"/>
              <w:keepNext w:val="0"/>
              <w:keepLines w:val="0"/>
              <w:spacing w:after="120" w:line="240" w:lineRule="auto"/>
              <w:ind w:left="0" w:right="0"/>
              <w:jc w:val="both"/>
            </w:pPr>
            <w:r w:rsidRPr="005970A0">
              <w:t xml:space="preserve">Differences exist across the accounting policies applied by state and territory governments; for example, in relation to the valuation and measurement of investments and property, and plant and equipment. Details of accounting policies for each jurisdiction are in the </w:t>
            </w:r>
            <w:proofErr w:type="spellStart"/>
            <w:r w:rsidRPr="005970A0">
              <w:t>AVETMISS</w:t>
            </w:r>
            <w:proofErr w:type="spellEnd"/>
            <w:r w:rsidRPr="005970A0">
              <w:t xml:space="preserve"> for VET financial data located at </w:t>
            </w:r>
            <w:r w:rsidRPr="00D86CD7">
              <w:rPr>
                <w:szCs w:val="22"/>
              </w:rPr>
              <w:t>http://</w:t>
            </w:r>
            <w:proofErr w:type="spellStart"/>
            <w:r w:rsidRPr="00D86CD7">
              <w:rPr>
                <w:szCs w:val="22"/>
              </w:rPr>
              <w:t>www.ncver.edu.au</w:t>
            </w:r>
            <w:proofErr w:type="spellEnd"/>
            <w:r w:rsidRPr="00D86CD7">
              <w:rPr>
                <w:szCs w:val="22"/>
              </w:rPr>
              <w:t>/</w:t>
            </w:r>
            <w:proofErr w:type="spellStart"/>
            <w:r w:rsidRPr="00D86CD7">
              <w:rPr>
                <w:szCs w:val="22"/>
              </w:rPr>
              <w:t>avetmiss</w:t>
            </w:r>
            <w:proofErr w:type="spellEnd"/>
            <w:r w:rsidRPr="00D86CD7">
              <w:rPr>
                <w:szCs w:val="22"/>
              </w:rPr>
              <w:t>/</w:t>
            </w:r>
            <w:proofErr w:type="spellStart"/>
            <w:r w:rsidRPr="00D86CD7">
              <w:rPr>
                <w:szCs w:val="22"/>
              </w:rPr>
              <w:t>21064.html</w:t>
            </w:r>
            <w:proofErr w:type="spellEnd"/>
            <w:r w:rsidRPr="005970A0">
              <w:t>.</w:t>
            </w:r>
          </w:p>
          <w:p w:rsidR="00A97467" w:rsidRPr="005970A0" w:rsidRDefault="00A97467" w:rsidP="00A97467">
            <w:pPr>
              <w:pStyle w:val="TableBodyText"/>
              <w:keepNext w:val="0"/>
              <w:keepLines w:val="0"/>
              <w:spacing w:after="120" w:line="240" w:lineRule="auto"/>
              <w:ind w:left="0" w:right="0"/>
              <w:jc w:val="both"/>
            </w:pPr>
            <w:r w:rsidRPr="005970A0">
              <w:t>State and territory governments and the Australian Government were not required to submit detailed working papers. The data are supported by relevant working papers held by them and, where possible, reconciled to public documents such as annual reports and budget papers.</w:t>
            </w:r>
          </w:p>
        </w:tc>
      </w:tr>
      <w:tr w:rsidR="005970A0" w:rsidRPr="005970A0" w:rsidTr="00A97467">
        <w:tc>
          <w:tcPr>
            <w:tcW w:w="922" w:type="pct"/>
          </w:tcPr>
          <w:p w:rsidR="00A97467" w:rsidRPr="005970A0" w:rsidRDefault="00A97467" w:rsidP="00A97467">
            <w:pPr>
              <w:pStyle w:val="TableBodyText"/>
              <w:jc w:val="both"/>
              <w:rPr>
                <w:b/>
              </w:rPr>
            </w:pPr>
            <w:r w:rsidRPr="005970A0">
              <w:rPr>
                <w:b/>
              </w:rPr>
              <w:t>Coherence</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In 2007, Victoria adopted standard nominal hour values for common units of competency as the basis of calculating total annual hours of delivery, thereby achieving consistency with all other states and territories. To enable comparison over time, standard nominal hour values have been used to revise the time series back to 2002, except for Victoria, where data prior to 2007 cannot be rebased from scheduled hours to standard nominal hours.</w:t>
            </w:r>
          </w:p>
          <w:p w:rsidR="00A97467" w:rsidRPr="005970A0" w:rsidRDefault="00853268" w:rsidP="00A50EE0">
            <w:pPr>
              <w:pStyle w:val="TableBodyText"/>
              <w:keepNext w:val="0"/>
              <w:keepLines w:val="0"/>
              <w:spacing w:after="120" w:line="240" w:lineRule="auto"/>
              <w:ind w:left="0" w:right="0"/>
              <w:jc w:val="both"/>
            </w:pPr>
            <w:r w:rsidRPr="005970A0">
              <w:t xml:space="preserve">In 2010, the invalid enrolment audit cycle changed, with states and territories now being audited for invalid enrolments over a three-year cycle rather than annually. For </w:t>
            </w:r>
            <w:r w:rsidR="00A50EE0" w:rsidRPr="005970A0">
              <w:t>201</w:t>
            </w:r>
            <w:r w:rsidR="00A50EE0">
              <w:t>2</w:t>
            </w:r>
            <w:r w:rsidR="00A50EE0" w:rsidRPr="005970A0">
              <w:t xml:space="preserve"> </w:t>
            </w:r>
            <w:r w:rsidRPr="005970A0">
              <w:t>training activity,</w:t>
            </w:r>
            <w:r w:rsidR="00A50EE0">
              <w:t xml:space="preserve"> Queensland, Western Australia</w:t>
            </w:r>
            <w:r w:rsidR="009630F0">
              <w:t>,</w:t>
            </w:r>
            <w:r w:rsidR="00A50EE0">
              <w:t xml:space="preserve"> and the Australian Capital Territory</w:t>
            </w:r>
            <w:r w:rsidRPr="005970A0">
              <w:t xml:space="preserve"> were audited and received a new invalid enrolment rate; the invalid enrolment rates for the other states and territories for </w:t>
            </w:r>
            <w:r w:rsidR="00A50EE0" w:rsidRPr="005970A0">
              <w:t>201</w:t>
            </w:r>
            <w:r w:rsidR="00A50EE0">
              <w:t>2</w:t>
            </w:r>
            <w:r w:rsidR="00A50EE0" w:rsidRPr="005970A0">
              <w:t xml:space="preserve"> </w:t>
            </w:r>
            <w:r w:rsidRPr="005970A0">
              <w:t xml:space="preserve">are those calculated for </w:t>
            </w:r>
            <w:r w:rsidR="00A50EE0" w:rsidRPr="005970A0">
              <w:t>201</w:t>
            </w:r>
            <w:r w:rsidR="00A50EE0">
              <w:t>1</w:t>
            </w:r>
            <w:r w:rsidR="00A97467" w:rsidRPr="005970A0">
              <w:t>.</w:t>
            </w:r>
          </w:p>
        </w:tc>
      </w:tr>
      <w:tr w:rsidR="005970A0" w:rsidRPr="005970A0" w:rsidTr="00A97467">
        <w:tc>
          <w:tcPr>
            <w:tcW w:w="922" w:type="pct"/>
          </w:tcPr>
          <w:p w:rsidR="00A97467" w:rsidRPr="005970A0" w:rsidRDefault="00A97467" w:rsidP="00A97467">
            <w:pPr>
              <w:pStyle w:val="TableBodyText"/>
              <w:jc w:val="both"/>
              <w:rPr>
                <w:b/>
              </w:rPr>
            </w:pPr>
            <w:r w:rsidRPr="005970A0">
              <w:rPr>
                <w:b/>
              </w:rPr>
              <w:t>Accessibility</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Summary information is available free of char</w:t>
            </w:r>
            <w:r w:rsidR="00A45370" w:rsidRPr="005970A0">
              <w:t>ge</w:t>
            </w:r>
            <w:r w:rsidRPr="005970A0">
              <w:t xml:space="preserve"> on </w:t>
            </w:r>
            <w:proofErr w:type="spellStart"/>
            <w:r w:rsidRPr="005970A0">
              <w:t>NCVER’s</w:t>
            </w:r>
            <w:proofErr w:type="spellEnd"/>
            <w:r w:rsidRPr="005970A0">
              <w:t xml:space="preserve"> website at: </w:t>
            </w:r>
            <w:r w:rsidRPr="00D86CD7">
              <w:rPr>
                <w:szCs w:val="22"/>
              </w:rPr>
              <w:t>http://</w:t>
            </w:r>
            <w:proofErr w:type="spellStart"/>
            <w:r w:rsidRPr="00D86CD7">
              <w:rPr>
                <w:szCs w:val="22"/>
              </w:rPr>
              <w:t>www.ncver.edu.au</w:t>
            </w:r>
            <w:proofErr w:type="spellEnd"/>
            <w:r w:rsidRPr="00D86CD7">
              <w:rPr>
                <w:szCs w:val="22"/>
              </w:rPr>
              <w:t>/statistic/</w:t>
            </w:r>
            <w:proofErr w:type="spellStart"/>
            <w:r w:rsidRPr="00D86CD7">
              <w:rPr>
                <w:szCs w:val="22"/>
              </w:rPr>
              <w:t>21051.html</w:t>
            </w:r>
            <w:proofErr w:type="spellEnd"/>
            <w:r w:rsidRPr="005970A0">
              <w:t xml:space="preserve">. </w:t>
            </w:r>
          </w:p>
          <w:p w:rsidR="00A97467" w:rsidRPr="005970A0" w:rsidRDefault="00A97467" w:rsidP="00A97467">
            <w:pPr>
              <w:pStyle w:val="TableBodyText"/>
              <w:keepNext w:val="0"/>
              <w:keepLines w:val="0"/>
              <w:spacing w:after="120" w:line="240" w:lineRule="auto"/>
              <w:ind w:left="0" w:right="0"/>
              <w:jc w:val="both"/>
            </w:pPr>
            <w:r w:rsidRPr="005970A0">
              <w:t xml:space="preserve">Requests for more detailed statistical information can be made to </w:t>
            </w:r>
            <w:proofErr w:type="spellStart"/>
            <w:r w:rsidRPr="005970A0">
              <w:t>NCVER</w:t>
            </w:r>
            <w:proofErr w:type="spellEnd"/>
            <w:r w:rsidRPr="005970A0">
              <w:t xml:space="preserve">. However, a charge will be generally made for more complex requests for information. See </w:t>
            </w:r>
            <w:proofErr w:type="spellStart"/>
            <w:r w:rsidRPr="005970A0">
              <w:t>NCVER’s</w:t>
            </w:r>
            <w:proofErr w:type="spellEnd"/>
            <w:r w:rsidRPr="005970A0">
              <w:t xml:space="preserve"> fees and charges policy at: </w:t>
            </w:r>
            <w:r w:rsidRPr="00D86CD7">
              <w:rPr>
                <w:szCs w:val="22"/>
              </w:rPr>
              <w:t>http://</w:t>
            </w:r>
            <w:proofErr w:type="spellStart"/>
            <w:r w:rsidRPr="00D86CD7">
              <w:rPr>
                <w:szCs w:val="22"/>
              </w:rPr>
              <w:t>www.ncver.edu.au</w:t>
            </w:r>
            <w:proofErr w:type="spellEnd"/>
            <w:r w:rsidRPr="00D86CD7">
              <w:rPr>
                <w:szCs w:val="22"/>
              </w:rPr>
              <w:t>/statistic/</w:t>
            </w:r>
            <w:proofErr w:type="spellStart"/>
            <w:r w:rsidRPr="00D86CD7">
              <w:rPr>
                <w:szCs w:val="22"/>
              </w:rPr>
              <w:t>21075.html</w:t>
            </w:r>
            <w:proofErr w:type="spellEnd"/>
            <w:r w:rsidRPr="005970A0">
              <w:t>.</w:t>
            </w:r>
          </w:p>
        </w:tc>
      </w:tr>
      <w:tr w:rsidR="005970A0" w:rsidRPr="005970A0" w:rsidTr="00A97467">
        <w:tc>
          <w:tcPr>
            <w:tcW w:w="922" w:type="pct"/>
          </w:tcPr>
          <w:p w:rsidR="00A97467" w:rsidRPr="005970A0" w:rsidRDefault="00A97467" w:rsidP="00A97467">
            <w:pPr>
              <w:pStyle w:val="TableBodyText"/>
              <w:jc w:val="both"/>
              <w:rPr>
                <w:b/>
              </w:rPr>
            </w:pPr>
            <w:r w:rsidRPr="005970A0">
              <w:rPr>
                <w:b/>
              </w:rPr>
              <w:t>Interpretability</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 xml:space="preserve">To aid interpretation, a statistical standard for the National VET Finance Collection is provided at: </w:t>
            </w:r>
            <w:r w:rsidRPr="00D86CD7">
              <w:rPr>
                <w:szCs w:val="22"/>
              </w:rPr>
              <w:t>http://</w:t>
            </w:r>
            <w:proofErr w:type="spellStart"/>
            <w:r w:rsidRPr="00D86CD7">
              <w:rPr>
                <w:szCs w:val="22"/>
              </w:rPr>
              <w:t>www.ncver.edu.au</w:t>
            </w:r>
            <w:proofErr w:type="spellEnd"/>
            <w:r w:rsidRPr="00D86CD7">
              <w:rPr>
                <w:szCs w:val="22"/>
              </w:rPr>
              <w:t>/</w:t>
            </w:r>
            <w:proofErr w:type="spellStart"/>
            <w:r w:rsidRPr="00D86CD7">
              <w:rPr>
                <w:szCs w:val="22"/>
              </w:rPr>
              <w:t>avetmiss</w:t>
            </w:r>
            <w:proofErr w:type="spellEnd"/>
            <w:r w:rsidRPr="00D86CD7">
              <w:rPr>
                <w:szCs w:val="22"/>
              </w:rPr>
              <w:t>/</w:t>
            </w:r>
            <w:proofErr w:type="spellStart"/>
            <w:r w:rsidRPr="00D86CD7">
              <w:rPr>
                <w:szCs w:val="22"/>
              </w:rPr>
              <w:t>21064.html</w:t>
            </w:r>
            <w:proofErr w:type="spellEnd"/>
            <w:r w:rsidRPr="005970A0">
              <w:t xml:space="preserve">. </w:t>
            </w:r>
          </w:p>
        </w:tc>
      </w:tr>
      <w:tr w:rsidR="005970A0" w:rsidRPr="005970A0" w:rsidTr="00A97467">
        <w:tc>
          <w:tcPr>
            <w:tcW w:w="5000" w:type="pct"/>
            <w:gridSpan w:val="2"/>
            <w:shd w:val="clear" w:color="auto" w:fill="auto"/>
          </w:tcPr>
          <w:p w:rsidR="00A97467" w:rsidRPr="005970A0" w:rsidRDefault="00A97467" w:rsidP="00A97467">
            <w:pPr>
              <w:pStyle w:val="TableBodyText"/>
              <w:jc w:val="both"/>
              <w:rPr>
                <w:b/>
                <w:u w:val="single"/>
              </w:rPr>
            </w:pPr>
          </w:p>
          <w:p w:rsidR="00B70FFA" w:rsidRPr="005970A0" w:rsidRDefault="00A97467" w:rsidP="00A97467">
            <w:pPr>
              <w:pStyle w:val="TableBodyText"/>
              <w:jc w:val="both"/>
              <w:rPr>
                <w:b/>
                <w:u w:val="single"/>
              </w:rPr>
            </w:pPr>
            <w:r w:rsidRPr="005970A0">
              <w:rPr>
                <w:b/>
                <w:u w:val="single"/>
              </w:rPr>
              <w:t>Data Gaps/Issues Analysis</w:t>
            </w:r>
          </w:p>
        </w:tc>
      </w:tr>
      <w:tr w:rsidR="005970A0" w:rsidRPr="005970A0" w:rsidTr="00A97467">
        <w:tc>
          <w:tcPr>
            <w:tcW w:w="922" w:type="pct"/>
            <w:shd w:val="clear" w:color="auto" w:fill="auto"/>
          </w:tcPr>
          <w:p w:rsidR="00A97467" w:rsidRPr="005970A0" w:rsidRDefault="00A97467" w:rsidP="00A97467">
            <w:pPr>
              <w:pStyle w:val="TableBodyText"/>
              <w:jc w:val="both"/>
              <w:rPr>
                <w:b/>
              </w:rPr>
            </w:pPr>
            <w:r w:rsidRPr="005970A0">
              <w:rPr>
                <w:b/>
              </w:rPr>
              <w:t>Key data gaps/ issues</w:t>
            </w:r>
          </w:p>
        </w:tc>
        <w:tc>
          <w:tcPr>
            <w:tcW w:w="4078" w:type="pct"/>
            <w:shd w:val="clear" w:color="auto" w:fill="auto"/>
          </w:tcPr>
          <w:p w:rsidR="00A97467" w:rsidRPr="005970A0" w:rsidRDefault="00A97467" w:rsidP="000828AF">
            <w:pPr>
              <w:pStyle w:val="TableBullet"/>
              <w:keepNext w:val="0"/>
              <w:keepLines w:val="0"/>
              <w:numPr>
                <w:ilvl w:val="0"/>
                <w:numId w:val="0"/>
              </w:numPr>
              <w:tabs>
                <w:tab w:val="left" w:pos="359"/>
              </w:tabs>
              <w:spacing w:after="80" w:line="240" w:lineRule="auto"/>
              <w:ind w:right="0"/>
              <w:jc w:val="both"/>
            </w:pPr>
            <w:r w:rsidRPr="005970A0">
              <w:t xml:space="preserve">The Steering Committee notes </w:t>
            </w:r>
            <w:r w:rsidR="000828AF" w:rsidRPr="005970A0">
              <w:t>that u</w:t>
            </w:r>
            <w:r w:rsidRPr="005970A0">
              <w:t>ser cost of capital per annual hour needs to be interpreted carefully because low unit costs may not necessarily reflect a lessening of quality. Differences in some input costs (for example, land values) can affect reported costs across jurisdictions without necessarily reflecting the efficiency of service delivery. The user cost of capital for land is presented separately from the cost of other assets, to allow users assessing the results to consider any differences in land values across jurisdictions. The Steering Committee has adopted a nominal user cost of capital rate of 8 per cent, although the actual rate may vary across jur</w:t>
            </w:r>
            <w:r w:rsidR="008C50BE">
              <w:t>isdictions. The basis for the 8 per </w:t>
            </w:r>
            <w:r w:rsidRPr="005970A0">
              <w:t>cent capital charge is discussed in chapter 2.</w:t>
            </w:r>
          </w:p>
        </w:tc>
      </w:tr>
    </w:tbl>
    <w:p w:rsidR="00A97467" w:rsidRPr="005970A0" w:rsidRDefault="00A97467" w:rsidP="00D21520">
      <w:pPr>
        <w:pStyle w:val="Heading3"/>
        <w:spacing w:before="120"/>
      </w:pPr>
      <w:r w:rsidRPr="005970A0">
        <w:br w:type="page"/>
      </w:r>
      <w:bookmarkStart w:id="23" w:name="_Toc370472620"/>
      <w:r w:rsidRPr="005970A0">
        <w:lastRenderedPageBreak/>
        <w:t>User cost of capital per load pass</w:t>
      </w:r>
      <w:bookmarkEnd w:id="23"/>
    </w:p>
    <w:p w:rsidR="00A97467" w:rsidRPr="005970A0" w:rsidRDefault="00A97467" w:rsidP="00A97467">
      <w:pPr>
        <w:pStyle w:val="Box"/>
      </w:pPr>
      <w:r w:rsidRPr="005970A0">
        <w:t>Data quality information for this indicator has been drafted by the National Centre for Vocational Education Research (</w:t>
      </w:r>
      <w:proofErr w:type="spellStart"/>
      <w:r w:rsidRPr="005970A0">
        <w:t>NCVER</w:t>
      </w:r>
      <w:proofErr w:type="spellEnd"/>
      <w:r w:rsidRPr="005970A0">
        <w:t>)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A97467">
        <w:tc>
          <w:tcPr>
            <w:tcW w:w="5000" w:type="pct"/>
            <w:gridSpan w:val="2"/>
          </w:tcPr>
          <w:p w:rsidR="00A97467" w:rsidRPr="005970A0" w:rsidRDefault="00A97467" w:rsidP="00A97467">
            <w:pPr>
              <w:pStyle w:val="TableBodyText"/>
              <w:jc w:val="both"/>
              <w:rPr>
                <w:b/>
                <w:u w:val="single"/>
              </w:rPr>
            </w:pPr>
          </w:p>
          <w:p w:rsidR="00A97467" w:rsidRPr="005970A0" w:rsidRDefault="00A97467" w:rsidP="00A97467">
            <w:pPr>
              <w:pStyle w:val="TableBodyText"/>
              <w:jc w:val="both"/>
            </w:pPr>
            <w:r w:rsidRPr="005970A0">
              <w:rPr>
                <w:b/>
                <w:u w:val="single"/>
              </w:rPr>
              <w:t>Indicator definition and description</w:t>
            </w:r>
            <w:r w:rsidRPr="005970A0">
              <w:rPr>
                <w:rFonts w:cs="Arial"/>
                <w:b/>
                <w:sz w:val="22"/>
                <w:szCs w:val="22"/>
                <w:u w:val="single"/>
              </w:rPr>
              <w:t xml:space="preserve"> </w:t>
            </w:r>
          </w:p>
        </w:tc>
      </w:tr>
      <w:tr w:rsidR="005970A0" w:rsidRPr="005970A0" w:rsidTr="00A97467">
        <w:tc>
          <w:tcPr>
            <w:tcW w:w="922" w:type="pct"/>
          </w:tcPr>
          <w:p w:rsidR="00A97467" w:rsidRPr="005970A0" w:rsidRDefault="00A97467" w:rsidP="00A97467">
            <w:pPr>
              <w:pStyle w:val="TableBodyText"/>
              <w:jc w:val="both"/>
              <w:rPr>
                <w:b/>
              </w:rPr>
            </w:pPr>
            <w:r w:rsidRPr="005970A0">
              <w:rPr>
                <w:b/>
              </w:rPr>
              <w:t>Element</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Output/efficiency.</w:t>
            </w:r>
          </w:p>
        </w:tc>
      </w:tr>
      <w:tr w:rsidR="005970A0" w:rsidRPr="005970A0" w:rsidTr="00A97467">
        <w:tc>
          <w:tcPr>
            <w:tcW w:w="922" w:type="pct"/>
          </w:tcPr>
          <w:p w:rsidR="00A97467" w:rsidRPr="005970A0" w:rsidRDefault="00A97467" w:rsidP="00A97467">
            <w:pPr>
              <w:pStyle w:val="TableBodyText"/>
              <w:jc w:val="both"/>
              <w:rPr>
                <w:b/>
              </w:rPr>
            </w:pPr>
            <w:r w:rsidRPr="005970A0">
              <w:rPr>
                <w:b/>
              </w:rPr>
              <w:t>Indicator</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User cost of capital per load pass</w:t>
            </w:r>
          </w:p>
        </w:tc>
      </w:tr>
      <w:tr w:rsidR="005970A0" w:rsidRPr="005970A0" w:rsidTr="00A97467">
        <w:tc>
          <w:tcPr>
            <w:tcW w:w="922" w:type="pct"/>
          </w:tcPr>
          <w:p w:rsidR="00A97467" w:rsidRPr="005970A0" w:rsidRDefault="00A97467" w:rsidP="00A97467">
            <w:pPr>
              <w:pStyle w:val="TableBodyText"/>
              <w:jc w:val="both"/>
              <w:rPr>
                <w:b/>
              </w:rPr>
            </w:pPr>
            <w:r w:rsidRPr="005970A0">
              <w:rPr>
                <w:b/>
              </w:rPr>
              <w:t>Measure (computation)</w:t>
            </w:r>
          </w:p>
        </w:tc>
        <w:tc>
          <w:tcPr>
            <w:tcW w:w="4078" w:type="pct"/>
          </w:tcPr>
          <w:p w:rsidR="00A97467" w:rsidRPr="005970A0" w:rsidRDefault="00A97467" w:rsidP="00A97467">
            <w:pPr>
              <w:pStyle w:val="TableBodyText"/>
              <w:jc w:val="both"/>
            </w:pPr>
            <w:r w:rsidRPr="005970A0">
              <w:rPr>
                <w:u w:val="single"/>
              </w:rPr>
              <w:t>Definition</w:t>
            </w:r>
          </w:p>
          <w:p w:rsidR="00A97467" w:rsidRPr="005970A0" w:rsidRDefault="00A97467" w:rsidP="00A97467">
            <w:pPr>
              <w:pStyle w:val="TableBodyText"/>
              <w:keepNext w:val="0"/>
              <w:keepLines w:val="0"/>
              <w:spacing w:after="120" w:line="240" w:lineRule="auto"/>
              <w:ind w:left="0" w:right="0"/>
              <w:jc w:val="both"/>
            </w:pPr>
            <w:r w:rsidRPr="005970A0">
              <w:t xml:space="preserve">User cost of capital divided by hours of publicly funded load pass. </w:t>
            </w:r>
          </w:p>
          <w:p w:rsidR="00A97467" w:rsidRPr="005970A0" w:rsidRDefault="00A97467" w:rsidP="00A97467">
            <w:pPr>
              <w:pStyle w:val="TableBodyText"/>
              <w:jc w:val="both"/>
              <w:rPr>
                <w:u w:val="single"/>
              </w:rPr>
            </w:pPr>
            <w:r w:rsidRPr="005970A0">
              <w:rPr>
                <w:u w:val="single"/>
              </w:rPr>
              <w:t>Numerator/s</w:t>
            </w:r>
          </w:p>
          <w:p w:rsidR="00A97467" w:rsidRPr="005970A0" w:rsidRDefault="00A97467" w:rsidP="00A97467">
            <w:pPr>
              <w:pStyle w:val="TableBodyText"/>
              <w:keepNext w:val="0"/>
              <w:keepLines w:val="0"/>
              <w:spacing w:after="120" w:line="240" w:lineRule="auto"/>
              <w:ind w:left="0" w:right="0"/>
              <w:jc w:val="both"/>
            </w:pPr>
            <w:r w:rsidRPr="005970A0">
              <w:t>User cost of capital is 8 per cent of the value of total physical non-current assets.</w:t>
            </w:r>
          </w:p>
          <w:p w:rsidR="00A97467" w:rsidRPr="005970A0" w:rsidRDefault="00A97467" w:rsidP="00A97467">
            <w:pPr>
              <w:pStyle w:val="TableBodyText"/>
              <w:jc w:val="both"/>
              <w:rPr>
                <w:u w:val="single"/>
              </w:rPr>
            </w:pPr>
            <w:r w:rsidRPr="005970A0">
              <w:rPr>
                <w:u w:val="single"/>
              </w:rPr>
              <w:t>Denominator/s</w:t>
            </w:r>
          </w:p>
          <w:p w:rsidR="00A97467" w:rsidRPr="005970A0" w:rsidRDefault="00A97467" w:rsidP="00A97467">
            <w:pPr>
              <w:pStyle w:val="TableBodyText"/>
              <w:keepNext w:val="0"/>
              <w:keepLines w:val="0"/>
              <w:spacing w:after="120" w:line="240" w:lineRule="auto"/>
              <w:ind w:left="0" w:right="0"/>
              <w:jc w:val="both"/>
            </w:pPr>
            <w:r w:rsidRPr="005970A0">
              <w:t xml:space="preserve">Load pass is based on assessable enrolments of modules and units of competency achieved/passed and </w:t>
            </w:r>
            <w:proofErr w:type="spellStart"/>
            <w:r w:rsidRPr="005970A0">
              <w:t>RPL</w:t>
            </w:r>
            <w:proofErr w:type="spellEnd"/>
            <w:r w:rsidRPr="005970A0">
              <w:t>, and does not include non-assessable enrolments.</w:t>
            </w:r>
          </w:p>
          <w:p w:rsidR="00A97467" w:rsidRPr="005970A0" w:rsidRDefault="00A97467" w:rsidP="00A97467">
            <w:pPr>
              <w:pStyle w:val="TableBodyText"/>
              <w:jc w:val="both"/>
              <w:rPr>
                <w:u w:val="single"/>
              </w:rPr>
            </w:pPr>
            <w:r w:rsidRPr="005970A0">
              <w:rPr>
                <w:u w:val="single"/>
              </w:rPr>
              <w:t>Computation/s</w:t>
            </w:r>
          </w:p>
          <w:p w:rsidR="00A97467" w:rsidRPr="005970A0" w:rsidRDefault="00A97467" w:rsidP="00A97467">
            <w:pPr>
              <w:pStyle w:val="TableBodyText"/>
              <w:keepNext w:val="0"/>
              <w:keepLines w:val="0"/>
              <w:spacing w:after="120" w:line="240" w:lineRule="auto"/>
              <w:ind w:left="0" w:right="0"/>
              <w:jc w:val="both"/>
            </w:pPr>
            <w:r w:rsidRPr="005970A0">
              <w:t>Numerator (above) divided by denominator (above).</w:t>
            </w:r>
          </w:p>
        </w:tc>
      </w:tr>
      <w:tr w:rsidR="005970A0" w:rsidRPr="005970A0" w:rsidTr="00A97467">
        <w:tc>
          <w:tcPr>
            <w:tcW w:w="922" w:type="pct"/>
          </w:tcPr>
          <w:p w:rsidR="00A97467" w:rsidRPr="005970A0" w:rsidRDefault="00A97467" w:rsidP="00A97467">
            <w:pPr>
              <w:pStyle w:val="TableBodyText"/>
              <w:jc w:val="both"/>
              <w:rPr>
                <w:b/>
              </w:rPr>
            </w:pPr>
            <w:r w:rsidRPr="005970A0">
              <w:rPr>
                <w:b/>
              </w:rPr>
              <w:t>Data source/s</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 xml:space="preserve">All data are unpublished and are derived from </w:t>
            </w:r>
            <w:proofErr w:type="spellStart"/>
            <w:r w:rsidRPr="005970A0">
              <w:t>NCVER</w:t>
            </w:r>
            <w:proofErr w:type="spellEnd"/>
            <w:r w:rsidRPr="005970A0">
              <w:t xml:space="preserve"> national financial and VET provider data collections.</w:t>
            </w:r>
          </w:p>
        </w:tc>
      </w:tr>
      <w:tr w:rsidR="005970A0" w:rsidRPr="005970A0" w:rsidTr="00A97467">
        <w:tc>
          <w:tcPr>
            <w:tcW w:w="5000" w:type="pct"/>
            <w:gridSpan w:val="2"/>
          </w:tcPr>
          <w:p w:rsidR="00A97467" w:rsidRPr="005970A0" w:rsidRDefault="00A97467" w:rsidP="00A97467">
            <w:pPr>
              <w:pStyle w:val="TableBodyText"/>
              <w:jc w:val="both"/>
              <w:rPr>
                <w:b/>
                <w:u w:val="single"/>
              </w:rPr>
            </w:pPr>
          </w:p>
          <w:p w:rsidR="00A97467" w:rsidRPr="005970A0" w:rsidRDefault="00A97467" w:rsidP="00A97467">
            <w:pPr>
              <w:pStyle w:val="TableBodyText"/>
              <w:jc w:val="both"/>
              <w:rPr>
                <w:b/>
                <w:u w:val="single"/>
              </w:rPr>
            </w:pPr>
            <w:r w:rsidRPr="005970A0">
              <w:rPr>
                <w:b/>
                <w:u w:val="single"/>
              </w:rPr>
              <w:t>Data Quality Framework Dimensions</w:t>
            </w:r>
          </w:p>
        </w:tc>
      </w:tr>
      <w:tr w:rsidR="005970A0" w:rsidRPr="005970A0" w:rsidTr="00A97467">
        <w:tc>
          <w:tcPr>
            <w:tcW w:w="922" w:type="pct"/>
          </w:tcPr>
          <w:p w:rsidR="00A97467" w:rsidRPr="005970A0" w:rsidRDefault="00A97467" w:rsidP="00A97467">
            <w:pPr>
              <w:pStyle w:val="TableBodyText"/>
              <w:jc w:val="both"/>
              <w:rPr>
                <w:b/>
              </w:rPr>
            </w:pPr>
            <w:r w:rsidRPr="005970A0">
              <w:rPr>
                <w:b/>
              </w:rPr>
              <w:t>Institutional environment</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The National Centre for Vocational Education Research (</w:t>
            </w:r>
            <w:proofErr w:type="spellStart"/>
            <w:r w:rsidRPr="005970A0">
              <w:t>NCVER</w:t>
            </w:r>
            <w:proofErr w:type="spellEnd"/>
            <w:r w:rsidRPr="005970A0">
              <w:t>) is a not-for-profit company owned by the federal, state and territory ministers responsible for training.</w:t>
            </w:r>
          </w:p>
          <w:p w:rsidR="00A97467" w:rsidRPr="005970A0" w:rsidRDefault="00A97467" w:rsidP="00A97467">
            <w:pPr>
              <w:pStyle w:val="TableBodyText"/>
              <w:keepNext w:val="0"/>
              <w:keepLines w:val="0"/>
              <w:spacing w:after="120" w:line="240" w:lineRule="auto"/>
              <w:ind w:left="0" w:right="0"/>
              <w:jc w:val="both"/>
            </w:pPr>
            <w:proofErr w:type="spellStart"/>
            <w:r w:rsidRPr="005970A0">
              <w:t>NCVER</w:t>
            </w:r>
            <w:proofErr w:type="spellEnd"/>
            <w:r w:rsidRPr="005970A0">
              <w:t xml:space="preserve"> is a professional and independent body responsible for collecting, managing, analysing, evaluating and communicating research and statistics about vocational education and training (VET) nationally. It is Australia's principal provider of VET research and statistics.</w:t>
            </w:r>
          </w:p>
        </w:tc>
      </w:tr>
      <w:tr w:rsidR="005970A0" w:rsidRPr="005970A0" w:rsidTr="00A97467">
        <w:tc>
          <w:tcPr>
            <w:tcW w:w="922" w:type="pct"/>
          </w:tcPr>
          <w:p w:rsidR="00A97467" w:rsidRPr="005970A0" w:rsidRDefault="00A97467" w:rsidP="00A97467">
            <w:pPr>
              <w:pStyle w:val="TableBodyText"/>
              <w:jc w:val="both"/>
              <w:rPr>
                <w:b/>
              </w:rPr>
            </w:pPr>
            <w:r w:rsidRPr="005970A0">
              <w:rPr>
                <w:b/>
              </w:rPr>
              <w:t>Relevance</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 xml:space="preserve">The scope of the financial data collection covers all transactions that affect the financial performance, financial position and financing of the public VET system. The collection focuses on vocational education and training administered or provided by the main training authority or training department within each state and territory, their public training providers and </w:t>
            </w:r>
            <w:r w:rsidR="002E248B" w:rsidRPr="005970A0">
              <w:t>the Department of Industry</w:t>
            </w:r>
            <w:r w:rsidR="006A1137">
              <w:t>.</w:t>
            </w:r>
            <w:r w:rsidRPr="005970A0">
              <w:t xml:space="preserve"> </w:t>
            </w:r>
          </w:p>
          <w:p w:rsidR="00A97467" w:rsidRPr="005970A0" w:rsidRDefault="00A97467" w:rsidP="00A97467">
            <w:pPr>
              <w:pStyle w:val="TableBodyText"/>
              <w:keepNext w:val="0"/>
              <w:keepLines w:val="0"/>
              <w:spacing w:after="120" w:line="240" w:lineRule="auto"/>
              <w:ind w:left="0" w:right="0"/>
              <w:jc w:val="both"/>
            </w:pPr>
            <w:r w:rsidRPr="005970A0">
              <w:t>The financial information has been extracted from accrual-based financial records.</w:t>
            </w:r>
          </w:p>
        </w:tc>
      </w:tr>
      <w:tr w:rsidR="005970A0" w:rsidRPr="005970A0" w:rsidTr="00A97467">
        <w:tc>
          <w:tcPr>
            <w:tcW w:w="922" w:type="pct"/>
          </w:tcPr>
          <w:p w:rsidR="00A97467" w:rsidRPr="005970A0" w:rsidRDefault="00A97467" w:rsidP="00A97467">
            <w:pPr>
              <w:pStyle w:val="TableBodyText"/>
              <w:jc w:val="both"/>
              <w:rPr>
                <w:b/>
              </w:rPr>
            </w:pPr>
            <w:r w:rsidRPr="005970A0">
              <w:rPr>
                <w:b/>
              </w:rPr>
              <w:t>Timeliness</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 xml:space="preserve">The National VET Finance Collection is an annual collection of data. Audited data are submitted to </w:t>
            </w:r>
            <w:proofErr w:type="spellStart"/>
            <w:r w:rsidRPr="005970A0">
              <w:t>NCVER</w:t>
            </w:r>
            <w:proofErr w:type="spellEnd"/>
            <w:r w:rsidRPr="005970A0">
              <w:t xml:space="preserve"> (via state training authorities) by 8 July in the year following activity.</w:t>
            </w:r>
          </w:p>
        </w:tc>
      </w:tr>
      <w:tr w:rsidR="005970A0" w:rsidRPr="005970A0" w:rsidTr="00A97467">
        <w:tc>
          <w:tcPr>
            <w:tcW w:w="922" w:type="pct"/>
          </w:tcPr>
          <w:p w:rsidR="00A97467" w:rsidRPr="005970A0" w:rsidRDefault="00A97467" w:rsidP="00A97467">
            <w:pPr>
              <w:pStyle w:val="TableBodyText"/>
              <w:jc w:val="both"/>
              <w:rPr>
                <w:b/>
              </w:rPr>
            </w:pPr>
            <w:r w:rsidRPr="005970A0">
              <w:rPr>
                <w:b/>
              </w:rPr>
              <w:t>Accuracy</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Key financial data are audited to provide additional assurance on the quality of the reported data and consistent adoption of the requirements of the Australian Vocational Education and Training Management Information Statistical Standard (</w:t>
            </w:r>
            <w:proofErr w:type="spellStart"/>
            <w:r w:rsidRPr="005970A0">
              <w:t>AVETMISS</w:t>
            </w:r>
            <w:proofErr w:type="spellEnd"/>
            <w:r w:rsidRPr="005970A0">
              <w:t>).</w:t>
            </w:r>
          </w:p>
          <w:p w:rsidR="00A97467" w:rsidRPr="005970A0" w:rsidRDefault="00A97467" w:rsidP="00A97467">
            <w:pPr>
              <w:pStyle w:val="TableBodyText"/>
              <w:keepNext w:val="0"/>
              <w:keepLines w:val="0"/>
              <w:spacing w:after="120" w:line="240" w:lineRule="auto"/>
              <w:ind w:left="0" w:right="0"/>
              <w:jc w:val="both"/>
            </w:pPr>
            <w:r w:rsidRPr="005970A0">
              <w:t xml:space="preserve">Differences exist across the accounting policies applied by state and territory governments; for example, in relation to the valuation and measurement of investments and property, and plant and equipment. Details of accounting policies for each jurisdiction are in the </w:t>
            </w:r>
            <w:proofErr w:type="spellStart"/>
            <w:r w:rsidRPr="005970A0">
              <w:t>AVETMISS</w:t>
            </w:r>
            <w:proofErr w:type="spellEnd"/>
            <w:r w:rsidRPr="005970A0">
              <w:t xml:space="preserve"> for VET financial data located </w:t>
            </w:r>
            <w:r w:rsidRPr="005970A0">
              <w:lastRenderedPageBreak/>
              <w:t xml:space="preserve">at </w:t>
            </w:r>
            <w:r w:rsidRPr="00D86CD7">
              <w:rPr>
                <w:szCs w:val="22"/>
              </w:rPr>
              <w:t>http://</w:t>
            </w:r>
            <w:proofErr w:type="spellStart"/>
            <w:r w:rsidRPr="00D86CD7">
              <w:rPr>
                <w:szCs w:val="22"/>
              </w:rPr>
              <w:t>www.ncver.edu.au</w:t>
            </w:r>
            <w:proofErr w:type="spellEnd"/>
            <w:r w:rsidRPr="00D86CD7">
              <w:rPr>
                <w:szCs w:val="22"/>
              </w:rPr>
              <w:t>/</w:t>
            </w:r>
            <w:proofErr w:type="spellStart"/>
            <w:r w:rsidRPr="00D86CD7">
              <w:rPr>
                <w:szCs w:val="22"/>
              </w:rPr>
              <w:t>avetmiss</w:t>
            </w:r>
            <w:proofErr w:type="spellEnd"/>
            <w:r w:rsidRPr="00D86CD7">
              <w:rPr>
                <w:szCs w:val="22"/>
              </w:rPr>
              <w:t>/</w:t>
            </w:r>
            <w:proofErr w:type="spellStart"/>
            <w:r w:rsidRPr="00D86CD7">
              <w:rPr>
                <w:szCs w:val="22"/>
              </w:rPr>
              <w:t>21064.html</w:t>
            </w:r>
            <w:proofErr w:type="spellEnd"/>
            <w:r w:rsidRPr="005970A0">
              <w:t>.</w:t>
            </w:r>
          </w:p>
          <w:p w:rsidR="00A97467" w:rsidRPr="005970A0" w:rsidRDefault="00A97467" w:rsidP="00A97467">
            <w:pPr>
              <w:pStyle w:val="TableBodyText"/>
              <w:keepNext w:val="0"/>
              <w:keepLines w:val="0"/>
              <w:spacing w:after="120" w:line="240" w:lineRule="auto"/>
              <w:ind w:left="0" w:right="0"/>
              <w:jc w:val="both"/>
            </w:pPr>
            <w:r w:rsidRPr="005970A0">
              <w:t>State and territory governments and the Australian Government were not required to submit detailed working papers. The data are supported by relevant working papers held by them and, where possible, reconciled to public documents such as annual reports and budget papers.</w:t>
            </w:r>
          </w:p>
        </w:tc>
      </w:tr>
      <w:tr w:rsidR="005970A0" w:rsidRPr="005970A0" w:rsidTr="00A97467">
        <w:tc>
          <w:tcPr>
            <w:tcW w:w="922" w:type="pct"/>
          </w:tcPr>
          <w:p w:rsidR="00A97467" w:rsidRPr="005970A0" w:rsidRDefault="00A97467" w:rsidP="00A97467">
            <w:pPr>
              <w:pStyle w:val="TableBodyText"/>
              <w:jc w:val="both"/>
              <w:rPr>
                <w:b/>
              </w:rPr>
            </w:pPr>
            <w:r w:rsidRPr="005970A0">
              <w:rPr>
                <w:b/>
              </w:rPr>
              <w:lastRenderedPageBreak/>
              <w:t>Coherence</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In 2007, Victoria adopted standard nominal hour values for common units of competency as the basis of calculating total annual hours of delivery, thereby achieving consistency with all other states and territories. To enable comparison over time, standard nominal hour values have been used to revise the time series back to 2002, except for Victoria, where data prior to 2007 cannot be rebased from scheduled hours to standard nominal hours.</w:t>
            </w:r>
          </w:p>
        </w:tc>
      </w:tr>
      <w:tr w:rsidR="005970A0" w:rsidRPr="005970A0" w:rsidTr="00A97467">
        <w:tc>
          <w:tcPr>
            <w:tcW w:w="922" w:type="pct"/>
          </w:tcPr>
          <w:p w:rsidR="00A97467" w:rsidRPr="005970A0" w:rsidRDefault="00A97467" w:rsidP="00A97467">
            <w:pPr>
              <w:pStyle w:val="TableBodyText"/>
              <w:jc w:val="both"/>
              <w:rPr>
                <w:b/>
              </w:rPr>
            </w:pPr>
            <w:r w:rsidRPr="005970A0">
              <w:rPr>
                <w:b/>
              </w:rPr>
              <w:t>Accessibility</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 xml:space="preserve">Summary information is available free of charge on </w:t>
            </w:r>
            <w:proofErr w:type="spellStart"/>
            <w:r w:rsidRPr="005970A0">
              <w:t>NCVER’s</w:t>
            </w:r>
            <w:proofErr w:type="spellEnd"/>
            <w:r w:rsidRPr="005970A0">
              <w:t xml:space="preserve"> website at: </w:t>
            </w:r>
            <w:r w:rsidRPr="00D86CD7">
              <w:rPr>
                <w:szCs w:val="22"/>
              </w:rPr>
              <w:t>http://</w:t>
            </w:r>
            <w:proofErr w:type="spellStart"/>
            <w:r w:rsidRPr="00D86CD7">
              <w:rPr>
                <w:szCs w:val="22"/>
              </w:rPr>
              <w:t>www.ncver.edu.au</w:t>
            </w:r>
            <w:proofErr w:type="spellEnd"/>
            <w:r w:rsidRPr="00D86CD7">
              <w:rPr>
                <w:szCs w:val="22"/>
              </w:rPr>
              <w:t>/statistic/</w:t>
            </w:r>
            <w:proofErr w:type="spellStart"/>
            <w:r w:rsidRPr="00D86CD7">
              <w:rPr>
                <w:szCs w:val="22"/>
              </w:rPr>
              <w:t>21051.html</w:t>
            </w:r>
            <w:proofErr w:type="spellEnd"/>
            <w:r w:rsidRPr="005970A0">
              <w:t xml:space="preserve">. </w:t>
            </w:r>
          </w:p>
          <w:p w:rsidR="00A97467" w:rsidRPr="005970A0" w:rsidRDefault="00A97467" w:rsidP="00A97467">
            <w:pPr>
              <w:pStyle w:val="TableBodyText"/>
              <w:keepNext w:val="0"/>
              <w:keepLines w:val="0"/>
              <w:spacing w:after="120" w:line="240" w:lineRule="auto"/>
              <w:ind w:left="0" w:right="0"/>
              <w:jc w:val="both"/>
            </w:pPr>
            <w:r w:rsidRPr="005970A0">
              <w:t xml:space="preserve">Requests for more detailed statistical information can be made to </w:t>
            </w:r>
            <w:proofErr w:type="spellStart"/>
            <w:r w:rsidRPr="005970A0">
              <w:t>NCVER</w:t>
            </w:r>
            <w:proofErr w:type="spellEnd"/>
            <w:r w:rsidRPr="005970A0">
              <w:t xml:space="preserve">. However, a charge will be generally made for more complex requests for information. See </w:t>
            </w:r>
            <w:proofErr w:type="spellStart"/>
            <w:r w:rsidRPr="005970A0">
              <w:t>NCVER’s</w:t>
            </w:r>
            <w:proofErr w:type="spellEnd"/>
            <w:r w:rsidRPr="005970A0">
              <w:t xml:space="preserve"> fees and charges policy at: </w:t>
            </w:r>
            <w:r w:rsidRPr="00D86CD7">
              <w:rPr>
                <w:szCs w:val="22"/>
              </w:rPr>
              <w:t>http://</w:t>
            </w:r>
            <w:proofErr w:type="spellStart"/>
            <w:r w:rsidRPr="00D86CD7">
              <w:rPr>
                <w:szCs w:val="22"/>
              </w:rPr>
              <w:t>www.ncver.edu.au</w:t>
            </w:r>
            <w:proofErr w:type="spellEnd"/>
            <w:r w:rsidRPr="00D86CD7">
              <w:rPr>
                <w:szCs w:val="22"/>
              </w:rPr>
              <w:t>/statistic/</w:t>
            </w:r>
            <w:proofErr w:type="spellStart"/>
            <w:r w:rsidRPr="00D86CD7">
              <w:rPr>
                <w:szCs w:val="22"/>
              </w:rPr>
              <w:t>21075.html</w:t>
            </w:r>
            <w:proofErr w:type="spellEnd"/>
            <w:r w:rsidRPr="005970A0">
              <w:t>.</w:t>
            </w:r>
          </w:p>
        </w:tc>
      </w:tr>
      <w:tr w:rsidR="005970A0" w:rsidRPr="005970A0" w:rsidTr="00A97467">
        <w:tc>
          <w:tcPr>
            <w:tcW w:w="922" w:type="pct"/>
          </w:tcPr>
          <w:p w:rsidR="00A97467" w:rsidRPr="005970A0" w:rsidRDefault="00A97467" w:rsidP="00A97467">
            <w:pPr>
              <w:pStyle w:val="TableBodyText"/>
              <w:jc w:val="both"/>
              <w:rPr>
                <w:b/>
              </w:rPr>
            </w:pPr>
            <w:r w:rsidRPr="005970A0">
              <w:rPr>
                <w:b/>
              </w:rPr>
              <w:t>Interpretability</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 xml:space="preserve">To aid interpretation, a statistical standard for the National VET Finance Collection is provided at: </w:t>
            </w:r>
            <w:r w:rsidRPr="00D86CD7">
              <w:rPr>
                <w:szCs w:val="22"/>
              </w:rPr>
              <w:t>http://</w:t>
            </w:r>
            <w:proofErr w:type="spellStart"/>
            <w:r w:rsidRPr="00D86CD7">
              <w:rPr>
                <w:szCs w:val="22"/>
              </w:rPr>
              <w:t>www.ncver.edu.au</w:t>
            </w:r>
            <w:proofErr w:type="spellEnd"/>
            <w:r w:rsidRPr="00D86CD7">
              <w:rPr>
                <w:szCs w:val="22"/>
              </w:rPr>
              <w:t>/</w:t>
            </w:r>
            <w:proofErr w:type="spellStart"/>
            <w:r w:rsidRPr="00D86CD7">
              <w:rPr>
                <w:szCs w:val="22"/>
              </w:rPr>
              <w:t>avetmiss</w:t>
            </w:r>
            <w:proofErr w:type="spellEnd"/>
            <w:r w:rsidRPr="00D86CD7">
              <w:rPr>
                <w:szCs w:val="22"/>
              </w:rPr>
              <w:t>/</w:t>
            </w:r>
            <w:proofErr w:type="spellStart"/>
            <w:r w:rsidRPr="00D86CD7">
              <w:rPr>
                <w:szCs w:val="22"/>
              </w:rPr>
              <w:t>21064.html</w:t>
            </w:r>
            <w:proofErr w:type="spellEnd"/>
            <w:r w:rsidRPr="005970A0">
              <w:t xml:space="preserve">. </w:t>
            </w:r>
          </w:p>
        </w:tc>
      </w:tr>
      <w:tr w:rsidR="005970A0" w:rsidRPr="005970A0" w:rsidTr="00A97467">
        <w:tc>
          <w:tcPr>
            <w:tcW w:w="5000" w:type="pct"/>
            <w:gridSpan w:val="2"/>
            <w:shd w:val="clear" w:color="auto" w:fill="auto"/>
          </w:tcPr>
          <w:p w:rsidR="00A97467" w:rsidRPr="005970A0" w:rsidRDefault="00A97467" w:rsidP="00A97467">
            <w:pPr>
              <w:pStyle w:val="TableBodyText"/>
              <w:jc w:val="both"/>
              <w:rPr>
                <w:b/>
                <w:u w:val="single"/>
              </w:rPr>
            </w:pPr>
          </w:p>
          <w:p w:rsidR="00A97467" w:rsidRPr="005970A0" w:rsidRDefault="00A97467" w:rsidP="00A97467">
            <w:pPr>
              <w:pStyle w:val="TableBodyText"/>
              <w:jc w:val="both"/>
              <w:rPr>
                <w:b/>
                <w:u w:val="single"/>
              </w:rPr>
            </w:pPr>
            <w:r w:rsidRPr="005970A0">
              <w:rPr>
                <w:b/>
                <w:u w:val="single"/>
              </w:rPr>
              <w:t>Data Gaps/Issues Analysis</w:t>
            </w:r>
          </w:p>
        </w:tc>
      </w:tr>
      <w:tr w:rsidR="005970A0" w:rsidRPr="005970A0" w:rsidTr="00A97467">
        <w:tc>
          <w:tcPr>
            <w:tcW w:w="922" w:type="pct"/>
            <w:shd w:val="clear" w:color="auto" w:fill="auto"/>
          </w:tcPr>
          <w:p w:rsidR="00A97467" w:rsidRPr="005970A0" w:rsidRDefault="00A97467" w:rsidP="00A97467">
            <w:pPr>
              <w:pStyle w:val="TableBodyText"/>
              <w:jc w:val="both"/>
              <w:rPr>
                <w:b/>
              </w:rPr>
            </w:pPr>
            <w:r w:rsidRPr="005970A0">
              <w:rPr>
                <w:b/>
              </w:rPr>
              <w:t>Key data gaps/ issues</w:t>
            </w:r>
          </w:p>
        </w:tc>
        <w:tc>
          <w:tcPr>
            <w:tcW w:w="4078" w:type="pct"/>
            <w:shd w:val="clear" w:color="auto" w:fill="auto"/>
          </w:tcPr>
          <w:p w:rsidR="00A97467" w:rsidRPr="005970A0" w:rsidRDefault="00A97467" w:rsidP="008C50BE">
            <w:pPr>
              <w:pStyle w:val="TableBullet"/>
              <w:keepNext w:val="0"/>
              <w:keepLines w:val="0"/>
              <w:numPr>
                <w:ilvl w:val="0"/>
                <w:numId w:val="0"/>
              </w:numPr>
              <w:tabs>
                <w:tab w:val="left" w:pos="359"/>
              </w:tabs>
              <w:spacing w:after="80" w:line="240" w:lineRule="auto"/>
              <w:ind w:left="-1" w:right="0"/>
              <w:jc w:val="both"/>
            </w:pPr>
            <w:r w:rsidRPr="005970A0">
              <w:t xml:space="preserve">The Steering Committee notes </w:t>
            </w:r>
            <w:r w:rsidR="000828AF" w:rsidRPr="005970A0">
              <w:t>that u</w:t>
            </w:r>
            <w:r w:rsidRPr="005970A0">
              <w:t>ser cost of capital per load pass needs to be interpreted carefully because low unit costs may not necessarily reflect a lessening of quality. Differences in some input costs (for example, land values) can affect reported costs across jurisdictions without necessarily reflecting the efficiency of service delivery. The user cost of capital for land is presented separately from the cost of other assets, to allow users assessing the results to consider any differences in land values across jurisdictions. The Steering Committee has adopted a nominal user cost of capital rate of 8 per cent, although the actual rate may vary across jurisdictions. The basis for the 8</w:t>
            </w:r>
            <w:r w:rsidR="008C50BE">
              <w:t> </w:t>
            </w:r>
            <w:r w:rsidRPr="005970A0">
              <w:t xml:space="preserve">per </w:t>
            </w:r>
            <w:r w:rsidR="008C50BE">
              <w:t> </w:t>
            </w:r>
            <w:r w:rsidRPr="005970A0">
              <w:t>cent capital charge is discussed in chapter 2.</w:t>
            </w:r>
          </w:p>
        </w:tc>
      </w:tr>
    </w:tbl>
    <w:p w:rsidR="0068457F" w:rsidRPr="005970A0" w:rsidRDefault="00A97467" w:rsidP="00D21520">
      <w:pPr>
        <w:pStyle w:val="Heading3"/>
        <w:spacing w:before="120"/>
      </w:pPr>
      <w:r w:rsidRPr="005970A0">
        <w:br w:type="page"/>
      </w:r>
      <w:bookmarkStart w:id="24" w:name="_Toc370472621"/>
      <w:r w:rsidR="0068457F" w:rsidRPr="005970A0">
        <w:lastRenderedPageBreak/>
        <w:t>Student employment and further study outcomes — proportion of graduates who were employed and/or continued on to further study after completing their course</w:t>
      </w:r>
      <w:bookmarkEnd w:id="24"/>
    </w:p>
    <w:p w:rsidR="0068457F" w:rsidRPr="005970A0" w:rsidRDefault="0068457F" w:rsidP="006E0702">
      <w:pPr>
        <w:pStyle w:val="Box"/>
      </w:pPr>
      <w:r w:rsidRPr="005970A0">
        <w:t>Data quality information for this indicator has been drafted by the National Centre for Vocational Education Research (</w:t>
      </w:r>
      <w:proofErr w:type="spellStart"/>
      <w:r w:rsidRPr="005970A0">
        <w:t>NCVER</w:t>
      </w:r>
      <w:proofErr w:type="spellEnd"/>
      <w:r w:rsidRPr="005970A0">
        <w:t>)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395EF2">
        <w:tc>
          <w:tcPr>
            <w:tcW w:w="5000" w:type="pct"/>
            <w:gridSpan w:val="2"/>
          </w:tcPr>
          <w:p w:rsidR="0068457F" w:rsidRPr="005970A0" w:rsidRDefault="0068457F" w:rsidP="006E0702">
            <w:pPr>
              <w:pStyle w:val="TableBodyText"/>
              <w:jc w:val="both"/>
              <w:rPr>
                <w:b/>
                <w:u w:val="single"/>
              </w:rPr>
            </w:pPr>
          </w:p>
          <w:p w:rsidR="0068457F" w:rsidRPr="005970A0" w:rsidRDefault="0068457F" w:rsidP="006E0702">
            <w:pPr>
              <w:pStyle w:val="TableBodyText"/>
              <w:jc w:val="both"/>
            </w:pPr>
            <w:r w:rsidRPr="005970A0">
              <w:rPr>
                <w:b/>
                <w:u w:val="single"/>
              </w:rPr>
              <w:t>Indicator definition and description</w:t>
            </w:r>
            <w:r w:rsidRPr="005970A0">
              <w:rPr>
                <w:rFonts w:cs="Arial"/>
                <w:b/>
                <w:sz w:val="22"/>
                <w:szCs w:val="22"/>
                <w:u w:val="single"/>
              </w:rPr>
              <w:t xml:space="preserve"> </w:t>
            </w:r>
          </w:p>
        </w:tc>
      </w:tr>
      <w:tr w:rsidR="005970A0" w:rsidRPr="005970A0" w:rsidTr="00395EF2">
        <w:tc>
          <w:tcPr>
            <w:tcW w:w="922" w:type="pct"/>
          </w:tcPr>
          <w:p w:rsidR="0068457F" w:rsidRPr="005970A0" w:rsidRDefault="0068457F" w:rsidP="006E0702">
            <w:pPr>
              <w:pStyle w:val="TableBodyText"/>
              <w:jc w:val="both"/>
              <w:rPr>
                <w:b/>
              </w:rPr>
            </w:pPr>
            <w:r w:rsidRPr="005970A0">
              <w:rPr>
                <w:b/>
              </w:rPr>
              <w:t>Element</w:t>
            </w:r>
          </w:p>
        </w:tc>
        <w:tc>
          <w:tcPr>
            <w:tcW w:w="4078" w:type="pct"/>
          </w:tcPr>
          <w:p w:rsidR="0068457F" w:rsidRPr="005970A0" w:rsidRDefault="0068457F" w:rsidP="006E0702">
            <w:pPr>
              <w:pStyle w:val="TableBodyText"/>
              <w:spacing w:after="120"/>
              <w:jc w:val="both"/>
            </w:pPr>
            <w:r w:rsidRPr="005970A0">
              <w:t>Outcomes.</w:t>
            </w:r>
          </w:p>
        </w:tc>
      </w:tr>
      <w:tr w:rsidR="005970A0" w:rsidRPr="005970A0" w:rsidTr="00395EF2">
        <w:tc>
          <w:tcPr>
            <w:tcW w:w="922" w:type="pct"/>
          </w:tcPr>
          <w:p w:rsidR="0068457F" w:rsidRPr="005970A0" w:rsidRDefault="0068457F" w:rsidP="006E0702">
            <w:pPr>
              <w:pStyle w:val="TableBodyText"/>
              <w:jc w:val="both"/>
              <w:rPr>
                <w:b/>
              </w:rPr>
            </w:pPr>
            <w:r w:rsidRPr="005970A0">
              <w:rPr>
                <w:b/>
              </w:rPr>
              <w:t>Indicator</w:t>
            </w:r>
          </w:p>
        </w:tc>
        <w:tc>
          <w:tcPr>
            <w:tcW w:w="4078" w:type="pct"/>
          </w:tcPr>
          <w:p w:rsidR="0068457F" w:rsidRPr="005970A0" w:rsidRDefault="0068457F" w:rsidP="006E0702">
            <w:pPr>
              <w:pStyle w:val="TableBodyText"/>
              <w:keepNext w:val="0"/>
              <w:keepLines w:val="0"/>
              <w:autoSpaceDE w:val="0"/>
              <w:autoSpaceDN w:val="0"/>
              <w:adjustRightInd w:val="0"/>
              <w:spacing w:after="120" w:line="240" w:lineRule="atLeast"/>
              <w:ind w:left="0" w:right="0"/>
              <w:jc w:val="both"/>
            </w:pPr>
            <w:r w:rsidRPr="005970A0">
              <w:t>Student employment and further study outcomes</w:t>
            </w:r>
          </w:p>
        </w:tc>
      </w:tr>
      <w:tr w:rsidR="005970A0" w:rsidRPr="005970A0" w:rsidTr="00395EF2">
        <w:tc>
          <w:tcPr>
            <w:tcW w:w="922" w:type="pct"/>
          </w:tcPr>
          <w:p w:rsidR="0068457F" w:rsidRPr="005970A0" w:rsidRDefault="0068457F" w:rsidP="006E0702">
            <w:pPr>
              <w:pStyle w:val="TableBodyText"/>
              <w:jc w:val="both"/>
              <w:rPr>
                <w:b/>
              </w:rPr>
            </w:pPr>
            <w:r w:rsidRPr="005970A0">
              <w:rPr>
                <w:b/>
              </w:rPr>
              <w:t>Measure (computation)</w:t>
            </w:r>
          </w:p>
        </w:tc>
        <w:tc>
          <w:tcPr>
            <w:tcW w:w="4078" w:type="pct"/>
          </w:tcPr>
          <w:p w:rsidR="0068457F" w:rsidRPr="005970A0" w:rsidRDefault="0068457F" w:rsidP="006E0702">
            <w:pPr>
              <w:pStyle w:val="TableBodyText"/>
              <w:jc w:val="both"/>
            </w:pPr>
            <w:r w:rsidRPr="005970A0">
              <w:rPr>
                <w:u w:val="single"/>
              </w:rPr>
              <w:t>Definition</w:t>
            </w:r>
          </w:p>
          <w:p w:rsidR="0068457F" w:rsidRPr="005970A0" w:rsidRDefault="0068457F" w:rsidP="006E0702">
            <w:pPr>
              <w:pStyle w:val="TableBodyText"/>
              <w:keepNext w:val="0"/>
              <w:keepLines w:val="0"/>
              <w:autoSpaceDE w:val="0"/>
              <w:autoSpaceDN w:val="0"/>
              <w:adjustRightInd w:val="0"/>
              <w:spacing w:after="120" w:line="240" w:lineRule="atLeast"/>
              <w:ind w:left="0" w:right="0"/>
              <w:jc w:val="both"/>
            </w:pPr>
            <w:r w:rsidRPr="005970A0">
              <w:t>The proportion of graduates who were employed and/or continued on to further study after completing their course.</w:t>
            </w:r>
          </w:p>
          <w:p w:rsidR="0068457F" w:rsidRPr="005970A0" w:rsidRDefault="0068457F" w:rsidP="006E0702">
            <w:pPr>
              <w:pStyle w:val="TableBodyText"/>
              <w:jc w:val="both"/>
              <w:rPr>
                <w:u w:val="single"/>
              </w:rPr>
            </w:pPr>
            <w:r w:rsidRPr="005970A0">
              <w:rPr>
                <w:u w:val="single"/>
              </w:rPr>
              <w:t>Numerator/s</w:t>
            </w:r>
          </w:p>
          <w:p w:rsidR="0068457F" w:rsidRPr="005970A0" w:rsidRDefault="0068457F" w:rsidP="006E0702">
            <w:pPr>
              <w:pStyle w:val="TableBodyText"/>
              <w:keepNext w:val="0"/>
              <w:keepLines w:val="0"/>
              <w:autoSpaceDE w:val="0"/>
              <w:autoSpaceDN w:val="0"/>
              <w:adjustRightInd w:val="0"/>
              <w:spacing w:after="120" w:line="240" w:lineRule="atLeast"/>
              <w:ind w:left="0" w:right="0"/>
              <w:jc w:val="both"/>
            </w:pPr>
            <w:r w:rsidRPr="005970A0">
              <w:t>Number of graduates who were employed and/or enrolled in further study on the last Friday in May of the nominated year, and who completed their training during the year prior to the nominated year.</w:t>
            </w:r>
          </w:p>
          <w:p w:rsidR="0068457F" w:rsidRPr="005970A0" w:rsidRDefault="0068457F" w:rsidP="006E0702">
            <w:pPr>
              <w:pStyle w:val="TableBodyText"/>
              <w:jc w:val="both"/>
              <w:rPr>
                <w:u w:val="single"/>
              </w:rPr>
            </w:pPr>
            <w:r w:rsidRPr="005970A0">
              <w:rPr>
                <w:u w:val="single"/>
              </w:rPr>
              <w:t>Denominator/s</w:t>
            </w:r>
          </w:p>
          <w:p w:rsidR="0068457F" w:rsidRPr="005970A0" w:rsidRDefault="0068457F" w:rsidP="006E0702">
            <w:pPr>
              <w:pStyle w:val="TableBodyText"/>
              <w:keepNext w:val="0"/>
              <w:keepLines w:val="0"/>
              <w:autoSpaceDE w:val="0"/>
              <w:autoSpaceDN w:val="0"/>
              <w:adjustRightInd w:val="0"/>
              <w:spacing w:after="120" w:line="240" w:lineRule="atLeast"/>
              <w:ind w:left="0" w:right="0"/>
              <w:jc w:val="both"/>
            </w:pPr>
            <w:r w:rsidRPr="005970A0">
              <w:t>Number of graduates who completed their training during the year prior to the nominated year (less those with the numerator variable not stated).</w:t>
            </w:r>
          </w:p>
          <w:p w:rsidR="0068457F" w:rsidRPr="005970A0" w:rsidRDefault="0068457F" w:rsidP="006E0702">
            <w:pPr>
              <w:pStyle w:val="TableBodyText"/>
              <w:jc w:val="both"/>
              <w:rPr>
                <w:u w:val="single"/>
              </w:rPr>
            </w:pPr>
            <w:r w:rsidRPr="005970A0">
              <w:rPr>
                <w:u w:val="single"/>
              </w:rPr>
              <w:t>Computation/s</w:t>
            </w:r>
            <w:r w:rsidRPr="005970A0">
              <w:t>:</w:t>
            </w:r>
          </w:p>
          <w:p w:rsidR="0068457F" w:rsidRPr="005970A0" w:rsidRDefault="0068457F" w:rsidP="006E0702">
            <w:pPr>
              <w:pStyle w:val="TableBodyText"/>
              <w:keepNext w:val="0"/>
              <w:keepLines w:val="0"/>
              <w:autoSpaceDE w:val="0"/>
              <w:autoSpaceDN w:val="0"/>
              <w:adjustRightInd w:val="0"/>
              <w:spacing w:after="120" w:line="240" w:lineRule="atLeast"/>
              <w:ind w:left="0" w:right="0"/>
              <w:jc w:val="both"/>
            </w:pPr>
            <w:r w:rsidRPr="005970A0">
              <w:t xml:space="preserve">Numerator (above) </w:t>
            </w:r>
            <w:r w:rsidR="003B11B3" w:rsidRPr="005970A0">
              <w:t>divided by denominator (above).</w:t>
            </w:r>
          </w:p>
          <w:p w:rsidR="0068457F" w:rsidRPr="005970A0" w:rsidRDefault="0068457F" w:rsidP="006E0702">
            <w:pPr>
              <w:pStyle w:val="TableBodyText"/>
              <w:keepNext w:val="0"/>
              <w:keepLines w:val="0"/>
              <w:autoSpaceDE w:val="0"/>
              <w:autoSpaceDN w:val="0"/>
              <w:adjustRightInd w:val="0"/>
              <w:spacing w:after="120" w:line="240" w:lineRule="atLeast"/>
              <w:ind w:left="0" w:right="0"/>
              <w:jc w:val="both"/>
            </w:pPr>
            <w:r w:rsidRPr="005970A0">
              <w:t>‘Graduate’ is defined as a past student who was awarded a qualification from a VET provider in Australia.</w:t>
            </w:r>
          </w:p>
        </w:tc>
      </w:tr>
      <w:tr w:rsidR="005970A0" w:rsidRPr="005970A0" w:rsidTr="00395EF2">
        <w:tc>
          <w:tcPr>
            <w:tcW w:w="922" w:type="pct"/>
          </w:tcPr>
          <w:p w:rsidR="0068457F" w:rsidRPr="005970A0" w:rsidRDefault="0068457F" w:rsidP="006E0702">
            <w:pPr>
              <w:pStyle w:val="TableBodyText"/>
              <w:jc w:val="both"/>
              <w:rPr>
                <w:b/>
              </w:rPr>
            </w:pPr>
            <w:r w:rsidRPr="005970A0">
              <w:rPr>
                <w:b/>
              </w:rPr>
              <w:t>Data source/s</w:t>
            </w:r>
          </w:p>
        </w:tc>
        <w:tc>
          <w:tcPr>
            <w:tcW w:w="4078" w:type="pct"/>
          </w:tcPr>
          <w:p w:rsidR="0068457F" w:rsidRPr="005970A0" w:rsidRDefault="0068457F" w:rsidP="006E0702">
            <w:pPr>
              <w:pStyle w:val="TableBodyText"/>
              <w:keepNext w:val="0"/>
              <w:keepLines w:val="0"/>
              <w:autoSpaceDE w:val="0"/>
              <w:autoSpaceDN w:val="0"/>
              <w:adjustRightInd w:val="0"/>
              <w:spacing w:after="120" w:line="240" w:lineRule="atLeast"/>
              <w:ind w:left="0" w:right="0"/>
              <w:jc w:val="both"/>
            </w:pPr>
            <w:r w:rsidRPr="005970A0">
              <w:t xml:space="preserve">All data are derived from the </w:t>
            </w:r>
            <w:r w:rsidRPr="005970A0">
              <w:rPr>
                <w:i/>
              </w:rPr>
              <w:t>Student Outcomes Survey</w:t>
            </w:r>
            <w:r w:rsidRPr="005970A0">
              <w:t xml:space="preserve"> (SOS), which is an annual survey of students who successfully complete VET in Australia. This survey is conducted by the </w:t>
            </w:r>
            <w:proofErr w:type="spellStart"/>
            <w:r w:rsidRPr="005970A0">
              <w:t>NCVER</w:t>
            </w:r>
            <w:proofErr w:type="spellEnd"/>
            <w:r w:rsidRPr="005970A0">
              <w:t>.</w:t>
            </w:r>
          </w:p>
          <w:p w:rsidR="0068457F" w:rsidRPr="005970A0" w:rsidRDefault="0068457F" w:rsidP="006E0702">
            <w:pPr>
              <w:pStyle w:val="TableBodyText"/>
              <w:keepNext w:val="0"/>
              <w:keepLines w:val="0"/>
              <w:autoSpaceDE w:val="0"/>
              <w:autoSpaceDN w:val="0"/>
              <w:adjustRightInd w:val="0"/>
              <w:spacing w:after="120" w:line="240" w:lineRule="atLeast"/>
              <w:ind w:left="0" w:right="0"/>
              <w:jc w:val="both"/>
            </w:pPr>
            <w:r w:rsidRPr="005970A0">
              <w:t>The sample for the survey is drawn from the National VET Provider Collection.</w:t>
            </w:r>
          </w:p>
        </w:tc>
      </w:tr>
      <w:tr w:rsidR="005970A0" w:rsidRPr="005970A0" w:rsidTr="00395EF2">
        <w:tc>
          <w:tcPr>
            <w:tcW w:w="5000" w:type="pct"/>
            <w:gridSpan w:val="2"/>
          </w:tcPr>
          <w:p w:rsidR="0068457F" w:rsidRPr="005970A0" w:rsidRDefault="0068457F" w:rsidP="006E0702">
            <w:pPr>
              <w:pStyle w:val="TableBodyText"/>
              <w:jc w:val="both"/>
              <w:rPr>
                <w:b/>
                <w:u w:val="single"/>
              </w:rPr>
            </w:pPr>
          </w:p>
          <w:p w:rsidR="0068457F" w:rsidRPr="005970A0" w:rsidRDefault="0068457F" w:rsidP="006E0702">
            <w:pPr>
              <w:pStyle w:val="TableBodyText"/>
              <w:jc w:val="both"/>
              <w:rPr>
                <w:b/>
                <w:u w:val="single"/>
              </w:rPr>
            </w:pPr>
            <w:r w:rsidRPr="005970A0">
              <w:rPr>
                <w:b/>
                <w:u w:val="single"/>
              </w:rPr>
              <w:t>Data Quality Framework Dimensions</w:t>
            </w:r>
          </w:p>
        </w:tc>
      </w:tr>
      <w:tr w:rsidR="005970A0" w:rsidRPr="005970A0" w:rsidTr="00395EF2">
        <w:tc>
          <w:tcPr>
            <w:tcW w:w="922" w:type="pct"/>
          </w:tcPr>
          <w:p w:rsidR="0068457F" w:rsidRPr="005970A0" w:rsidRDefault="0068457F" w:rsidP="006E0702">
            <w:pPr>
              <w:pStyle w:val="TableBodyText"/>
              <w:jc w:val="both"/>
              <w:rPr>
                <w:rFonts w:cs="Arial"/>
                <w:b/>
              </w:rPr>
            </w:pPr>
            <w:r w:rsidRPr="005970A0">
              <w:rPr>
                <w:rFonts w:cs="Arial"/>
                <w:b/>
              </w:rPr>
              <w:t>Institutional environment</w:t>
            </w:r>
          </w:p>
        </w:tc>
        <w:tc>
          <w:tcPr>
            <w:tcW w:w="4078" w:type="pct"/>
          </w:tcPr>
          <w:p w:rsidR="0068457F" w:rsidRPr="005970A0" w:rsidRDefault="0068457F" w:rsidP="008C2EAF">
            <w:pPr>
              <w:pStyle w:val="TableBodyText"/>
              <w:keepNext w:val="0"/>
              <w:keepLines w:val="0"/>
              <w:autoSpaceDE w:val="0"/>
              <w:autoSpaceDN w:val="0"/>
              <w:adjustRightInd w:val="0"/>
              <w:spacing w:after="120" w:line="240" w:lineRule="atLeast"/>
              <w:ind w:left="0" w:right="0"/>
              <w:jc w:val="left"/>
            </w:pPr>
            <w:r w:rsidRPr="005970A0">
              <w:t>The National Centre for Vocational Education Research (</w:t>
            </w:r>
            <w:proofErr w:type="spellStart"/>
            <w:r w:rsidRPr="005970A0">
              <w:t>NCVER</w:t>
            </w:r>
            <w:proofErr w:type="spellEnd"/>
            <w:r w:rsidRPr="005970A0">
              <w:t>) is a not-for-profit company owned by the federal, state and territory ministers responsible for training.</w:t>
            </w:r>
          </w:p>
          <w:p w:rsidR="0068457F" w:rsidRPr="005970A0" w:rsidRDefault="0068457F" w:rsidP="008C2EAF">
            <w:pPr>
              <w:pStyle w:val="TableBodyText"/>
              <w:keepNext w:val="0"/>
              <w:keepLines w:val="0"/>
              <w:autoSpaceDE w:val="0"/>
              <w:autoSpaceDN w:val="0"/>
              <w:adjustRightInd w:val="0"/>
              <w:spacing w:after="120" w:line="240" w:lineRule="atLeast"/>
              <w:ind w:left="0" w:right="0"/>
              <w:jc w:val="left"/>
            </w:pPr>
            <w:proofErr w:type="spellStart"/>
            <w:r w:rsidRPr="005970A0">
              <w:t>NCVER</w:t>
            </w:r>
            <w:proofErr w:type="spellEnd"/>
            <w:r w:rsidRPr="005970A0">
              <w:t xml:space="preserve">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68457F" w:rsidRPr="005970A0" w:rsidRDefault="0068457F" w:rsidP="008C2EAF">
            <w:pPr>
              <w:pStyle w:val="TableBodyText"/>
              <w:keepNext w:val="0"/>
              <w:keepLines w:val="0"/>
              <w:autoSpaceDE w:val="0"/>
              <w:autoSpaceDN w:val="0"/>
              <w:adjustRightInd w:val="0"/>
              <w:spacing w:after="120" w:line="240" w:lineRule="atLeast"/>
              <w:ind w:left="0" w:right="0"/>
              <w:jc w:val="left"/>
            </w:pPr>
            <w:r w:rsidRPr="005970A0">
              <w:t xml:space="preserve">For further information on the </w:t>
            </w:r>
            <w:proofErr w:type="spellStart"/>
            <w:r w:rsidRPr="005970A0">
              <w:t>NCVER</w:t>
            </w:r>
            <w:proofErr w:type="spellEnd"/>
            <w:r w:rsidRPr="005970A0">
              <w:t xml:space="preserve">, see </w:t>
            </w:r>
            <w:r w:rsidRPr="00D86CD7">
              <w:t>http://</w:t>
            </w:r>
            <w:proofErr w:type="spellStart"/>
            <w:r w:rsidRPr="00D86CD7">
              <w:t>www.ncver.edu.au</w:t>
            </w:r>
            <w:proofErr w:type="spellEnd"/>
            <w:r w:rsidRPr="00D86CD7">
              <w:t>/</w:t>
            </w:r>
            <w:proofErr w:type="spellStart"/>
            <w:r w:rsidRPr="00D86CD7">
              <w:t>aboutncver</w:t>
            </w:r>
            <w:proofErr w:type="spellEnd"/>
            <w:r w:rsidRPr="00D86CD7">
              <w:t>/</w:t>
            </w:r>
            <w:proofErr w:type="spellStart"/>
            <w:r w:rsidRPr="00D86CD7">
              <w:t>who.html</w:t>
            </w:r>
            <w:proofErr w:type="spellEnd"/>
          </w:p>
        </w:tc>
      </w:tr>
    </w:tbl>
    <w:p w:rsidR="00A97467" w:rsidRPr="005970A0" w:rsidRDefault="00A97467">
      <w:r w:rsidRPr="005970A0">
        <w:br w:type="page"/>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395EF2">
        <w:tc>
          <w:tcPr>
            <w:tcW w:w="922" w:type="pct"/>
          </w:tcPr>
          <w:p w:rsidR="0068457F" w:rsidRPr="005970A0" w:rsidRDefault="0068457F" w:rsidP="006E0702">
            <w:pPr>
              <w:pStyle w:val="TableBodyText"/>
              <w:jc w:val="both"/>
              <w:rPr>
                <w:rFonts w:cs="Arial"/>
                <w:b/>
              </w:rPr>
            </w:pPr>
            <w:r w:rsidRPr="005970A0">
              <w:rPr>
                <w:rFonts w:cs="Arial"/>
                <w:b/>
              </w:rPr>
              <w:lastRenderedPageBreak/>
              <w:t>Relevance</w:t>
            </w:r>
          </w:p>
        </w:tc>
        <w:tc>
          <w:tcPr>
            <w:tcW w:w="4078" w:type="pct"/>
          </w:tcPr>
          <w:p w:rsidR="0068457F" w:rsidRPr="005970A0" w:rsidRDefault="0068457F" w:rsidP="006E0702">
            <w:pPr>
              <w:pStyle w:val="TableBodyText"/>
              <w:keepNext w:val="0"/>
              <w:keepLines w:val="0"/>
              <w:autoSpaceDE w:val="0"/>
              <w:autoSpaceDN w:val="0"/>
              <w:adjustRightInd w:val="0"/>
              <w:spacing w:after="120" w:line="240" w:lineRule="atLeast"/>
              <w:ind w:left="0" w:right="0"/>
              <w:jc w:val="both"/>
            </w:pPr>
            <w:r w:rsidRPr="005970A0">
              <w:t xml:space="preserve">The Student Outcomes Survey collects information on students’ employment outcomes and satisfaction with VET in Australia. Data are collected by mail-out survey with an option to complete the survey </w:t>
            </w:r>
            <w:proofErr w:type="spellStart"/>
            <w:r w:rsidRPr="005970A0">
              <w:t>on-line</w:t>
            </w:r>
            <w:proofErr w:type="spellEnd"/>
            <w:r w:rsidRPr="005970A0">
              <w:t>.</w:t>
            </w:r>
          </w:p>
          <w:p w:rsidR="0068457F" w:rsidRPr="005970A0" w:rsidRDefault="0068457F" w:rsidP="006E0702">
            <w:pPr>
              <w:pStyle w:val="TableBodyText"/>
              <w:keepNext w:val="0"/>
              <w:keepLines w:val="0"/>
              <w:autoSpaceDE w:val="0"/>
              <w:autoSpaceDN w:val="0"/>
              <w:adjustRightInd w:val="0"/>
              <w:spacing w:after="120" w:line="240" w:lineRule="atLeast"/>
              <w:ind w:left="0" w:right="0"/>
              <w:jc w:val="both"/>
            </w:pPr>
            <w:r w:rsidRPr="005970A0">
              <w:t>Information about the level and type of training students undertake, further study patterns and reasons for not continuing with the training (where applicable) is also collected.</w:t>
            </w:r>
          </w:p>
          <w:p w:rsidR="0068457F" w:rsidRPr="005970A0" w:rsidRDefault="0068457F" w:rsidP="006E0702">
            <w:pPr>
              <w:pStyle w:val="TableBodyText"/>
              <w:keepNext w:val="0"/>
              <w:keepLines w:val="0"/>
              <w:autoSpaceDE w:val="0"/>
              <w:autoSpaceDN w:val="0"/>
              <w:adjustRightInd w:val="0"/>
              <w:spacing w:after="120" w:line="240" w:lineRule="atLeast"/>
              <w:ind w:left="0" w:right="0"/>
              <w:jc w:val="both"/>
            </w:pPr>
            <w:r w:rsidRPr="005970A0">
              <w:t xml:space="preserve">The scope of the survey is nationally recognised VET (Figure 1).  </w:t>
            </w:r>
          </w:p>
          <w:p w:rsidR="0068457F" w:rsidRPr="005970A0" w:rsidRDefault="0068457F" w:rsidP="006E0702">
            <w:pPr>
              <w:pStyle w:val="TableBodyText"/>
              <w:keepNext w:val="0"/>
              <w:keepLines w:val="0"/>
              <w:autoSpaceDE w:val="0"/>
              <w:autoSpaceDN w:val="0"/>
              <w:adjustRightInd w:val="0"/>
              <w:spacing w:after="120" w:line="240" w:lineRule="atLeast"/>
              <w:ind w:left="0" w:right="0"/>
              <w:jc w:val="both"/>
            </w:pPr>
            <w:r w:rsidRPr="005970A0">
              <w:t>The survey includes:</w:t>
            </w:r>
          </w:p>
          <w:p w:rsidR="0068457F" w:rsidRPr="005970A0" w:rsidRDefault="0068457F" w:rsidP="00302802">
            <w:pPr>
              <w:pStyle w:val="TableBodyText"/>
              <w:numPr>
                <w:ilvl w:val="0"/>
                <w:numId w:val="15"/>
              </w:numPr>
              <w:tabs>
                <w:tab w:val="left" w:pos="222"/>
              </w:tabs>
              <w:ind w:left="222" w:hanging="222"/>
              <w:jc w:val="both"/>
            </w:pPr>
            <w:r w:rsidRPr="005970A0">
              <w:t>Publicly funded VET activity (all providers)</w:t>
            </w:r>
          </w:p>
          <w:p w:rsidR="0068457F" w:rsidRPr="005970A0" w:rsidRDefault="0068457F" w:rsidP="00302802">
            <w:pPr>
              <w:pStyle w:val="TableBodyText"/>
              <w:numPr>
                <w:ilvl w:val="0"/>
                <w:numId w:val="16"/>
              </w:numPr>
              <w:tabs>
                <w:tab w:val="left" w:pos="222"/>
              </w:tabs>
              <w:ind w:left="222" w:hanging="222"/>
              <w:jc w:val="both"/>
            </w:pPr>
            <w:r w:rsidRPr="005970A0">
              <w:t xml:space="preserve">Privately funded VET activity delivered by TAFE institutions, ACE providers, and other government providers </w:t>
            </w:r>
          </w:p>
          <w:p w:rsidR="0068457F" w:rsidRPr="005970A0" w:rsidRDefault="0068457F" w:rsidP="006E0702">
            <w:pPr>
              <w:pStyle w:val="TableBodyText"/>
              <w:spacing w:before="120"/>
              <w:jc w:val="both"/>
            </w:pPr>
            <w:r w:rsidRPr="005970A0">
              <w:t>The survey excludes:</w:t>
            </w:r>
          </w:p>
          <w:p w:rsidR="0068457F" w:rsidRPr="005970A0" w:rsidRDefault="0068457F" w:rsidP="00302802">
            <w:pPr>
              <w:pStyle w:val="TableBodyText"/>
              <w:numPr>
                <w:ilvl w:val="0"/>
                <w:numId w:val="15"/>
              </w:numPr>
              <w:tabs>
                <w:tab w:val="left" w:pos="222"/>
              </w:tabs>
              <w:ind w:left="222" w:hanging="222"/>
              <w:jc w:val="both"/>
            </w:pPr>
            <w:r w:rsidRPr="005970A0">
              <w:t>Recreation, leisure and personal enrichment (non-vocational programs)</w:t>
            </w:r>
          </w:p>
          <w:p w:rsidR="0068457F" w:rsidRPr="005970A0" w:rsidRDefault="0068457F" w:rsidP="00302802">
            <w:pPr>
              <w:pStyle w:val="TableBodyText"/>
              <w:numPr>
                <w:ilvl w:val="0"/>
                <w:numId w:val="15"/>
              </w:numPr>
              <w:tabs>
                <w:tab w:val="left" w:pos="222"/>
              </w:tabs>
              <w:ind w:left="222" w:hanging="222"/>
              <w:jc w:val="both"/>
            </w:pPr>
            <w:r w:rsidRPr="005970A0">
              <w:t>Privately funded VET activity delivered by private providers</w:t>
            </w:r>
          </w:p>
          <w:p w:rsidR="0068457F" w:rsidRPr="005970A0" w:rsidRDefault="0068457F" w:rsidP="00302802">
            <w:pPr>
              <w:pStyle w:val="TableBodyText"/>
              <w:numPr>
                <w:ilvl w:val="0"/>
                <w:numId w:val="15"/>
              </w:numPr>
              <w:tabs>
                <w:tab w:val="left" w:pos="222"/>
              </w:tabs>
              <w:ind w:left="222" w:hanging="222"/>
              <w:jc w:val="both"/>
            </w:pPr>
            <w:r w:rsidRPr="005970A0">
              <w:t>VET activity delivered at overseas campuses of Australian VET institutions</w:t>
            </w:r>
          </w:p>
          <w:p w:rsidR="0068457F" w:rsidRPr="005970A0" w:rsidRDefault="0068457F" w:rsidP="00302802">
            <w:pPr>
              <w:pStyle w:val="TableBodyText"/>
              <w:numPr>
                <w:ilvl w:val="0"/>
                <w:numId w:val="15"/>
              </w:numPr>
              <w:tabs>
                <w:tab w:val="left" w:pos="222"/>
              </w:tabs>
              <w:ind w:left="222" w:hanging="222"/>
              <w:jc w:val="both"/>
            </w:pPr>
            <w:r w:rsidRPr="005970A0">
              <w:t>VET activity delivered in schools.</w:t>
            </w:r>
          </w:p>
          <w:p w:rsidR="0068457F" w:rsidRPr="005970A0" w:rsidRDefault="0068457F" w:rsidP="006E0702">
            <w:pPr>
              <w:pStyle w:val="TableBodyText"/>
              <w:keepNext w:val="0"/>
              <w:keepLines w:val="0"/>
              <w:autoSpaceDE w:val="0"/>
              <w:autoSpaceDN w:val="0"/>
              <w:adjustRightInd w:val="0"/>
              <w:spacing w:before="120" w:after="120" w:line="240" w:lineRule="atLeast"/>
              <w:ind w:left="0" w:right="0"/>
              <w:jc w:val="both"/>
            </w:pPr>
            <w:r w:rsidRPr="005970A0">
              <w:t>This scope has been in place since 2005. Prior to 2005, information was only collected from students undertaking Commonwealth/Stat</w:t>
            </w:r>
            <w:r w:rsidR="008C2EAF" w:rsidRPr="005970A0">
              <w:t>e funded programs through TAFE.</w:t>
            </w:r>
          </w:p>
          <w:p w:rsidR="0068457F" w:rsidRPr="005970A0" w:rsidRDefault="0068457F" w:rsidP="006E0702">
            <w:pPr>
              <w:pStyle w:val="TableBodyText"/>
              <w:jc w:val="both"/>
              <w:rPr>
                <w:b/>
                <w:sz w:val="17"/>
                <w:szCs w:val="17"/>
              </w:rPr>
            </w:pPr>
            <w:r w:rsidRPr="005970A0">
              <w:rPr>
                <w:b/>
                <w:sz w:val="17"/>
                <w:szCs w:val="17"/>
              </w:rPr>
              <w:t>Figure 1: Scope of the 201</w:t>
            </w:r>
            <w:r w:rsidR="00063E84">
              <w:rPr>
                <w:b/>
                <w:sz w:val="17"/>
                <w:szCs w:val="17"/>
              </w:rPr>
              <w:t>2</w:t>
            </w:r>
            <w:r w:rsidRPr="005970A0">
              <w:rPr>
                <w:b/>
                <w:sz w:val="17"/>
                <w:szCs w:val="17"/>
              </w:rPr>
              <w:t xml:space="preserve"> Student Outcomes Survey</w:t>
            </w:r>
          </w:p>
          <w:tbl>
            <w:tblPr>
              <w:tblW w:w="0" w:type="auto"/>
              <w:tblLook w:val="01E0" w:firstRow="1" w:lastRow="1" w:firstColumn="1" w:lastColumn="1" w:noHBand="0" w:noVBand="0"/>
            </w:tblPr>
            <w:tblGrid>
              <w:gridCol w:w="1691"/>
              <w:gridCol w:w="1800"/>
              <w:gridCol w:w="1656"/>
              <w:gridCol w:w="1948"/>
            </w:tblGrid>
            <w:tr w:rsidR="005970A0" w:rsidRPr="005970A0" w:rsidTr="00395EF2">
              <w:trPr>
                <w:trHeight w:val="251"/>
              </w:trPr>
              <w:tc>
                <w:tcPr>
                  <w:tcW w:w="1691" w:type="dxa"/>
                  <w:tcBorders>
                    <w:top w:val="single" w:sz="4" w:space="0" w:color="auto"/>
                    <w:left w:val="nil"/>
                    <w:bottom w:val="nil"/>
                    <w:right w:val="nil"/>
                  </w:tcBorders>
                </w:tcPr>
                <w:p w:rsidR="0068457F" w:rsidRPr="005970A0" w:rsidRDefault="0068457F" w:rsidP="006E0702">
                  <w:pPr>
                    <w:pStyle w:val="TableBodyText"/>
                    <w:jc w:val="both"/>
                    <w:rPr>
                      <w:sz w:val="16"/>
                      <w:szCs w:val="16"/>
                    </w:rPr>
                  </w:pPr>
                </w:p>
              </w:tc>
              <w:tc>
                <w:tcPr>
                  <w:tcW w:w="5404" w:type="dxa"/>
                  <w:gridSpan w:val="3"/>
                  <w:tcBorders>
                    <w:top w:val="single" w:sz="4" w:space="0" w:color="auto"/>
                    <w:left w:val="nil"/>
                    <w:bottom w:val="nil"/>
                    <w:right w:val="nil"/>
                  </w:tcBorders>
                </w:tcPr>
                <w:p w:rsidR="0068457F" w:rsidRPr="005970A0" w:rsidRDefault="0068457F" w:rsidP="006E0702">
                  <w:pPr>
                    <w:pStyle w:val="TableBodyText"/>
                    <w:jc w:val="both"/>
                    <w:rPr>
                      <w:b/>
                      <w:bCs/>
                      <w:sz w:val="16"/>
                      <w:szCs w:val="16"/>
                    </w:rPr>
                  </w:pPr>
                  <w:r w:rsidRPr="005970A0">
                    <w:rPr>
                      <w:b/>
                      <w:bCs/>
                      <w:sz w:val="16"/>
                      <w:szCs w:val="16"/>
                    </w:rPr>
                    <w:t>Provider Type</w:t>
                  </w:r>
                </w:p>
              </w:tc>
            </w:tr>
            <w:tr w:rsidR="005970A0" w:rsidRPr="005970A0" w:rsidTr="00395EF2">
              <w:trPr>
                <w:trHeight w:val="491"/>
              </w:trPr>
              <w:tc>
                <w:tcPr>
                  <w:tcW w:w="1691" w:type="dxa"/>
                  <w:tcBorders>
                    <w:top w:val="nil"/>
                    <w:left w:val="nil"/>
                    <w:bottom w:val="single" w:sz="4" w:space="0" w:color="auto"/>
                    <w:right w:val="nil"/>
                  </w:tcBorders>
                </w:tcPr>
                <w:p w:rsidR="0068457F" w:rsidRPr="005970A0" w:rsidRDefault="0068457F" w:rsidP="006E0702">
                  <w:pPr>
                    <w:pStyle w:val="TableBodyText"/>
                    <w:jc w:val="both"/>
                    <w:rPr>
                      <w:bCs/>
                      <w:sz w:val="16"/>
                      <w:szCs w:val="16"/>
                    </w:rPr>
                  </w:pPr>
                  <w:r w:rsidRPr="005970A0">
                    <w:rPr>
                      <w:bCs/>
                      <w:sz w:val="16"/>
                      <w:szCs w:val="16"/>
                    </w:rPr>
                    <w:t>Funding Type</w:t>
                  </w:r>
                </w:p>
              </w:tc>
              <w:tc>
                <w:tcPr>
                  <w:tcW w:w="1800" w:type="dxa"/>
                  <w:tcBorders>
                    <w:top w:val="nil"/>
                    <w:left w:val="nil"/>
                    <w:bottom w:val="single" w:sz="4" w:space="0" w:color="auto"/>
                    <w:right w:val="nil"/>
                  </w:tcBorders>
                </w:tcPr>
                <w:p w:rsidR="0068457F" w:rsidRPr="005970A0" w:rsidRDefault="0068457F" w:rsidP="006E0702">
                  <w:pPr>
                    <w:pStyle w:val="TableBodyText"/>
                    <w:jc w:val="both"/>
                    <w:rPr>
                      <w:bCs/>
                      <w:sz w:val="16"/>
                      <w:szCs w:val="16"/>
                    </w:rPr>
                  </w:pPr>
                  <w:r w:rsidRPr="005970A0">
                    <w:rPr>
                      <w:bCs/>
                      <w:sz w:val="16"/>
                      <w:szCs w:val="16"/>
                    </w:rPr>
                    <w:t>TAFE and Other Government providers</w:t>
                  </w:r>
                </w:p>
              </w:tc>
              <w:tc>
                <w:tcPr>
                  <w:tcW w:w="1656" w:type="dxa"/>
                  <w:tcBorders>
                    <w:top w:val="nil"/>
                    <w:left w:val="nil"/>
                    <w:bottom w:val="single" w:sz="4" w:space="0" w:color="auto"/>
                    <w:right w:val="nil"/>
                  </w:tcBorders>
                </w:tcPr>
                <w:p w:rsidR="0068457F" w:rsidRPr="005970A0" w:rsidRDefault="0068457F" w:rsidP="006E0702">
                  <w:pPr>
                    <w:pStyle w:val="TableBodyText"/>
                    <w:jc w:val="both"/>
                    <w:rPr>
                      <w:bCs/>
                      <w:sz w:val="16"/>
                      <w:szCs w:val="16"/>
                    </w:rPr>
                  </w:pPr>
                  <w:r w:rsidRPr="005970A0">
                    <w:rPr>
                      <w:bCs/>
                      <w:sz w:val="16"/>
                      <w:szCs w:val="16"/>
                    </w:rPr>
                    <w:t>Private Providers</w:t>
                  </w:r>
                </w:p>
              </w:tc>
              <w:tc>
                <w:tcPr>
                  <w:tcW w:w="1948" w:type="dxa"/>
                  <w:tcBorders>
                    <w:top w:val="nil"/>
                    <w:left w:val="nil"/>
                    <w:bottom w:val="single" w:sz="4" w:space="0" w:color="auto"/>
                    <w:right w:val="nil"/>
                  </w:tcBorders>
                </w:tcPr>
                <w:p w:rsidR="0068457F" w:rsidRPr="005970A0" w:rsidRDefault="0068457F" w:rsidP="006E0702">
                  <w:pPr>
                    <w:pStyle w:val="TableBodyText"/>
                    <w:jc w:val="both"/>
                    <w:rPr>
                      <w:bCs/>
                      <w:sz w:val="16"/>
                      <w:szCs w:val="16"/>
                    </w:rPr>
                  </w:pPr>
                  <w:r w:rsidRPr="005970A0">
                    <w:rPr>
                      <w:bCs/>
                      <w:sz w:val="16"/>
                      <w:szCs w:val="16"/>
                    </w:rPr>
                    <w:t>Community Education Providers</w:t>
                  </w:r>
                  <w:r w:rsidRPr="009A19A9">
                    <w:rPr>
                      <w:bCs/>
                    </w:rPr>
                    <w:t xml:space="preserve"> </w:t>
                  </w:r>
                  <w:r w:rsidRPr="009A19A9">
                    <w:rPr>
                      <w:bCs/>
                      <w:vertAlign w:val="superscript"/>
                    </w:rPr>
                    <w:t>a</w:t>
                  </w:r>
                </w:p>
              </w:tc>
            </w:tr>
            <w:tr w:rsidR="005970A0" w:rsidRPr="005970A0" w:rsidTr="00395EF2">
              <w:trPr>
                <w:trHeight w:val="405"/>
              </w:trPr>
              <w:tc>
                <w:tcPr>
                  <w:tcW w:w="1691" w:type="dxa"/>
                  <w:tcBorders>
                    <w:top w:val="single" w:sz="4" w:space="0" w:color="auto"/>
                    <w:left w:val="nil"/>
                    <w:bottom w:val="nil"/>
                    <w:right w:val="nil"/>
                  </w:tcBorders>
                </w:tcPr>
                <w:p w:rsidR="0068457F" w:rsidRPr="005970A0" w:rsidRDefault="0068457F" w:rsidP="006E0702">
                  <w:pPr>
                    <w:pStyle w:val="TableBodyText"/>
                    <w:jc w:val="both"/>
                    <w:rPr>
                      <w:sz w:val="16"/>
                      <w:szCs w:val="16"/>
                    </w:rPr>
                  </w:pPr>
                  <w:r w:rsidRPr="005970A0">
                    <w:rPr>
                      <w:sz w:val="16"/>
                      <w:szCs w:val="16"/>
                    </w:rPr>
                    <w:t>Commonwealth and state funded</w:t>
                  </w:r>
                </w:p>
              </w:tc>
              <w:tc>
                <w:tcPr>
                  <w:tcW w:w="1800" w:type="dxa"/>
                  <w:tcBorders>
                    <w:top w:val="single" w:sz="4" w:space="0" w:color="auto"/>
                    <w:left w:val="nil"/>
                    <w:bottom w:val="nil"/>
                    <w:right w:val="nil"/>
                  </w:tcBorders>
                </w:tcPr>
                <w:p w:rsidR="0068457F" w:rsidRPr="005970A0" w:rsidRDefault="007F080D" w:rsidP="006E0702">
                  <w:pPr>
                    <w:pStyle w:val="TableBodyText"/>
                    <w:jc w:val="center"/>
                    <w:rPr>
                      <w:sz w:val="16"/>
                      <w:szCs w:val="16"/>
                    </w:rPr>
                  </w:pPr>
                  <w:r w:rsidRPr="005970A0">
                    <w:rPr>
                      <w:noProof/>
                      <w:sz w:val="16"/>
                      <w:szCs w:val="16"/>
                    </w:rPr>
                    <w:drawing>
                      <wp:inline distT="0" distB="0" distL="0" distR="0" wp14:anchorId="663A14DE" wp14:editId="5D3F663B">
                        <wp:extent cx="201930" cy="127635"/>
                        <wp:effectExtent l="0" t="0" r="7620" b="5715"/>
                        <wp:docPr id="1" name="Picture 1"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c>
                <w:tcPr>
                  <w:tcW w:w="1656" w:type="dxa"/>
                  <w:tcBorders>
                    <w:top w:val="single" w:sz="4" w:space="0" w:color="auto"/>
                    <w:left w:val="nil"/>
                    <w:bottom w:val="nil"/>
                    <w:right w:val="nil"/>
                  </w:tcBorders>
                </w:tcPr>
                <w:p w:rsidR="0068457F" w:rsidRPr="005970A0" w:rsidRDefault="007F080D" w:rsidP="006E0702">
                  <w:pPr>
                    <w:pStyle w:val="TableBodyText"/>
                    <w:jc w:val="center"/>
                    <w:rPr>
                      <w:sz w:val="16"/>
                      <w:szCs w:val="16"/>
                    </w:rPr>
                  </w:pPr>
                  <w:r w:rsidRPr="005970A0">
                    <w:rPr>
                      <w:noProof/>
                      <w:sz w:val="16"/>
                      <w:szCs w:val="16"/>
                    </w:rPr>
                    <w:drawing>
                      <wp:inline distT="0" distB="0" distL="0" distR="0" wp14:anchorId="6441E09D" wp14:editId="4E52D88D">
                        <wp:extent cx="201930" cy="127635"/>
                        <wp:effectExtent l="0" t="0" r="7620" b="5715"/>
                        <wp:docPr id="2" name="Picture 2"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c>
                <w:tcPr>
                  <w:tcW w:w="1948" w:type="dxa"/>
                  <w:tcBorders>
                    <w:top w:val="single" w:sz="4" w:space="0" w:color="auto"/>
                    <w:left w:val="nil"/>
                    <w:bottom w:val="nil"/>
                    <w:right w:val="nil"/>
                  </w:tcBorders>
                </w:tcPr>
                <w:p w:rsidR="0068457F" w:rsidRPr="005970A0" w:rsidRDefault="007F080D" w:rsidP="006E0702">
                  <w:pPr>
                    <w:pStyle w:val="TableBodyText"/>
                    <w:jc w:val="center"/>
                    <w:rPr>
                      <w:sz w:val="16"/>
                      <w:szCs w:val="16"/>
                    </w:rPr>
                  </w:pPr>
                  <w:r w:rsidRPr="005970A0">
                    <w:rPr>
                      <w:noProof/>
                      <w:sz w:val="16"/>
                      <w:szCs w:val="16"/>
                    </w:rPr>
                    <w:drawing>
                      <wp:inline distT="0" distB="0" distL="0" distR="0" wp14:anchorId="5B4A7A2E" wp14:editId="533E1233">
                        <wp:extent cx="201930" cy="127635"/>
                        <wp:effectExtent l="0" t="0" r="7620" b="5715"/>
                        <wp:docPr id="3" name="Picture 3"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r>
            <w:tr w:rsidR="005970A0" w:rsidRPr="005970A0" w:rsidTr="00395EF2">
              <w:trPr>
                <w:trHeight w:val="355"/>
              </w:trPr>
              <w:tc>
                <w:tcPr>
                  <w:tcW w:w="1691" w:type="dxa"/>
                  <w:tcBorders>
                    <w:top w:val="nil"/>
                    <w:left w:val="nil"/>
                    <w:bottom w:val="single" w:sz="4" w:space="0" w:color="auto"/>
                    <w:right w:val="nil"/>
                  </w:tcBorders>
                </w:tcPr>
                <w:p w:rsidR="0068457F" w:rsidRPr="005970A0" w:rsidRDefault="0068457F" w:rsidP="006E0702">
                  <w:pPr>
                    <w:pStyle w:val="TableBodyText"/>
                    <w:jc w:val="both"/>
                    <w:rPr>
                      <w:sz w:val="16"/>
                      <w:szCs w:val="16"/>
                    </w:rPr>
                  </w:pPr>
                  <w:r w:rsidRPr="005970A0">
                    <w:rPr>
                      <w:sz w:val="16"/>
                      <w:szCs w:val="16"/>
                    </w:rPr>
                    <w:t>Fee-for-service</w:t>
                  </w:r>
                </w:p>
              </w:tc>
              <w:tc>
                <w:tcPr>
                  <w:tcW w:w="1800" w:type="dxa"/>
                  <w:tcBorders>
                    <w:top w:val="nil"/>
                    <w:left w:val="nil"/>
                    <w:bottom w:val="single" w:sz="4" w:space="0" w:color="auto"/>
                    <w:right w:val="nil"/>
                  </w:tcBorders>
                </w:tcPr>
                <w:p w:rsidR="0068457F" w:rsidRPr="005970A0" w:rsidRDefault="007F080D" w:rsidP="006E0702">
                  <w:pPr>
                    <w:pStyle w:val="TableBodyText"/>
                    <w:jc w:val="center"/>
                    <w:rPr>
                      <w:sz w:val="16"/>
                      <w:szCs w:val="16"/>
                    </w:rPr>
                  </w:pPr>
                  <w:r w:rsidRPr="005970A0">
                    <w:rPr>
                      <w:noProof/>
                      <w:sz w:val="16"/>
                      <w:szCs w:val="16"/>
                    </w:rPr>
                    <w:drawing>
                      <wp:inline distT="0" distB="0" distL="0" distR="0" wp14:anchorId="0F4D000D" wp14:editId="1807BE2E">
                        <wp:extent cx="201930" cy="127635"/>
                        <wp:effectExtent l="0" t="0" r="7620" b="5715"/>
                        <wp:docPr id="4" name="Picture 4"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c>
                <w:tcPr>
                  <w:tcW w:w="1656" w:type="dxa"/>
                  <w:tcBorders>
                    <w:top w:val="nil"/>
                    <w:left w:val="nil"/>
                    <w:bottom w:val="single" w:sz="4" w:space="0" w:color="auto"/>
                    <w:right w:val="nil"/>
                  </w:tcBorders>
                </w:tcPr>
                <w:p w:rsidR="0068457F" w:rsidRPr="005970A0" w:rsidRDefault="0068457F" w:rsidP="006E0702">
                  <w:pPr>
                    <w:pStyle w:val="TableBodyText"/>
                    <w:jc w:val="center"/>
                    <w:rPr>
                      <w:sz w:val="16"/>
                      <w:szCs w:val="16"/>
                    </w:rPr>
                  </w:pPr>
                </w:p>
              </w:tc>
              <w:tc>
                <w:tcPr>
                  <w:tcW w:w="1948" w:type="dxa"/>
                  <w:tcBorders>
                    <w:top w:val="nil"/>
                    <w:left w:val="nil"/>
                    <w:bottom w:val="single" w:sz="4" w:space="0" w:color="auto"/>
                    <w:right w:val="nil"/>
                  </w:tcBorders>
                </w:tcPr>
                <w:p w:rsidR="0068457F" w:rsidRPr="005970A0" w:rsidRDefault="007F080D" w:rsidP="006E0702">
                  <w:pPr>
                    <w:pStyle w:val="TableBodyText"/>
                    <w:jc w:val="center"/>
                    <w:rPr>
                      <w:sz w:val="16"/>
                      <w:szCs w:val="16"/>
                    </w:rPr>
                  </w:pPr>
                  <w:r w:rsidRPr="005970A0">
                    <w:rPr>
                      <w:noProof/>
                      <w:sz w:val="16"/>
                      <w:szCs w:val="16"/>
                    </w:rPr>
                    <w:drawing>
                      <wp:inline distT="0" distB="0" distL="0" distR="0" wp14:anchorId="7C179AD0" wp14:editId="309B0EEE">
                        <wp:extent cx="201930" cy="127635"/>
                        <wp:effectExtent l="0" t="0" r="7620" b="5715"/>
                        <wp:docPr id="5" name="Picture 5"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r>
          </w:tbl>
          <w:p w:rsidR="0068457F" w:rsidRPr="005970A0" w:rsidRDefault="0068457F" w:rsidP="009A19A9">
            <w:pPr>
              <w:pStyle w:val="TableBodyText"/>
              <w:spacing w:before="40" w:after="60"/>
              <w:jc w:val="both"/>
            </w:pPr>
            <w:proofErr w:type="spellStart"/>
            <w:r w:rsidRPr="009A19A9">
              <w:rPr>
                <w:bCs/>
                <w:vertAlign w:val="superscript"/>
              </w:rPr>
              <w:t>a</w:t>
            </w:r>
            <w:proofErr w:type="spellEnd"/>
            <w:r w:rsidR="009A19A9">
              <w:t xml:space="preserve"> </w:t>
            </w:r>
            <w:r w:rsidRPr="005970A0">
              <w:t>This information is only collected in New South Wales and Victoria.</w:t>
            </w:r>
          </w:p>
        </w:tc>
      </w:tr>
      <w:tr w:rsidR="005970A0" w:rsidRPr="005970A0" w:rsidTr="00395EF2">
        <w:tc>
          <w:tcPr>
            <w:tcW w:w="922" w:type="pct"/>
          </w:tcPr>
          <w:p w:rsidR="0068457F" w:rsidRPr="005970A0" w:rsidRDefault="0068457F" w:rsidP="006E0702">
            <w:pPr>
              <w:spacing w:line="320" w:lineRule="exact"/>
              <w:jc w:val="both"/>
              <w:rPr>
                <w:rFonts w:ascii="Arial" w:hAnsi="Arial" w:cs="Arial"/>
                <w:b/>
                <w:sz w:val="20"/>
                <w:szCs w:val="20"/>
              </w:rPr>
            </w:pPr>
            <w:r w:rsidRPr="005970A0">
              <w:rPr>
                <w:rFonts w:ascii="Arial" w:hAnsi="Arial" w:cs="Arial"/>
                <w:b/>
                <w:sz w:val="20"/>
                <w:szCs w:val="20"/>
              </w:rPr>
              <w:t>Timeliness</w:t>
            </w:r>
          </w:p>
          <w:p w:rsidR="0068457F" w:rsidRPr="005970A0" w:rsidRDefault="0068457F" w:rsidP="006E0702">
            <w:pPr>
              <w:spacing w:line="320" w:lineRule="exact"/>
              <w:jc w:val="both"/>
              <w:rPr>
                <w:rFonts w:ascii="Arial" w:hAnsi="Arial" w:cs="Arial"/>
                <w:b/>
                <w:sz w:val="20"/>
                <w:szCs w:val="20"/>
              </w:rPr>
            </w:pPr>
          </w:p>
        </w:tc>
        <w:tc>
          <w:tcPr>
            <w:tcW w:w="4078" w:type="pct"/>
          </w:tcPr>
          <w:p w:rsidR="0068457F" w:rsidRPr="005970A0" w:rsidRDefault="008C2EAF" w:rsidP="00063E84">
            <w:pPr>
              <w:pStyle w:val="Default"/>
              <w:spacing w:after="120" w:line="240" w:lineRule="atLeast"/>
              <w:jc w:val="both"/>
              <w:rPr>
                <w:color w:val="auto"/>
                <w:sz w:val="20"/>
                <w:szCs w:val="20"/>
              </w:rPr>
            </w:pPr>
            <w:r w:rsidRPr="005970A0">
              <w:rPr>
                <w:color w:val="auto"/>
                <w:sz w:val="20"/>
                <w:szCs w:val="20"/>
              </w:rPr>
              <w:t xml:space="preserve">The Student Outcomes Survey is conducted every year. The reference date is the last Friday in May of the year after the training was completed. Results from the </w:t>
            </w:r>
            <w:r w:rsidR="00063E84" w:rsidRPr="005970A0">
              <w:rPr>
                <w:color w:val="auto"/>
                <w:sz w:val="20"/>
                <w:szCs w:val="20"/>
              </w:rPr>
              <w:t>201</w:t>
            </w:r>
            <w:r w:rsidR="00063E84">
              <w:rPr>
                <w:color w:val="auto"/>
                <w:sz w:val="20"/>
                <w:szCs w:val="20"/>
              </w:rPr>
              <w:t>2</w:t>
            </w:r>
            <w:r w:rsidR="00063E84" w:rsidRPr="005970A0">
              <w:rPr>
                <w:color w:val="auto"/>
                <w:sz w:val="20"/>
                <w:szCs w:val="20"/>
              </w:rPr>
              <w:t xml:space="preserve"> </w:t>
            </w:r>
            <w:r w:rsidRPr="005970A0">
              <w:rPr>
                <w:color w:val="auto"/>
                <w:sz w:val="20"/>
                <w:szCs w:val="20"/>
              </w:rPr>
              <w:t xml:space="preserve">survey (for students who completed their training in </w:t>
            </w:r>
            <w:r w:rsidR="00063E84">
              <w:rPr>
                <w:color w:val="auto"/>
                <w:sz w:val="20"/>
                <w:szCs w:val="20"/>
              </w:rPr>
              <w:t>2011</w:t>
            </w:r>
            <w:r w:rsidRPr="005970A0">
              <w:rPr>
                <w:color w:val="auto"/>
                <w:sz w:val="20"/>
                <w:szCs w:val="20"/>
              </w:rPr>
              <w:t xml:space="preserve">) were released on the </w:t>
            </w:r>
            <w:proofErr w:type="spellStart"/>
            <w:r w:rsidRPr="005970A0">
              <w:rPr>
                <w:color w:val="auto"/>
                <w:sz w:val="20"/>
                <w:szCs w:val="20"/>
              </w:rPr>
              <w:t>NCVER</w:t>
            </w:r>
            <w:proofErr w:type="spellEnd"/>
            <w:r w:rsidRPr="005970A0">
              <w:rPr>
                <w:color w:val="auto"/>
                <w:sz w:val="20"/>
                <w:szCs w:val="20"/>
              </w:rPr>
              <w:t xml:space="preserve"> website in December </w:t>
            </w:r>
            <w:r w:rsidR="00063E84">
              <w:rPr>
                <w:color w:val="auto"/>
                <w:sz w:val="20"/>
                <w:szCs w:val="20"/>
              </w:rPr>
              <w:t>2012</w:t>
            </w:r>
            <w:r w:rsidRPr="005970A0">
              <w:rPr>
                <w:color w:val="auto"/>
                <w:sz w:val="20"/>
                <w:szCs w:val="20"/>
              </w:rPr>
              <w:t>.</w:t>
            </w:r>
          </w:p>
        </w:tc>
      </w:tr>
      <w:tr w:rsidR="005970A0" w:rsidRPr="005970A0" w:rsidTr="00395EF2">
        <w:tc>
          <w:tcPr>
            <w:tcW w:w="922" w:type="pct"/>
          </w:tcPr>
          <w:p w:rsidR="0068457F" w:rsidRPr="005970A0" w:rsidRDefault="0068457F" w:rsidP="006E0702">
            <w:pPr>
              <w:spacing w:line="320" w:lineRule="exact"/>
              <w:jc w:val="both"/>
              <w:rPr>
                <w:rFonts w:ascii="Arial" w:hAnsi="Arial" w:cs="Arial"/>
                <w:b/>
                <w:sz w:val="20"/>
                <w:szCs w:val="20"/>
              </w:rPr>
            </w:pPr>
            <w:r w:rsidRPr="005970A0">
              <w:rPr>
                <w:rFonts w:ascii="Arial" w:hAnsi="Arial" w:cs="Arial"/>
                <w:b/>
                <w:sz w:val="20"/>
                <w:szCs w:val="20"/>
              </w:rPr>
              <w:t>Accuracy</w:t>
            </w:r>
          </w:p>
          <w:p w:rsidR="0068457F" w:rsidRPr="005970A0" w:rsidRDefault="0068457F" w:rsidP="006E0702">
            <w:pPr>
              <w:spacing w:line="320" w:lineRule="exact"/>
              <w:jc w:val="both"/>
              <w:rPr>
                <w:rFonts w:ascii="Arial" w:hAnsi="Arial" w:cs="Arial"/>
                <w:b/>
                <w:sz w:val="20"/>
                <w:szCs w:val="20"/>
              </w:rPr>
            </w:pPr>
          </w:p>
        </w:tc>
        <w:tc>
          <w:tcPr>
            <w:tcW w:w="4078" w:type="pct"/>
          </w:tcPr>
          <w:p w:rsidR="0068457F" w:rsidRPr="005970A0" w:rsidRDefault="0068457F" w:rsidP="006E0702">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In odd years, the sample is designed for reporting at the national, state/territory and institute level.  In even years, a smaller sample is used for reporting at the national and state/territory level only. The survey is undertaken as a stratified, randomly selected sample, with survey responses weighted to population benchmarks from the National VET Provider Collection.</w:t>
            </w:r>
          </w:p>
          <w:p w:rsidR="0068457F" w:rsidRPr="005970A0" w:rsidRDefault="0068457F" w:rsidP="006E0702">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 xml:space="preserve">Potential sources of error in survey data include failure to complete the survey or failure to answer every applicable question. Neither of these sources of error is considered, by </w:t>
            </w:r>
            <w:proofErr w:type="spellStart"/>
            <w:r w:rsidRPr="005970A0">
              <w:rPr>
                <w:rFonts w:ascii="Arial" w:hAnsi="Arial" w:cs="Arial"/>
                <w:sz w:val="20"/>
                <w:szCs w:val="20"/>
              </w:rPr>
              <w:t>NCVER</w:t>
            </w:r>
            <w:proofErr w:type="spellEnd"/>
            <w:r w:rsidRPr="005970A0">
              <w:rPr>
                <w:rFonts w:ascii="Arial" w:hAnsi="Arial" w:cs="Arial"/>
                <w:sz w:val="20"/>
                <w:szCs w:val="20"/>
              </w:rPr>
              <w:t>, to have affected the quality of data. Three analyses are conducted to determine the impact of non-response and mode bias. They are performed on weighted and unweighted data and include:</w:t>
            </w:r>
          </w:p>
          <w:p w:rsidR="0068457F" w:rsidRPr="005970A0" w:rsidRDefault="0068457F" w:rsidP="00302802">
            <w:pPr>
              <w:numPr>
                <w:ilvl w:val="0"/>
                <w:numId w:val="17"/>
              </w:numPr>
              <w:tabs>
                <w:tab w:val="clear" w:pos="720"/>
                <w:tab w:val="num" w:pos="222"/>
              </w:tabs>
              <w:spacing w:after="60"/>
              <w:ind w:left="222" w:hanging="222"/>
              <w:jc w:val="both"/>
              <w:rPr>
                <w:rFonts w:ascii="Arial" w:hAnsi="Arial" w:cs="Arial"/>
                <w:sz w:val="20"/>
                <w:szCs w:val="20"/>
              </w:rPr>
            </w:pPr>
            <w:r w:rsidRPr="005970A0">
              <w:rPr>
                <w:rFonts w:ascii="Arial" w:hAnsi="Arial" w:cs="Arial"/>
                <w:sz w:val="20"/>
                <w:szCs w:val="20"/>
              </w:rPr>
              <w:t>a comparison of the responding sample with the mailing list sample</w:t>
            </w:r>
          </w:p>
          <w:p w:rsidR="0068457F" w:rsidRPr="005970A0" w:rsidRDefault="0068457F" w:rsidP="00302802">
            <w:pPr>
              <w:numPr>
                <w:ilvl w:val="0"/>
                <w:numId w:val="17"/>
              </w:numPr>
              <w:tabs>
                <w:tab w:val="clear" w:pos="720"/>
                <w:tab w:val="num" w:pos="222"/>
              </w:tabs>
              <w:spacing w:after="60"/>
              <w:ind w:left="222" w:hanging="222"/>
              <w:jc w:val="both"/>
              <w:rPr>
                <w:rFonts w:ascii="Arial" w:hAnsi="Arial" w:cs="Arial"/>
                <w:sz w:val="20"/>
                <w:szCs w:val="20"/>
              </w:rPr>
            </w:pPr>
            <w:r w:rsidRPr="005970A0">
              <w:rPr>
                <w:rFonts w:ascii="Arial" w:hAnsi="Arial" w:cs="Arial"/>
                <w:sz w:val="20"/>
                <w:szCs w:val="20"/>
              </w:rPr>
              <w:t>a comparison of the characteristics of the responding sample with non-respondents. Information on a sample of non-respondents is collected via telephone interview</w:t>
            </w:r>
          </w:p>
          <w:p w:rsidR="0068457F" w:rsidRPr="005970A0" w:rsidRDefault="0068457F" w:rsidP="00302802">
            <w:pPr>
              <w:numPr>
                <w:ilvl w:val="0"/>
                <w:numId w:val="17"/>
              </w:numPr>
              <w:tabs>
                <w:tab w:val="clear" w:pos="720"/>
                <w:tab w:val="num" w:pos="222"/>
              </w:tabs>
              <w:spacing w:after="60"/>
              <w:ind w:left="222" w:hanging="222"/>
              <w:jc w:val="both"/>
              <w:rPr>
                <w:rFonts w:ascii="Arial" w:hAnsi="Arial" w:cs="Arial"/>
                <w:sz w:val="20"/>
                <w:szCs w:val="20"/>
              </w:rPr>
            </w:pPr>
            <w:r w:rsidRPr="005970A0">
              <w:rPr>
                <w:rFonts w:ascii="Arial" w:hAnsi="Arial" w:cs="Arial"/>
                <w:sz w:val="20"/>
                <w:szCs w:val="20"/>
              </w:rPr>
              <w:t>a comparison of the results obtained from mail and online completion.</w:t>
            </w:r>
          </w:p>
          <w:p w:rsidR="00D21520" w:rsidRDefault="00D21520" w:rsidP="006E0702">
            <w:pPr>
              <w:autoSpaceDE w:val="0"/>
              <w:autoSpaceDN w:val="0"/>
              <w:adjustRightInd w:val="0"/>
              <w:spacing w:after="120" w:line="240" w:lineRule="atLeast"/>
              <w:jc w:val="both"/>
              <w:rPr>
                <w:rFonts w:ascii="Arial" w:hAnsi="Arial" w:cs="Arial"/>
                <w:sz w:val="20"/>
                <w:szCs w:val="20"/>
              </w:rPr>
            </w:pPr>
          </w:p>
          <w:p w:rsidR="0068457F" w:rsidRPr="005970A0" w:rsidRDefault="0068457F" w:rsidP="006E0702">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 xml:space="preserve">Response rates to the </w:t>
            </w:r>
            <w:r w:rsidR="00063E84">
              <w:rPr>
                <w:rFonts w:ascii="Arial" w:hAnsi="Arial" w:cs="Arial"/>
                <w:sz w:val="20"/>
                <w:szCs w:val="20"/>
              </w:rPr>
              <w:t>2012</w:t>
            </w:r>
            <w:r w:rsidR="00063E84" w:rsidRPr="005970A0">
              <w:rPr>
                <w:rFonts w:ascii="Arial" w:hAnsi="Arial" w:cs="Arial"/>
                <w:sz w:val="20"/>
                <w:szCs w:val="20"/>
              </w:rPr>
              <w:t xml:space="preserve"> </w:t>
            </w:r>
            <w:r w:rsidRPr="005970A0">
              <w:rPr>
                <w:rFonts w:ascii="Arial" w:hAnsi="Arial" w:cs="Arial"/>
                <w:sz w:val="20"/>
                <w:szCs w:val="20"/>
              </w:rPr>
              <w:t>survey are shown in table 1.</w:t>
            </w:r>
          </w:p>
          <w:p w:rsidR="0068457F" w:rsidRPr="005970A0" w:rsidRDefault="0068457F" w:rsidP="006E0702">
            <w:pPr>
              <w:autoSpaceDE w:val="0"/>
              <w:autoSpaceDN w:val="0"/>
              <w:adjustRightInd w:val="0"/>
              <w:spacing w:before="120" w:after="40" w:line="240" w:lineRule="atLeast"/>
              <w:jc w:val="both"/>
              <w:rPr>
                <w:rFonts w:ascii="Arial" w:hAnsi="Arial" w:cs="Arial"/>
                <w:b/>
                <w:sz w:val="17"/>
                <w:szCs w:val="17"/>
              </w:rPr>
            </w:pPr>
            <w:r w:rsidRPr="005970A0">
              <w:rPr>
                <w:rFonts w:ascii="Arial" w:hAnsi="Arial" w:cs="Arial"/>
                <w:b/>
                <w:sz w:val="17"/>
                <w:szCs w:val="17"/>
              </w:rPr>
              <w:t xml:space="preserve">Table 1: Response rates for graduates to the </w:t>
            </w:r>
            <w:r w:rsidR="00063E84">
              <w:rPr>
                <w:rFonts w:ascii="Arial" w:hAnsi="Arial" w:cs="Arial"/>
                <w:b/>
                <w:sz w:val="17"/>
                <w:szCs w:val="17"/>
              </w:rPr>
              <w:t>2012</w:t>
            </w:r>
            <w:r w:rsidR="00063E84" w:rsidRPr="005970A0">
              <w:rPr>
                <w:rFonts w:ascii="Arial" w:hAnsi="Arial" w:cs="Arial"/>
                <w:b/>
                <w:sz w:val="17"/>
                <w:szCs w:val="17"/>
              </w:rPr>
              <w:t xml:space="preserve"> </w:t>
            </w:r>
            <w:r w:rsidRPr="005970A0">
              <w:rPr>
                <w:rFonts w:ascii="Arial" w:hAnsi="Arial" w:cs="Arial"/>
                <w:b/>
                <w:sz w:val="17"/>
                <w:szCs w:val="17"/>
              </w:rPr>
              <w:t>Student Outcomes Survey by state</w:t>
            </w:r>
          </w:p>
          <w:tbl>
            <w:tblPr>
              <w:tblW w:w="2901" w:type="pct"/>
              <w:tblBorders>
                <w:top w:val="single" w:sz="4" w:space="0" w:color="auto"/>
                <w:bottom w:val="single" w:sz="4" w:space="0" w:color="auto"/>
              </w:tblBorders>
              <w:tblLook w:val="01E0" w:firstRow="1" w:lastRow="1" w:firstColumn="1" w:lastColumn="1" w:noHBand="0" w:noVBand="0"/>
            </w:tblPr>
            <w:tblGrid>
              <w:gridCol w:w="2411"/>
              <w:gridCol w:w="1748"/>
            </w:tblGrid>
            <w:tr w:rsidR="005970A0" w:rsidRPr="005970A0" w:rsidTr="00395EF2">
              <w:tc>
                <w:tcPr>
                  <w:tcW w:w="2898" w:type="pct"/>
                  <w:tcBorders>
                    <w:top w:val="single" w:sz="4" w:space="0" w:color="auto"/>
                    <w:left w:val="nil"/>
                    <w:bottom w:val="single" w:sz="4" w:space="0" w:color="auto"/>
                    <w:right w:val="nil"/>
                  </w:tcBorders>
                </w:tcPr>
                <w:p w:rsidR="0068457F" w:rsidRPr="005970A0" w:rsidRDefault="0068457F" w:rsidP="006E0702">
                  <w:pPr>
                    <w:autoSpaceDE w:val="0"/>
                    <w:autoSpaceDN w:val="0"/>
                    <w:adjustRightInd w:val="0"/>
                    <w:spacing w:before="80"/>
                    <w:jc w:val="both"/>
                    <w:rPr>
                      <w:rFonts w:ascii="Arial" w:hAnsi="Arial" w:cs="Arial"/>
                      <w:b/>
                      <w:sz w:val="16"/>
                      <w:szCs w:val="16"/>
                    </w:rPr>
                  </w:pPr>
                  <w:r w:rsidRPr="005970A0">
                    <w:rPr>
                      <w:rFonts w:ascii="Arial" w:hAnsi="Arial" w:cs="Arial"/>
                      <w:b/>
                      <w:sz w:val="16"/>
                      <w:szCs w:val="16"/>
                    </w:rPr>
                    <w:t>State/Territory</w:t>
                  </w:r>
                </w:p>
              </w:tc>
              <w:tc>
                <w:tcPr>
                  <w:tcW w:w="2102" w:type="pct"/>
                  <w:tcBorders>
                    <w:top w:val="single" w:sz="4" w:space="0" w:color="auto"/>
                    <w:left w:val="nil"/>
                    <w:bottom w:val="single" w:sz="4" w:space="0" w:color="auto"/>
                    <w:right w:val="nil"/>
                  </w:tcBorders>
                </w:tcPr>
                <w:p w:rsidR="0068457F" w:rsidRPr="005970A0" w:rsidRDefault="0068457F" w:rsidP="006E0702">
                  <w:pPr>
                    <w:autoSpaceDE w:val="0"/>
                    <w:autoSpaceDN w:val="0"/>
                    <w:adjustRightInd w:val="0"/>
                    <w:spacing w:before="80"/>
                    <w:jc w:val="center"/>
                    <w:rPr>
                      <w:rFonts w:ascii="Arial" w:hAnsi="Arial" w:cs="Arial"/>
                      <w:b/>
                      <w:sz w:val="16"/>
                      <w:szCs w:val="16"/>
                    </w:rPr>
                  </w:pPr>
                  <w:r w:rsidRPr="005970A0">
                    <w:rPr>
                      <w:rFonts w:ascii="Arial" w:hAnsi="Arial" w:cs="Arial"/>
                      <w:b/>
                      <w:sz w:val="16"/>
                      <w:szCs w:val="16"/>
                    </w:rPr>
                    <w:t>Response rate (%)</w:t>
                  </w:r>
                </w:p>
              </w:tc>
            </w:tr>
            <w:tr w:rsidR="005970A0" w:rsidRPr="005970A0" w:rsidTr="008C2EAF">
              <w:trPr>
                <w:trHeight w:val="227"/>
              </w:trPr>
              <w:tc>
                <w:tcPr>
                  <w:tcW w:w="2898" w:type="pct"/>
                  <w:tcBorders>
                    <w:top w:val="single" w:sz="4" w:space="0" w:color="auto"/>
                    <w:left w:val="nil"/>
                    <w:bottom w:val="nil"/>
                    <w:right w:val="nil"/>
                  </w:tcBorders>
                  <w:vAlign w:val="center"/>
                </w:tcPr>
                <w:p w:rsidR="0068457F" w:rsidRPr="005970A0" w:rsidRDefault="0068457F" w:rsidP="008C2EAF">
                  <w:pPr>
                    <w:pStyle w:val="Tabletext"/>
                    <w:spacing w:before="0"/>
                    <w:jc w:val="center"/>
                    <w:rPr>
                      <w:rFonts w:cs="Arial"/>
                      <w:szCs w:val="16"/>
                    </w:rPr>
                  </w:pPr>
                  <w:r w:rsidRPr="005970A0">
                    <w:rPr>
                      <w:rFonts w:cs="Arial"/>
                      <w:szCs w:val="16"/>
                    </w:rPr>
                    <w:t>New South Wales</w:t>
                  </w:r>
                </w:p>
              </w:tc>
              <w:tc>
                <w:tcPr>
                  <w:tcW w:w="2102" w:type="pct"/>
                  <w:tcBorders>
                    <w:top w:val="single" w:sz="4" w:space="0" w:color="auto"/>
                    <w:left w:val="nil"/>
                    <w:bottom w:val="nil"/>
                    <w:right w:val="nil"/>
                  </w:tcBorders>
                  <w:vAlign w:val="center"/>
                </w:tcPr>
                <w:p w:rsidR="0068457F" w:rsidRPr="005970A0" w:rsidRDefault="003B6FF3" w:rsidP="008C2EAF">
                  <w:pPr>
                    <w:pStyle w:val="Tabletext"/>
                    <w:spacing w:before="0"/>
                    <w:jc w:val="center"/>
                    <w:rPr>
                      <w:rFonts w:cs="Arial"/>
                      <w:szCs w:val="16"/>
                    </w:rPr>
                  </w:pPr>
                  <w:r>
                    <w:rPr>
                      <w:rFonts w:cs="Arial"/>
                      <w:szCs w:val="16"/>
                    </w:rPr>
                    <w:t>47.7</w:t>
                  </w:r>
                </w:p>
              </w:tc>
            </w:tr>
            <w:tr w:rsidR="005970A0" w:rsidRPr="005970A0" w:rsidTr="008C2EAF">
              <w:trPr>
                <w:trHeight w:val="227"/>
              </w:trPr>
              <w:tc>
                <w:tcPr>
                  <w:tcW w:w="2898" w:type="pct"/>
                  <w:tcBorders>
                    <w:top w:val="nil"/>
                    <w:left w:val="nil"/>
                    <w:bottom w:val="nil"/>
                    <w:right w:val="nil"/>
                  </w:tcBorders>
                  <w:vAlign w:val="center"/>
                </w:tcPr>
                <w:p w:rsidR="0068457F" w:rsidRPr="005970A0" w:rsidRDefault="0068457F" w:rsidP="008C2EAF">
                  <w:pPr>
                    <w:pStyle w:val="Tabletext"/>
                    <w:spacing w:before="0"/>
                    <w:jc w:val="center"/>
                    <w:rPr>
                      <w:rFonts w:cs="Arial"/>
                      <w:szCs w:val="16"/>
                    </w:rPr>
                  </w:pPr>
                  <w:r w:rsidRPr="005970A0">
                    <w:rPr>
                      <w:rFonts w:cs="Arial"/>
                      <w:szCs w:val="16"/>
                    </w:rPr>
                    <w:t>Victoria</w:t>
                  </w:r>
                </w:p>
              </w:tc>
              <w:tc>
                <w:tcPr>
                  <w:tcW w:w="2102" w:type="pct"/>
                  <w:tcBorders>
                    <w:top w:val="nil"/>
                    <w:left w:val="nil"/>
                    <w:bottom w:val="nil"/>
                    <w:right w:val="nil"/>
                  </w:tcBorders>
                  <w:vAlign w:val="center"/>
                </w:tcPr>
                <w:p w:rsidR="0068457F" w:rsidRPr="005970A0" w:rsidRDefault="003B6FF3" w:rsidP="008C2EAF">
                  <w:pPr>
                    <w:pStyle w:val="Tabletext"/>
                    <w:spacing w:before="0"/>
                    <w:jc w:val="center"/>
                    <w:rPr>
                      <w:rFonts w:cs="Arial"/>
                      <w:szCs w:val="16"/>
                    </w:rPr>
                  </w:pPr>
                  <w:r>
                    <w:rPr>
                      <w:rFonts w:cs="Arial"/>
                      <w:szCs w:val="16"/>
                    </w:rPr>
                    <w:t>46.5</w:t>
                  </w:r>
                </w:p>
              </w:tc>
            </w:tr>
            <w:tr w:rsidR="005970A0" w:rsidRPr="005970A0" w:rsidTr="008C2EAF">
              <w:trPr>
                <w:trHeight w:val="227"/>
              </w:trPr>
              <w:tc>
                <w:tcPr>
                  <w:tcW w:w="2898" w:type="pct"/>
                  <w:tcBorders>
                    <w:top w:val="nil"/>
                    <w:left w:val="nil"/>
                    <w:bottom w:val="nil"/>
                    <w:right w:val="nil"/>
                  </w:tcBorders>
                  <w:vAlign w:val="center"/>
                </w:tcPr>
                <w:p w:rsidR="0068457F" w:rsidRPr="005970A0" w:rsidRDefault="0068457F" w:rsidP="008C2EAF">
                  <w:pPr>
                    <w:pStyle w:val="Tabletext"/>
                    <w:spacing w:before="0"/>
                    <w:jc w:val="center"/>
                    <w:rPr>
                      <w:rFonts w:cs="Arial"/>
                      <w:szCs w:val="16"/>
                    </w:rPr>
                  </w:pPr>
                  <w:r w:rsidRPr="005970A0">
                    <w:rPr>
                      <w:rFonts w:cs="Arial"/>
                      <w:szCs w:val="16"/>
                    </w:rPr>
                    <w:t>Queensland</w:t>
                  </w:r>
                </w:p>
              </w:tc>
              <w:tc>
                <w:tcPr>
                  <w:tcW w:w="2102" w:type="pct"/>
                  <w:tcBorders>
                    <w:top w:val="nil"/>
                    <w:left w:val="nil"/>
                    <w:bottom w:val="nil"/>
                    <w:right w:val="nil"/>
                  </w:tcBorders>
                  <w:vAlign w:val="center"/>
                </w:tcPr>
                <w:p w:rsidR="0068457F" w:rsidRPr="005970A0" w:rsidRDefault="003B6FF3" w:rsidP="008C2EAF">
                  <w:pPr>
                    <w:pStyle w:val="Tabletext"/>
                    <w:spacing w:before="0"/>
                    <w:jc w:val="center"/>
                    <w:rPr>
                      <w:rFonts w:cs="Arial"/>
                      <w:szCs w:val="16"/>
                    </w:rPr>
                  </w:pPr>
                  <w:r>
                    <w:rPr>
                      <w:rFonts w:cs="Arial"/>
                      <w:szCs w:val="16"/>
                    </w:rPr>
                    <w:t>47.1</w:t>
                  </w:r>
                </w:p>
              </w:tc>
            </w:tr>
            <w:tr w:rsidR="005970A0" w:rsidRPr="005970A0" w:rsidTr="008C2EAF">
              <w:trPr>
                <w:trHeight w:val="227"/>
              </w:trPr>
              <w:tc>
                <w:tcPr>
                  <w:tcW w:w="2898" w:type="pct"/>
                  <w:tcBorders>
                    <w:top w:val="nil"/>
                    <w:left w:val="nil"/>
                    <w:bottom w:val="nil"/>
                    <w:right w:val="nil"/>
                  </w:tcBorders>
                  <w:vAlign w:val="center"/>
                </w:tcPr>
                <w:p w:rsidR="0068457F" w:rsidRPr="005970A0" w:rsidRDefault="0068457F" w:rsidP="008C2EAF">
                  <w:pPr>
                    <w:pStyle w:val="Tabletext"/>
                    <w:spacing w:before="0"/>
                    <w:jc w:val="center"/>
                    <w:rPr>
                      <w:rFonts w:cs="Arial"/>
                      <w:szCs w:val="16"/>
                    </w:rPr>
                  </w:pPr>
                  <w:r w:rsidRPr="005970A0">
                    <w:rPr>
                      <w:rFonts w:cs="Arial"/>
                      <w:szCs w:val="16"/>
                    </w:rPr>
                    <w:t>South Australia</w:t>
                  </w:r>
                </w:p>
              </w:tc>
              <w:tc>
                <w:tcPr>
                  <w:tcW w:w="2102" w:type="pct"/>
                  <w:tcBorders>
                    <w:top w:val="nil"/>
                    <w:left w:val="nil"/>
                    <w:bottom w:val="nil"/>
                    <w:right w:val="nil"/>
                  </w:tcBorders>
                  <w:vAlign w:val="center"/>
                </w:tcPr>
                <w:p w:rsidR="0068457F" w:rsidRPr="005970A0" w:rsidRDefault="003B6FF3" w:rsidP="008C2EAF">
                  <w:pPr>
                    <w:pStyle w:val="Tabletext"/>
                    <w:spacing w:before="0"/>
                    <w:jc w:val="center"/>
                    <w:rPr>
                      <w:rFonts w:cs="Arial"/>
                      <w:szCs w:val="16"/>
                    </w:rPr>
                  </w:pPr>
                  <w:r>
                    <w:rPr>
                      <w:rFonts w:cs="Arial"/>
                      <w:szCs w:val="16"/>
                    </w:rPr>
                    <w:t>47.7</w:t>
                  </w:r>
                </w:p>
              </w:tc>
            </w:tr>
            <w:tr w:rsidR="005970A0" w:rsidRPr="005970A0" w:rsidTr="008C2EAF">
              <w:trPr>
                <w:trHeight w:val="227"/>
              </w:trPr>
              <w:tc>
                <w:tcPr>
                  <w:tcW w:w="2898" w:type="pct"/>
                  <w:tcBorders>
                    <w:top w:val="nil"/>
                    <w:left w:val="nil"/>
                    <w:bottom w:val="nil"/>
                    <w:right w:val="nil"/>
                  </w:tcBorders>
                  <w:vAlign w:val="center"/>
                </w:tcPr>
                <w:p w:rsidR="0068457F" w:rsidRPr="005970A0" w:rsidRDefault="0068457F" w:rsidP="008C2EAF">
                  <w:pPr>
                    <w:pStyle w:val="Tabletext"/>
                    <w:spacing w:before="0"/>
                    <w:jc w:val="center"/>
                    <w:rPr>
                      <w:rFonts w:cs="Arial"/>
                      <w:szCs w:val="16"/>
                    </w:rPr>
                  </w:pPr>
                  <w:r w:rsidRPr="005970A0">
                    <w:rPr>
                      <w:rFonts w:cs="Arial"/>
                      <w:szCs w:val="16"/>
                    </w:rPr>
                    <w:t>Western Australia</w:t>
                  </w:r>
                </w:p>
              </w:tc>
              <w:tc>
                <w:tcPr>
                  <w:tcW w:w="2102" w:type="pct"/>
                  <w:tcBorders>
                    <w:top w:val="nil"/>
                    <w:left w:val="nil"/>
                    <w:bottom w:val="nil"/>
                    <w:right w:val="nil"/>
                  </w:tcBorders>
                  <w:vAlign w:val="center"/>
                </w:tcPr>
                <w:p w:rsidR="0068457F" w:rsidRPr="005970A0" w:rsidRDefault="003B6FF3" w:rsidP="008C2EAF">
                  <w:pPr>
                    <w:pStyle w:val="Tabletext"/>
                    <w:spacing w:before="0"/>
                    <w:jc w:val="center"/>
                    <w:rPr>
                      <w:rFonts w:cs="Arial"/>
                      <w:szCs w:val="16"/>
                    </w:rPr>
                  </w:pPr>
                  <w:r>
                    <w:rPr>
                      <w:rFonts w:cs="Arial"/>
                      <w:szCs w:val="16"/>
                    </w:rPr>
                    <w:t>45.9</w:t>
                  </w:r>
                </w:p>
              </w:tc>
            </w:tr>
            <w:tr w:rsidR="005970A0" w:rsidRPr="005970A0" w:rsidTr="008C2EAF">
              <w:trPr>
                <w:trHeight w:val="227"/>
              </w:trPr>
              <w:tc>
                <w:tcPr>
                  <w:tcW w:w="2898" w:type="pct"/>
                  <w:tcBorders>
                    <w:top w:val="nil"/>
                    <w:left w:val="nil"/>
                    <w:bottom w:val="nil"/>
                    <w:right w:val="nil"/>
                  </w:tcBorders>
                  <w:vAlign w:val="center"/>
                </w:tcPr>
                <w:p w:rsidR="0068457F" w:rsidRPr="005970A0" w:rsidRDefault="0068457F" w:rsidP="008C2EAF">
                  <w:pPr>
                    <w:pStyle w:val="Tabletext"/>
                    <w:spacing w:before="0"/>
                    <w:jc w:val="center"/>
                    <w:rPr>
                      <w:rFonts w:cs="Arial"/>
                      <w:szCs w:val="16"/>
                    </w:rPr>
                  </w:pPr>
                  <w:r w:rsidRPr="005970A0">
                    <w:rPr>
                      <w:rFonts w:cs="Arial"/>
                      <w:szCs w:val="16"/>
                    </w:rPr>
                    <w:t>Tasmania</w:t>
                  </w:r>
                </w:p>
              </w:tc>
              <w:tc>
                <w:tcPr>
                  <w:tcW w:w="2102" w:type="pct"/>
                  <w:tcBorders>
                    <w:top w:val="nil"/>
                    <w:left w:val="nil"/>
                    <w:bottom w:val="nil"/>
                    <w:right w:val="nil"/>
                  </w:tcBorders>
                  <w:vAlign w:val="center"/>
                </w:tcPr>
                <w:p w:rsidR="0068457F" w:rsidRPr="005970A0" w:rsidRDefault="003B6FF3" w:rsidP="008C2EAF">
                  <w:pPr>
                    <w:pStyle w:val="Tabletext"/>
                    <w:spacing w:before="0"/>
                    <w:jc w:val="center"/>
                    <w:rPr>
                      <w:rFonts w:cs="Arial"/>
                      <w:szCs w:val="16"/>
                    </w:rPr>
                  </w:pPr>
                  <w:r>
                    <w:rPr>
                      <w:rFonts w:cs="Arial"/>
                      <w:szCs w:val="16"/>
                    </w:rPr>
                    <w:t>50.8</w:t>
                  </w:r>
                </w:p>
              </w:tc>
            </w:tr>
            <w:tr w:rsidR="005970A0" w:rsidRPr="005970A0" w:rsidTr="008C2EAF">
              <w:trPr>
                <w:trHeight w:val="227"/>
              </w:trPr>
              <w:tc>
                <w:tcPr>
                  <w:tcW w:w="2898" w:type="pct"/>
                  <w:tcBorders>
                    <w:top w:val="nil"/>
                    <w:left w:val="nil"/>
                    <w:bottom w:val="nil"/>
                    <w:right w:val="nil"/>
                  </w:tcBorders>
                  <w:vAlign w:val="center"/>
                </w:tcPr>
                <w:p w:rsidR="0068457F" w:rsidRPr="005970A0" w:rsidRDefault="0068457F" w:rsidP="008C2EAF">
                  <w:pPr>
                    <w:pStyle w:val="Tabletext"/>
                    <w:spacing w:before="0"/>
                    <w:jc w:val="center"/>
                    <w:rPr>
                      <w:rFonts w:cs="Arial"/>
                      <w:szCs w:val="16"/>
                    </w:rPr>
                  </w:pPr>
                  <w:r w:rsidRPr="005970A0">
                    <w:rPr>
                      <w:rFonts w:cs="Arial"/>
                      <w:szCs w:val="16"/>
                    </w:rPr>
                    <w:t>Northern Territory</w:t>
                  </w:r>
                </w:p>
              </w:tc>
              <w:tc>
                <w:tcPr>
                  <w:tcW w:w="2102" w:type="pct"/>
                  <w:tcBorders>
                    <w:top w:val="nil"/>
                    <w:left w:val="nil"/>
                    <w:bottom w:val="nil"/>
                    <w:right w:val="nil"/>
                  </w:tcBorders>
                  <w:vAlign w:val="center"/>
                </w:tcPr>
                <w:p w:rsidR="0068457F" w:rsidRPr="005970A0" w:rsidRDefault="003B6FF3" w:rsidP="008C2EAF">
                  <w:pPr>
                    <w:pStyle w:val="Tabletext"/>
                    <w:spacing w:before="0"/>
                    <w:jc w:val="center"/>
                    <w:rPr>
                      <w:rFonts w:cs="Arial"/>
                      <w:szCs w:val="16"/>
                    </w:rPr>
                  </w:pPr>
                  <w:r>
                    <w:rPr>
                      <w:rFonts w:cs="Arial"/>
                      <w:szCs w:val="16"/>
                    </w:rPr>
                    <w:t>45.4</w:t>
                  </w:r>
                </w:p>
              </w:tc>
            </w:tr>
            <w:tr w:rsidR="005970A0" w:rsidRPr="005970A0" w:rsidTr="008C2EAF">
              <w:trPr>
                <w:trHeight w:val="227"/>
              </w:trPr>
              <w:tc>
                <w:tcPr>
                  <w:tcW w:w="2898" w:type="pct"/>
                  <w:tcBorders>
                    <w:top w:val="nil"/>
                    <w:left w:val="nil"/>
                    <w:bottom w:val="nil"/>
                    <w:right w:val="nil"/>
                  </w:tcBorders>
                  <w:vAlign w:val="center"/>
                </w:tcPr>
                <w:p w:rsidR="0068457F" w:rsidRPr="005970A0" w:rsidRDefault="0068457F" w:rsidP="008C2EAF">
                  <w:pPr>
                    <w:pStyle w:val="Tabletext"/>
                    <w:spacing w:before="0"/>
                    <w:jc w:val="center"/>
                    <w:rPr>
                      <w:rFonts w:cs="Arial"/>
                      <w:szCs w:val="16"/>
                    </w:rPr>
                  </w:pPr>
                  <w:r w:rsidRPr="005970A0">
                    <w:rPr>
                      <w:rFonts w:cs="Arial"/>
                      <w:szCs w:val="16"/>
                    </w:rPr>
                    <w:t>Australian Capital Territory</w:t>
                  </w:r>
                </w:p>
              </w:tc>
              <w:tc>
                <w:tcPr>
                  <w:tcW w:w="2102" w:type="pct"/>
                  <w:tcBorders>
                    <w:top w:val="nil"/>
                    <w:left w:val="nil"/>
                    <w:bottom w:val="nil"/>
                    <w:right w:val="nil"/>
                  </w:tcBorders>
                  <w:vAlign w:val="center"/>
                </w:tcPr>
                <w:p w:rsidR="0068457F" w:rsidRPr="005970A0" w:rsidRDefault="003B6FF3" w:rsidP="008C2EAF">
                  <w:pPr>
                    <w:pStyle w:val="Tabletext"/>
                    <w:spacing w:before="0"/>
                    <w:jc w:val="center"/>
                    <w:rPr>
                      <w:rFonts w:cs="Arial"/>
                      <w:szCs w:val="16"/>
                    </w:rPr>
                  </w:pPr>
                  <w:r>
                    <w:rPr>
                      <w:rFonts w:cs="Arial"/>
                      <w:szCs w:val="16"/>
                    </w:rPr>
                    <w:t>45.2</w:t>
                  </w:r>
                </w:p>
              </w:tc>
            </w:tr>
            <w:tr w:rsidR="005970A0" w:rsidRPr="005970A0" w:rsidTr="008C2EAF">
              <w:trPr>
                <w:trHeight w:val="227"/>
              </w:trPr>
              <w:tc>
                <w:tcPr>
                  <w:tcW w:w="2898" w:type="pct"/>
                  <w:tcBorders>
                    <w:top w:val="nil"/>
                    <w:left w:val="nil"/>
                    <w:bottom w:val="single" w:sz="4" w:space="0" w:color="auto"/>
                    <w:right w:val="nil"/>
                  </w:tcBorders>
                  <w:vAlign w:val="center"/>
                </w:tcPr>
                <w:p w:rsidR="0068457F" w:rsidRPr="005970A0" w:rsidRDefault="0068457F" w:rsidP="008C2EAF">
                  <w:pPr>
                    <w:pStyle w:val="Tabletext"/>
                    <w:spacing w:before="0"/>
                    <w:jc w:val="center"/>
                    <w:rPr>
                      <w:rFonts w:cs="Arial"/>
                      <w:b/>
                      <w:szCs w:val="16"/>
                    </w:rPr>
                  </w:pPr>
                  <w:r w:rsidRPr="005970A0">
                    <w:rPr>
                      <w:rFonts w:cs="Arial"/>
                      <w:b/>
                      <w:szCs w:val="16"/>
                    </w:rPr>
                    <w:t>Australia</w:t>
                  </w:r>
                </w:p>
              </w:tc>
              <w:tc>
                <w:tcPr>
                  <w:tcW w:w="2102" w:type="pct"/>
                  <w:tcBorders>
                    <w:top w:val="nil"/>
                    <w:left w:val="nil"/>
                    <w:bottom w:val="single" w:sz="4" w:space="0" w:color="auto"/>
                    <w:right w:val="nil"/>
                  </w:tcBorders>
                  <w:vAlign w:val="center"/>
                </w:tcPr>
                <w:p w:rsidR="0068457F" w:rsidRPr="005970A0" w:rsidRDefault="003B6FF3" w:rsidP="008C2EAF">
                  <w:pPr>
                    <w:pStyle w:val="Tabletext"/>
                    <w:spacing w:before="0"/>
                    <w:jc w:val="center"/>
                    <w:rPr>
                      <w:rFonts w:cs="Arial"/>
                      <w:b/>
                      <w:szCs w:val="16"/>
                    </w:rPr>
                  </w:pPr>
                  <w:r>
                    <w:rPr>
                      <w:rFonts w:cs="Arial"/>
                      <w:b/>
                      <w:szCs w:val="16"/>
                    </w:rPr>
                    <w:t>47.0</w:t>
                  </w:r>
                </w:p>
              </w:tc>
            </w:tr>
          </w:tbl>
          <w:p w:rsidR="0068457F" w:rsidRPr="005970A0" w:rsidRDefault="0068457F" w:rsidP="00063E84">
            <w:pPr>
              <w:keepNext/>
              <w:keepLines/>
              <w:spacing w:before="120" w:after="120" w:line="220" w:lineRule="atLeast"/>
              <w:jc w:val="both"/>
              <w:rPr>
                <w:rFonts w:ascii="Arial" w:hAnsi="Arial" w:cs="Arial"/>
                <w:sz w:val="20"/>
                <w:szCs w:val="20"/>
              </w:rPr>
            </w:pPr>
            <w:r w:rsidRPr="005970A0">
              <w:rPr>
                <w:rFonts w:ascii="Arial" w:hAnsi="Arial" w:cs="Arial"/>
                <w:sz w:val="20"/>
                <w:szCs w:val="20"/>
              </w:rPr>
              <w:t>For 201</w:t>
            </w:r>
            <w:r w:rsidR="00063E84">
              <w:rPr>
                <w:rFonts w:ascii="Arial" w:hAnsi="Arial" w:cs="Arial"/>
                <w:sz w:val="20"/>
                <w:szCs w:val="20"/>
              </w:rPr>
              <w:t>2</w:t>
            </w:r>
            <w:r w:rsidRPr="005970A0">
              <w:rPr>
                <w:rFonts w:ascii="Arial" w:hAnsi="Arial" w:cs="Arial"/>
                <w:sz w:val="20"/>
                <w:szCs w:val="20"/>
              </w:rPr>
              <w:t>, the indicator has acceptable (less than 25</w:t>
            </w:r>
            <w:r w:rsidR="008C50BE">
              <w:rPr>
                <w:rFonts w:ascii="Arial" w:hAnsi="Arial" w:cs="Arial"/>
                <w:sz w:val="20"/>
                <w:szCs w:val="20"/>
              </w:rPr>
              <w:t xml:space="preserve"> per cent</w:t>
            </w:r>
            <w:r w:rsidRPr="005970A0">
              <w:rPr>
                <w:rFonts w:ascii="Arial" w:hAnsi="Arial" w:cs="Arial"/>
                <w:sz w:val="20"/>
                <w:szCs w:val="20"/>
              </w:rPr>
              <w:t>) relative standard errors (</w:t>
            </w:r>
            <w:proofErr w:type="spellStart"/>
            <w:r w:rsidRPr="005970A0">
              <w:rPr>
                <w:rFonts w:ascii="Arial" w:hAnsi="Arial" w:cs="Arial"/>
                <w:sz w:val="20"/>
                <w:szCs w:val="20"/>
              </w:rPr>
              <w:t>RSEs</w:t>
            </w:r>
            <w:proofErr w:type="spellEnd"/>
            <w:r w:rsidRPr="005970A0">
              <w:rPr>
                <w:rFonts w:ascii="Arial" w:hAnsi="Arial" w:cs="Arial"/>
                <w:sz w:val="20"/>
                <w:szCs w:val="20"/>
              </w:rPr>
              <w:t>) for all VET graduates at</w:t>
            </w:r>
            <w:r w:rsidR="003C3EC4" w:rsidRPr="005970A0">
              <w:rPr>
                <w:rFonts w:ascii="Arial" w:hAnsi="Arial" w:cs="Arial"/>
                <w:sz w:val="20"/>
                <w:szCs w:val="20"/>
              </w:rPr>
              <w:t xml:space="preserve"> the national</w:t>
            </w:r>
            <w:r w:rsidR="00063E84">
              <w:rPr>
                <w:rFonts w:ascii="Arial" w:hAnsi="Arial" w:cs="Arial"/>
                <w:sz w:val="20"/>
                <w:szCs w:val="20"/>
              </w:rPr>
              <w:t xml:space="preserve"> and</w:t>
            </w:r>
            <w:r w:rsidR="003C3EC4" w:rsidRPr="005970A0">
              <w:rPr>
                <w:rFonts w:ascii="Arial" w:hAnsi="Arial" w:cs="Arial"/>
                <w:sz w:val="20"/>
                <w:szCs w:val="20"/>
              </w:rPr>
              <w:t xml:space="preserve"> state/territory level.</w:t>
            </w:r>
            <w:r w:rsidRPr="005970A0">
              <w:rPr>
                <w:rFonts w:ascii="Arial" w:hAnsi="Arial" w:cs="Arial"/>
                <w:sz w:val="20"/>
                <w:szCs w:val="20"/>
              </w:rPr>
              <w:t xml:space="preserve"> </w:t>
            </w:r>
          </w:p>
        </w:tc>
      </w:tr>
      <w:tr w:rsidR="005970A0" w:rsidRPr="005970A0" w:rsidTr="00395EF2">
        <w:tc>
          <w:tcPr>
            <w:tcW w:w="922" w:type="pct"/>
          </w:tcPr>
          <w:p w:rsidR="0068457F" w:rsidRPr="005970A0" w:rsidRDefault="0068457F" w:rsidP="006E0702">
            <w:pPr>
              <w:spacing w:line="320" w:lineRule="exact"/>
              <w:jc w:val="both"/>
              <w:rPr>
                <w:rFonts w:ascii="Arial" w:hAnsi="Arial" w:cs="Arial"/>
                <w:b/>
                <w:sz w:val="20"/>
                <w:szCs w:val="20"/>
              </w:rPr>
            </w:pPr>
            <w:r w:rsidRPr="005970A0">
              <w:rPr>
                <w:rFonts w:ascii="Arial" w:hAnsi="Arial" w:cs="Arial"/>
                <w:b/>
                <w:sz w:val="20"/>
                <w:szCs w:val="20"/>
              </w:rPr>
              <w:lastRenderedPageBreak/>
              <w:t>Coherence</w:t>
            </w:r>
          </w:p>
          <w:p w:rsidR="0068457F" w:rsidRPr="005970A0" w:rsidRDefault="0068457F" w:rsidP="006E0702">
            <w:pPr>
              <w:spacing w:line="320" w:lineRule="exact"/>
              <w:jc w:val="both"/>
              <w:rPr>
                <w:rFonts w:ascii="Arial" w:hAnsi="Arial" w:cs="Arial"/>
                <w:b/>
                <w:sz w:val="20"/>
                <w:szCs w:val="20"/>
              </w:rPr>
            </w:pPr>
          </w:p>
        </w:tc>
        <w:tc>
          <w:tcPr>
            <w:tcW w:w="4078" w:type="pct"/>
          </w:tcPr>
          <w:p w:rsidR="0068457F" w:rsidRPr="005970A0" w:rsidRDefault="0068457F" w:rsidP="006E0702">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 xml:space="preserve">The majority of data items have not changed since the survey was first conducted in 1997. The scope of the survey has increased over time. Until 2000, the survey was restricted to TAFE students. From 2000, it was expanded to include students from Adult and Community Education, private and other government providers. </w:t>
            </w:r>
          </w:p>
          <w:p w:rsidR="0068457F" w:rsidRPr="005970A0" w:rsidRDefault="0068457F" w:rsidP="006E0702">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Two questionnaires are used to collect the data. The main questionnaire is sent to students from TAFE, other Government and private providers. A separate shorter questionnaire is sent to students from Adult and Community Education (ACE) providers.</w:t>
            </w:r>
          </w:p>
        </w:tc>
      </w:tr>
      <w:tr w:rsidR="005970A0" w:rsidRPr="005970A0" w:rsidTr="00395EF2">
        <w:tc>
          <w:tcPr>
            <w:tcW w:w="922" w:type="pct"/>
          </w:tcPr>
          <w:p w:rsidR="0068457F" w:rsidRPr="005970A0" w:rsidRDefault="0068457F" w:rsidP="006E0702">
            <w:pPr>
              <w:spacing w:line="320" w:lineRule="exact"/>
              <w:jc w:val="both"/>
              <w:rPr>
                <w:rFonts w:ascii="Arial" w:hAnsi="Arial" w:cs="Arial"/>
                <w:b/>
                <w:sz w:val="20"/>
                <w:szCs w:val="20"/>
              </w:rPr>
            </w:pPr>
            <w:r w:rsidRPr="005970A0">
              <w:rPr>
                <w:rFonts w:ascii="Arial" w:hAnsi="Arial" w:cs="Arial"/>
                <w:b/>
                <w:sz w:val="20"/>
                <w:szCs w:val="20"/>
              </w:rPr>
              <w:t>Accessibility</w:t>
            </w:r>
          </w:p>
          <w:p w:rsidR="0068457F" w:rsidRPr="005970A0" w:rsidRDefault="0068457F" w:rsidP="006E0702">
            <w:pPr>
              <w:spacing w:line="320" w:lineRule="exact"/>
              <w:jc w:val="both"/>
              <w:rPr>
                <w:rFonts w:ascii="Arial" w:hAnsi="Arial" w:cs="Arial"/>
                <w:b/>
                <w:sz w:val="20"/>
                <w:szCs w:val="20"/>
              </w:rPr>
            </w:pPr>
          </w:p>
        </w:tc>
        <w:tc>
          <w:tcPr>
            <w:tcW w:w="4078" w:type="pct"/>
          </w:tcPr>
          <w:p w:rsidR="0068457F" w:rsidRPr="005970A0" w:rsidRDefault="0068457F" w:rsidP="006E0702">
            <w:pPr>
              <w:autoSpaceDE w:val="0"/>
              <w:autoSpaceDN w:val="0"/>
              <w:adjustRightInd w:val="0"/>
              <w:spacing w:after="120" w:line="240" w:lineRule="atLeast"/>
              <w:jc w:val="both"/>
              <w:rPr>
                <w:rFonts w:ascii="Arial" w:hAnsi="Arial" w:cs="Arial"/>
                <w:sz w:val="20"/>
                <w:szCs w:val="20"/>
                <w:u w:val="single"/>
              </w:rPr>
            </w:pPr>
            <w:r w:rsidRPr="005970A0">
              <w:rPr>
                <w:rFonts w:ascii="Arial" w:hAnsi="Arial" w:cs="Arial"/>
                <w:sz w:val="20"/>
                <w:szCs w:val="20"/>
              </w:rPr>
              <w:t xml:space="preserve">Results of the survey are available free of charge on </w:t>
            </w:r>
            <w:proofErr w:type="spellStart"/>
            <w:r w:rsidRPr="005970A0">
              <w:rPr>
                <w:rFonts w:ascii="Arial" w:hAnsi="Arial" w:cs="Arial"/>
                <w:sz w:val="20"/>
                <w:szCs w:val="20"/>
              </w:rPr>
              <w:t>NCVER’s</w:t>
            </w:r>
            <w:proofErr w:type="spellEnd"/>
            <w:r w:rsidRPr="005970A0">
              <w:rPr>
                <w:rFonts w:ascii="Arial" w:hAnsi="Arial" w:cs="Arial"/>
                <w:sz w:val="20"/>
                <w:szCs w:val="20"/>
              </w:rPr>
              <w:t xml:space="preserve"> website at: </w:t>
            </w:r>
            <w:r w:rsidRPr="00D86CD7">
              <w:rPr>
                <w:rFonts w:ascii="Arial" w:hAnsi="Arial" w:cs="Arial"/>
                <w:sz w:val="20"/>
                <w:szCs w:val="20"/>
              </w:rPr>
              <w:t>http://</w:t>
            </w:r>
            <w:proofErr w:type="spellStart"/>
            <w:r w:rsidRPr="00D86CD7">
              <w:rPr>
                <w:rFonts w:ascii="Arial" w:hAnsi="Arial" w:cs="Arial"/>
                <w:sz w:val="20"/>
                <w:szCs w:val="20"/>
              </w:rPr>
              <w:t>www.ncver.edu.au</w:t>
            </w:r>
            <w:proofErr w:type="spellEnd"/>
            <w:r w:rsidRPr="00D86CD7">
              <w:rPr>
                <w:rFonts w:ascii="Arial" w:hAnsi="Arial" w:cs="Arial"/>
                <w:sz w:val="20"/>
                <w:szCs w:val="20"/>
              </w:rPr>
              <w:t>/statistic/</w:t>
            </w:r>
            <w:proofErr w:type="spellStart"/>
            <w:r w:rsidRPr="00D86CD7">
              <w:rPr>
                <w:rFonts w:ascii="Arial" w:hAnsi="Arial" w:cs="Arial"/>
                <w:sz w:val="20"/>
                <w:szCs w:val="20"/>
              </w:rPr>
              <w:t>21065.html</w:t>
            </w:r>
            <w:proofErr w:type="spellEnd"/>
            <w:r w:rsidRPr="005970A0">
              <w:rPr>
                <w:rFonts w:ascii="Arial" w:hAnsi="Arial" w:cs="Arial"/>
                <w:sz w:val="20"/>
                <w:szCs w:val="20"/>
              </w:rPr>
              <w:t>. Requests for more detailed statistical information or further information about the Student Outcomes Survey can be made to</w:t>
            </w:r>
            <w:r w:rsidR="007553F3" w:rsidRPr="005970A0">
              <w:rPr>
                <w:rFonts w:ascii="Arial" w:hAnsi="Arial" w:cs="Arial"/>
                <w:sz w:val="20"/>
                <w:szCs w:val="20"/>
              </w:rPr>
              <w:t xml:space="preserve"> </w:t>
            </w:r>
            <w:proofErr w:type="spellStart"/>
            <w:r w:rsidRPr="005970A0">
              <w:rPr>
                <w:rFonts w:ascii="Arial" w:hAnsi="Arial" w:cs="Arial"/>
                <w:bCs/>
                <w:sz w:val="20"/>
                <w:szCs w:val="20"/>
              </w:rPr>
              <w:t>NCVER</w:t>
            </w:r>
            <w:proofErr w:type="spellEnd"/>
            <w:r w:rsidRPr="005970A0">
              <w:rPr>
                <w:rFonts w:ascii="Arial" w:hAnsi="Arial" w:cs="Arial"/>
                <w:bCs/>
                <w:sz w:val="20"/>
                <w:szCs w:val="20"/>
              </w:rPr>
              <w:t xml:space="preserve"> on</w:t>
            </w:r>
            <w:r w:rsidRPr="005970A0">
              <w:rPr>
                <w:rFonts w:ascii="Arial" w:hAnsi="Arial" w:cs="Arial"/>
                <w:sz w:val="20"/>
                <w:szCs w:val="20"/>
              </w:rPr>
              <w:t xml:space="preserve"> (08) 8230 8400 or </w:t>
            </w:r>
            <w:proofErr w:type="spellStart"/>
            <w:r w:rsidRPr="00D86CD7">
              <w:rPr>
                <w:rFonts w:ascii="Arial" w:hAnsi="Arial" w:cs="Arial"/>
                <w:sz w:val="20"/>
                <w:szCs w:val="20"/>
              </w:rPr>
              <w:t>surveys_req@ncver.edu.au</w:t>
            </w:r>
            <w:proofErr w:type="spellEnd"/>
          </w:p>
          <w:p w:rsidR="0068457F" w:rsidRPr="005970A0" w:rsidRDefault="0068457F" w:rsidP="006E0702">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 xml:space="preserve">A charge will be generally made by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for more complex requests for information. See </w:t>
            </w:r>
            <w:proofErr w:type="spellStart"/>
            <w:r w:rsidRPr="005970A0">
              <w:rPr>
                <w:rFonts w:ascii="Arial" w:hAnsi="Arial" w:cs="Arial"/>
                <w:sz w:val="20"/>
                <w:szCs w:val="20"/>
              </w:rPr>
              <w:t>NCVER’s</w:t>
            </w:r>
            <w:proofErr w:type="spellEnd"/>
            <w:r w:rsidRPr="005970A0">
              <w:rPr>
                <w:rFonts w:ascii="Arial" w:hAnsi="Arial" w:cs="Arial"/>
                <w:sz w:val="20"/>
                <w:szCs w:val="20"/>
              </w:rPr>
              <w:t xml:space="preserve"> fees and charges policy at </w:t>
            </w:r>
            <w:r w:rsidRPr="00D86CD7">
              <w:rPr>
                <w:rFonts w:ascii="Arial" w:hAnsi="Arial" w:cs="Arial"/>
                <w:sz w:val="20"/>
                <w:szCs w:val="20"/>
              </w:rPr>
              <w:t>http://</w:t>
            </w:r>
            <w:proofErr w:type="spellStart"/>
            <w:r w:rsidRPr="00D86CD7">
              <w:rPr>
                <w:rFonts w:ascii="Arial" w:hAnsi="Arial" w:cs="Arial"/>
                <w:sz w:val="20"/>
                <w:szCs w:val="20"/>
              </w:rPr>
              <w:t>www.ncver.edu.au</w:t>
            </w:r>
            <w:proofErr w:type="spellEnd"/>
            <w:r w:rsidRPr="00D86CD7">
              <w:rPr>
                <w:rFonts w:ascii="Arial" w:hAnsi="Arial" w:cs="Arial"/>
                <w:sz w:val="20"/>
                <w:szCs w:val="20"/>
              </w:rPr>
              <w:t>/statistic/</w:t>
            </w:r>
            <w:proofErr w:type="spellStart"/>
            <w:r w:rsidRPr="00D86CD7">
              <w:rPr>
                <w:rFonts w:ascii="Arial" w:hAnsi="Arial" w:cs="Arial"/>
                <w:sz w:val="20"/>
                <w:szCs w:val="20"/>
              </w:rPr>
              <w:t>21075.html</w:t>
            </w:r>
            <w:proofErr w:type="spellEnd"/>
          </w:p>
        </w:tc>
      </w:tr>
      <w:tr w:rsidR="005970A0" w:rsidRPr="005970A0" w:rsidTr="00395EF2">
        <w:tc>
          <w:tcPr>
            <w:tcW w:w="922" w:type="pct"/>
          </w:tcPr>
          <w:p w:rsidR="0068457F" w:rsidRPr="005970A0" w:rsidRDefault="0068457F" w:rsidP="006E0702">
            <w:pPr>
              <w:spacing w:line="320" w:lineRule="exact"/>
              <w:jc w:val="both"/>
              <w:rPr>
                <w:rFonts w:ascii="Arial" w:hAnsi="Arial" w:cs="Arial"/>
                <w:b/>
                <w:sz w:val="20"/>
                <w:szCs w:val="20"/>
              </w:rPr>
            </w:pPr>
            <w:r w:rsidRPr="005970A0">
              <w:rPr>
                <w:rFonts w:ascii="Arial" w:hAnsi="Arial" w:cs="Arial"/>
                <w:b/>
                <w:sz w:val="20"/>
                <w:szCs w:val="20"/>
              </w:rPr>
              <w:t>Interpretability</w:t>
            </w:r>
          </w:p>
          <w:p w:rsidR="0068457F" w:rsidRPr="005970A0" w:rsidRDefault="0068457F" w:rsidP="006E0702">
            <w:pPr>
              <w:spacing w:line="320" w:lineRule="exact"/>
              <w:jc w:val="both"/>
              <w:rPr>
                <w:rFonts w:ascii="Arial" w:hAnsi="Arial" w:cs="Arial"/>
                <w:b/>
                <w:sz w:val="20"/>
                <w:szCs w:val="20"/>
              </w:rPr>
            </w:pPr>
          </w:p>
        </w:tc>
        <w:tc>
          <w:tcPr>
            <w:tcW w:w="4078" w:type="pct"/>
          </w:tcPr>
          <w:p w:rsidR="0068457F" w:rsidRPr="005970A0" w:rsidRDefault="0068457F" w:rsidP="006E0702">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 xml:space="preserve">To aid interpretation of the data, information on the Student Outcomes Survey is available on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website.</w:t>
            </w:r>
          </w:p>
          <w:p w:rsidR="0068457F" w:rsidRPr="005970A0" w:rsidRDefault="0068457F" w:rsidP="007D21A0">
            <w:pPr>
              <w:autoSpaceDE w:val="0"/>
              <w:autoSpaceDN w:val="0"/>
              <w:adjustRightInd w:val="0"/>
              <w:spacing w:after="80" w:line="240" w:lineRule="atLeast"/>
              <w:jc w:val="both"/>
              <w:rPr>
                <w:rFonts w:ascii="Arial" w:hAnsi="Arial" w:cs="Arial"/>
                <w:sz w:val="20"/>
                <w:szCs w:val="20"/>
              </w:rPr>
            </w:pPr>
            <w:r w:rsidRPr="005970A0">
              <w:rPr>
                <w:rFonts w:ascii="Arial" w:hAnsi="Arial" w:cs="Arial"/>
                <w:sz w:val="20"/>
                <w:szCs w:val="20"/>
              </w:rPr>
              <w:t>The survey uses the:</w:t>
            </w:r>
          </w:p>
          <w:p w:rsidR="00E01646" w:rsidRPr="003320B7" w:rsidRDefault="00E01646" w:rsidP="00E01646">
            <w:pPr>
              <w:keepNext/>
              <w:keepLines/>
              <w:framePr w:w="2155" w:hSpace="227" w:vSpace="181" w:wrap="around" w:vAnchor="text" w:hAnchor="page" w:xAlign="outside" w:y="1"/>
              <w:numPr>
                <w:ilvl w:val="0"/>
                <w:numId w:val="36"/>
              </w:numPr>
              <w:spacing w:before="240" w:line="320" w:lineRule="atLeast"/>
              <w:ind w:left="340" w:hanging="340"/>
              <w:rPr>
                <w:rFonts w:ascii="Arial" w:hAnsi="Arial" w:cs="Arial"/>
                <w:sz w:val="20"/>
                <w:szCs w:val="20"/>
              </w:rPr>
            </w:pPr>
            <w:r w:rsidRPr="003320B7">
              <w:rPr>
                <w:rFonts w:ascii="Arial" w:hAnsi="Arial" w:cs="Arial"/>
                <w:sz w:val="20"/>
                <w:szCs w:val="20"/>
              </w:rPr>
              <w:t>Australian Classification of Education (</w:t>
            </w:r>
            <w:proofErr w:type="spellStart"/>
            <w:r w:rsidRPr="003320B7">
              <w:rPr>
                <w:rFonts w:ascii="Arial" w:hAnsi="Arial" w:cs="Arial"/>
                <w:sz w:val="20"/>
                <w:szCs w:val="20"/>
              </w:rPr>
              <w:t>ASCED</w:t>
            </w:r>
            <w:proofErr w:type="spellEnd"/>
            <w:r w:rsidRPr="003320B7">
              <w:rPr>
                <w:rFonts w:ascii="Arial" w:hAnsi="Arial" w:cs="Arial"/>
                <w:sz w:val="20"/>
                <w:szCs w:val="20"/>
              </w:rPr>
              <w:t>) (ABS cat. no. 1272.0) to classify the level and field of education</w:t>
            </w:r>
          </w:p>
          <w:p w:rsidR="00E01646" w:rsidRPr="003320B7" w:rsidRDefault="00E01646" w:rsidP="00E01646">
            <w:pPr>
              <w:numPr>
                <w:ilvl w:val="0"/>
                <w:numId w:val="36"/>
              </w:numPr>
              <w:ind w:left="340" w:hanging="340"/>
              <w:rPr>
                <w:rFonts w:ascii="Arial" w:hAnsi="Arial" w:cs="Arial"/>
                <w:sz w:val="20"/>
                <w:szCs w:val="20"/>
              </w:rPr>
            </w:pPr>
            <w:r w:rsidRPr="003320B7">
              <w:rPr>
                <w:rFonts w:ascii="Arial" w:hAnsi="Arial" w:cs="Arial"/>
                <w:sz w:val="20"/>
                <w:szCs w:val="20"/>
              </w:rPr>
              <w:t>Australian and New Zealand Standard Industry Classification (</w:t>
            </w:r>
            <w:proofErr w:type="spellStart"/>
            <w:r w:rsidRPr="003320B7">
              <w:rPr>
                <w:rFonts w:ascii="Arial" w:hAnsi="Arial" w:cs="Arial"/>
                <w:sz w:val="20"/>
                <w:szCs w:val="20"/>
              </w:rPr>
              <w:t>ANZSIC</w:t>
            </w:r>
            <w:proofErr w:type="spellEnd"/>
            <w:r w:rsidRPr="003320B7">
              <w:rPr>
                <w:rFonts w:ascii="Arial" w:hAnsi="Arial" w:cs="Arial"/>
                <w:sz w:val="20"/>
                <w:szCs w:val="20"/>
              </w:rPr>
              <w:t>) (ABS cat. no. 1292.0) to classify industry</w:t>
            </w:r>
          </w:p>
          <w:p w:rsidR="00E01646" w:rsidRPr="003320B7" w:rsidRDefault="00E01646" w:rsidP="00E01646">
            <w:pPr>
              <w:numPr>
                <w:ilvl w:val="0"/>
                <w:numId w:val="36"/>
              </w:numPr>
              <w:ind w:left="340" w:hanging="340"/>
              <w:rPr>
                <w:rFonts w:ascii="Arial" w:hAnsi="Arial" w:cs="Arial"/>
                <w:sz w:val="20"/>
                <w:szCs w:val="20"/>
              </w:rPr>
            </w:pPr>
            <w:r w:rsidRPr="003320B7">
              <w:rPr>
                <w:rFonts w:ascii="Arial" w:hAnsi="Arial" w:cs="Arial"/>
                <w:sz w:val="20"/>
                <w:szCs w:val="20"/>
              </w:rPr>
              <w:t>Australian and New Zealand Standard Classification of Occupations (</w:t>
            </w:r>
            <w:proofErr w:type="spellStart"/>
            <w:r w:rsidRPr="003320B7">
              <w:rPr>
                <w:rFonts w:ascii="Arial" w:hAnsi="Arial" w:cs="Arial"/>
                <w:sz w:val="20"/>
                <w:szCs w:val="20"/>
              </w:rPr>
              <w:t>ANZSCO</w:t>
            </w:r>
            <w:proofErr w:type="spellEnd"/>
            <w:r w:rsidRPr="003320B7">
              <w:rPr>
                <w:rFonts w:ascii="Arial" w:hAnsi="Arial" w:cs="Arial"/>
                <w:sz w:val="20"/>
                <w:szCs w:val="20"/>
              </w:rPr>
              <w:t xml:space="preserve">, previously </w:t>
            </w:r>
            <w:proofErr w:type="spellStart"/>
            <w:r w:rsidRPr="003320B7">
              <w:rPr>
                <w:rFonts w:ascii="Arial" w:hAnsi="Arial" w:cs="Arial"/>
                <w:sz w:val="20"/>
                <w:szCs w:val="20"/>
              </w:rPr>
              <w:t>ASCO</w:t>
            </w:r>
            <w:proofErr w:type="spellEnd"/>
            <w:r w:rsidRPr="003320B7">
              <w:rPr>
                <w:rFonts w:ascii="Arial" w:hAnsi="Arial" w:cs="Arial"/>
                <w:sz w:val="20"/>
                <w:szCs w:val="20"/>
              </w:rPr>
              <w:t>) (ABS cat. no. 1220.0) to classify occupation</w:t>
            </w:r>
          </w:p>
          <w:p w:rsidR="00E01646" w:rsidRPr="003320B7" w:rsidRDefault="00E01646" w:rsidP="00E01646">
            <w:pPr>
              <w:numPr>
                <w:ilvl w:val="0"/>
                <w:numId w:val="37"/>
              </w:numPr>
              <w:ind w:left="340" w:hanging="340"/>
              <w:rPr>
                <w:rFonts w:ascii="Arial" w:hAnsi="Arial" w:cs="Arial"/>
                <w:sz w:val="20"/>
                <w:szCs w:val="20"/>
              </w:rPr>
            </w:pPr>
            <w:r w:rsidRPr="003320B7">
              <w:rPr>
                <w:rFonts w:ascii="Arial" w:hAnsi="Arial" w:cs="Arial"/>
                <w:sz w:val="20"/>
                <w:szCs w:val="20"/>
              </w:rPr>
              <w:t>Australian Statistical Geography Standard (</w:t>
            </w:r>
            <w:proofErr w:type="spellStart"/>
            <w:r w:rsidRPr="003320B7">
              <w:rPr>
                <w:rFonts w:ascii="Arial" w:hAnsi="Arial" w:cs="Arial"/>
                <w:sz w:val="20"/>
                <w:szCs w:val="20"/>
              </w:rPr>
              <w:t>ASGS</w:t>
            </w:r>
            <w:proofErr w:type="spellEnd"/>
            <w:r w:rsidRPr="003320B7">
              <w:rPr>
                <w:rFonts w:ascii="Arial" w:hAnsi="Arial" w:cs="Arial"/>
                <w:sz w:val="20"/>
                <w:szCs w:val="20"/>
              </w:rPr>
              <w:t xml:space="preserve">): Volume 5 - Remoteness Structure (ABS cat. </w:t>
            </w:r>
            <w:proofErr w:type="spellStart"/>
            <w:r w:rsidRPr="003320B7">
              <w:rPr>
                <w:rFonts w:ascii="Arial" w:hAnsi="Arial" w:cs="Arial"/>
                <w:sz w:val="20"/>
                <w:szCs w:val="20"/>
              </w:rPr>
              <w:t>no.1270.0.55.005</w:t>
            </w:r>
            <w:proofErr w:type="spellEnd"/>
            <w:r w:rsidRPr="003320B7">
              <w:rPr>
                <w:rFonts w:ascii="Arial" w:hAnsi="Arial" w:cs="Arial"/>
                <w:sz w:val="20"/>
                <w:szCs w:val="20"/>
              </w:rPr>
              <w:t>) together with the Accessibility/Remoteness Index of Australia (ARIA) to classify remoteness.</w:t>
            </w:r>
          </w:p>
          <w:p w:rsidR="0068457F" w:rsidRPr="005970A0" w:rsidRDefault="0068457F" w:rsidP="007D21A0">
            <w:pPr>
              <w:autoSpaceDE w:val="0"/>
              <w:autoSpaceDN w:val="0"/>
              <w:adjustRightInd w:val="0"/>
              <w:spacing w:after="80" w:line="240" w:lineRule="atLeast"/>
              <w:jc w:val="both"/>
              <w:rPr>
                <w:rFonts w:ascii="Arial" w:hAnsi="Arial" w:cs="Arial"/>
                <w:sz w:val="20"/>
                <w:szCs w:val="20"/>
              </w:rPr>
            </w:pPr>
            <w:r w:rsidRPr="005970A0">
              <w:rPr>
                <w:rFonts w:ascii="Arial" w:hAnsi="Arial" w:cs="Arial"/>
                <w:sz w:val="20"/>
                <w:szCs w:val="20"/>
              </w:rPr>
              <w:t>Other standards used include the ABS standard question on:</w:t>
            </w:r>
          </w:p>
          <w:p w:rsidR="0068457F" w:rsidRPr="005970A0" w:rsidRDefault="0068457F" w:rsidP="007D21A0">
            <w:pPr>
              <w:numPr>
                <w:ilvl w:val="0"/>
                <w:numId w:val="19"/>
              </w:numPr>
              <w:tabs>
                <w:tab w:val="clear" w:pos="720"/>
                <w:tab w:val="left" w:pos="222"/>
              </w:tabs>
              <w:ind w:left="222" w:hanging="223"/>
              <w:jc w:val="both"/>
              <w:rPr>
                <w:rFonts w:ascii="Arial" w:hAnsi="Arial" w:cs="Arial"/>
                <w:sz w:val="20"/>
                <w:szCs w:val="20"/>
              </w:rPr>
            </w:pPr>
            <w:r w:rsidRPr="005970A0">
              <w:rPr>
                <w:rFonts w:ascii="Arial" w:hAnsi="Arial" w:cs="Arial"/>
                <w:sz w:val="20"/>
                <w:szCs w:val="20"/>
              </w:rPr>
              <w:t>Indigenous status</w:t>
            </w:r>
          </w:p>
          <w:p w:rsidR="0068457F" w:rsidRPr="005970A0" w:rsidRDefault="0068457F" w:rsidP="007D21A0">
            <w:pPr>
              <w:numPr>
                <w:ilvl w:val="0"/>
                <w:numId w:val="19"/>
              </w:numPr>
              <w:tabs>
                <w:tab w:val="clear" w:pos="720"/>
                <w:tab w:val="left" w:pos="222"/>
              </w:tabs>
              <w:ind w:left="222" w:hanging="223"/>
              <w:jc w:val="both"/>
              <w:rPr>
                <w:rFonts w:ascii="Arial" w:hAnsi="Arial" w:cs="Arial"/>
                <w:sz w:val="20"/>
                <w:szCs w:val="20"/>
              </w:rPr>
            </w:pPr>
            <w:r w:rsidRPr="005970A0">
              <w:rPr>
                <w:rFonts w:ascii="Arial" w:hAnsi="Arial" w:cs="Arial"/>
                <w:sz w:val="20"/>
                <w:szCs w:val="20"/>
              </w:rPr>
              <w:t>Country of birth</w:t>
            </w:r>
          </w:p>
          <w:p w:rsidR="0068457F" w:rsidRPr="005970A0" w:rsidRDefault="0068457F" w:rsidP="007D21A0">
            <w:pPr>
              <w:numPr>
                <w:ilvl w:val="0"/>
                <w:numId w:val="19"/>
              </w:numPr>
              <w:tabs>
                <w:tab w:val="clear" w:pos="720"/>
                <w:tab w:val="left" w:pos="222"/>
              </w:tabs>
              <w:ind w:left="222" w:hanging="223"/>
              <w:jc w:val="both"/>
              <w:rPr>
                <w:rFonts w:ascii="Arial" w:hAnsi="Arial" w:cs="Arial"/>
                <w:sz w:val="20"/>
                <w:szCs w:val="20"/>
                <w:u w:val="single"/>
              </w:rPr>
            </w:pPr>
            <w:r w:rsidRPr="005970A0">
              <w:rPr>
                <w:rFonts w:ascii="Arial" w:hAnsi="Arial" w:cs="Arial"/>
                <w:sz w:val="20"/>
                <w:szCs w:val="20"/>
              </w:rPr>
              <w:t>Main Language Other than English Spoken at Home</w:t>
            </w:r>
          </w:p>
          <w:p w:rsidR="0068457F" w:rsidRPr="00582952" w:rsidRDefault="0068457F" w:rsidP="007D21A0">
            <w:pPr>
              <w:numPr>
                <w:ilvl w:val="0"/>
                <w:numId w:val="19"/>
              </w:numPr>
              <w:tabs>
                <w:tab w:val="clear" w:pos="720"/>
                <w:tab w:val="left" w:pos="222"/>
              </w:tabs>
              <w:ind w:left="222" w:hanging="223"/>
              <w:jc w:val="both"/>
              <w:rPr>
                <w:rFonts w:ascii="Arial" w:hAnsi="Arial" w:cs="Arial"/>
                <w:sz w:val="20"/>
                <w:szCs w:val="20"/>
                <w:u w:val="single"/>
              </w:rPr>
            </w:pPr>
            <w:r w:rsidRPr="005970A0">
              <w:rPr>
                <w:rFonts w:ascii="Arial" w:hAnsi="Arial" w:cs="Arial"/>
                <w:sz w:val="20"/>
                <w:szCs w:val="20"/>
              </w:rPr>
              <w:t>Labour force status</w:t>
            </w:r>
          </w:p>
          <w:p w:rsidR="00582952" w:rsidRPr="00582952" w:rsidRDefault="00582952" w:rsidP="00EC5E2C">
            <w:pPr>
              <w:tabs>
                <w:tab w:val="left" w:pos="222"/>
              </w:tabs>
              <w:spacing w:before="120"/>
              <w:jc w:val="both"/>
              <w:rPr>
                <w:rFonts w:ascii="Arial" w:hAnsi="Arial" w:cs="Arial"/>
                <w:sz w:val="20"/>
                <w:szCs w:val="20"/>
              </w:rPr>
            </w:pPr>
            <w:r w:rsidRPr="00582952">
              <w:rPr>
                <w:rFonts w:ascii="Arial" w:hAnsi="Arial" w:cs="Arial"/>
                <w:sz w:val="20"/>
                <w:szCs w:val="20"/>
              </w:rPr>
              <w:lastRenderedPageBreak/>
              <w:t>Student remoteness is based on the Access/Remoteness Index of Australia (ARIA+), which was developed by the National Centre for Social Applications of Geographic Information Systems (</w:t>
            </w:r>
            <w:proofErr w:type="spellStart"/>
            <w:r w:rsidRPr="00582952">
              <w:rPr>
                <w:rFonts w:ascii="Arial" w:hAnsi="Arial" w:cs="Arial"/>
                <w:sz w:val="20"/>
                <w:szCs w:val="20"/>
              </w:rPr>
              <w:t>GISCA</w:t>
            </w:r>
            <w:proofErr w:type="spellEnd"/>
            <w:r w:rsidRPr="00582952">
              <w:rPr>
                <w:rFonts w:ascii="Arial" w:hAnsi="Arial" w:cs="Arial"/>
                <w:sz w:val="20"/>
                <w:szCs w:val="20"/>
              </w:rPr>
              <w:t xml:space="preserve">). ARIA+ is now the standard ABS-endorsed measure of remoteness. From 2012, Student remoteness (ARIA+) is determined from ARIA+ remoteness regions and ABS </w:t>
            </w:r>
            <w:proofErr w:type="spellStart"/>
            <w:r w:rsidRPr="00582952">
              <w:rPr>
                <w:rFonts w:ascii="Arial" w:hAnsi="Arial" w:cs="Arial"/>
                <w:sz w:val="20"/>
                <w:szCs w:val="20"/>
              </w:rPr>
              <w:t>SA2</w:t>
            </w:r>
            <w:proofErr w:type="spellEnd"/>
            <w:r w:rsidRPr="00582952">
              <w:rPr>
                <w:rFonts w:ascii="Arial" w:hAnsi="Arial" w:cs="Arial"/>
                <w:sz w:val="20"/>
                <w:szCs w:val="20"/>
              </w:rPr>
              <w:t xml:space="preserve"> regions. Data prior to 2012 is based on ABS postal areas and ARIA+. Student remoteness (ARIA+) regions use the same ARIA+ ranges as the ABS remoteness areas and are therefore an approximation of the ABS remoteness areas. For more details of ARIA+ refer to &lt;</w:t>
            </w:r>
            <w:r w:rsidRPr="00D86CD7">
              <w:rPr>
                <w:rFonts w:ascii="Arial" w:hAnsi="Arial" w:cs="Arial"/>
                <w:sz w:val="20"/>
                <w:szCs w:val="20"/>
              </w:rPr>
              <w:t>www.adelaide.edu.au/apmrc/research/projects/category/about_aria.html</w:t>
            </w:r>
            <w:r w:rsidRPr="00582952">
              <w:rPr>
                <w:rFonts w:ascii="Arial" w:hAnsi="Arial" w:cs="Arial"/>
                <w:sz w:val="20"/>
                <w:szCs w:val="20"/>
              </w:rPr>
              <w:t>&gt;</w:t>
            </w:r>
          </w:p>
          <w:p w:rsidR="00582952" w:rsidRPr="005970A0" w:rsidRDefault="00582952" w:rsidP="00582952">
            <w:pPr>
              <w:tabs>
                <w:tab w:val="left" w:pos="222"/>
              </w:tabs>
              <w:ind w:left="-1"/>
              <w:jc w:val="both"/>
              <w:rPr>
                <w:rFonts w:ascii="Arial" w:hAnsi="Arial" w:cs="Arial"/>
                <w:sz w:val="20"/>
                <w:szCs w:val="20"/>
                <w:u w:val="single"/>
              </w:rPr>
            </w:pPr>
          </w:p>
        </w:tc>
      </w:tr>
      <w:tr w:rsidR="005970A0" w:rsidRPr="005970A0" w:rsidTr="00395EF2">
        <w:tc>
          <w:tcPr>
            <w:tcW w:w="5000" w:type="pct"/>
            <w:gridSpan w:val="2"/>
            <w:shd w:val="clear" w:color="auto" w:fill="auto"/>
          </w:tcPr>
          <w:p w:rsidR="0068457F" w:rsidRPr="005970A0" w:rsidRDefault="0068457F" w:rsidP="006E0702">
            <w:pPr>
              <w:pStyle w:val="TableBodyText"/>
              <w:jc w:val="both"/>
              <w:rPr>
                <w:rFonts w:cs="Arial"/>
                <w:b/>
                <w:u w:val="single"/>
              </w:rPr>
            </w:pPr>
            <w:r w:rsidRPr="005970A0">
              <w:rPr>
                <w:rFonts w:cs="Arial"/>
                <w:b/>
                <w:u w:val="single"/>
              </w:rPr>
              <w:lastRenderedPageBreak/>
              <w:t>Data Gaps/Issues Analysis</w:t>
            </w:r>
          </w:p>
        </w:tc>
      </w:tr>
      <w:tr w:rsidR="008F7987" w:rsidRPr="005970A0" w:rsidTr="007C0724">
        <w:tc>
          <w:tcPr>
            <w:tcW w:w="922" w:type="pct"/>
            <w:shd w:val="clear" w:color="auto" w:fill="auto"/>
          </w:tcPr>
          <w:p w:rsidR="008F7987" w:rsidRPr="005970A0" w:rsidRDefault="008F7987" w:rsidP="007C0724">
            <w:pPr>
              <w:pStyle w:val="TableBodyText"/>
              <w:jc w:val="both"/>
              <w:rPr>
                <w:b/>
              </w:rPr>
            </w:pPr>
            <w:r w:rsidRPr="005970A0">
              <w:rPr>
                <w:b/>
              </w:rPr>
              <w:t>Key data gaps/ issues</w:t>
            </w:r>
          </w:p>
        </w:tc>
        <w:tc>
          <w:tcPr>
            <w:tcW w:w="4078" w:type="pct"/>
            <w:shd w:val="clear" w:color="auto" w:fill="auto"/>
          </w:tcPr>
          <w:p w:rsidR="008F7987" w:rsidRPr="005970A0" w:rsidRDefault="008F7987" w:rsidP="007C0724">
            <w:pPr>
              <w:pStyle w:val="TableBodyText"/>
              <w:spacing w:after="120"/>
              <w:jc w:val="both"/>
              <w:rPr>
                <w:rFonts w:cs="Arial"/>
              </w:rPr>
            </w:pPr>
            <w:r w:rsidRPr="005970A0">
              <w:rPr>
                <w:rFonts w:cs="Arial"/>
              </w:rPr>
              <w:t xml:space="preserve">The Steering Committee notes the following key data gaps/issues: </w:t>
            </w:r>
          </w:p>
          <w:p w:rsidR="008F7987" w:rsidRPr="005970A0" w:rsidRDefault="008F7987" w:rsidP="00302802">
            <w:pPr>
              <w:pStyle w:val="TableBullet"/>
              <w:tabs>
                <w:tab w:val="clear" w:pos="170"/>
                <w:tab w:val="num" w:pos="222"/>
              </w:tabs>
              <w:spacing w:after="60"/>
              <w:ind w:left="222" w:hanging="222"/>
              <w:jc w:val="both"/>
              <w:rPr>
                <w:rFonts w:cs="Arial"/>
              </w:rPr>
            </w:pPr>
            <w:r w:rsidRPr="005970A0">
              <w:rPr>
                <w:rFonts w:cs="Arial"/>
              </w:rPr>
              <w:t>Annual data are available from the Student Outcomes Survey. The most recent available data are for 201</w:t>
            </w:r>
            <w:r w:rsidR="00063E84">
              <w:rPr>
                <w:rFonts w:cs="Arial"/>
              </w:rPr>
              <w:t>2</w:t>
            </w:r>
            <w:r w:rsidRPr="005970A0">
              <w:rPr>
                <w:rFonts w:cs="Arial"/>
              </w:rPr>
              <w:t xml:space="preserve"> (outcomes of students in 201</w:t>
            </w:r>
            <w:r w:rsidR="00063E84">
              <w:rPr>
                <w:rFonts w:cs="Arial"/>
              </w:rPr>
              <w:t>2</w:t>
            </w:r>
            <w:r w:rsidRPr="005970A0">
              <w:rPr>
                <w:rFonts w:cs="Arial"/>
              </w:rPr>
              <w:t xml:space="preserve"> who completed qualifications in 201</w:t>
            </w:r>
            <w:r w:rsidR="00063E84">
              <w:rPr>
                <w:rFonts w:cs="Arial"/>
              </w:rPr>
              <w:t>1</w:t>
            </w:r>
            <w:r w:rsidRPr="005970A0">
              <w:rPr>
                <w:rFonts w:cs="Arial"/>
              </w:rPr>
              <w:t>)</w:t>
            </w:r>
          </w:p>
          <w:p w:rsidR="008F7987" w:rsidRPr="005970A0" w:rsidRDefault="008F7987" w:rsidP="00302802">
            <w:pPr>
              <w:pStyle w:val="TableBullet"/>
              <w:tabs>
                <w:tab w:val="clear" w:pos="170"/>
                <w:tab w:val="num" w:pos="222"/>
              </w:tabs>
              <w:spacing w:after="60"/>
              <w:ind w:left="222" w:hanging="222"/>
              <w:jc w:val="both"/>
              <w:rPr>
                <w:rFonts w:cs="Arial"/>
              </w:rPr>
            </w:pPr>
            <w:r w:rsidRPr="005970A0">
              <w:rPr>
                <w:rFonts w:cs="Arial"/>
              </w:rPr>
              <w:t xml:space="preserve">The response rate to this survey was </w:t>
            </w:r>
            <w:r w:rsidR="003B6FF3">
              <w:rPr>
                <w:rFonts w:cs="Arial"/>
              </w:rPr>
              <w:t>47.0</w:t>
            </w:r>
            <w:r w:rsidRPr="005970A0">
              <w:rPr>
                <w:rFonts w:cs="Arial"/>
              </w:rPr>
              <w:t xml:space="preserve"> per cent in 201</w:t>
            </w:r>
            <w:r w:rsidR="00063E84">
              <w:rPr>
                <w:rFonts w:cs="Arial"/>
              </w:rPr>
              <w:t>2</w:t>
            </w:r>
            <w:r w:rsidRPr="005970A0">
              <w:rPr>
                <w:rFonts w:cs="Arial"/>
              </w:rPr>
              <w:t xml:space="preserve">. </w:t>
            </w:r>
            <w:proofErr w:type="spellStart"/>
            <w:r w:rsidRPr="005970A0">
              <w:rPr>
                <w:rFonts w:cs="Arial"/>
              </w:rPr>
              <w:t>NCVER</w:t>
            </w:r>
            <w:proofErr w:type="spellEnd"/>
            <w:r w:rsidRPr="005970A0">
              <w:rPr>
                <w:rFonts w:cs="Arial"/>
              </w:rPr>
              <w:t xml:space="preserve"> analysis found that the non-response was not likely to have affected the quality of the results.</w:t>
            </w:r>
          </w:p>
          <w:p w:rsidR="008F7987" w:rsidRPr="005970A0" w:rsidRDefault="008F7987" w:rsidP="00302802">
            <w:pPr>
              <w:pStyle w:val="TableBullet"/>
              <w:tabs>
                <w:tab w:val="clear" w:pos="170"/>
                <w:tab w:val="num" w:pos="222"/>
              </w:tabs>
              <w:spacing w:after="60"/>
              <w:ind w:left="222" w:hanging="222"/>
              <w:jc w:val="both"/>
              <w:rPr>
                <w:rFonts w:cs="Arial"/>
              </w:rPr>
            </w:pPr>
            <w:r w:rsidRPr="005970A0">
              <w:rPr>
                <w:rFonts w:cs="Arial"/>
              </w:rPr>
              <w:t xml:space="preserve">Data are of acceptable accuracy at the national level, but some data disaggregated by Indigenous status by State and Territory have relative standard errors greater than 25 per cent and should be used with caution. </w:t>
            </w:r>
          </w:p>
          <w:p w:rsidR="008F7987" w:rsidRPr="005970A0" w:rsidRDefault="008F7987" w:rsidP="00302802">
            <w:pPr>
              <w:pStyle w:val="TableBullet"/>
              <w:keepNext w:val="0"/>
              <w:keepLines w:val="0"/>
              <w:tabs>
                <w:tab w:val="clear" w:pos="170"/>
                <w:tab w:val="num" w:pos="222"/>
              </w:tabs>
              <w:spacing w:after="60" w:line="240" w:lineRule="auto"/>
              <w:ind w:left="222" w:right="0" w:hanging="222"/>
              <w:jc w:val="both"/>
              <w:rPr>
                <w:rFonts w:cs="Arial"/>
              </w:rPr>
            </w:pPr>
            <w:r w:rsidRPr="005970A0">
              <w:rPr>
                <w:rFonts w:cs="Arial"/>
              </w:rPr>
              <w:t>Percentages in tables are rounded and may not sum to 100.</w:t>
            </w:r>
          </w:p>
          <w:p w:rsidR="008F7987" w:rsidRPr="005970A0" w:rsidRDefault="008F7987" w:rsidP="00302802">
            <w:pPr>
              <w:pStyle w:val="TableBullet"/>
              <w:tabs>
                <w:tab w:val="clear" w:pos="170"/>
                <w:tab w:val="num" w:pos="222"/>
              </w:tabs>
              <w:spacing w:after="60"/>
              <w:ind w:left="222" w:hanging="222"/>
              <w:jc w:val="both"/>
            </w:pPr>
            <w:r w:rsidRPr="005970A0">
              <w:t xml:space="preserve">The size of the </w:t>
            </w:r>
            <w:proofErr w:type="spellStart"/>
            <w:r w:rsidRPr="005970A0">
              <w:t>RSEs</w:t>
            </w:r>
            <w:proofErr w:type="spellEnd"/>
            <w:r w:rsidRPr="005970A0">
              <w:t xml:space="preserve"> affects the ability to identify small year to year movements in some disaggregated measures for this indicator for some jurisdictions.</w:t>
            </w:r>
          </w:p>
        </w:tc>
      </w:tr>
    </w:tbl>
    <w:p w:rsidR="008F7987" w:rsidRPr="005970A0" w:rsidRDefault="008F7987" w:rsidP="000D4A50">
      <w:pPr>
        <w:pStyle w:val="Heading3"/>
        <w:spacing w:before="240"/>
      </w:pPr>
    </w:p>
    <w:p w:rsidR="00055D1F" w:rsidRPr="005970A0" w:rsidRDefault="0068457F" w:rsidP="000D4A50">
      <w:pPr>
        <w:pStyle w:val="Heading3"/>
        <w:spacing w:before="240"/>
      </w:pPr>
      <w:r w:rsidRPr="005970A0">
        <w:br w:type="page"/>
      </w:r>
    </w:p>
    <w:p w:rsidR="0068457F" w:rsidRPr="005970A0" w:rsidRDefault="0068457F" w:rsidP="00D21520">
      <w:pPr>
        <w:pStyle w:val="Heading3"/>
        <w:spacing w:before="120"/>
      </w:pPr>
      <w:bookmarkStart w:id="25" w:name="_Toc370472622"/>
      <w:r w:rsidRPr="005970A0">
        <w:lastRenderedPageBreak/>
        <w:t>Student employment and further study outcomes — proportion of graduates employed after completing their course who were unemployed before the course</w:t>
      </w:r>
      <w:bookmarkEnd w:id="25"/>
      <w:r w:rsidRPr="005970A0">
        <w:t xml:space="preserve"> </w:t>
      </w:r>
    </w:p>
    <w:p w:rsidR="0068457F" w:rsidRPr="005970A0" w:rsidRDefault="0068457F" w:rsidP="006E0702">
      <w:pPr>
        <w:pStyle w:val="Box"/>
      </w:pPr>
      <w:r w:rsidRPr="005970A0">
        <w:t>Data quality information for this indicator has been drafted by the National Centre for Vocational Education Research (</w:t>
      </w:r>
      <w:proofErr w:type="spellStart"/>
      <w:r w:rsidRPr="005970A0">
        <w:t>NCVER</w:t>
      </w:r>
      <w:proofErr w:type="spellEnd"/>
      <w:r w:rsidRPr="005970A0">
        <w:t>)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395EF2">
        <w:tc>
          <w:tcPr>
            <w:tcW w:w="5000" w:type="pct"/>
            <w:gridSpan w:val="2"/>
          </w:tcPr>
          <w:p w:rsidR="0068457F" w:rsidRPr="005970A0" w:rsidRDefault="0068457F" w:rsidP="006E0702">
            <w:pPr>
              <w:pStyle w:val="TableBodyText"/>
              <w:jc w:val="both"/>
              <w:rPr>
                <w:b/>
                <w:u w:val="single"/>
              </w:rPr>
            </w:pPr>
          </w:p>
          <w:p w:rsidR="0068457F" w:rsidRPr="005970A0" w:rsidRDefault="0068457F" w:rsidP="006E0702">
            <w:pPr>
              <w:pStyle w:val="TableBodyText"/>
              <w:jc w:val="both"/>
            </w:pPr>
            <w:r w:rsidRPr="005970A0">
              <w:rPr>
                <w:b/>
                <w:u w:val="single"/>
              </w:rPr>
              <w:t>Indicator definition and description</w:t>
            </w:r>
            <w:r w:rsidRPr="005970A0">
              <w:rPr>
                <w:rFonts w:cs="Arial"/>
                <w:b/>
                <w:sz w:val="22"/>
                <w:szCs w:val="22"/>
                <w:u w:val="single"/>
              </w:rPr>
              <w:t xml:space="preserve"> </w:t>
            </w:r>
          </w:p>
        </w:tc>
      </w:tr>
      <w:tr w:rsidR="005970A0" w:rsidRPr="005970A0" w:rsidTr="00395EF2">
        <w:tc>
          <w:tcPr>
            <w:tcW w:w="922" w:type="pct"/>
          </w:tcPr>
          <w:p w:rsidR="0068457F" w:rsidRPr="005970A0" w:rsidRDefault="0068457F" w:rsidP="006E0702">
            <w:pPr>
              <w:pStyle w:val="TableBodyText"/>
              <w:jc w:val="both"/>
              <w:rPr>
                <w:b/>
              </w:rPr>
            </w:pPr>
            <w:r w:rsidRPr="005970A0">
              <w:rPr>
                <w:b/>
              </w:rPr>
              <w:t>Element</w:t>
            </w:r>
          </w:p>
        </w:tc>
        <w:tc>
          <w:tcPr>
            <w:tcW w:w="4078" w:type="pct"/>
          </w:tcPr>
          <w:p w:rsidR="0068457F" w:rsidRPr="005970A0" w:rsidRDefault="0068457F" w:rsidP="006E0702">
            <w:pPr>
              <w:pStyle w:val="TableBodyText"/>
              <w:jc w:val="both"/>
            </w:pPr>
            <w:r w:rsidRPr="005970A0">
              <w:t>Outcomes</w:t>
            </w:r>
          </w:p>
        </w:tc>
      </w:tr>
      <w:tr w:rsidR="005970A0" w:rsidRPr="005970A0" w:rsidTr="00395EF2">
        <w:tc>
          <w:tcPr>
            <w:tcW w:w="922" w:type="pct"/>
          </w:tcPr>
          <w:p w:rsidR="0068457F" w:rsidRPr="005970A0" w:rsidRDefault="0068457F" w:rsidP="006E0702">
            <w:pPr>
              <w:pStyle w:val="TableBodyText"/>
              <w:jc w:val="both"/>
              <w:rPr>
                <w:b/>
              </w:rPr>
            </w:pPr>
            <w:r w:rsidRPr="005970A0">
              <w:rPr>
                <w:b/>
              </w:rPr>
              <w:t>Indicator</w:t>
            </w:r>
          </w:p>
        </w:tc>
        <w:tc>
          <w:tcPr>
            <w:tcW w:w="4078" w:type="pct"/>
          </w:tcPr>
          <w:p w:rsidR="0068457F" w:rsidRPr="005970A0" w:rsidRDefault="0068457F" w:rsidP="006E0702">
            <w:pPr>
              <w:pStyle w:val="TableBodyText"/>
              <w:jc w:val="both"/>
            </w:pPr>
            <w:r w:rsidRPr="005970A0">
              <w:t>Student employment and further study outcomes</w:t>
            </w:r>
          </w:p>
        </w:tc>
      </w:tr>
      <w:tr w:rsidR="005970A0" w:rsidRPr="005970A0" w:rsidTr="00395EF2">
        <w:tc>
          <w:tcPr>
            <w:tcW w:w="922" w:type="pct"/>
          </w:tcPr>
          <w:p w:rsidR="0068457F" w:rsidRPr="005970A0" w:rsidRDefault="0068457F" w:rsidP="006E0702">
            <w:pPr>
              <w:pStyle w:val="TableBodyText"/>
              <w:jc w:val="both"/>
              <w:rPr>
                <w:b/>
              </w:rPr>
            </w:pPr>
            <w:r w:rsidRPr="005970A0">
              <w:rPr>
                <w:b/>
              </w:rPr>
              <w:t>Measure (computation)</w:t>
            </w:r>
          </w:p>
        </w:tc>
        <w:tc>
          <w:tcPr>
            <w:tcW w:w="4078" w:type="pct"/>
          </w:tcPr>
          <w:p w:rsidR="0068457F" w:rsidRPr="005970A0" w:rsidRDefault="0068457F" w:rsidP="006E0702">
            <w:pPr>
              <w:pStyle w:val="TableBodyText"/>
              <w:jc w:val="both"/>
            </w:pPr>
            <w:r w:rsidRPr="005970A0">
              <w:rPr>
                <w:u w:val="single"/>
              </w:rPr>
              <w:t>Definition</w:t>
            </w:r>
          </w:p>
          <w:p w:rsidR="0068457F" w:rsidRPr="005970A0" w:rsidRDefault="0068457F" w:rsidP="006E0702">
            <w:pPr>
              <w:pStyle w:val="TableBodyText"/>
              <w:keepNext w:val="0"/>
              <w:keepLines w:val="0"/>
              <w:autoSpaceDE w:val="0"/>
              <w:autoSpaceDN w:val="0"/>
              <w:adjustRightInd w:val="0"/>
              <w:spacing w:after="120" w:line="240" w:lineRule="atLeast"/>
              <w:ind w:left="0" w:right="0"/>
              <w:jc w:val="both"/>
            </w:pPr>
            <w:r w:rsidRPr="005970A0">
              <w:t>The proportion of graduates employed after completing their course who were unemployed before the course.</w:t>
            </w:r>
          </w:p>
          <w:p w:rsidR="0068457F" w:rsidRPr="005970A0" w:rsidRDefault="0068457F" w:rsidP="006E0702">
            <w:pPr>
              <w:pStyle w:val="TableBodyText"/>
              <w:jc w:val="both"/>
              <w:rPr>
                <w:u w:val="single"/>
              </w:rPr>
            </w:pPr>
            <w:r w:rsidRPr="005970A0">
              <w:rPr>
                <w:u w:val="single"/>
              </w:rPr>
              <w:t>Numerator/s</w:t>
            </w:r>
          </w:p>
          <w:p w:rsidR="0068457F" w:rsidRPr="005970A0" w:rsidRDefault="0068457F" w:rsidP="006E0702">
            <w:pPr>
              <w:pStyle w:val="TableBodyText"/>
              <w:keepNext w:val="0"/>
              <w:keepLines w:val="0"/>
              <w:autoSpaceDE w:val="0"/>
              <w:autoSpaceDN w:val="0"/>
              <w:adjustRightInd w:val="0"/>
              <w:spacing w:after="120" w:line="240" w:lineRule="atLeast"/>
              <w:ind w:left="0" w:right="0"/>
              <w:jc w:val="both"/>
            </w:pPr>
            <w:r w:rsidRPr="005970A0">
              <w:t>Number of graduates employed on the last Friday in May of the nominated year who were unemployed prior to commencing their training, and who completed their training during the year prior to the nominated year.</w:t>
            </w:r>
          </w:p>
          <w:p w:rsidR="0068457F" w:rsidRPr="005970A0" w:rsidRDefault="0068457F" w:rsidP="006E0702">
            <w:pPr>
              <w:pStyle w:val="TableBodyText"/>
              <w:jc w:val="both"/>
              <w:rPr>
                <w:u w:val="single"/>
              </w:rPr>
            </w:pPr>
            <w:r w:rsidRPr="005970A0">
              <w:rPr>
                <w:u w:val="single"/>
              </w:rPr>
              <w:t>Denominator/s</w:t>
            </w:r>
          </w:p>
          <w:p w:rsidR="0068457F" w:rsidRPr="005970A0" w:rsidRDefault="0068457F" w:rsidP="006E0702">
            <w:pPr>
              <w:pStyle w:val="TableBodyText"/>
              <w:keepNext w:val="0"/>
              <w:keepLines w:val="0"/>
              <w:autoSpaceDE w:val="0"/>
              <w:autoSpaceDN w:val="0"/>
              <w:adjustRightInd w:val="0"/>
              <w:spacing w:after="120" w:line="240" w:lineRule="atLeast"/>
              <w:ind w:left="0" w:right="0"/>
              <w:jc w:val="both"/>
            </w:pPr>
            <w:r w:rsidRPr="005970A0">
              <w:t>Number of graduates who completed their training during the year prior to the nominated year, who were unemployed prior to commencing their training.</w:t>
            </w:r>
          </w:p>
          <w:p w:rsidR="0068457F" w:rsidRPr="005970A0" w:rsidRDefault="0068457F" w:rsidP="006E0702">
            <w:pPr>
              <w:pStyle w:val="TableBodyText"/>
              <w:jc w:val="both"/>
            </w:pPr>
            <w:r w:rsidRPr="005970A0">
              <w:rPr>
                <w:u w:val="single"/>
              </w:rPr>
              <w:t>Computation/s</w:t>
            </w:r>
            <w:r w:rsidRPr="005970A0">
              <w:t>:</w:t>
            </w:r>
          </w:p>
          <w:p w:rsidR="0068457F" w:rsidRPr="005970A0" w:rsidRDefault="0068457F" w:rsidP="006E0702">
            <w:pPr>
              <w:pStyle w:val="TableBodyText"/>
              <w:keepNext w:val="0"/>
              <w:keepLines w:val="0"/>
              <w:autoSpaceDE w:val="0"/>
              <w:autoSpaceDN w:val="0"/>
              <w:adjustRightInd w:val="0"/>
              <w:spacing w:after="120" w:line="240" w:lineRule="atLeast"/>
              <w:ind w:left="0" w:right="0"/>
              <w:jc w:val="both"/>
            </w:pPr>
            <w:r w:rsidRPr="005970A0">
              <w:t>Numerator (above) divide</w:t>
            </w:r>
            <w:r w:rsidR="003B11B3" w:rsidRPr="005970A0">
              <w:t>d by denominator (above).</w:t>
            </w:r>
          </w:p>
          <w:p w:rsidR="0068457F" w:rsidRPr="005970A0" w:rsidRDefault="0068457F" w:rsidP="006E0702">
            <w:pPr>
              <w:pStyle w:val="TableBodyText"/>
              <w:keepNext w:val="0"/>
              <w:keepLines w:val="0"/>
              <w:autoSpaceDE w:val="0"/>
              <w:autoSpaceDN w:val="0"/>
              <w:adjustRightInd w:val="0"/>
              <w:spacing w:after="120" w:line="240" w:lineRule="atLeast"/>
              <w:ind w:left="0" w:right="0"/>
              <w:jc w:val="both"/>
            </w:pPr>
            <w:r w:rsidRPr="005970A0">
              <w:t>‘Graduate’ is defined as a past student who was awarded a qualification from a VET provider in Australia.</w:t>
            </w:r>
          </w:p>
        </w:tc>
      </w:tr>
      <w:tr w:rsidR="005970A0" w:rsidRPr="005970A0" w:rsidTr="00395EF2">
        <w:tc>
          <w:tcPr>
            <w:tcW w:w="922" w:type="pct"/>
          </w:tcPr>
          <w:p w:rsidR="0068457F" w:rsidRPr="005970A0" w:rsidRDefault="0068457F" w:rsidP="006E0702">
            <w:pPr>
              <w:pStyle w:val="TableBodyText"/>
              <w:jc w:val="both"/>
              <w:rPr>
                <w:b/>
              </w:rPr>
            </w:pPr>
            <w:r w:rsidRPr="005970A0">
              <w:rPr>
                <w:b/>
              </w:rPr>
              <w:t>Data source/s</w:t>
            </w:r>
          </w:p>
        </w:tc>
        <w:tc>
          <w:tcPr>
            <w:tcW w:w="4078" w:type="pct"/>
          </w:tcPr>
          <w:p w:rsidR="0068457F" w:rsidRPr="005970A0" w:rsidRDefault="0068457F" w:rsidP="006E0702">
            <w:pPr>
              <w:pStyle w:val="TableBodyText"/>
              <w:keepNext w:val="0"/>
              <w:keepLines w:val="0"/>
              <w:autoSpaceDE w:val="0"/>
              <w:autoSpaceDN w:val="0"/>
              <w:adjustRightInd w:val="0"/>
              <w:spacing w:after="120" w:line="240" w:lineRule="atLeast"/>
              <w:ind w:left="0" w:right="0"/>
              <w:jc w:val="both"/>
            </w:pPr>
            <w:r w:rsidRPr="005970A0">
              <w:t xml:space="preserve">All data are derived from the </w:t>
            </w:r>
            <w:r w:rsidRPr="005970A0">
              <w:rPr>
                <w:i/>
              </w:rPr>
              <w:t>Student Outcomes Survey</w:t>
            </w:r>
            <w:r w:rsidRPr="005970A0">
              <w:t xml:space="preserve"> (SOS), which is an annual survey of students who successfully complete VET in Australia. This survey is conducted by the </w:t>
            </w:r>
            <w:proofErr w:type="spellStart"/>
            <w:r w:rsidRPr="005970A0">
              <w:t>NCVER</w:t>
            </w:r>
            <w:proofErr w:type="spellEnd"/>
            <w:r w:rsidRPr="005970A0">
              <w:t>.</w:t>
            </w:r>
          </w:p>
          <w:p w:rsidR="0068457F" w:rsidRPr="005970A0" w:rsidRDefault="0068457F" w:rsidP="006E0702">
            <w:pPr>
              <w:pStyle w:val="TableBodyText"/>
              <w:keepNext w:val="0"/>
              <w:keepLines w:val="0"/>
              <w:autoSpaceDE w:val="0"/>
              <w:autoSpaceDN w:val="0"/>
              <w:adjustRightInd w:val="0"/>
              <w:spacing w:after="120" w:line="240" w:lineRule="atLeast"/>
              <w:ind w:left="0" w:right="0"/>
              <w:jc w:val="both"/>
            </w:pPr>
            <w:r w:rsidRPr="005970A0">
              <w:t>The sample for the survey is drawn from the National VET Provider Collection.</w:t>
            </w:r>
          </w:p>
        </w:tc>
      </w:tr>
      <w:tr w:rsidR="0068457F" w:rsidRPr="005970A0" w:rsidTr="00395EF2">
        <w:tc>
          <w:tcPr>
            <w:tcW w:w="5000" w:type="pct"/>
            <w:gridSpan w:val="2"/>
          </w:tcPr>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C736D5">
              <w:tc>
                <w:tcPr>
                  <w:tcW w:w="5000" w:type="pct"/>
                  <w:gridSpan w:val="2"/>
                </w:tcPr>
                <w:p w:rsidR="00C736D5" w:rsidRPr="005970A0" w:rsidRDefault="00C736D5" w:rsidP="00C736D5">
                  <w:pPr>
                    <w:pStyle w:val="TableBodyText"/>
                    <w:jc w:val="both"/>
                    <w:rPr>
                      <w:b/>
                      <w:u w:val="single"/>
                    </w:rPr>
                  </w:pPr>
                </w:p>
                <w:p w:rsidR="00C736D5" w:rsidRPr="005970A0" w:rsidRDefault="00C736D5" w:rsidP="00C736D5">
                  <w:pPr>
                    <w:pStyle w:val="TableBodyText"/>
                    <w:jc w:val="both"/>
                    <w:rPr>
                      <w:b/>
                      <w:u w:val="single"/>
                    </w:rPr>
                  </w:pPr>
                  <w:r w:rsidRPr="005970A0">
                    <w:rPr>
                      <w:b/>
                      <w:u w:val="single"/>
                    </w:rPr>
                    <w:t>Data Quality Framework Dimensions</w:t>
                  </w:r>
                </w:p>
              </w:tc>
            </w:tr>
            <w:tr w:rsidR="005970A0" w:rsidRPr="005970A0" w:rsidTr="00C736D5">
              <w:tc>
                <w:tcPr>
                  <w:tcW w:w="922" w:type="pct"/>
                </w:tcPr>
                <w:p w:rsidR="00C736D5" w:rsidRPr="005970A0" w:rsidRDefault="00C736D5" w:rsidP="00C736D5">
                  <w:pPr>
                    <w:pStyle w:val="TableBodyText"/>
                    <w:jc w:val="both"/>
                    <w:rPr>
                      <w:rFonts w:cs="Arial"/>
                      <w:b/>
                    </w:rPr>
                  </w:pPr>
                  <w:r w:rsidRPr="005970A0">
                    <w:rPr>
                      <w:rFonts w:cs="Arial"/>
                      <w:b/>
                    </w:rPr>
                    <w:t>Institutional environment</w:t>
                  </w:r>
                </w:p>
              </w:tc>
              <w:tc>
                <w:tcPr>
                  <w:tcW w:w="4078" w:type="pct"/>
                </w:tcPr>
                <w:p w:rsidR="00C736D5" w:rsidRPr="005970A0" w:rsidRDefault="00C736D5" w:rsidP="00C736D5">
                  <w:pPr>
                    <w:pStyle w:val="TableBodyText"/>
                    <w:keepNext w:val="0"/>
                    <w:keepLines w:val="0"/>
                    <w:autoSpaceDE w:val="0"/>
                    <w:autoSpaceDN w:val="0"/>
                    <w:adjustRightInd w:val="0"/>
                    <w:spacing w:after="120" w:line="240" w:lineRule="atLeast"/>
                    <w:ind w:left="0" w:right="0"/>
                    <w:jc w:val="left"/>
                  </w:pPr>
                  <w:r w:rsidRPr="005970A0">
                    <w:t>The National Centre for Vocational Education Research (</w:t>
                  </w:r>
                  <w:proofErr w:type="spellStart"/>
                  <w:r w:rsidRPr="005970A0">
                    <w:t>NCVER</w:t>
                  </w:r>
                  <w:proofErr w:type="spellEnd"/>
                  <w:r w:rsidRPr="005970A0">
                    <w:t>) is a not-for-profit company owned by the federal, state and territory ministers responsible for training.</w:t>
                  </w:r>
                </w:p>
                <w:p w:rsidR="00C736D5" w:rsidRPr="005970A0" w:rsidRDefault="00C736D5" w:rsidP="00C736D5">
                  <w:pPr>
                    <w:pStyle w:val="TableBodyText"/>
                    <w:keepNext w:val="0"/>
                    <w:keepLines w:val="0"/>
                    <w:autoSpaceDE w:val="0"/>
                    <w:autoSpaceDN w:val="0"/>
                    <w:adjustRightInd w:val="0"/>
                    <w:spacing w:after="120" w:line="240" w:lineRule="atLeast"/>
                    <w:ind w:left="0" w:right="0"/>
                    <w:jc w:val="left"/>
                  </w:pPr>
                  <w:proofErr w:type="spellStart"/>
                  <w:r w:rsidRPr="005970A0">
                    <w:t>NCVER</w:t>
                  </w:r>
                  <w:proofErr w:type="spellEnd"/>
                  <w:r w:rsidRPr="005970A0">
                    <w:t xml:space="preserve">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302802" w:rsidRPr="005970A0" w:rsidRDefault="00C736D5" w:rsidP="00302802">
                  <w:pPr>
                    <w:pStyle w:val="TableBodyText"/>
                    <w:keepNext w:val="0"/>
                    <w:keepLines w:val="0"/>
                    <w:autoSpaceDE w:val="0"/>
                    <w:autoSpaceDN w:val="0"/>
                    <w:adjustRightInd w:val="0"/>
                    <w:spacing w:after="120" w:line="240" w:lineRule="atLeast"/>
                    <w:ind w:left="0" w:right="0"/>
                    <w:jc w:val="left"/>
                  </w:pPr>
                  <w:r w:rsidRPr="005970A0">
                    <w:t xml:space="preserve">For further information on the </w:t>
                  </w:r>
                  <w:proofErr w:type="spellStart"/>
                  <w:r w:rsidRPr="005970A0">
                    <w:t>NCVER</w:t>
                  </w:r>
                  <w:proofErr w:type="spellEnd"/>
                  <w:r w:rsidRPr="005970A0">
                    <w:t xml:space="preserve">, see </w:t>
                  </w:r>
                  <w:r w:rsidR="00302802" w:rsidRPr="00D86CD7">
                    <w:t>http://</w:t>
                  </w:r>
                  <w:proofErr w:type="spellStart"/>
                  <w:r w:rsidR="00302802" w:rsidRPr="00D86CD7">
                    <w:t>www.ncver.edu.au</w:t>
                  </w:r>
                  <w:proofErr w:type="spellEnd"/>
                  <w:r w:rsidR="00302802" w:rsidRPr="00D86CD7">
                    <w:t>/</w:t>
                  </w:r>
                  <w:proofErr w:type="spellStart"/>
                  <w:r w:rsidR="00302802" w:rsidRPr="00D86CD7">
                    <w:t>aboutncver</w:t>
                  </w:r>
                  <w:proofErr w:type="spellEnd"/>
                  <w:r w:rsidR="00302802" w:rsidRPr="00D86CD7">
                    <w:br/>
                    <w:t>/</w:t>
                  </w:r>
                  <w:proofErr w:type="spellStart"/>
                  <w:r w:rsidR="00302802" w:rsidRPr="00D86CD7">
                    <w:t>who.html</w:t>
                  </w:r>
                  <w:proofErr w:type="spellEnd"/>
                </w:p>
              </w:tc>
            </w:tr>
            <w:tr w:rsidR="005970A0" w:rsidRPr="005970A0" w:rsidTr="00C736D5">
              <w:tc>
                <w:tcPr>
                  <w:tcW w:w="922" w:type="pct"/>
                </w:tcPr>
                <w:p w:rsidR="00C736D5" w:rsidRPr="005970A0" w:rsidRDefault="00C736D5" w:rsidP="00C736D5">
                  <w:pPr>
                    <w:pStyle w:val="TableBodyText"/>
                    <w:jc w:val="both"/>
                    <w:rPr>
                      <w:rFonts w:cs="Arial"/>
                      <w:b/>
                    </w:rPr>
                  </w:pPr>
                  <w:r w:rsidRPr="005970A0">
                    <w:br w:type="page"/>
                  </w:r>
                  <w:r w:rsidRPr="005970A0">
                    <w:rPr>
                      <w:rFonts w:cs="Arial"/>
                      <w:b/>
                    </w:rPr>
                    <w:t>Relevance</w:t>
                  </w:r>
                </w:p>
              </w:tc>
              <w:tc>
                <w:tcPr>
                  <w:tcW w:w="4078" w:type="pct"/>
                </w:tcPr>
                <w:p w:rsidR="00C736D5" w:rsidRPr="005970A0" w:rsidRDefault="00C736D5" w:rsidP="00C736D5">
                  <w:pPr>
                    <w:pStyle w:val="TableBodyText"/>
                    <w:keepNext w:val="0"/>
                    <w:keepLines w:val="0"/>
                    <w:autoSpaceDE w:val="0"/>
                    <w:autoSpaceDN w:val="0"/>
                    <w:adjustRightInd w:val="0"/>
                    <w:spacing w:after="120" w:line="240" w:lineRule="atLeast"/>
                    <w:ind w:left="0" w:right="0"/>
                    <w:jc w:val="both"/>
                  </w:pPr>
                  <w:r w:rsidRPr="005970A0">
                    <w:t xml:space="preserve">The Student Outcomes Survey collects information on students’ employment outcomes and satisfaction with VET in Australia. Data are collected by mail-out survey with an option to complete the survey </w:t>
                  </w:r>
                  <w:proofErr w:type="spellStart"/>
                  <w:r w:rsidRPr="005970A0">
                    <w:t>on-line</w:t>
                  </w:r>
                  <w:proofErr w:type="spellEnd"/>
                  <w:r w:rsidRPr="005970A0">
                    <w:t>.</w:t>
                  </w:r>
                </w:p>
                <w:p w:rsidR="00C736D5" w:rsidRPr="005970A0" w:rsidRDefault="00C736D5" w:rsidP="00C736D5">
                  <w:pPr>
                    <w:pStyle w:val="TableBodyText"/>
                    <w:keepNext w:val="0"/>
                    <w:keepLines w:val="0"/>
                    <w:autoSpaceDE w:val="0"/>
                    <w:autoSpaceDN w:val="0"/>
                    <w:adjustRightInd w:val="0"/>
                    <w:spacing w:after="120" w:line="240" w:lineRule="atLeast"/>
                    <w:ind w:left="0" w:right="0"/>
                    <w:jc w:val="both"/>
                  </w:pPr>
                  <w:r w:rsidRPr="005970A0">
                    <w:t>Information about the level and type of training students undertake, further study patterns and reasons for not continuing with the training (where applicable) is also collected.</w:t>
                  </w:r>
                </w:p>
                <w:p w:rsidR="00C736D5" w:rsidRPr="005970A0" w:rsidRDefault="00C736D5" w:rsidP="00C736D5">
                  <w:pPr>
                    <w:pStyle w:val="TableBodyText"/>
                    <w:keepNext w:val="0"/>
                    <w:keepLines w:val="0"/>
                    <w:autoSpaceDE w:val="0"/>
                    <w:autoSpaceDN w:val="0"/>
                    <w:adjustRightInd w:val="0"/>
                    <w:spacing w:after="120" w:line="240" w:lineRule="atLeast"/>
                    <w:ind w:left="0" w:right="0"/>
                    <w:jc w:val="both"/>
                  </w:pPr>
                  <w:r w:rsidRPr="005970A0">
                    <w:lastRenderedPageBreak/>
                    <w:t xml:space="preserve">The scope of the survey is nationally recognised VET (Figure 1).  </w:t>
                  </w:r>
                </w:p>
                <w:p w:rsidR="00C736D5" w:rsidRPr="005970A0" w:rsidRDefault="00C736D5" w:rsidP="00C736D5">
                  <w:pPr>
                    <w:pStyle w:val="TableBodyText"/>
                    <w:keepNext w:val="0"/>
                    <w:keepLines w:val="0"/>
                    <w:autoSpaceDE w:val="0"/>
                    <w:autoSpaceDN w:val="0"/>
                    <w:adjustRightInd w:val="0"/>
                    <w:spacing w:after="120" w:line="240" w:lineRule="atLeast"/>
                    <w:ind w:left="0" w:right="0"/>
                    <w:jc w:val="both"/>
                  </w:pPr>
                  <w:r w:rsidRPr="005970A0">
                    <w:t>The survey includes:</w:t>
                  </w:r>
                </w:p>
                <w:p w:rsidR="00C736D5" w:rsidRPr="005970A0" w:rsidRDefault="00C736D5" w:rsidP="00302802">
                  <w:pPr>
                    <w:pStyle w:val="TableBodyText"/>
                    <w:numPr>
                      <w:ilvl w:val="0"/>
                      <w:numId w:val="15"/>
                    </w:numPr>
                    <w:tabs>
                      <w:tab w:val="left" w:pos="222"/>
                    </w:tabs>
                    <w:ind w:left="222" w:hanging="222"/>
                    <w:jc w:val="both"/>
                  </w:pPr>
                  <w:r w:rsidRPr="005970A0">
                    <w:t>Publicly funded VET activity (all providers)</w:t>
                  </w:r>
                </w:p>
                <w:p w:rsidR="00C736D5" w:rsidRPr="005970A0" w:rsidRDefault="00C736D5" w:rsidP="00302802">
                  <w:pPr>
                    <w:pStyle w:val="TableBodyText"/>
                    <w:numPr>
                      <w:ilvl w:val="0"/>
                      <w:numId w:val="16"/>
                    </w:numPr>
                    <w:tabs>
                      <w:tab w:val="left" w:pos="222"/>
                    </w:tabs>
                    <w:ind w:left="222" w:hanging="222"/>
                    <w:jc w:val="both"/>
                  </w:pPr>
                  <w:r w:rsidRPr="005970A0">
                    <w:t xml:space="preserve">Privately funded VET activity delivered by TAFE institutions, ACE providers, and other government providers </w:t>
                  </w:r>
                </w:p>
                <w:p w:rsidR="00C736D5" w:rsidRPr="005970A0" w:rsidRDefault="00C736D5" w:rsidP="00C736D5">
                  <w:pPr>
                    <w:pStyle w:val="TableBodyText"/>
                    <w:spacing w:before="120"/>
                    <w:jc w:val="both"/>
                  </w:pPr>
                  <w:r w:rsidRPr="005970A0">
                    <w:t>The survey excludes:</w:t>
                  </w:r>
                </w:p>
                <w:p w:rsidR="00C736D5" w:rsidRPr="005970A0" w:rsidRDefault="00C736D5" w:rsidP="00302802">
                  <w:pPr>
                    <w:pStyle w:val="TableBodyText"/>
                    <w:numPr>
                      <w:ilvl w:val="0"/>
                      <w:numId w:val="15"/>
                    </w:numPr>
                    <w:tabs>
                      <w:tab w:val="left" w:pos="222"/>
                    </w:tabs>
                    <w:ind w:left="222" w:hanging="222"/>
                    <w:jc w:val="both"/>
                  </w:pPr>
                  <w:r w:rsidRPr="005970A0">
                    <w:t>Recreation, leisure and personal enrichment (non-vocational programs)</w:t>
                  </w:r>
                </w:p>
                <w:p w:rsidR="00C736D5" w:rsidRPr="005970A0" w:rsidRDefault="00C736D5" w:rsidP="00302802">
                  <w:pPr>
                    <w:pStyle w:val="TableBodyText"/>
                    <w:numPr>
                      <w:ilvl w:val="0"/>
                      <w:numId w:val="15"/>
                    </w:numPr>
                    <w:tabs>
                      <w:tab w:val="left" w:pos="222"/>
                    </w:tabs>
                    <w:ind w:left="222" w:hanging="222"/>
                    <w:jc w:val="both"/>
                  </w:pPr>
                  <w:r w:rsidRPr="005970A0">
                    <w:t>Privately funded VET activity delivered by private providers</w:t>
                  </w:r>
                </w:p>
                <w:p w:rsidR="00C736D5" w:rsidRPr="005970A0" w:rsidRDefault="00C736D5" w:rsidP="00302802">
                  <w:pPr>
                    <w:pStyle w:val="TableBodyText"/>
                    <w:numPr>
                      <w:ilvl w:val="0"/>
                      <w:numId w:val="15"/>
                    </w:numPr>
                    <w:tabs>
                      <w:tab w:val="left" w:pos="222"/>
                    </w:tabs>
                    <w:ind w:left="222" w:hanging="222"/>
                    <w:jc w:val="both"/>
                  </w:pPr>
                  <w:r w:rsidRPr="005970A0">
                    <w:t>VET activity delivered at overseas campuses of Australian VET institutions</w:t>
                  </w:r>
                </w:p>
                <w:p w:rsidR="00C736D5" w:rsidRPr="005970A0" w:rsidRDefault="00C736D5" w:rsidP="00302802">
                  <w:pPr>
                    <w:pStyle w:val="TableBodyText"/>
                    <w:numPr>
                      <w:ilvl w:val="0"/>
                      <w:numId w:val="15"/>
                    </w:numPr>
                    <w:tabs>
                      <w:tab w:val="left" w:pos="222"/>
                    </w:tabs>
                    <w:ind w:left="222" w:hanging="222"/>
                    <w:jc w:val="both"/>
                  </w:pPr>
                  <w:r w:rsidRPr="005970A0">
                    <w:t>VET activity delivered in schools.</w:t>
                  </w:r>
                </w:p>
                <w:p w:rsidR="00C736D5" w:rsidRPr="005970A0" w:rsidRDefault="00C736D5" w:rsidP="00C736D5">
                  <w:pPr>
                    <w:pStyle w:val="TableBodyText"/>
                    <w:keepNext w:val="0"/>
                    <w:keepLines w:val="0"/>
                    <w:autoSpaceDE w:val="0"/>
                    <w:autoSpaceDN w:val="0"/>
                    <w:adjustRightInd w:val="0"/>
                    <w:spacing w:before="120" w:after="120" w:line="240" w:lineRule="atLeast"/>
                    <w:ind w:left="0" w:right="0"/>
                    <w:jc w:val="both"/>
                  </w:pPr>
                  <w:r w:rsidRPr="005970A0">
                    <w:t>This scope has been in place since 2005. Prior to 2005, information was only collected from students undertaking Commonwealth/State funded programs through TAFE.</w:t>
                  </w:r>
                </w:p>
                <w:p w:rsidR="00C736D5" w:rsidRPr="005970A0" w:rsidRDefault="00C736D5" w:rsidP="00C736D5">
                  <w:pPr>
                    <w:pStyle w:val="TableBodyText"/>
                    <w:jc w:val="both"/>
                    <w:rPr>
                      <w:b/>
                      <w:sz w:val="17"/>
                      <w:szCs w:val="17"/>
                    </w:rPr>
                  </w:pPr>
                  <w:r w:rsidRPr="005970A0">
                    <w:rPr>
                      <w:b/>
                      <w:sz w:val="17"/>
                      <w:szCs w:val="17"/>
                    </w:rPr>
                    <w:t xml:space="preserve">Figure 1: Scope of the </w:t>
                  </w:r>
                  <w:r w:rsidR="00063E84">
                    <w:rPr>
                      <w:b/>
                      <w:sz w:val="17"/>
                      <w:szCs w:val="17"/>
                    </w:rPr>
                    <w:t>2012</w:t>
                  </w:r>
                  <w:r w:rsidR="00063E84" w:rsidRPr="005970A0">
                    <w:rPr>
                      <w:b/>
                      <w:sz w:val="17"/>
                      <w:szCs w:val="17"/>
                    </w:rPr>
                    <w:t xml:space="preserve"> </w:t>
                  </w:r>
                  <w:r w:rsidRPr="005970A0">
                    <w:rPr>
                      <w:b/>
                      <w:sz w:val="17"/>
                      <w:szCs w:val="17"/>
                    </w:rPr>
                    <w:t>Student Outcomes Survey</w:t>
                  </w:r>
                </w:p>
                <w:tbl>
                  <w:tblPr>
                    <w:tblW w:w="0" w:type="auto"/>
                    <w:tblLook w:val="01E0" w:firstRow="1" w:lastRow="1" w:firstColumn="1" w:lastColumn="1" w:noHBand="0" w:noVBand="0"/>
                  </w:tblPr>
                  <w:tblGrid>
                    <w:gridCol w:w="1691"/>
                    <w:gridCol w:w="1800"/>
                    <w:gridCol w:w="1656"/>
                    <w:gridCol w:w="1948"/>
                  </w:tblGrid>
                  <w:tr w:rsidR="005970A0" w:rsidRPr="005970A0" w:rsidTr="00C736D5">
                    <w:trPr>
                      <w:trHeight w:val="251"/>
                    </w:trPr>
                    <w:tc>
                      <w:tcPr>
                        <w:tcW w:w="1691" w:type="dxa"/>
                        <w:tcBorders>
                          <w:top w:val="single" w:sz="4" w:space="0" w:color="auto"/>
                          <w:left w:val="nil"/>
                          <w:bottom w:val="nil"/>
                          <w:right w:val="nil"/>
                        </w:tcBorders>
                      </w:tcPr>
                      <w:p w:rsidR="00C736D5" w:rsidRPr="005970A0" w:rsidRDefault="00C736D5" w:rsidP="00C736D5">
                        <w:pPr>
                          <w:pStyle w:val="TableBodyText"/>
                          <w:jc w:val="both"/>
                          <w:rPr>
                            <w:sz w:val="16"/>
                            <w:szCs w:val="16"/>
                          </w:rPr>
                        </w:pPr>
                      </w:p>
                    </w:tc>
                    <w:tc>
                      <w:tcPr>
                        <w:tcW w:w="5404" w:type="dxa"/>
                        <w:gridSpan w:val="3"/>
                        <w:tcBorders>
                          <w:top w:val="single" w:sz="4" w:space="0" w:color="auto"/>
                          <w:left w:val="nil"/>
                          <w:bottom w:val="nil"/>
                          <w:right w:val="nil"/>
                        </w:tcBorders>
                      </w:tcPr>
                      <w:p w:rsidR="00C736D5" w:rsidRPr="005970A0" w:rsidRDefault="00C736D5" w:rsidP="00C736D5">
                        <w:pPr>
                          <w:pStyle w:val="TableBodyText"/>
                          <w:jc w:val="both"/>
                          <w:rPr>
                            <w:b/>
                            <w:bCs/>
                            <w:sz w:val="16"/>
                            <w:szCs w:val="16"/>
                          </w:rPr>
                        </w:pPr>
                        <w:r w:rsidRPr="005970A0">
                          <w:rPr>
                            <w:b/>
                            <w:bCs/>
                            <w:sz w:val="16"/>
                            <w:szCs w:val="16"/>
                          </w:rPr>
                          <w:t>Provider Type</w:t>
                        </w:r>
                      </w:p>
                    </w:tc>
                  </w:tr>
                  <w:tr w:rsidR="005970A0" w:rsidRPr="005970A0" w:rsidTr="00C736D5">
                    <w:trPr>
                      <w:trHeight w:val="491"/>
                    </w:trPr>
                    <w:tc>
                      <w:tcPr>
                        <w:tcW w:w="1691" w:type="dxa"/>
                        <w:tcBorders>
                          <w:top w:val="nil"/>
                          <w:left w:val="nil"/>
                          <w:bottom w:val="single" w:sz="4" w:space="0" w:color="auto"/>
                          <w:right w:val="nil"/>
                        </w:tcBorders>
                      </w:tcPr>
                      <w:p w:rsidR="00C736D5" w:rsidRPr="005970A0" w:rsidRDefault="00C736D5" w:rsidP="00C736D5">
                        <w:pPr>
                          <w:pStyle w:val="TableBodyText"/>
                          <w:jc w:val="both"/>
                          <w:rPr>
                            <w:bCs/>
                            <w:sz w:val="16"/>
                            <w:szCs w:val="16"/>
                          </w:rPr>
                        </w:pPr>
                        <w:r w:rsidRPr="005970A0">
                          <w:rPr>
                            <w:bCs/>
                            <w:sz w:val="16"/>
                            <w:szCs w:val="16"/>
                          </w:rPr>
                          <w:t>Funding Type</w:t>
                        </w:r>
                      </w:p>
                    </w:tc>
                    <w:tc>
                      <w:tcPr>
                        <w:tcW w:w="1800" w:type="dxa"/>
                        <w:tcBorders>
                          <w:top w:val="nil"/>
                          <w:left w:val="nil"/>
                          <w:bottom w:val="single" w:sz="4" w:space="0" w:color="auto"/>
                          <w:right w:val="nil"/>
                        </w:tcBorders>
                      </w:tcPr>
                      <w:p w:rsidR="00C736D5" w:rsidRPr="005970A0" w:rsidRDefault="00C736D5" w:rsidP="00C736D5">
                        <w:pPr>
                          <w:pStyle w:val="TableBodyText"/>
                          <w:jc w:val="both"/>
                          <w:rPr>
                            <w:bCs/>
                            <w:sz w:val="16"/>
                            <w:szCs w:val="16"/>
                          </w:rPr>
                        </w:pPr>
                        <w:r w:rsidRPr="005970A0">
                          <w:rPr>
                            <w:bCs/>
                            <w:sz w:val="16"/>
                            <w:szCs w:val="16"/>
                          </w:rPr>
                          <w:t>TAFE and Other Government providers</w:t>
                        </w:r>
                      </w:p>
                    </w:tc>
                    <w:tc>
                      <w:tcPr>
                        <w:tcW w:w="1656" w:type="dxa"/>
                        <w:tcBorders>
                          <w:top w:val="nil"/>
                          <w:left w:val="nil"/>
                          <w:bottom w:val="single" w:sz="4" w:space="0" w:color="auto"/>
                          <w:right w:val="nil"/>
                        </w:tcBorders>
                      </w:tcPr>
                      <w:p w:rsidR="00C736D5" w:rsidRPr="005970A0" w:rsidRDefault="00C736D5" w:rsidP="00C736D5">
                        <w:pPr>
                          <w:pStyle w:val="TableBodyText"/>
                          <w:jc w:val="both"/>
                          <w:rPr>
                            <w:bCs/>
                            <w:sz w:val="16"/>
                            <w:szCs w:val="16"/>
                          </w:rPr>
                        </w:pPr>
                        <w:r w:rsidRPr="005970A0">
                          <w:rPr>
                            <w:bCs/>
                            <w:sz w:val="16"/>
                            <w:szCs w:val="16"/>
                          </w:rPr>
                          <w:t>Private Providers</w:t>
                        </w:r>
                      </w:p>
                    </w:tc>
                    <w:tc>
                      <w:tcPr>
                        <w:tcW w:w="1948" w:type="dxa"/>
                        <w:tcBorders>
                          <w:top w:val="nil"/>
                          <w:left w:val="nil"/>
                          <w:bottom w:val="single" w:sz="4" w:space="0" w:color="auto"/>
                          <w:right w:val="nil"/>
                        </w:tcBorders>
                      </w:tcPr>
                      <w:p w:rsidR="00C736D5" w:rsidRPr="005970A0" w:rsidRDefault="00C736D5" w:rsidP="00C736D5">
                        <w:pPr>
                          <w:pStyle w:val="TableBodyText"/>
                          <w:jc w:val="both"/>
                          <w:rPr>
                            <w:bCs/>
                            <w:sz w:val="16"/>
                            <w:szCs w:val="16"/>
                          </w:rPr>
                        </w:pPr>
                        <w:r w:rsidRPr="005970A0">
                          <w:rPr>
                            <w:bCs/>
                            <w:sz w:val="16"/>
                            <w:szCs w:val="16"/>
                          </w:rPr>
                          <w:t>Community Education Providers</w:t>
                        </w:r>
                        <w:r w:rsidRPr="009A19A9">
                          <w:rPr>
                            <w:bCs/>
                          </w:rPr>
                          <w:t xml:space="preserve"> </w:t>
                        </w:r>
                        <w:r w:rsidRPr="009A19A9">
                          <w:rPr>
                            <w:bCs/>
                            <w:vertAlign w:val="superscript"/>
                          </w:rPr>
                          <w:t>a</w:t>
                        </w:r>
                      </w:p>
                    </w:tc>
                  </w:tr>
                  <w:tr w:rsidR="005970A0" w:rsidRPr="005970A0" w:rsidTr="00C736D5">
                    <w:trPr>
                      <w:trHeight w:val="405"/>
                    </w:trPr>
                    <w:tc>
                      <w:tcPr>
                        <w:tcW w:w="1691" w:type="dxa"/>
                        <w:tcBorders>
                          <w:top w:val="single" w:sz="4" w:space="0" w:color="auto"/>
                          <w:left w:val="nil"/>
                          <w:bottom w:val="nil"/>
                          <w:right w:val="nil"/>
                        </w:tcBorders>
                      </w:tcPr>
                      <w:p w:rsidR="00C736D5" w:rsidRPr="005970A0" w:rsidRDefault="00C736D5" w:rsidP="00C736D5">
                        <w:pPr>
                          <w:pStyle w:val="TableBodyText"/>
                          <w:jc w:val="both"/>
                          <w:rPr>
                            <w:sz w:val="16"/>
                            <w:szCs w:val="16"/>
                          </w:rPr>
                        </w:pPr>
                        <w:r w:rsidRPr="005970A0">
                          <w:rPr>
                            <w:sz w:val="16"/>
                            <w:szCs w:val="16"/>
                          </w:rPr>
                          <w:t>Commonwealth and state funded</w:t>
                        </w:r>
                      </w:p>
                    </w:tc>
                    <w:tc>
                      <w:tcPr>
                        <w:tcW w:w="1800" w:type="dxa"/>
                        <w:tcBorders>
                          <w:top w:val="single" w:sz="4" w:space="0" w:color="auto"/>
                          <w:left w:val="nil"/>
                          <w:bottom w:val="nil"/>
                          <w:right w:val="nil"/>
                        </w:tcBorders>
                      </w:tcPr>
                      <w:p w:rsidR="00C736D5" w:rsidRPr="005970A0" w:rsidRDefault="00C736D5" w:rsidP="00C736D5">
                        <w:pPr>
                          <w:pStyle w:val="TableBodyText"/>
                          <w:jc w:val="center"/>
                          <w:rPr>
                            <w:sz w:val="16"/>
                            <w:szCs w:val="16"/>
                          </w:rPr>
                        </w:pPr>
                        <w:r w:rsidRPr="005970A0">
                          <w:rPr>
                            <w:noProof/>
                            <w:sz w:val="16"/>
                            <w:szCs w:val="16"/>
                          </w:rPr>
                          <w:drawing>
                            <wp:inline distT="0" distB="0" distL="0" distR="0" wp14:anchorId="4798938E" wp14:editId="43619949">
                              <wp:extent cx="201930" cy="127635"/>
                              <wp:effectExtent l="0" t="0" r="7620" b="5715"/>
                              <wp:docPr id="31" name="Picture 1"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c>
                      <w:tcPr>
                        <w:tcW w:w="1656" w:type="dxa"/>
                        <w:tcBorders>
                          <w:top w:val="single" w:sz="4" w:space="0" w:color="auto"/>
                          <w:left w:val="nil"/>
                          <w:bottom w:val="nil"/>
                          <w:right w:val="nil"/>
                        </w:tcBorders>
                      </w:tcPr>
                      <w:p w:rsidR="00C736D5" w:rsidRPr="005970A0" w:rsidRDefault="00C736D5" w:rsidP="00C736D5">
                        <w:pPr>
                          <w:pStyle w:val="TableBodyText"/>
                          <w:jc w:val="center"/>
                          <w:rPr>
                            <w:sz w:val="16"/>
                            <w:szCs w:val="16"/>
                          </w:rPr>
                        </w:pPr>
                        <w:r w:rsidRPr="005970A0">
                          <w:rPr>
                            <w:noProof/>
                            <w:sz w:val="16"/>
                            <w:szCs w:val="16"/>
                          </w:rPr>
                          <w:drawing>
                            <wp:inline distT="0" distB="0" distL="0" distR="0" wp14:anchorId="1242522D" wp14:editId="155734DC">
                              <wp:extent cx="201930" cy="127635"/>
                              <wp:effectExtent l="0" t="0" r="7620" b="5715"/>
                              <wp:docPr id="32" name="Picture 2"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c>
                      <w:tcPr>
                        <w:tcW w:w="1948" w:type="dxa"/>
                        <w:tcBorders>
                          <w:top w:val="single" w:sz="4" w:space="0" w:color="auto"/>
                          <w:left w:val="nil"/>
                          <w:bottom w:val="nil"/>
                          <w:right w:val="nil"/>
                        </w:tcBorders>
                      </w:tcPr>
                      <w:p w:rsidR="00C736D5" w:rsidRPr="005970A0" w:rsidRDefault="00C736D5" w:rsidP="00C736D5">
                        <w:pPr>
                          <w:pStyle w:val="TableBodyText"/>
                          <w:jc w:val="center"/>
                          <w:rPr>
                            <w:sz w:val="16"/>
                            <w:szCs w:val="16"/>
                          </w:rPr>
                        </w:pPr>
                        <w:r w:rsidRPr="005970A0">
                          <w:rPr>
                            <w:noProof/>
                            <w:sz w:val="16"/>
                            <w:szCs w:val="16"/>
                          </w:rPr>
                          <w:drawing>
                            <wp:inline distT="0" distB="0" distL="0" distR="0" wp14:anchorId="4D938B5A" wp14:editId="3055D4B6">
                              <wp:extent cx="201930" cy="127635"/>
                              <wp:effectExtent l="0" t="0" r="7620" b="5715"/>
                              <wp:docPr id="33" name="Picture 3"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r>
                  <w:tr w:rsidR="005970A0" w:rsidRPr="005970A0" w:rsidTr="00C736D5">
                    <w:trPr>
                      <w:trHeight w:val="355"/>
                    </w:trPr>
                    <w:tc>
                      <w:tcPr>
                        <w:tcW w:w="1691" w:type="dxa"/>
                        <w:tcBorders>
                          <w:top w:val="nil"/>
                          <w:left w:val="nil"/>
                          <w:bottom w:val="single" w:sz="4" w:space="0" w:color="auto"/>
                          <w:right w:val="nil"/>
                        </w:tcBorders>
                      </w:tcPr>
                      <w:p w:rsidR="00C736D5" w:rsidRPr="005970A0" w:rsidRDefault="00C736D5" w:rsidP="00C736D5">
                        <w:pPr>
                          <w:pStyle w:val="TableBodyText"/>
                          <w:jc w:val="both"/>
                          <w:rPr>
                            <w:sz w:val="16"/>
                            <w:szCs w:val="16"/>
                          </w:rPr>
                        </w:pPr>
                        <w:r w:rsidRPr="005970A0">
                          <w:rPr>
                            <w:sz w:val="16"/>
                            <w:szCs w:val="16"/>
                          </w:rPr>
                          <w:t>Fee-for-service</w:t>
                        </w:r>
                      </w:p>
                    </w:tc>
                    <w:tc>
                      <w:tcPr>
                        <w:tcW w:w="1800" w:type="dxa"/>
                        <w:tcBorders>
                          <w:top w:val="nil"/>
                          <w:left w:val="nil"/>
                          <w:bottom w:val="single" w:sz="4" w:space="0" w:color="auto"/>
                          <w:right w:val="nil"/>
                        </w:tcBorders>
                      </w:tcPr>
                      <w:p w:rsidR="00C736D5" w:rsidRPr="005970A0" w:rsidRDefault="00C736D5" w:rsidP="00C736D5">
                        <w:pPr>
                          <w:pStyle w:val="TableBodyText"/>
                          <w:jc w:val="center"/>
                          <w:rPr>
                            <w:sz w:val="16"/>
                            <w:szCs w:val="16"/>
                          </w:rPr>
                        </w:pPr>
                        <w:r w:rsidRPr="005970A0">
                          <w:rPr>
                            <w:noProof/>
                            <w:sz w:val="16"/>
                            <w:szCs w:val="16"/>
                          </w:rPr>
                          <w:drawing>
                            <wp:inline distT="0" distB="0" distL="0" distR="0" wp14:anchorId="67CE1BDD" wp14:editId="690FCDA4">
                              <wp:extent cx="201930" cy="127635"/>
                              <wp:effectExtent l="0" t="0" r="7620" b="5715"/>
                              <wp:docPr id="34" name="Picture 4"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c>
                      <w:tcPr>
                        <w:tcW w:w="1656" w:type="dxa"/>
                        <w:tcBorders>
                          <w:top w:val="nil"/>
                          <w:left w:val="nil"/>
                          <w:bottom w:val="single" w:sz="4" w:space="0" w:color="auto"/>
                          <w:right w:val="nil"/>
                        </w:tcBorders>
                      </w:tcPr>
                      <w:p w:rsidR="00C736D5" w:rsidRPr="005970A0" w:rsidRDefault="00C736D5" w:rsidP="00C736D5">
                        <w:pPr>
                          <w:pStyle w:val="TableBodyText"/>
                          <w:jc w:val="center"/>
                          <w:rPr>
                            <w:sz w:val="16"/>
                            <w:szCs w:val="16"/>
                          </w:rPr>
                        </w:pPr>
                      </w:p>
                    </w:tc>
                    <w:tc>
                      <w:tcPr>
                        <w:tcW w:w="1948" w:type="dxa"/>
                        <w:tcBorders>
                          <w:top w:val="nil"/>
                          <w:left w:val="nil"/>
                          <w:bottom w:val="single" w:sz="4" w:space="0" w:color="auto"/>
                          <w:right w:val="nil"/>
                        </w:tcBorders>
                      </w:tcPr>
                      <w:p w:rsidR="00C736D5" w:rsidRPr="005970A0" w:rsidRDefault="00C736D5" w:rsidP="00C736D5">
                        <w:pPr>
                          <w:pStyle w:val="TableBodyText"/>
                          <w:jc w:val="center"/>
                          <w:rPr>
                            <w:sz w:val="16"/>
                            <w:szCs w:val="16"/>
                          </w:rPr>
                        </w:pPr>
                        <w:r w:rsidRPr="005970A0">
                          <w:rPr>
                            <w:noProof/>
                            <w:sz w:val="16"/>
                            <w:szCs w:val="16"/>
                          </w:rPr>
                          <w:drawing>
                            <wp:inline distT="0" distB="0" distL="0" distR="0" wp14:anchorId="1E50FD0C" wp14:editId="2408817D">
                              <wp:extent cx="201930" cy="127635"/>
                              <wp:effectExtent l="0" t="0" r="7620" b="5715"/>
                              <wp:docPr id="35" name="Picture 5"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r>
                </w:tbl>
                <w:p w:rsidR="00C736D5" w:rsidRPr="005970A0" w:rsidRDefault="009A19A9" w:rsidP="009A19A9">
                  <w:pPr>
                    <w:pStyle w:val="TableBodyText"/>
                    <w:spacing w:before="40" w:after="60"/>
                    <w:jc w:val="both"/>
                  </w:pPr>
                  <w:proofErr w:type="spellStart"/>
                  <w:r w:rsidRPr="009A19A9">
                    <w:rPr>
                      <w:bCs/>
                      <w:vertAlign w:val="superscript"/>
                    </w:rPr>
                    <w:t>a</w:t>
                  </w:r>
                  <w:proofErr w:type="spellEnd"/>
                  <w:r>
                    <w:t xml:space="preserve"> </w:t>
                  </w:r>
                  <w:r w:rsidRPr="005970A0">
                    <w:t>This information is only collected in New South Wales and Victoria.</w:t>
                  </w:r>
                </w:p>
              </w:tc>
            </w:tr>
            <w:tr w:rsidR="005970A0" w:rsidRPr="005970A0" w:rsidTr="00C736D5">
              <w:tc>
                <w:tcPr>
                  <w:tcW w:w="922" w:type="pct"/>
                </w:tcPr>
                <w:p w:rsidR="00C736D5" w:rsidRPr="005970A0" w:rsidRDefault="00C736D5" w:rsidP="00C736D5">
                  <w:pPr>
                    <w:spacing w:line="320" w:lineRule="exact"/>
                    <w:jc w:val="both"/>
                    <w:rPr>
                      <w:rFonts w:ascii="Arial" w:hAnsi="Arial" w:cs="Arial"/>
                      <w:b/>
                      <w:sz w:val="20"/>
                      <w:szCs w:val="20"/>
                    </w:rPr>
                  </w:pPr>
                  <w:r w:rsidRPr="005970A0">
                    <w:rPr>
                      <w:rFonts w:ascii="Arial" w:hAnsi="Arial" w:cs="Arial"/>
                      <w:b/>
                      <w:sz w:val="20"/>
                      <w:szCs w:val="20"/>
                    </w:rPr>
                    <w:lastRenderedPageBreak/>
                    <w:t>Timeliness</w:t>
                  </w:r>
                </w:p>
                <w:p w:rsidR="00C736D5" w:rsidRPr="005970A0" w:rsidRDefault="00C736D5" w:rsidP="00C736D5">
                  <w:pPr>
                    <w:spacing w:line="320" w:lineRule="exact"/>
                    <w:jc w:val="both"/>
                    <w:rPr>
                      <w:rFonts w:ascii="Arial" w:hAnsi="Arial" w:cs="Arial"/>
                      <w:b/>
                      <w:sz w:val="20"/>
                      <w:szCs w:val="20"/>
                    </w:rPr>
                  </w:pPr>
                </w:p>
              </w:tc>
              <w:tc>
                <w:tcPr>
                  <w:tcW w:w="4078" w:type="pct"/>
                </w:tcPr>
                <w:p w:rsidR="00C736D5" w:rsidRPr="005970A0" w:rsidRDefault="00C736D5" w:rsidP="00063E84">
                  <w:pPr>
                    <w:pStyle w:val="Default"/>
                    <w:spacing w:after="120" w:line="240" w:lineRule="atLeast"/>
                    <w:jc w:val="both"/>
                    <w:rPr>
                      <w:color w:val="auto"/>
                      <w:sz w:val="20"/>
                      <w:szCs w:val="20"/>
                    </w:rPr>
                  </w:pPr>
                  <w:r w:rsidRPr="005970A0">
                    <w:rPr>
                      <w:color w:val="auto"/>
                      <w:sz w:val="20"/>
                      <w:szCs w:val="20"/>
                    </w:rPr>
                    <w:t xml:space="preserve">The Student Outcomes Survey is conducted every year. The reference date is the last Friday in May of the year after the training was completed. Results from the </w:t>
                  </w:r>
                  <w:r w:rsidR="00063E84">
                    <w:rPr>
                      <w:color w:val="auto"/>
                      <w:sz w:val="20"/>
                      <w:szCs w:val="20"/>
                    </w:rPr>
                    <w:t>2012</w:t>
                  </w:r>
                  <w:r w:rsidR="00063E84" w:rsidRPr="005970A0">
                    <w:rPr>
                      <w:color w:val="auto"/>
                      <w:sz w:val="20"/>
                      <w:szCs w:val="20"/>
                    </w:rPr>
                    <w:t xml:space="preserve"> </w:t>
                  </w:r>
                  <w:r w:rsidRPr="005970A0">
                    <w:rPr>
                      <w:color w:val="auto"/>
                      <w:sz w:val="20"/>
                      <w:szCs w:val="20"/>
                    </w:rPr>
                    <w:t xml:space="preserve">survey (for students who completed their training in </w:t>
                  </w:r>
                  <w:r w:rsidR="00063E84">
                    <w:rPr>
                      <w:color w:val="auto"/>
                      <w:sz w:val="20"/>
                      <w:szCs w:val="20"/>
                    </w:rPr>
                    <w:t>2011</w:t>
                  </w:r>
                  <w:r w:rsidRPr="005970A0">
                    <w:rPr>
                      <w:color w:val="auto"/>
                      <w:sz w:val="20"/>
                      <w:szCs w:val="20"/>
                    </w:rPr>
                    <w:t xml:space="preserve">) were released on the </w:t>
                  </w:r>
                  <w:proofErr w:type="spellStart"/>
                  <w:r w:rsidRPr="005970A0">
                    <w:rPr>
                      <w:color w:val="auto"/>
                      <w:sz w:val="20"/>
                      <w:szCs w:val="20"/>
                    </w:rPr>
                    <w:t>NCVER</w:t>
                  </w:r>
                  <w:proofErr w:type="spellEnd"/>
                  <w:r w:rsidRPr="005970A0">
                    <w:rPr>
                      <w:color w:val="auto"/>
                      <w:sz w:val="20"/>
                      <w:szCs w:val="20"/>
                    </w:rPr>
                    <w:t xml:space="preserve"> website in December </w:t>
                  </w:r>
                  <w:r w:rsidR="00063E84">
                    <w:rPr>
                      <w:color w:val="auto"/>
                      <w:sz w:val="20"/>
                      <w:szCs w:val="20"/>
                    </w:rPr>
                    <w:t>2012</w:t>
                  </w:r>
                  <w:r w:rsidRPr="005970A0">
                    <w:rPr>
                      <w:color w:val="auto"/>
                      <w:sz w:val="20"/>
                      <w:szCs w:val="20"/>
                    </w:rPr>
                    <w:t>.</w:t>
                  </w:r>
                </w:p>
              </w:tc>
            </w:tr>
            <w:tr w:rsidR="005970A0" w:rsidRPr="005970A0" w:rsidTr="00C736D5">
              <w:tc>
                <w:tcPr>
                  <w:tcW w:w="922" w:type="pct"/>
                </w:tcPr>
                <w:p w:rsidR="00C736D5" w:rsidRPr="005970A0" w:rsidRDefault="00C736D5" w:rsidP="00C736D5">
                  <w:pPr>
                    <w:spacing w:line="320" w:lineRule="exact"/>
                    <w:jc w:val="both"/>
                    <w:rPr>
                      <w:rFonts w:ascii="Arial" w:hAnsi="Arial" w:cs="Arial"/>
                      <w:b/>
                      <w:sz w:val="20"/>
                      <w:szCs w:val="20"/>
                    </w:rPr>
                  </w:pPr>
                  <w:r w:rsidRPr="005970A0">
                    <w:rPr>
                      <w:rFonts w:ascii="Arial" w:hAnsi="Arial" w:cs="Arial"/>
                      <w:b/>
                      <w:sz w:val="20"/>
                      <w:szCs w:val="20"/>
                    </w:rPr>
                    <w:t>Accuracy</w:t>
                  </w:r>
                </w:p>
                <w:p w:rsidR="00C736D5" w:rsidRPr="005970A0" w:rsidRDefault="00C736D5" w:rsidP="00C736D5">
                  <w:pPr>
                    <w:spacing w:line="320" w:lineRule="exact"/>
                    <w:jc w:val="both"/>
                    <w:rPr>
                      <w:rFonts w:ascii="Arial" w:hAnsi="Arial" w:cs="Arial"/>
                      <w:b/>
                      <w:sz w:val="20"/>
                      <w:szCs w:val="20"/>
                    </w:rPr>
                  </w:pPr>
                </w:p>
              </w:tc>
              <w:tc>
                <w:tcPr>
                  <w:tcW w:w="4078" w:type="pct"/>
                </w:tcPr>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In odd years, the sample is designed for reporting at the national, state/territory and institute level.  In even years, a smaller sample is used for reporting at the national and state/territory level only. The survey is undertaken as a stratified, randomly selected sample, with survey responses weighted to population benchmarks from the National VET Provider Collection.</w:t>
                  </w:r>
                </w:p>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 xml:space="preserve">Potential sources of error in survey data include failure to complete the survey or failure to answer every applicable question. Neither of these sources of error is considered, by </w:t>
                  </w:r>
                  <w:proofErr w:type="spellStart"/>
                  <w:r w:rsidRPr="005970A0">
                    <w:rPr>
                      <w:rFonts w:ascii="Arial" w:hAnsi="Arial" w:cs="Arial"/>
                      <w:sz w:val="20"/>
                      <w:szCs w:val="20"/>
                    </w:rPr>
                    <w:t>NCVER</w:t>
                  </w:r>
                  <w:proofErr w:type="spellEnd"/>
                  <w:r w:rsidRPr="005970A0">
                    <w:rPr>
                      <w:rFonts w:ascii="Arial" w:hAnsi="Arial" w:cs="Arial"/>
                      <w:sz w:val="20"/>
                      <w:szCs w:val="20"/>
                    </w:rPr>
                    <w:t>, to have affected the quality of data. Three analyses are conducted to determine the impact of non-response and mode bias. They are performed on weighted and unweighted data and include:</w:t>
                  </w:r>
                </w:p>
                <w:p w:rsidR="00C736D5" w:rsidRPr="005970A0" w:rsidRDefault="00C736D5" w:rsidP="00302802">
                  <w:pPr>
                    <w:numPr>
                      <w:ilvl w:val="0"/>
                      <w:numId w:val="17"/>
                    </w:numPr>
                    <w:tabs>
                      <w:tab w:val="clear" w:pos="720"/>
                      <w:tab w:val="num" w:pos="222"/>
                    </w:tabs>
                    <w:spacing w:after="60"/>
                    <w:ind w:left="222" w:hanging="222"/>
                    <w:jc w:val="both"/>
                    <w:rPr>
                      <w:rFonts w:ascii="Arial" w:hAnsi="Arial" w:cs="Arial"/>
                      <w:sz w:val="20"/>
                      <w:szCs w:val="20"/>
                    </w:rPr>
                  </w:pPr>
                  <w:r w:rsidRPr="005970A0">
                    <w:rPr>
                      <w:rFonts w:ascii="Arial" w:hAnsi="Arial" w:cs="Arial"/>
                      <w:sz w:val="20"/>
                      <w:szCs w:val="20"/>
                    </w:rPr>
                    <w:t>a comparison of the responding sample with the mailing list sample</w:t>
                  </w:r>
                </w:p>
                <w:p w:rsidR="00C736D5" w:rsidRPr="005970A0" w:rsidRDefault="00C736D5" w:rsidP="00302802">
                  <w:pPr>
                    <w:numPr>
                      <w:ilvl w:val="0"/>
                      <w:numId w:val="17"/>
                    </w:numPr>
                    <w:tabs>
                      <w:tab w:val="clear" w:pos="720"/>
                      <w:tab w:val="num" w:pos="222"/>
                    </w:tabs>
                    <w:spacing w:after="60"/>
                    <w:ind w:left="222" w:hanging="222"/>
                    <w:jc w:val="both"/>
                    <w:rPr>
                      <w:rFonts w:ascii="Arial" w:hAnsi="Arial" w:cs="Arial"/>
                      <w:sz w:val="20"/>
                      <w:szCs w:val="20"/>
                    </w:rPr>
                  </w:pPr>
                  <w:r w:rsidRPr="005970A0">
                    <w:rPr>
                      <w:rFonts w:ascii="Arial" w:hAnsi="Arial" w:cs="Arial"/>
                      <w:sz w:val="20"/>
                      <w:szCs w:val="20"/>
                    </w:rPr>
                    <w:t>a comparison of the characteristics of the responding sample with non-respondents. Information on a sample of non-respondents is collected via telephone interview</w:t>
                  </w:r>
                </w:p>
                <w:p w:rsidR="00C736D5" w:rsidRDefault="00C736D5" w:rsidP="00302802">
                  <w:pPr>
                    <w:numPr>
                      <w:ilvl w:val="0"/>
                      <w:numId w:val="17"/>
                    </w:numPr>
                    <w:tabs>
                      <w:tab w:val="clear" w:pos="720"/>
                      <w:tab w:val="num" w:pos="222"/>
                    </w:tabs>
                    <w:spacing w:after="120"/>
                    <w:ind w:left="222" w:hanging="222"/>
                    <w:jc w:val="both"/>
                    <w:rPr>
                      <w:rFonts w:ascii="Arial" w:hAnsi="Arial" w:cs="Arial"/>
                      <w:sz w:val="20"/>
                      <w:szCs w:val="20"/>
                    </w:rPr>
                  </w:pPr>
                  <w:r w:rsidRPr="005970A0">
                    <w:rPr>
                      <w:rFonts w:ascii="Arial" w:hAnsi="Arial" w:cs="Arial"/>
                      <w:sz w:val="20"/>
                      <w:szCs w:val="20"/>
                    </w:rPr>
                    <w:t>a comparison of the results obtained from mail and online completion.</w:t>
                  </w:r>
                </w:p>
                <w:p w:rsidR="001654FD" w:rsidRDefault="001654FD" w:rsidP="001654FD">
                  <w:pPr>
                    <w:spacing w:after="120"/>
                    <w:jc w:val="both"/>
                    <w:rPr>
                      <w:rFonts w:ascii="Arial" w:hAnsi="Arial" w:cs="Arial"/>
                      <w:sz w:val="20"/>
                      <w:szCs w:val="20"/>
                    </w:rPr>
                  </w:pPr>
                </w:p>
                <w:p w:rsidR="001654FD" w:rsidRDefault="001654FD" w:rsidP="001654FD">
                  <w:pPr>
                    <w:spacing w:after="120"/>
                    <w:jc w:val="both"/>
                    <w:rPr>
                      <w:rFonts w:ascii="Arial" w:hAnsi="Arial" w:cs="Arial"/>
                      <w:sz w:val="20"/>
                      <w:szCs w:val="20"/>
                    </w:rPr>
                  </w:pPr>
                </w:p>
                <w:p w:rsidR="001654FD" w:rsidRDefault="001654FD" w:rsidP="001654FD">
                  <w:pPr>
                    <w:spacing w:after="120"/>
                    <w:jc w:val="both"/>
                    <w:rPr>
                      <w:rFonts w:ascii="Arial" w:hAnsi="Arial" w:cs="Arial"/>
                      <w:sz w:val="20"/>
                      <w:szCs w:val="20"/>
                    </w:rPr>
                  </w:pPr>
                </w:p>
                <w:p w:rsidR="001654FD" w:rsidRDefault="001654FD" w:rsidP="001654FD">
                  <w:pPr>
                    <w:spacing w:after="120"/>
                    <w:jc w:val="both"/>
                    <w:rPr>
                      <w:rFonts w:ascii="Arial" w:hAnsi="Arial" w:cs="Arial"/>
                      <w:sz w:val="20"/>
                      <w:szCs w:val="20"/>
                    </w:rPr>
                  </w:pPr>
                </w:p>
                <w:p w:rsidR="00645C35" w:rsidRDefault="00645C35" w:rsidP="00C736D5">
                  <w:pPr>
                    <w:autoSpaceDE w:val="0"/>
                    <w:autoSpaceDN w:val="0"/>
                    <w:adjustRightInd w:val="0"/>
                    <w:spacing w:after="120" w:line="240" w:lineRule="atLeast"/>
                    <w:jc w:val="both"/>
                    <w:rPr>
                      <w:rFonts w:ascii="Arial" w:hAnsi="Arial" w:cs="Arial"/>
                      <w:sz w:val="20"/>
                      <w:szCs w:val="20"/>
                    </w:rPr>
                  </w:pPr>
                </w:p>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lastRenderedPageBreak/>
                    <w:t xml:space="preserve">Response rates to the </w:t>
                  </w:r>
                  <w:r w:rsidR="00063E84">
                    <w:rPr>
                      <w:rFonts w:ascii="Arial" w:hAnsi="Arial" w:cs="Arial"/>
                      <w:sz w:val="20"/>
                      <w:szCs w:val="20"/>
                    </w:rPr>
                    <w:t>2012</w:t>
                  </w:r>
                  <w:r w:rsidR="00063E84" w:rsidRPr="005970A0">
                    <w:rPr>
                      <w:rFonts w:ascii="Arial" w:hAnsi="Arial" w:cs="Arial"/>
                      <w:sz w:val="20"/>
                      <w:szCs w:val="20"/>
                    </w:rPr>
                    <w:t xml:space="preserve"> </w:t>
                  </w:r>
                  <w:r w:rsidRPr="005970A0">
                    <w:rPr>
                      <w:rFonts w:ascii="Arial" w:hAnsi="Arial" w:cs="Arial"/>
                      <w:sz w:val="20"/>
                      <w:szCs w:val="20"/>
                    </w:rPr>
                    <w:t>survey are shown in table 1.</w:t>
                  </w:r>
                </w:p>
                <w:p w:rsidR="00C736D5" w:rsidRPr="005970A0" w:rsidRDefault="00C736D5" w:rsidP="00C736D5">
                  <w:pPr>
                    <w:autoSpaceDE w:val="0"/>
                    <w:autoSpaceDN w:val="0"/>
                    <w:adjustRightInd w:val="0"/>
                    <w:spacing w:before="120" w:after="40" w:line="240" w:lineRule="atLeast"/>
                    <w:jc w:val="both"/>
                    <w:rPr>
                      <w:rFonts w:ascii="Arial" w:hAnsi="Arial" w:cs="Arial"/>
                      <w:b/>
                      <w:sz w:val="17"/>
                      <w:szCs w:val="17"/>
                    </w:rPr>
                  </w:pPr>
                  <w:r w:rsidRPr="005970A0">
                    <w:rPr>
                      <w:rFonts w:ascii="Arial" w:hAnsi="Arial" w:cs="Arial"/>
                      <w:b/>
                      <w:sz w:val="17"/>
                      <w:szCs w:val="17"/>
                    </w:rPr>
                    <w:t xml:space="preserve">Table 1: Response rates for graduates to the </w:t>
                  </w:r>
                  <w:r w:rsidR="00063E84">
                    <w:rPr>
                      <w:rFonts w:ascii="Arial" w:hAnsi="Arial" w:cs="Arial"/>
                      <w:b/>
                      <w:sz w:val="17"/>
                      <w:szCs w:val="17"/>
                    </w:rPr>
                    <w:t>2012</w:t>
                  </w:r>
                  <w:r w:rsidR="00063E84" w:rsidRPr="005970A0">
                    <w:rPr>
                      <w:rFonts w:ascii="Arial" w:hAnsi="Arial" w:cs="Arial"/>
                      <w:b/>
                      <w:sz w:val="17"/>
                      <w:szCs w:val="17"/>
                    </w:rPr>
                    <w:t xml:space="preserve"> </w:t>
                  </w:r>
                  <w:r w:rsidRPr="005970A0">
                    <w:rPr>
                      <w:rFonts w:ascii="Arial" w:hAnsi="Arial" w:cs="Arial"/>
                      <w:b/>
                      <w:sz w:val="17"/>
                      <w:szCs w:val="17"/>
                    </w:rPr>
                    <w:t>Student Outcomes Survey by state</w:t>
                  </w:r>
                </w:p>
                <w:tbl>
                  <w:tblPr>
                    <w:tblW w:w="2901" w:type="pct"/>
                    <w:tblBorders>
                      <w:top w:val="single" w:sz="4" w:space="0" w:color="auto"/>
                      <w:bottom w:val="single" w:sz="4" w:space="0" w:color="auto"/>
                    </w:tblBorders>
                    <w:tblLook w:val="01E0" w:firstRow="1" w:lastRow="1" w:firstColumn="1" w:lastColumn="1" w:noHBand="0" w:noVBand="0"/>
                  </w:tblPr>
                  <w:tblGrid>
                    <w:gridCol w:w="2411"/>
                    <w:gridCol w:w="1748"/>
                  </w:tblGrid>
                  <w:tr w:rsidR="005970A0" w:rsidRPr="005970A0" w:rsidTr="00C736D5">
                    <w:tc>
                      <w:tcPr>
                        <w:tcW w:w="2898" w:type="pct"/>
                        <w:tcBorders>
                          <w:top w:val="single" w:sz="4" w:space="0" w:color="auto"/>
                          <w:left w:val="nil"/>
                          <w:bottom w:val="single" w:sz="4" w:space="0" w:color="auto"/>
                          <w:right w:val="nil"/>
                        </w:tcBorders>
                      </w:tcPr>
                      <w:p w:rsidR="00C736D5" w:rsidRPr="005970A0" w:rsidRDefault="00C736D5" w:rsidP="00C736D5">
                        <w:pPr>
                          <w:autoSpaceDE w:val="0"/>
                          <w:autoSpaceDN w:val="0"/>
                          <w:adjustRightInd w:val="0"/>
                          <w:spacing w:before="80"/>
                          <w:jc w:val="both"/>
                          <w:rPr>
                            <w:rFonts w:ascii="Arial" w:hAnsi="Arial" w:cs="Arial"/>
                            <w:b/>
                            <w:sz w:val="16"/>
                            <w:szCs w:val="16"/>
                          </w:rPr>
                        </w:pPr>
                        <w:r w:rsidRPr="005970A0">
                          <w:rPr>
                            <w:rFonts w:ascii="Arial" w:hAnsi="Arial" w:cs="Arial"/>
                            <w:b/>
                            <w:sz w:val="16"/>
                            <w:szCs w:val="16"/>
                          </w:rPr>
                          <w:t>State/Territory</w:t>
                        </w:r>
                      </w:p>
                    </w:tc>
                    <w:tc>
                      <w:tcPr>
                        <w:tcW w:w="2102" w:type="pct"/>
                        <w:tcBorders>
                          <w:top w:val="single" w:sz="4" w:space="0" w:color="auto"/>
                          <w:left w:val="nil"/>
                          <w:bottom w:val="single" w:sz="4" w:space="0" w:color="auto"/>
                          <w:right w:val="nil"/>
                        </w:tcBorders>
                      </w:tcPr>
                      <w:p w:rsidR="00C736D5" w:rsidRPr="005970A0" w:rsidRDefault="00C736D5" w:rsidP="00C736D5">
                        <w:pPr>
                          <w:autoSpaceDE w:val="0"/>
                          <w:autoSpaceDN w:val="0"/>
                          <w:adjustRightInd w:val="0"/>
                          <w:spacing w:before="80"/>
                          <w:jc w:val="center"/>
                          <w:rPr>
                            <w:rFonts w:ascii="Arial" w:hAnsi="Arial" w:cs="Arial"/>
                            <w:b/>
                            <w:sz w:val="16"/>
                            <w:szCs w:val="16"/>
                          </w:rPr>
                        </w:pPr>
                        <w:r w:rsidRPr="005970A0">
                          <w:rPr>
                            <w:rFonts w:ascii="Arial" w:hAnsi="Arial" w:cs="Arial"/>
                            <w:b/>
                            <w:sz w:val="16"/>
                            <w:szCs w:val="16"/>
                          </w:rPr>
                          <w:t>Response rate (%)</w:t>
                        </w:r>
                      </w:p>
                    </w:tc>
                  </w:tr>
                  <w:tr w:rsidR="005970A0" w:rsidRPr="005970A0" w:rsidTr="00C736D5">
                    <w:trPr>
                      <w:trHeight w:val="227"/>
                    </w:trPr>
                    <w:tc>
                      <w:tcPr>
                        <w:tcW w:w="2898" w:type="pct"/>
                        <w:tcBorders>
                          <w:top w:val="single" w:sz="4" w:space="0" w:color="auto"/>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New South Wales</w:t>
                        </w:r>
                      </w:p>
                    </w:tc>
                    <w:tc>
                      <w:tcPr>
                        <w:tcW w:w="2102" w:type="pct"/>
                        <w:tcBorders>
                          <w:top w:val="single" w:sz="4" w:space="0" w:color="auto"/>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47.7</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Victoria</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46.5</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Queensland</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47.1</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South Australia</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47.7</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Western Australia</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45.9</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Tasmania</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50.8</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Northern Territory</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45.4</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Australian Capital Territory</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45.2</w:t>
                        </w:r>
                      </w:p>
                    </w:tc>
                  </w:tr>
                  <w:tr w:rsidR="005970A0" w:rsidRPr="005970A0" w:rsidTr="00C736D5">
                    <w:trPr>
                      <w:trHeight w:val="227"/>
                    </w:trPr>
                    <w:tc>
                      <w:tcPr>
                        <w:tcW w:w="2898" w:type="pct"/>
                        <w:tcBorders>
                          <w:top w:val="nil"/>
                          <w:left w:val="nil"/>
                          <w:bottom w:val="single" w:sz="4" w:space="0" w:color="auto"/>
                          <w:right w:val="nil"/>
                        </w:tcBorders>
                        <w:vAlign w:val="center"/>
                      </w:tcPr>
                      <w:p w:rsidR="00C736D5" w:rsidRPr="005970A0" w:rsidRDefault="00C736D5" w:rsidP="00C736D5">
                        <w:pPr>
                          <w:pStyle w:val="Tabletext"/>
                          <w:spacing w:before="0"/>
                          <w:jc w:val="center"/>
                          <w:rPr>
                            <w:rFonts w:cs="Arial"/>
                            <w:b/>
                            <w:szCs w:val="16"/>
                          </w:rPr>
                        </w:pPr>
                        <w:r w:rsidRPr="005970A0">
                          <w:rPr>
                            <w:rFonts w:cs="Arial"/>
                            <w:b/>
                            <w:szCs w:val="16"/>
                          </w:rPr>
                          <w:t>Australia</w:t>
                        </w:r>
                      </w:p>
                    </w:tc>
                    <w:tc>
                      <w:tcPr>
                        <w:tcW w:w="2102" w:type="pct"/>
                        <w:tcBorders>
                          <w:top w:val="nil"/>
                          <w:left w:val="nil"/>
                          <w:bottom w:val="single" w:sz="4" w:space="0" w:color="auto"/>
                          <w:right w:val="nil"/>
                        </w:tcBorders>
                        <w:vAlign w:val="center"/>
                      </w:tcPr>
                      <w:p w:rsidR="00C736D5" w:rsidRPr="005970A0" w:rsidRDefault="003B6FF3" w:rsidP="00C736D5">
                        <w:pPr>
                          <w:pStyle w:val="Tabletext"/>
                          <w:spacing w:before="0"/>
                          <w:jc w:val="center"/>
                          <w:rPr>
                            <w:rFonts w:cs="Arial"/>
                            <w:b/>
                            <w:szCs w:val="16"/>
                          </w:rPr>
                        </w:pPr>
                        <w:r>
                          <w:rPr>
                            <w:rFonts w:cs="Arial"/>
                            <w:b/>
                            <w:szCs w:val="16"/>
                          </w:rPr>
                          <w:t>47.0</w:t>
                        </w:r>
                      </w:p>
                    </w:tc>
                  </w:tr>
                </w:tbl>
                <w:p w:rsidR="00C736D5" w:rsidRPr="005970A0" w:rsidRDefault="00C736D5" w:rsidP="00063E84">
                  <w:pPr>
                    <w:keepNext/>
                    <w:keepLines/>
                    <w:spacing w:before="120" w:after="120" w:line="220" w:lineRule="atLeast"/>
                    <w:jc w:val="both"/>
                    <w:rPr>
                      <w:rFonts w:ascii="Arial" w:hAnsi="Arial" w:cs="Arial"/>
                      <w:sz w:val="20"/>
                      <w:szCs w:val="20"/>
                    </w:rPr>
                  </w:pPr>
                  <w:r w:rsidRPr="005970A0">
                    <w:rPr>
                      <w:rFonts w:ascii="Arial" w:hAnsi="Arial" w:cs="Arial"/>
                      <w:sz w:val="20"/>
                      <w:szCs w:val="20"/>
                    </w:rPr>
                    <w:t>For 201</w:t>
                  </w:r>
                  <w:r w:rsidR="00063E84">
                    <w:rPr>
                      <w:rFonts w:ascii="Arial" w:hAnsi="Arial" w:cs="Arial"/>
                      <w:sz w:val="20"/>
                      <w:szCs w:val="20"/>
                    </w:rPr>
                    <w:t>2</w:t>
                  </w:r>
                  <w:r w:rsidRPr="005970A0">
                    <w:rPr>
                      <w:rFonts w:ascii="Arial" w:hAnsi="Arial" w:cs="Arial"/>
                      <w:sz w:val="20"/>
                      <w:szCs w:val="20"/>
                    </w:rPr>
                    <w:t>, the indicator has acceptable (less than 25</w:t>
                  </w:r>
                  <w:r w:rsidR="008C50BE">
                    <w:rPr>
                      <w:rFonts w:ascii="Arial" w:hAnsi="Arial" w:cs="Arial"/>
                      <w:sz w:val="20"/>
                      <w:szCs w:val="20"/>
                    </w:rPr>
                    <w:t xml:space="preserve"> per cent</w:t>
                  </w:r>
                  <w:r w:rsidRPr="005970A0">
                    <w:rPr>
                      <w:rFonts w:ascii="Arial" w:hAnsi="Arial" w:cs="Arial"/>
                      <w:sz w:val="20"/>
                      <w:szCs w:val="20"/>
                    </w:rPr>
                    <w:t>) relative standard errors (</w:t>
                  </w:r>
                  <w:proofErr w:type="spellStart"/>
                  <w:r w:rsidRPr="005970A0">
                    <w:rPr>
                      <w:rFonts w:ascii="Arial" w:hAnsi="Arial" w:cs="Arial"/>
                      <w:sz w:val="20"/>
                      <w:szCs w:val="20"/>
                    </w:rPr>
                    <w:t>RSEs</w:t>
                  </w:r>
                  <w:proofErr w:type="spellEnd"/>
                  <w:r w:rsidRPr="005970A0">
                    <w:rPr>
                      <w:rFonts w:ascii="Arial" w:hAnsi="Arial" w:cs="Arial"/>
                      <w:sz w:val="20"/>
                      <w:szCs w:val="20"/>
                    </w:rPr>
                    <w:t>) for all VET graduates at the national</w:t>
                  </w:r>
                  <w:r w:rsidR="00063E84">
                    <w:rPr>
                      <w:rFonts w:ascii="Arial" w:hAnsi="Arial" w:cs="Arial"/>
                      <w:sz w:val="20"/>
                      <w:szCs w:val="20"/>
                    </w:rPr>
                    <w:t xml:space="preserve"> and</w:t>
                  </w:r>
                  <w:r w:rsidRPr="005970A0">
                    <w:rPr>
                      <w:rFonts w:ascii="Arial" w:hAnsi="Arial" w:cs="Arial"/>
                      <w:sz w:val="20"/>
                      <w:szCs w:val="20"/>
                    </w:rPr>
                    <w:t xml:space="preserve"> state/territory level. </w:t>
                  </w:r>
                </w:p>
              </w:tc>
            </w:tr>
            <w:tr w:rsidR="005970A0" w:rsidRPr="005970A0" w:rsidTr="00C736D5">
              <w:tc>
                <w:tcPr>
                  <w:tcW w:w="922" w:type="pct"/>
                </w:tcPr>
                <w:p w:rsidR="00C736D5" w:rsidRPr="005970A0" w:rsidRDefault="00C736D5" w:rsidP="00C736D5">
                  <w:pPr>
                    <w:spacing w:line="320" w:lineRule="exact"/>
                    <w:jc w:val="both"/>
                    <w:rPr>
                      <w:rFonts w:ascii="Arial" w:hAnsi="Arial" w:cs="Arial"/>
                      <w:b/>
                      <w:sz w:val="20"/>
                      <w:szCs w:val="20"/>
                    </w:rPr>
                  </w:pPr>
                  <w:r w:rsidRPr="005970A0">
                    <w:rPr>
                      <w:rFonts w:ascii="Arial" w:hAnsi="Arial" w:cs="Arial"/>
                      <w:b/>
                      <w:sz w:val="20"/>
                      <w:szCs w:val="20"/>
                    </w:rPr>
                    <w:lastRenderedPageBreak/>
                    <w:t>Coherence</w:t>
                  </w:r>
                </w:p>
                <w:p w:rsidR="00C736D5" w:rsidRPr="005970A0" w:rsidRDefault="00C736D5" w:rsidP="00C736D5">
                  <w:pPr>
                    <w:spacing w:line="320" w:lineRule="exact"/>
                    <w:jc w:val="both"/>
                    <w:rPr>
                      <w:rFonts w:ascii="Arial" w:hAnsi="Arial" w:cs="Arial"/>
                      <w:b/>
                      <w:sz w:val="20"/>
                      <w:szCs w:val="20"/>
                    </w:rPr>
                  </w:pPr>
                </w:p>
              </w:tc>
              <w:tc>
                <w:tcPr>
                  <w:tcW w:w="4078" w:type="pct"/>
                </w:tcPr>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 xml:space="preserve">The majority of data items have not changed since the survey was first conducted in 1997. The scope of the survey has increased over time. Until 2000, the survey was restricted to TAFE students. From 2000, it was expanded to include students from Adult and Community Education, private and other government providers. </w:t>
                  </w:r>
                </w:p>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Two questionnaires are used to collect the data. The main questionnaire is sent to students from TAFE, other Government and private providers. A separate shorter questionnaire is sent to students from Adult and Community Education (ACE) providers.</w:t>
                  </w:r>
                </w:p>
              </w:tc>
            </w:tr>
            <w:tr w:rsidR="005970A0" w:rsidRPr="005970A0" w:rsidTr="00C736D5">
              <w:tc>
                <w:tcPr>
                  <w:tcW w:w="922" w:type="pct"/>
                </w:tcPr>
                <w:p w:rsidR="00C736D5" w:rsidRPr="005970A0" w:rsidRDefault="00C736D5" w:rsidP="00C736D5">
                  <w:pPr>
                    <w:spacing w:line="320" w:lineRule="exact"/>
                    <w:jc w:val="both"/>
                    <w:rPr>
                      <w:rFonts w:ascii="Arial" w:hAnsi="Arial" w:cs="Arial"/>
                      <w:b/>
                      <w:sz w:val="20"/>
                      <w:szCs w:val="20"/>
                    </w:rPr>
                  </w:pPr>
                  <w:r w:rsidRPr="005970A0">
                    <w:rPr>
                      <w:rFonts w:ascii="Arial" w:hAnsi="Arial" w:cs="Arial"/>
                      <w:b/>
                      <w:sz w:val="20"/>
                      <w:szCs w:val="20"/>
                    </w:rPr>
                    <w:t>Accessibility</w:t>
                  </w:r>
                </w:p>
                <w:p w:rsidR="00C736D5" w:rsidRPr="005970A0" w:rsidRDefault="00C736D5" w:rsidP="00C736D5">
                  <w:pPr>
                    <w:spacing w:line="320" w:lineRule="exact"/>
                    <w:jc w:val="both"/>
                    <w:rPr>
                      <w:rFonts w:ascii="Arial" w:hAnsi="Arial" w:cs="Arial"/>
                      <w:b/>
                      <w:sz w:val="20"/>
                      <w:szCs w:val="20"/>
                    </w:rPr>
                  </w:pPr>
                </w:p>
              </w:tc>
              <w:tc>
                <w:tcPr>
                  <w:tcW w:w="4078" w:type="pct"/>
                </w:tcPr>
                <w:p w:rsidR="00C736D5" w:rsidRPr="005970A0" w:rsidRDefault="00C736D5" w:rsidP="00C736D5">
                  <w:pPr>
                    <w:autoSpaceDE w:val="0"/>
                    <w:autoSpaceDN w:val="0"/>
                    <w:adjustRightInd w:val="0"/>
                    <w:spacing w:after="120" w:line="240" w:lineRule="atLeast"/>
                    <w:jc w:val="both"/>
                    <w:rPr>
                      <w:rFonts w:ascii="Arial" w:hAnsi="Arial" w:cs="Arial"/>
                      <w:sz w:val="20"/>
                      <w:szCs w:val="20"/>
                      <w:u w:val="single"/>
                    </w:rPr>
                  </w:pPr>
                  <w:r w:rsidRPr="005970A0">
                    <w:rPr>
                      <w:rFonts w:ascii="Arial" w:hAnsi="Arial" w:cs="Arial"/>
                      <w:sz w:val="20"/>
                      <w:szCs w:val="20"/>
                    </w:rPr>
                    <w:t xml:space="preserve">Results of the survey are available free of charge on </w:t>
                  </w:r>
                  <w:proofErr w:type="spellStart"/>
                  <w:r w:rsidRPr="005970A0">
                    <w:rPr>
                      <w:rFonts w:ascii="Arial" w:hAnsi="Arial" w:cs="Arial"/>
                      <w:sz w:val="20"/>
                      <w:szCs w:val="20"/>
                    </w:rPr>
                    <w:t>NCVER’s</w:t>
                  </w:r>
                  <w:proofErr w:type="spellEnd"/>
                  <w:r w:rsidRPr="005970A0">
                    <w:rPr>
                      <w:rFonts w:ascii="Arial" w:hAnsi="Arial" w:cs="Arial"/>
                      <w:sz w:val="20"/>
                      <w:szCs w:val="20"/>
                    </w:rPr>
                    <w:t xml:space="preserve"> website at: </w:t>
                  </w:r>
                  <w:r w:rsidRPr="00D86CD7">
                    <w:rPr>
                      <w:rFonts w:ascii="Arial" w:hAnsi="Arial" w:cs="Arial"/>
                      <w:sz w:val="20"/>
                      <w:szCs w:val="20"/>
                    </w:rPr>
                    <w:t>http://</w:t>
                  </w:r>
                  <w:proofErr w:type="spellStart"/>
                  <w:r w:rsidRPr="00D86CD7">
                    <w:rPr>
                      <w:rFonts w:ascii="Arial" w:hAnsi="Arial" w:cs="Arial"/>
                      <w:sz w:val="20"/>
                      <w:szCs w:val="20"/>
                    </w:rPr>
                    <w:t>www.ncver.edu.au</w:t>
                  </w:r>
                  <w:proofErr w:type="spellEnd"/>
                  <w:r w:rsidRPr="00D86CD7">
                    <w:rPr>
                      <w:rFonts w:ascii="Arial" w:hAnsi="Arial" w:cs="Arial"/>
                      <w:sz w:val="20"/>
                      <w:szCs w:val="20"/>
                    </w:rPr>
                    <w:t>/statistic/</w:t>
                  </w:r>
                  <w:proofErr w:type="spellStart"/>
                  <w:r w:rsidRPr="00D86CD7">
                    <w:rPr>
                      <w:rFonts w:ascii="Arial" w:hAnsi="Arial" w:cs="Arial"/>
                      <w:sz w:val="20"/>
                      <w:szCs w:val="20"/>
                    </w:rPr>
                    <w:t>21065.html</w:t>
                  </w:r>
                  <w:proofErr w:type="spellEnd"/>
                  <w:r w:rsidRPr="005970A0">
                    <w:rPr>
                      <w:rFonts w:ascii="Arial" w:hAnsi="Arial" w:cs="Arial"/>
                      <w:sz w:val="20"/>
                      <w:szCs w:val="20"/>
                    </w:rPr>
                    <w:t xml:space="preserve">. Requests for more detailed statistical information or further information about the Student Outcomes Survey can be made to </w:t>
                  </w:r>
                  <w:proofErr w:type="spellStart"/>
                  <w:r w:rsidRPr="005970A0">
                    <w:rPr>
                      <w:rFonts w:ascii="Arial" w:hAnsi="Arial" w:cs="Arial"/>
                      <w:bCs/>
                      <w:sz w:val="20"/>
                      <w:szCs w:val="20"/>
                    </w:rPr>
                    <w:t>NCVER</w:t>
                  </w:r>
                  <w:proofErr w:type="spellEnd"/>
                  <w:r w:rsidRPr="005970A0">
                    <w:rPr>
                      <w:rFonts w:ascii="Arial" w:hAnsi="Arial" w:cs="Arial"/>
                      <w:bCs/>
                      <w:sz w:val="20"/>
                      <w:szCs w:val="20"/>
                    </w:rPr>
                    <w:t xml:space="preserve"> on</w:t>
                  </w:r>
                  <w:r w:rsidRPr="005970A0">
                    <w:rPr>
                      <w:rFonts w:ascii="Arial" w:hAnsi="Arial" w:cs="Arial"/>
                      <w:sz w:val="20"/>
                      <w:szCs w:val="20"/>
                    </w:rPr>
                    <w:t xml:space="preserve"> (08) 8230 8400 or </w:t>
                  </w:r>
                  <w:proofErr w:type="spellStart"/>
                  <w:r w:rsidRPr="00D86CD7">
                    <w:rPr>
                      <w:rFonts w:ascii="Arial" w:hAnsi="Arial" w:cs="Arial"/>
                      <w:sz w:val="20"/>
                      <w:szCs w:val="20"/>
                    </w:rPr>
                    <w:t>surveys_req@ncver.edu.au</w:t>
                  </w:r>
                  <w:proofErr w:type="spellEnd"/>
                </w:p>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 xml:space="preserve">A charge will be generally made by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for more complex requests for information. See </w:t>
                  </w:r>
                  <w:proofErr w:type="spellStart"/>
                  <w:r w:rsidRPr="005970A0">
                    <w:rPr>
                      <w:rFonts w:ascii="Arial" w:hAnsi="Arial" w:cs="Arial"/>
                      <w:sz w:val="20"/>
                      <w:szCs w:val="20"/>
                    </w:rPr>
                    <w:t>NCVER’s</w:t>
                  </w:r>
                  <w:proofErr w:type="spellEnd"/>
                  <w:r w:rsidRPr="005970A0">
                    <w:rPr>
                      <w:rFonts w:ascii="Arial" w:hAnsi="Arial" w:cs="Arial"/>
                      <w:sz w:val="20"/>
                      <w:szCs w:val="20"/>
                    </w:rPr>
                    <w:t xml:space="preserve"> fees and charges policy at </w:t>
                  </w:r>
                  <w:r w:rsidRPr="00D86CD7">
                    <w:rPr>
                      <w:rFonts w:ascii="Arial" w:hAnsi="Arial" w:cs="Arial"/>
                      <w:sz w:val="20"/>
                      <w:szCs w:val="20"/>
                    </w:rPr>
                    <w:t>http://</w:t>
                  </w:r>
                  <w:proofErr w:type="spellStart"/>
                  <w:r w:rsidRPr="00D86CD7">
                    <w:rPr>
                      <w:rFonts w:ascii="Arial" w:hAnsi="Arial" w:cs="Arial"/>
                      <w:sz w:val="20"/>
                      <w:szCs w:val="20"/>
                    </w:rPr>
                    <w:t>www.ncver.edu.au</w:t>
                  </w:r>
                  <w:proofErr w:type="spellEnd"/>
                  <w:r w:rsidRPr="00D86CD7">
                    <w:rPr>
                      <w:rFonts w:ascii="Arial" w:hAnsi="Arial" w:cs="Arial"/>
                      <w:sz w:val="20"/>
                      <w:szCs w:val="20"/>
                    </w:rPr>
                    <w:t>/statistic/</w:t>
                  </w:r>
                  <w:proofErr w:type="spellStart"/>
                  <w:r w:rsidRPr="00D86CD7">
                    <w:rPr>
                      <w:rFonts w:ascii="Arial" w:hAnsi="Arial" w:cs="Arial"/>
                      <w:sz w:val="20"/>
                      <w:szCs w:val="20"/>
                    </w:rPr>
                    <w:t>21075.html</w:t>
                  </w:r>
                  <w:proofErr w:type="spellEnd"/>
                </w:p>
              </w:tc>
            </w:tr>
            <w:tr w:rsidR="005970A0" w:rsidRPr="005970A0" w:rsidTr="00C736D5">
              <w:tc>
                <w:tcPr>
                  <w:tcW w:w="922" w:type="pct"/>
                </w:tcPr>
                <w:p w:rsidR="00C736D5" w:rsidRPr="005970A0" w:rsidRDefault="00C736D5" w:rsidP="00C736D5">
                  <w:pPr>
                    <w:spacing w:line="320" w:lineRule="exact"/>
                    <w:jc w:val="both"/>
                    <w:rPr>
                      <w:rFonts w:ascii="Arial" w:hAnsi="Arial" w:cs="Arial"/>
                      <w:b/>
                      <w:sz w:val="20"/>
                      <w:szCs w:val="20"/>
                    </w:rPr>
                  </w:pPr>
                  <w:r w:rsidRPr="005970A0">
                    <w:rPr>
                      <w:rFonts w:ascii="Arial" w:hAnsi="Arial" w:cs="Arial"/>
                      <w:b/>
                      <w:sz w:val="20"/>
                      <w:szCs w:val="20"/>
                    </w:rPr>
                    <w:t>Interpretability</w:t>
                  </w:r>
                </w:p>
                <w:p w:rsidR="00C736D5" w:rsidRPr="005970A0" w:rsidRDefault="00C736D5" w:rsidP="00C736D5">
                  <w:pPr>
                    <w:spacing w:line="320" w:lineRule="exact"/>
                    <w:jc w:val="both"/>
                    <w:rPr>
                      <w:rFonts w:ascii="Arial" w:hAnsi="Arial" w:cs="Arial"/>
                      <w:b/>
                      <w:sz w:val="20"/>
                      <w:szCs w:val="20"/>
                    </w:rPr>
                  </w:pPr>
                </w:p>
              </w:tc>
              <w:tc>
                <w:tcPr>
                  <w:tcW w:w="4078" w:type="pct"/>
                </w:tcPr>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 xml:space="preserve">To aid interpretation of the data, information on the Student Outcomes Survey is available on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website.</w:t>
                  </w:r>
                </w:p>
                <w:p w:rsidR="00C736D5" w:rsidRPr="005970A0" w:rsidRDefault="00C736D5" w:rsidP="00302802">
                  <w:pPr>
                    <w:autoSpaceDE w:val="0"/>
                    <w:autoSpaceDN w:val="0"/>
                    <w:adjustRightInd w:val="0"/>
                    <w:spacing w:after="60" w:line="240" w:lineRule="atLeast"/>
                    <w:jc w:val="both"/>
                    <w:rPr>
                      <w:rFonts w:ascii="Arial" w:hAnsi="Arial" w:cs="Arial"/>
                      <w:sz w:val="20"/>
                      <w:szCs w:val="20"/>
                    </w:rPr>
                  </w:pPr>
                  <w:r w:rsidRPr="005970A0">
                    <w:rPr>
                      <w:rFonts w:ascii="Arial" w:hAnsi="Arial" w:cs="Arial"/>
                      <w:sz w:val="20"/>
                      <w:szCs w:val="20"/>
                    </w:rPr>
                    <w:t>The survey uses the:</w:t>
                  </w:r>
                </w:p>
                <w:p w:rsidR="00E01646" w:rsidRPr="00E01646" w:rsidRDefault="00E01646" w:rsidP="00E01646">
                  <w:pPr>
                    <w:numPr>
                      <w:ilvl w:val="0"/>
                      <w:numId w:val="36"/>
                    </w:numPr>
                    <w:ind w:left="340" w:hanging="340"/>
                    <w:rPr>
                      <w:rFonts w:ascii="Arial" w:hAnsi="Arial" w:cs="Arial"/>
                      <w:sz w:val="20"/>
                      <w:szCs w:val="20"/>
                    </w:rPr>
                  </w:pPr>
                  <w:r w:rsidRPr="00E01646">
                    <w:rPr>
                      <w:rFonts w:ascii="Arial" w:hAnsi="Arial" w:cs="Arial"/>
                      <w:sz w:val="20"/>
                      <w:szCs w:val="20"/>
                    </w:rPr>
                    <w:t>Australian Classification of Education (</w:t>
                  </w:r>
                  <w:proofErr w:type="spellStart"/>
                  <w:r w:rsidRPr="00E01646">
                    <w:rPr>
                      <w:rFonts w:ascii="Arial" w:hAnsi="Arial" w:cs="Arial"/>
                      <w:sz w:val="20"/>
                      <w:szCs w:val="20"/>
                    </w:rPr>
                    <w:t>ASCED</w:t>
                  </w:r>
                  <w:proofErr w:type="spellEnd"/>
                  <w:r w:rsidRPr="00E01646">
                    <w:rPr>
                      <w:rFonts w:ascii="Arial" w:hAnsi="Arial" w:cs="Arial"/>
                      <w:sz w:val="20"/>
                      <w:szCs w:val="20"/>
                    </w:rPr>
                    <w:t>) (ABS cat. no. 1272.0) to classify the level and field of education</w:t>
                  </w:r>
                </w:p>
                <w:p w:rsidR="00E01646" w:rsidRPr="00E01646" w:rsidRDefault="00E01646" w:rsidP="00E01646">
                  <w:pPr>
                    <w:numPr>
                      <w:ilvl w:val="0"/>
                      <w:numId w:val="36"/>
                    </w:numPr>
                    <w:ind w:left="340" w:hanging="340"/>
                    <w:rPr>
                      <w:rFonts w:ascii="Arial" w:hAnsi="Arial" w:cs="Arial"/>
                      <w:sz w:val="20"/>
                      <w:szCs w:val="20"/>
                    </w:rPr>
                  </w:pPr>
                  <w:r w:rsidRPr="00E01646">
                    <w:rPr>
                      <w:rFonts w:ascii="Arial" w:hAnsi="Arial" w:cs="Arial"/>
                      <w:sz w:val="20"/>
                      <w:szCs w:val="20"/>
                    </w:rPr>
                    <w:t>Australian and New Zealand Standard Industry Classification (</w:t>
                  </w:r>
                  <w:proofErr w:type="spellStart"/>
                  <w:r w:rsidRPr="00E01646">
                    <w:rPr>
                      <w:rFonts w:ascii="Arial" w:hAnsi="Arial" w:cs="Arial"/>
                      <w:sz w:val="20"/>
                      <w:szCs w:val="20"/>
                    </w:rPr>
                    <w:t>ANZSIC</w:t>
                  </w:r>
                  <w:proofErr w:type="spellEnd"/>
                  <w:r w:rsidRPr="00E01646">
                    <w:rPr>
                      <w:rFonts w:ascii="Arial" w:hAnsi="Arial" w:cs="Arial"/>
                      <w:sz w:val="20"/>
                      <w:szCs w:val="20"/>
                    </w:rPr>
                    <w:t>) (ABS cat. no. 1292.0) to classify industry</w:t>
                  </w:r>
                </w:p>
                <w:p w:rsidR="00E01646" w:rsidRPr="00E01646" w:rsidRDefault="00E01646" w:rsidP="00E01646">
                  <w:pPr>
                    <w:numPr>
                      <w:ilvl w:val="0"/>
                      <w:numId w:val="36"/>
                    </w:numPr>
                    <w:ind w:left="340" w:hanging="340"/>
                    <w:rPr>
                      <w:rFonts w:ascii="Arial" w:hAnsi="Arial" w:cs="Arial"/>
                      <w:sz w:val="20"/>
                      <w:szCs w:val="20"/>
                    </w:rPr>
                  </w:pPr>
                  <w:r w:rsidRPr="00E01646">
                    <w:rPr>
                      <w:rFonts w:ascii="Arial" w:hAnsi="Arial" w:cs="Arial"/>
                      <w:sz w:val="20"/>
                      <w:szCs w:val="20"/>
                    </w:rPr>
                    <w:t>Australian and New Zealand Standard Classification of Occupations (</w:t>
                  </w:r>
                  <w:proofErr w:type="spellStart"/>
                  <w:r w:rsidRPr="00E01646">
                    <w:rPr>
                      <w:rFonts w:ascii="Arial" w:hAnsi="Arial" w:cs="Arial"/>
                      <w:sz w:val="20"/>
                      <w:szCs w:val="20"/>
                    </w:rPr>
                    <w:t>ANZSCO</w:t>
                  </w:r>
                  <w:proofErr w:type="spellEnd"/>
                  <w:r w:rsidRPr="00E01646">
                    <w:rPr>
                      <w:rFonts w:ascii="Arial" w:hAnsi="Arial" w:cs="Arial"/>
                      <w:sz w:val="20"/>
                      <w:szCs w:val="20"/>
                    </w:rPr>
                    <w:t xml:space="preserve">, previously </w:t>
                  </w:r>
                  <w:proofErr w:type="spellStart"/>
                  <w:r w:rsidRPr="00E01646">
                    <w:rPr>
                      <w:rFonts w:ascii="Arial" w:hAnsi="Arial" w:cs="Arial"/>
                      <w:sz w:val="20"/>
                      <w:szCs w:val="20"/>
                    </w:rPr>
                    <w:t>ASCO</w:t>
                  </w:r>
                  <w:proofErr w:type="spellEnd"/>
                  <w:r w:rsidRPr="00E01646">
                    <w:rPr>
                      <w:rFonts w:ascii="Arial" w:hAnsi="Arial" w:cs="Arial"/>
                      <w:sz w:val="20"/>
                      <w:szCs w:val="20"/>
                    </w:rPr>
                    <w:t>) (ABS cat. no. 1220.0) to classify occupation</w:t>
                  </w:r>
                </w:p>
                <w:p w:rsidR="00E01646" w:rsidRPr="00E01646" w:rsidRDefault="00E01646" w:rsidP="00E01646">
                  <w:pPr>
                    <w:numPr>
                      <w:ilvl w:val="0"/>
                      <w:numId w:val="37"/>
                    </w:numPr>
                    <w:ind w:left="340" w:hanging="340"/>
                    <w:rPr>
                      <w:rFonts w:ascii="Arial" w:hAnsi="Arial" w:cs="Arial"/>
                      <w:sz w:val="20"/>
                      <w:szCs w:val="20"/>
                    </w:rPr>
                  </w:pPr>
                  <w:r w:rsidRPr="00E01646">
                    <w:rPr>
                      <w:rFonts w:ascii="Arial" w:hAnsi="Arial" w:cs="Arial"/>
                      <w:sz w:val="20"/>
                      <w:szCs w:val="20"/>
                    </w:rPr>
                    <w:t>Australian Statistical Geography Standard (</w:t>
                  </w:r>
                  <w:proofErr w:type="spellStart"/>
                  <w:r w:rsidRPr="00E01646">
                    <w:rPr>
                      <w:rFonts w:ascii="Arial" w:hAnsi="Arial" w:cs="Arial"/>
                      <w:sz w:val="20"/>
                      <w:szCs w:val="20"/>
                    </w:rPr>
                    <w:t>ASGS</w:t>
                  </w:r>
                  <w:proofErr w:type="spellEnd"/>
                  <w:r w:rsidRPr="00E01646">
                    <w:rPr>
                      <w:rFonts w:ascii="Arial" w:hAnsi="Arial" w:cs="Arial"/>
                      <w:sz w:val="20"/>
                      <w:szCs w:val="20"/>
                    </w:rPr>
                    <w:t xml:space="preserve">): Volume 5 - Remoteness Structure (ABS cat. </w:t>
                  </w:r>
                  <w:proofErr w:type="spellStart"/>
                  <w:r w:rsidRPr="00E01646">
                    <w:rPr>
                      <w:rFonts w:ascii="Arial" w:hAnsi="Arial" w:cs="Arial"/>
                      <w:sz w:val="20"/>
                      <w:szCs w:val="20"/>
                    </w:rPr>
                    <w:t>no.1270.0.55.005</w:t>
                  </w:r>
                  <w:proofErr w:type="spellEnd"/>
                  <w:r w:rsidRPr="00E01646">
                    <w:rPr>
                      <w:rFonts w:ascii="Arial" w:hAnsi="Arial" w:cs="Arial"/>
                      <w:sz w:val="20"/>
                      <w:szCs w:val="20"/>
                    </w:rPr>
                    <w:t>) together with the Accessibility/Remoteness Index of Australia (ARIA) to classify remoteness.</w:t>
                  </w:r>
                </w:p>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Other standards used include the ABS standard question on:</w:t>
                  </w:r>
                </w:p>
                <w:p w:rsidR="00C736D5" w:rsidRPr="005970A0" w:rsidRDefault="00C736D5" w:rsidP="00302802">
                  <w:pPr>
                    <w:numPr>
                      <w:ilvl w:val="0"/>
                      <w:numId w:val="19"/>
                    </w:numPr>
                    <w:tabs>
                      <w:tab w:val="clear" w:pos="720"/>
                      <w:tab w:val="left" w:pos="222"/>
                    </w:tabs>
                    <w:spacing w:after="60"/>
                    <w:ind w:left="222" w:hanging="223"/>
                    <w:jc w:val="both"/>
                    <w:rPr>
                      <w:rFonts w:ascii="Arial" w:hAnsi="Arial" w:cs="Arial"/>
                      <w:sz w:val="20"/>
                      <w:szCs w:val="20"/>
                    </w:rPr>
                  </w:pPr>
                  <w:r w:rsidRPr="005970A0">
                    <w:rPr>
                      <w:rFonts w:ascii="Arial" w:hAnsi="Arial" w:cs="Arial"/>
                      <w:sz w:val="20"/>
                      <w:szCs w:val="20"/>
                    </w:rPr>
                    <w:t>Indigenous status</w:t>
                  </w:r>
                </w:p>
                <w:p w:rsidR="00C736D5" w:rsidRPr="005970A0" w:rsidRDefault="00C736D5" w:rsidP="00302802">
                  <w:pPr>
                    <w:numPr>
                      <w:ilvl w:val="0"/>
                      <w:numId w:val="19"/>
                    </w:numPr>
                    <w:tabs>
                      <w:tab w:val="clear" w:pos="720"/>
                      <w:tab w:val="left" w:pos="222"/>
                    </w:tabs>
                    <w:spacing w:after="60"/>
                    <w:ind w:left="222" w:hanging="223"/>
                    <w:jc w:val="both"/>
                    <w:rPr>
                      <w:rFonts w:ascii="Arial" w:hAnsi="Arial" w:cs="Arial"/>
                      <w:sz w:val="20"/>
                      <w:szCs w:val="20"/>
                    </w:rPr>
                  </w:pPr>
                  <w:r w:rsidRPr="005970A0">
                    <w:rPr>
                      <w:rFonts w:ascii="Arial" w:hAnsi="Arial" w:cs="Arial"/>
                      <w:sz w:val="20"/>
                      <w:szCs w:val="20"/>
                    </w:rPr>
                    <w:t>Country of birth</w:t>
                  </w:r>
                </w:p>
                <w:p w:rsidR="00C736D5" w:rsidRPr="005970A0" w:rsidRDefault="00C736D5" w:rsidP="00302802">
                  <w:pPr>
                    <w:numPr>
                      <w:ilvl w:val="0"/>
                      <w:numId w:val="19"/>
                    </w:numPr>
                    <w:tabs>
                      <w:tab w:val="clear" w:pos="720"/>
                      <w:tab w:val="left" w:pos="222"/>
                    </w:tabs>
                    <w:spacing w:after="60"/>
                    <w:ind w:left="222" w:hanging="223"/>
                    <w:jc w:val="both"/>
                    <w:rPr>
                      <w:rFonts w:ascii="Arial" w:hAnsi="Arial" w:cs="Arial"/>
                      <w:sz w:val="20"/>
                      <w:szCs w:val="20"/>
                      <w:u w:val="single"/>
                    </w:rPr>
                  </w:pPr>
                  <w:r w:rsidRPr="005970A0">
                    <w:rPr>
                      <w:rFonts w:ascii="Arial" w:hAnsi="Arial" w:cs="Arial"/>
                      <w:sz w:val="20"/>
                      <w:szCs w:val="20"/>
                    </w:rPr>
                    <w:t>Main Language Other than English Spoken at Home</w:t>
                  </w:r>
                </w:p>
                <w:p w:rsidR="00C736D5" w:rsidRPr="005970A0" w:rsidRDefault="00C736D5" w:rsidP="00302802">
                  <w:pPr>
                    <w:numPr>
                      <w:ilvl w:val="0"/>
                      <w:numId w:val="19"/>
                    </w:numPr>
                    <w:tabs>
                      <w:tab w:val="clear" w:pos="720"/>
                      <w:tab w:val="left" w:pos="222"/>
                    </w:tabs>
                    <w:spacing w:after="60"/>
                    <w:ind w:left="222" w:hanging="223"/>
                    <w:jc w:val="both"/>
                    <w:rPr>
                      <w:rFonts w:ascii="Arial" w:hAnsi="Arial" w:cs="Arial"/>
                      <w:sz w:val="20"/>
                      <w:szCs w:val="20"/>
                      <w:u w:val="single"/>
                    </w:rPr>
                  </w:pPr>
                  <w:r w:rsidRPr="005970A0">
                    <w:rPr>
                      <w:rFonts w:ascii="Arial" w:hAnsi="Arial" w:cs="Arial"/>
                      <w:sz w:val="20"/>
                      <w:szCs w:val="20"/>
                    </w:rPr>
                    <w:t>Labour force status</w:t>
                  </w:r>
                </w:p>
              </w:tc>
            </w:tr>
            <w:tr w:rsidR="005970A0" w:rsidRPr="005970A0" w:rsidTr="00C736D5">
              <w:tc>
                <w:tcPr>
                  <w:tcW w:w="5000" w:type="pct"/>
                  <w:gridSpan w:val="2"/>
                  <w:shd w:val="clear" w:color="auto" w:fill="auto"/>
                </w:tcPr>
                <w:p w:rsidR="007D21A0" w:rsidRPr="005970A0" w:rsidRDefault="007D21A0" w:rsidP="00C736D5">
                  <w:pPr>
                    <w:pStyle w:val="TableBodyText"/>
                    <w:jc w:val="both"/>
                    <w:rPr>
                      <w:rFonts w:cs="Arial"/>
                      <w:b/>
                      <w:u w:val="single"/>
                    </w:rPr>
                  </w:pPr>
                </w:p>
                <w:p w:rsidR="007D21A0" w:rsidRPr="005970A0" w:rsidRDefault="007D21A0" w:rsidP="00C736D5">
                  <w:pPr>
                    <w:pStyle w:val="TableBodyText"/>
                    <w:jc w:val="both"/>
                    <w:rPr>
                      <w:rFonts w:cs="Arial"/>
                      <w:b/>
                      <w:u w:val="single"/>
                    </w:rPr>
                  </w:pPr>
                </w:p>
                <w:p w:rsidR="00582952" w:rsidRPr="00582952" w:rsidRDefault="00582952" w:rsidP="00EC5E2C">
                  <w:pPr>
                    <w:tabs>
                      <w:tab w:val="left" w:pos="222"/>
                    </w:tabs>
                    <w:spacing w:before="120"/>
                    <w:jc w:val="both"/>
                    <w:rPr>
                      <w:rFonts w:ascii="Arial" w:hAnsi="Arial" w:cs="Arial"/>
                      <w:sz w:val="20"/>
                      <w:szCs w:val="20"/>
                    </w:rPr>
                  </w:pPr>
                  <w:r w:rsidRPr="00582952">
                    <w:rPr>
                      <w:rFonts w:ascii="Arial" w:hAnsi="Arial" w:cs="Arial"/>
                      <w:sz w:val="20"/>
                      <w:szCs w:val="20"/>
                    </w:rPr>
                    <w:lastRenderedPageBreak/>
                    <w:t>Student remoteness is based on the Access/Remoteness Index of Australia (ARIA+), which was developed by the National Centre for Social Applications of Geographic Information Systems (</w:t>
                  </w:r>
                  <w:proofErr w:type="spellStart"/>
                  <w:r w:rsidRPr="00582952">
                    <w:rPr>
                      <w:rFonts w:ascii="Arial" w:hAnsi="Arial" w:cs="Arial"/>
                      <w:sz w:val="20"/>
                      <w:szCs w:val="20"/>
                    </w:rPr>
                    <w:t>GISCA</w:t>
                  </w:r>
                  <w:proofErr w:type="spellEnd"/>
                  <w:r w:rsidRPr="00582952">
                    <w:rPr>
                      <w:rFonts w:ascii="Arial" w:hAnsi="Arial" w:cs="Arial"/>
                      <w:sz w:val="20"/>
                      <w:szCs w:val="20"/>
                    </w:rPr>
                    <w:t xml:space="preserve">). ARIA+ is now the standard ABS-endorsed measure of remoteness. From 2012, Student remoteness (ARIA+) is determined from ARIA+ remoteness regions and ABS </w:t>
                  </w:r>
                  <w:proofErr w:type="spellStart"/>
                  <w:r w:rsidRPr="00582952">
                    <w:rPr>
                      <w:rFonts w:ascii="Arial" w:hAnsi="Arial" w:cs="Arial"/>
                      <w:sz w:val="20"/>
                      <w:szCs w:val="20"/>
                    </w:rPr>
                    <w:t>SA2</w:t>
                  </w:r>
                  <w:proofErr w:type="spellEnd"/>
                  <w:r w:rsidRPr="00582952">
                    <w:rPr>
                      <w:rFonts w:ascii="Arial" w:hAnsi="Arial" w:cs="Arial"/>
                      <w:sz w:val="20"/>
                      <w:szCs w:val="20"/>
                    </w:rPr>
                    <w:t xml:space="preserve"> regions. Data prior to 2012 is based on ABS postal areas and ARIA+. Student remoteness (ARIA+) regions use the same ARIA+ ranges as the ABS remoteness areas and are therefore an approximation of the ABS remoteness areas. For more details of ARIA+ refer to &lt;</w:t>
                  </w:r>
                  <w:r w:rsidRPr="00D86CD7">
                    <w:rPr>
                      <w:rFonts w:ascii="Arial" w:hAnsi="Arial" w:cs="Arial"/>
                      <w:sz w:val="20"/>
                      <w:szCs w:val="20"/>
                    </w:rPr>
                    <w:t>www.adelaide.edu.au/apmrc/research/projects/category/about_aria.html</w:t>
                  </w:r>
                  <w:r w:rsidRPr="00582952">
                    <w:rPr>
                      <w:rFonts w:ascii="Arial" w:hAnsi="Arial" w:cs="Arial"/>
                      <w:sz w:val="20"/>
                      <w:szCs w:val="20"/>
                    </w:rPr>
                    <w:t>&gt;</w:t>
                  </w:r>
                </w:p>
                <w:p w:rsidR="007D21A0" w:rsidRPr="005970A0" w:rsidRDefault="007D21A0" w:rsidP="00C736D5">
                  <w:pPr>
                    <w:pStyle w:val="TableBodyText"/>
                    <w:jc w:val="both"/>
                    <w:rPr>
                      <w:rFonts w:cs="Arial"/>
                      <w:b/>
                      <w:u w:val="single"/>
                    </w:rPr>
                  </w:pPr>
                </w:p>
                <w:p w:rsidR="00C736D5" w:rsidRPr="005970A0" w:rsidRDefault="00C736D5" w:rsidP="00C736D5">
                  <w:pPr>
                    <w:pStyle w:val="TableBodyText"/>
                    <w:jc w:val="both"/>
                    <w:rPr>
                      <w:rFonts w:cs="Arial"/>
                      <w:b/>
                      <w:u w:val="single"/>
                    </w:rPr>
                  </w:pPr>
                  <w:r w:rsidRPr="005970A0">
                    <w:rPr>
                      <w:rFonts w:cs="Arial"/>
                      <w:b/>
                      <w:u w:val="single"/>
                    </w:rPr>
                    <w:t>Data Gaps/Issues Analysis</w:t>
                  </w:r>
                </w:p>
              </w:tc>
            </w:tr>
            <w:tr w:rsidR="005970A0" w:rsidRPr="005970A0" w:rsidTr="00C736D5">
              <w:tc>
                <w:tcPr>
                  <w:tcW w:w="922" w:type="pct"/>
                  <w:shd w:val="clear" w:color="auto" w:fill="auto"/>
                </w:tcPr>
                <w:p w:rsidR="00C736D5" w:rsidRPr="005970A0" w:rsidRDefault="00C736D5" w:rsidP="00C736D5">
                  <w:pPr>
                    <w:pStyle w:val="TableBodyText"/>
                    <w:jc w:val="both"/>
                    <w:rPr>
                      <w:b/>
                    </w:rPr>
                  </w:pPr>
                  <w:r w:rsidRPr="005970A0">
                    <w:rPr>
                      <w:b/>
                    </w:rPr>
                    <w:lastRenderedPageBreak/>
                    <w:t>Key data gaps/ issues</w:t>
                  </w:r>
                </w:p>
              </w:tc>
              <w:tc>
                <w:tcPr>
                  <w:tcW w:w="4078" w:type="pct"/>
                  <w:shd w:val="clear" w:color="auto" w:fill="auto"/>
                </w:tcPr>
                <w:p w:rsidR="008F7987" w:rsidRPr="005970A0" w:rsidRDefault="008F7987" w:rsidP="00302802">
                  <w:pPr>
                    <w:pStyle w:val="TableBodyText"/>
                    <w:spacing w:after="60"/>
                    <w:jc w:val="both"/>
                    <w:rPr>
                      <w:rFonts w:cs="Arial"/>
                    </w:rPr>
                  </w:pPr>
                  <w:r w:rsidRPr="005970A0">
                    <w:rPr>
                      <w:rFonts w:cs="Arial"/>
                    </w:rPr>
                    <w:t xml:space="preserve">The Steering Committee notes the following key data gaps/issues: </w:t>
                  </w:r>
                </w:p>
                <w:p w:rsidR="008F7987" w:rsidRPr="005970A0" w:rsidRDefault="008F7987" w:rsidP="00302802">
                  <w:pPr>
                    <w:pStyle w:val="TableBullet"/>
                    <w:tabs>
                      <w:tab w:val="clear" w:pos="170"/>
                      <w:tab w:val="num" w:pos="222"/>
                    </w:tabs>
                    <w:spacing w:after="60"/>
                    <w:ind w:left="222" w:hanging="222"/>
                    <w:jc w:val="both"/>
                    <w:rPr>
                      <w:rFonts w:cs="Arial"/>
                    </w:rPr>
                  </w:pPr>
                  <w:r w:rsidRPr="005970A0">
                    <w:rPr>
                      <w:rFonts w:cs="Arial"/>
                    </w:rPr>
                    <w:t>Annual data are available from the Student Outcomes Survey. The most recent available data are for 201</w:t>
                  </w:r>
                  <w:r w:rsidR="00063E84">
                    <w:rPr>
                      <w:rFonts w:cs="Arial"/>
                    </w:rPr>
                    <w:t>2</w:t>
                  </w:r>
                  <w:r w:rsidRPr="005970A0">
                    <w:rPr>
                      <w:rFonts w:cs="Arial"/>
                    </w:rPr>
                    <w:t xml:space="preserve"> (outcomes of students in 201</w:t>
                  </w:r>
                  <w:r w:rsidR="00063E84">
                    <w:rPr>
                      <w:rFonts w:cs="Arial"/>
                    </w:rPr>
                    <w:t>2</w:t>
                  </w:r>
                  <w:r w:rsidRPr="005970A0">
                    <w:rPr>
                      <w:rFonts w:cs="Arial"/>
                    </w:rPr>
                    <w:t xml:space="preserve"> who completed qualifications in 201</w:t>
                  </w:r>
                  <w:r w:rsidR="00063E84">
                    <w:rPr>
                      <w:rFonts w:cs="Arial"/>
                    </w:rPr>
                    <w:t>1</w:t>
                  </w:r>
                  <w:r w:rsidRPr="005970A0">
                    <w:rPr>
                      <w:rFonts w:cs="Arial"/>
                    </w:rPr>
                    <w:t>)</w:t>
                  </w:r>
                </w:p>
                <w:p w:rsidR="008F7987" w:rsidRPr="005970A0" w:rsidRDefault="008F7987" w:rsidP="00302802">
                  <w:pPr>
                    <w:pStyle w:val="TableBullet"/>
                    <w:tabs>
                      <w:tab w:val="clear" w:pos="170"/>
                      <w:tab w:val="num" w:pos="222"/>
                    </w:tabs>
                    <w:spacing w:after="60"/>
                    <w:ind w:left="222" w:hanging="222"/>
                    <w:jc w:val="both"/>
                    <w:rPr>
                      <w:rFonts w:cs="Arial"/>
                    </w:rPr>
                  </w:pPr>
                  <w:r w:rsidRPr="005970A0">
                    <w:rPr>
                      <w:rFonts w:cs="Arial"/>
                    </w:rPr>
                    <w:t xml:space="preserve">The response rate to this survey was </w:t>
                  </w:r>
                  <w:proofErr w:type="spellStart"/>
                  <w:r w:rsidR="003B6FF3">
                    <w:rPr>
                      <w:rFonts w:cs="Arial"/>
                    </w:rPr>
                    <w:t>47.0</w:t>
                  </w:r>
                  <w:r w:rsidRPr="005970A0">
                    <w:rPr>
                      <w:rFonts w:cs="Arial"/>
                    </w:rPr>
                    <w:t>per</w:t>
                  </w:r>
                  <w:proofErr w:type="spellEnd"/>
                  <w:r w:rsidRPr="005970A0">
                    <w:rPr>
                      <w:rFonts w:cs="Arial"/>
                    </w:rPr>
                    <w:t xml:space="preserve"> cent in 201</w:t>
                  </w:r>
                  <w:r w:rsidR="00063E84">
                    <w:rPr>
                      <w:rFonts w:cs="Arial"/>
                    </w:rPr>
                    <w:t>2</w:t>
                  </w:r>
                  <w:r w:rsidRPr="005970A0">
                    <w:rPr>
                      <w:rFonts w:cs="Arial"/>
                    </w:rPr>
                    <w:t xml:space="preserve">. </w:t>
                  </w:r>
                  <w:proofErr w:type="spellStart"/>
                  <w:r w:rsidRPr="005970A0">
                    <w:rPr>
                      <w:rFonts w:cs="Arial"/>
                    </w:rPr>
                    <w:t>NCVER</w:t>
                  </w:r>
                  <w:proofErr w:type="spellEnd"/>
                  <w:r w:rsidRPr="005970A0">
                    <w:rPr>
                      <w:rFonts w:cs="Arial"/>
                    </w:rPr>
                    <w:t xml:space="preserve"> analysis found that the non-response was not likely to have affected the quality of the results.</w:t>
                  </w:r>
                </w:p>
                <w:p w:rsidR="008F7987" w:rsidRPr="005970A0" w:rsidRDefault="008F7987" w:rsidP="00302802">
                  <w:pPr>
                    <w:pStyle w:val="TableBullet"/>
                    <w:tabs>
                      <w:tab w:val="clear" w:pos="170"/>
                      <w:tab w:val="num" w:pos="222"/>
                    </w:tabs>
                    <w:spacing w:after="60"/>
                    <w:ind w:left="222" w:hanging="222"/>
                    <w:jc w:val="both"/>
                    <w:rPr>
                      <w:rFonts w:cs="Arial"/>
                    </w:rPr>
                  </w:pPr>
                  <w:r w:rsidRPr="005970A0">
                    <w:rPr>
                      <w:rFonts w:cs="Arial"/>
                    </w:rPr>
                    <w:t xml:space="preserve">Data are of acceptable accuracy at the national level, but some data disaggregated by Indigenous status by State and Territory have relative standard errors greater than 25 per cent and should be used with caution. </w:t>
                  </w:r>
                </w:p>
                <w:p w:rsidR="008F7987" w:rsidRPr="005970A0" w:rsidRDefault="008F7987" w:rsidP="00302802">
                  <w:pPr>
                    <w:pStyle w:val="TableBullet"/>
                    <w:keepNext w:val="0"/>
                    <w:keepLines w:val="0"/>
                    <w:tabs>
                      <w:tab w:val="clear" w:pos="170"/>
                      <w:tab w:val="num" w:pos="222"/>
                    </w:tabs>
                    <w:spacing w:after="60" w:line="240" w:lineRule="auto"/>
                    <w:ind w:left="222" w:right="0" w:hanging="222"/>
                    <w:jc w:val="both"/>
                    <w:rPr>
                      <w:rFonts w:cs="Arial"/>
                    </w:rPr>
                  </w:pPr>
                  <w:r w:rsidRPr="005970A0">
                    <w:rPr>
                      <w:rFonts w:cs="Arial"/>
                    </w:rPr>
                    <w:t>Percentages in tables are rounded and may not sum to 100.</w:t>
                  </w:r>
                </w:p>
                <w:p w:rsidR="00C736D5" w:rsidRPr="005970A0" w:rsidRDefault="008F7987" w:rsidP="00302802">
                  <w:pPr>
                    <w:pStyle w:val="TableBullet"/>
                    <w:tabs>
                      <w:tab w:val="clear" w:pos="170"/>
                      <w:tab w:val="num" w:pos="222"/>
                    </w:tabs>
                    <w:spacing w:after="60"/>
                    <w:ind w:left="222" w:hanging="222"/>
                    <w:jc w:val="both"/>
                    <w:rPr>
                      <w:rFonts w:cs="Arial"/>
                    </w:rPr>
                  </w:pPr>
                  <w:r w:rsidRPr="005970A0">
                    <w:rPr>
                      <w:rFonts w:cs="Arial"/>
                    </w:rPr>
                    <w:t xml:space="preserve">The size of the </w:t>
                  </w:r>
                  <w:proofErr w:type="spellStart"/>
                  <w:r w:rsidRPr="005970A0">
                    <w:rPr>
                      <w:rFonts w:cs="Arial"/>
                    </w:rPr>
                    <w:t>RSEs</w:t>
                  </w:r>
                  <w:proofErr w:type="spellEnd"/>
                  <w:r w:rsidRPr="005970A0">
                    <w:rPr>
                      <w:rFonts w:cs="Arial"/>
                    </w:rPr>
                    <w:t xml:space="preserve"> affects the ability to identify small year to year movements in some disaggregated measures for this indicator for some jurisdictions.</w:t>
                  </w:r>
                </w:p>
              </w:tc>
            </w:tr>
          </w:tbl>
          <w:p w:rsidR="0068457F" w:rsidRPr="005970A0" w:rsidRDefault="0068457F" w:rsidP="006E0702">
            <w:pPr>
              <w:pStyle w:val="TableBodyText"/>
              <w:jc w:val="both"/>
              <w:rPr>
                <w:b/>
                <w:u w:val="single"/>
              </w:rPr>
            </w:pPr>
          </w:p>
        </w:tc>
      </w:tr>
    </w:tbl>
    <w:p w:rsidR="008F7987" w:rsidRPr="005970A0" w:rsidRDefault="008F7987" w:rsidP="008F7987">
      <w:pPr>
        <w:pStyle w:val="BodyText"/>
      </w:pPr>
    </w:p>
    <w:p w:rsidR="00C736D5" w:rsidRPr="005970A0" w:rsidRDefault="00C736D5" w:rsidP="00C736D5">
      <w:pPr>
        <w:pStyle w:val="BodyText"/>
        <w:rPr>
          <w:rFonts w:ascii="Arial" w:hAnsi="Arial"/>
        </w:rPr>
      </w:pPr>
      <w:r w:rsidRPr="005970A0">
        <w:br w:type="page"/>
      </w:r>
    </w:p>
    <w:p w:rsidR="0068457F" w:rsidRPr="005970A0" w:rsidRDefault="0068457F" w:rsidP="00D21520">
      <w:pPr>
        <w:pStyle w:val="Heading3"/>
        <w:spacing w:before="120"/>
      </w:pPr>
      <w:bookmarkStart w:id="26" w:name="_Toc370472623"/>
      <w:r w:rsidRPr="005970A0">
        <w:lastRenderedPageBreak/>
        <w:t>Student employment and further study outcomes — proportion of graduates who improved their employment circumstances after completing their course</w:t>
      </w:r>
      <w:bookmarkEnd w:id="26"/>
    </w:p>
    <w:p w:rsidR="001305D2" w:rsidRPr="005970A0" w:rsidRDefault="001305D2" w:rsidP="001305D2">
      <w:pPr>
        <w:pStyle w:val="Box"/>
      </w:pPr>
      <w:r w:rsidRPr="005970A0">
        <w:t xml:space="preserve">Data quality information for this indicator has been sourced from the Steering Committee’s report to the </w:t>
      </w:r>
      <w:proofErr w:type="spellStart"/>
      <w:r w:rsidRPr="005970A0">
        <w:t>COAG</w:t>
      </w:r>
      <w:proofErr w:type="spellEnd"/>
      <w:r w:rsidRPr="005970A0">
        <w:t xml:space="preserve"> Reform Council on the </w:t>
      </w:r>
      <w:r w:rsidRPr="005970A0">
        <w:rPr>
          <w:i/>
        </w:rPr>
        <w:t xml:space="preserve">National Agreement for Skills and Workforce Development </w:t>
      </w:r>
      <w:r w:rsidRPr="005970A0">
        <w:t xml:space="preserve">(data supplied by </w:t>
      </w:r>
      <w:proofErr w:type="spellStart"/>
      <w:r w:rsidRPr="005970A0">
        <w:t>NCVER</w:t>
      </w:r>
      <w:proofErr w:type="spellEnd"/>
      <w:r w:rsidRPr="005970A0">
        <w:t>)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645C35">
        <w:trPr>
          <w:trHeight w:val="256"/>
        </w:trPr>
        <w:tc>
          <w:tcPr>
            <w:tcW w:w="5000" w:type="pct"/>
            <w:gridSpan w:val="2"/>
          </w:tcPr>
          <w:p w:rsidR="0068457F" w:rsidRPr="005970A0" w:rsidRDefault="0068457F" w:rsidP="006E0702">
            <w:pPr>
              <w:pStyle w:val="TableBodyText"/>
              <w:jc w:val="both"/>
              <w:rPr>
                <w:b/>
                <w:u w:val="single"/>
              </w:rPr>
            </w:pPr>
          </w:p>
          <w:p w:rsidR="0068457F" w:rsidRPr="005970A0" w:rsidRDefault="0068457F" w:rsidP="006E0702">
            <w:pPr>
              <w:pStyle w:val="TableBodyText"/>
              <w:jc w:val="both"/>
            </w:pPr>
            <w:r w:rsidRPr="005970A0">
              <w:rPr>
                <w:b/>
                <w:u w:val="single"/>
              </w:rPr>
              <w:t>Indicator definition and description</w:t>
            </w:r>
            <w:r w:rsidRPr="005970A0">
              <w:rPr>
                <w:rFonts w:cs="Arial"/>
                <w:b/>
                <w:sz w:val="22"/>
                <w:szCs w:val="22"/>
                <w:u w:val="single"/>
              </w:rPr>
              <w:t xml:space="preserve"> </w:t>
            </w:r>
          </w:p>
        </w:tc>
      </w:tr>
      <w:tr w:rsidR="005970A0" w:rsidRPr="005970A0" w:rsidTr="00395EF2">
        <w:tc>
          <w:tcPr>
            <w:tcW w:w="922" w:type="pct"/>
          </w:tcPr>
          <w:p w:rsidR="0068457F" w:rsidRPr="005970A0" w:rsidRDefault="0068457F" w:rsidP="006E0702">
            <w:pPr>
              <w:pStyle w:val="TableBodyText"/>
              <w:jc w:val="both"/>
              <w:rPr>
                <w:b/>
              </w:rPr>
            </w:pPr>
            <w:r w:rsidRPr="005970A0">
              <w:rPr>
                <w:b/>
              </w:rPr>
              <w:t>Element</w:t>
            </w:r>
          </w:p>
        </w:tc>
        <w:tc>
          <w:tcPr>
            <w:tcW w:w="4078" w:type="pct"/>
          </w:tcPr>
          <w:p w:rsidR="0068457F" w:rsidRPr="005970A0" w:rsidRDefault="0068457F" w:rsidP="006E0702">
            <w:pPr>
              <w:pStyle w:val="TableBodyText"/>
              <w:keepNext w:val="0"/>
              <w:keepLines w:val="0"/>
              <w:autoSpaceDE w:val="0"/>
              <w:autoSpaceDN w:val="0"/>
              <w:adjustRightInd w:val="0"/>
              <w:spacing w:after="120" w:line="240" w:lineRule="atLeast"/>
              <w:ind w:left="0" w:right="0"/>
              <w:jc w:val="both"/>
            </w:pPr>
            <w:r w:rsidRPr="005970A0">
              <w:t>Outcomes.</w:t>
            </w:r>
          </w:p>
        </w:tc>
      </w:tr>
      <w:tr w:rsidR="005970A0" w:rsidRPr="005970A0" w:rsidTr="00395EF2">
        <w:tc>
          <w:tcPr>
            <w:tcW w:w="922" w:type="pct"/>
          </w:tcPr>
          <w:p w:rsidR="0068457F" w:rsidRPr="005970A0" w:rsidRDefault="0068457F" w:rsidP="006E0702">
            <w:pPr>
              <w:pStyle w:val="TableBodyText"/>
              <w:jc w:val="both"/>
              <w:rPr>
                <w:b/>
              </w:rPr>
            </w:pPr>
            <w:r w:rsidRPr="005970A0">
              <w:rPr>
                <w:b/>
              </w:rPr>
              <w:t>Indicator</w:t>
            </w:r>
          </w:p>
        </w:tc>
        <w:tc>
          <w:tcPr>
            <w:tcW w:w="4078" w:type="pct"/>
          </w:tcPr>
          <w:p w:rsidR="0068457F" w:rsidRPr="005970A0" w:rsidRDefault="0068457F" w:rsidP="006E0702">
            <w:pPr>
              <w:pStyle w:val="TableBodyText"/>
              <w:keepNext w:val="0"/>
              <w:keepLines w:val="0"/>
              <w:autoSpaceDE w:val="0"/>
              <w:autoSpaceDN w:val="0"/>
              <w:adjustRightInd w:val="0"/>
              <w:spacing w:after="120" w:line="240" w:lineRule="atLeast"/>
              <w:ind w:left="0" w:right="0"/>
              <w:jc w:val="both"/>
            </w:pPr>
            <w:r w:rsidRPr="005970A0">
              <w:t>Student employment and further study outcomes</w:t>
            </w:r>
          </w:p>
        </w:tc>
      </w:tr>
      <w:tr w:rsidR="005970A0" w:rsidRPr="005970A0" w:rsidTr="00395EF2">
        <w:tc>
          <w:tcPr>
            <w:tcW w:w="922" w:type="pct"/>
          </w:tcPr>
          <w:p w:rsidR="0068457F" w:rsidRPr="005970A0" w:rsidRDefault="0068457F" w:rsidP="006E0702">
            <w:pPr>
              <w:pStyle w:val="TableBodyText"/>
              <w:jc w:val="both"/>
              <w:rPr>
                <w:b/>
              </w:rPr>
            </w:pPr>
            <w:r w:rsidRPr="005970A0">
              <w:rPr>
                <w:b/>
              </w:rPr>
              <w:t>Measure (computation)</w:t>
            </w:r>
          </w:p>
        </w:tc>
        <w:tc>
          <w:tcPr>
            <w:tcW w:w="4078" w:type="pct"/>
          </w:tcPr>
          <w:p w:rsidR="0068457F" w:rsidRPr="005970A0" w:rsidRDefault="0068457F" w:rsidP="006E0702">
            <w:pPr>
              <w:pStyle w:val="TableBodyText"/>
              <w:jc w:val="both"/>
              <w:rPr>
                <w:u w:val="single"/>
              </w:rPr>
            </w:pPr>
            <w:r w:rsidRPr="005970A0">
              <w:rPr>
                <w:u w:val="single"/>
              </w:rPr>
              <w:t>Definition</w:t>
            </w:r>
          </w:p>
          <w:p w:rsidR="0068457F" w:rsidRPr="005970A0" w:rsidRDefault="0068457F" w:rsidP="00645C35">
            <w:pPr>
              <w:pStyle w:val="TableBodyText"/>
              <w:keepNext w:val="0"/>
              <w:keepLines w:val="0"/>
              <w:autoSpaceDE w:val="0"/>
              <w:autoSpaceDN w:val="0"/>
              <w:adjustRightInd w:val="0"/>
              <w:spacing w:after="60" w:line="240" w:lineRule="atLeast"/>
              <w:ind w:left="0" w:right="0"/>
              <w:jc w:val="both"/>
            </w:pPr>
            <w:r w:rsidRPr="005970A0">
              <w:t xml:space="preserve">The proportion of graduates </w:t>
            </w:r>
            <w:r w:rsidR="002E771E" w:rsidRPr="005970A0">
              <w:t>who</w:t>
            </w:r>
            <w:r w:rsidRPr="005970A0">
              <w:t xml:space="preserve"> improved </w:t>
            </w:r>
            <w:r w:rsidR="002E771E" w:rsidRPr="005970A0">
              <w:t xml:space="preserve">their </w:t>
            </w:r>
            <w:r w:rsidRPr="005970A0">
              <w:t xml:space="preserve">employment </w:t>
            </w:r>
            <w:r w:rsidR="002E771E" w:rsidRPr="005970A0">
              <w:t xml:space="preserve">circumstances </w:t>
            </w:r>
            <w:r w:rsidRPr="005970A0">
              <w:t>after completing their course.</w:t>
            </w:r>
            <w:r w:rsidR="0066417F" w:rsidRPr="005970A0">
              <w:t xml:space="preserve"> </w:t>
            </w:r>
          </w:p>
          <w:p w:rsidR="0068457F" w:rsidRPr="005970A0" w:rsidRDefault="0068457F" w:rsidP="006E0702">
            <w:pPr>
              <w:pStyle w:val="TableBodyText"/>
              <w:jc w:val="both"/>
              <w:rPr>
                <w:u w:val="single"/>
              </w:rPr>
            </w:pPr>
            <w:r w:rsidRPr="005970A0">
              <w:rPr>
                <w:u w:val="single"/>
              </w:rPr>
              <w:t>Numerator/s</w:t>
            </w:r>
          </w:p>
          <w:p w:rsidR="0068457F" w:rsidRPr="005970A0" w:rsidRDefault="0068457F" w:rsidP="00645C35">
            <w:pPr>
              <w:pStyle w:val="TableBodyText"/>
              <w:keepNext w:val="0"/>
              <w:keepLines w:val="0"/>
              <w:autoSpaceDE w:val="0"/>
              <w:autoSpaceDN w:val="0"/>
              <w:adjustRightInd w:val="0"/>
              <w:spacing w:after="80" w:line="240" w:lineRule="atLeast"/>
              <w:ind w:left="0" w:right="0"/>
              <w:jc w:val="both"/>
            </w:pPr>
            <w:r w:rsidRPr="005970A0">
              <w:t xml:space="preserve">Number of </w:t>
            </w:r>
            <w:r w:rsidR="00917109" w:rsidRPr="005970A0">
              <w:t>VET graduates with an improved employment status after training.</w:t>
            </w:r>
          </w:p>
          <w:p w:rsidR="0068457F" w:rsidRPr="005970A0" w:rsidRDefault="0068457F" w:rsidP="00917109">
            <w:pPr>
              <w:pStyle w:val="TableBodyText"/>
              <w:tabs>
                <w:tab w:val="left" w:pos="359"/>
              </w:tabs>
              <w:ind w:left="0"/>
              <w:jc w:val="both"/>
              <w:rPr>
                <w:u w:val="single"/>
              </w:rPr>
            </w:pPr>
            <w:r w:rsidRPr="005970A0">
              <w:rPr>
                <w:u w:val="single"/>
              </w:rPr>
              <w:t>Denominator/s</w:t>
            </w:r>
          </w:p>
          <w:p w:rsidR="0068457F" w:rsidRPr="005970A0" w:rsidRDefault="00917109" w:rsidP="00645C35">
            <w:pPr>
              <w:pStyle w:val="TableBodyText"/>
              <w:keepNext w:val="0"/>
              <w:keepLines w:val="0"/>
              <w:autoSpaceDE w:val="0"/>
              <w:autoSpaceDN w:val="0"/>
              <w:adjustRightInd w:val="0"/>
              <w:spacing w:after="80" w:line="240" w:lineRule="atLeast"/>
              <w:ind w:left="0" w:right="0"/>
              <w:jc w:val="both"/>
            </w:pPr>
            <w:r w:rsidRPr="005970A0">
              <w:t>The number of VET graduates (less those with all three numerator variables not stated).</w:t>
            </w:r>
          </w:p>
          <w:p w:rsidR="0068457F" w:rsidRPr="005970A0" w:rsidRDefault="0068457F" w:rsidP="006E0702">
            <w:pPr>
              <w:pStyle w:val="TableBodyText"/>
              <w:jc w:val="both"/>
              <w:rPr>
                <w:u w:val="single"/>
              </w:rPr>
            </w:pPr>
            <w:r w:rsidRPr="005970A0">
              <w:rPr>
                <w:u w:val="single"/>
              </w:rPr>
              <w:t>Computation/s:</w:t>
            </w:r>
          </w:p>
          <w:p w:rsidR="0068457F" w:rsidRPr="005970A0" w:rsidRDefault="0068457F" w:rsidP="00645C35">
            <w:pPr>
              <w:pStyle w:val="TableBodyText"/>
              <w:keepNext w:val="0"/>
              <w:keepLines w:val="0"/>
              <w:autoSpaceDE w:val="0"/>
              <w:autoSpaceDN w:val="0"/>
              <w:adjustRightInd w:val="0"/>
              <w:spacing w:after="80" w:line="240" w:lineRule="atLeast"/>
              <w:ind w:left="0" w:right="0"/>
              <w:jc w:val="both"/>
            </w:pPr>
            <w:r w:rsidRPr="005970A0">
              <w:t>Numerator (above) divided by denominator (above)</w:t>
            </w:r>
            <w:r w:rsidR="00917109" w:rsidRPr="005970A0">
              <w:t>.</w:t>
            </w:r>
          </w:p>
          <w:p w:rsidR="0068457F" w:rsidRPr="005970A0" w:rsidRDefault="00917109" w:rsidP="00917109">
            <w:pPr>
              <w:pStyle w:val="TableBodyText"/>
              <w:autoSpaceDE w:val="0"/>
              <w:autoSpaceDN w:val="0"/>
              <w:adjustRightInd w:val="0"/>
              <w:spacing w:after="120" w:line="240" w:lineRule="atLeast"/>
              <w:jc w:val="both"/>
            </w:pPr>
            <w:r w:rsidRPr="005970A0">
              <w:t>‘Graduate’ is defined as a past student who was awarded a qualification from a vocational education and training (VET) provider in Australia. This excludes those students who left their training before completing a qualification.</w:t>
            </w:r>
          </w:p>
          <w:p w:rsidR="00917109" w:rsidRPr="005970A0" w:rsidRDefault="00917109" w:rsidP="00917109">
            <w:pPr>
              <w:pStyle w:val="TableBodyText"/>
              <w:keepNext w:val="0"/>
              <w:keepLines w:val="0"/>
              <w:autoSpaceDE w:val="0"/>
              <w:autoSpaceDN w:val="0"/>
              <w:adjustRightInd w:val="0"/>
              <w:spacing w:after="60" w:line="240" w:lineRule="atLeast"/>
              <w:ind w:left="0" w:right="0"/>
              <w:jc w:val="both"/>
            </w:pPr>
            <w:r w:rsidRPr="005970A0">
              <w:t>‘Improved employment status’ is defined as any one of the following:</w:t>
            </w:r>
          </w:p>
          <w:p w:rsidR="00917109" w:rsidRPr="005970A0" w:rsidRDefault="00917109" w:rsidP="00FF7E62">
            <w:pPr>
              <w:pStyle w:val="TableBodyText"/>
              <w:keepNext w:val="0"/>
              <w:keepLines w:val="0"/>
              <w:numPr>
                <w:ilvl w:val="0"/>
                <w:numId w:val="15"/>
              </w:numPr>
              <w:tabs>
                <w:tab w:val="left" w:pos="222"/>
              </w:tabs>
              <w:spacing w:after="60" w:line="240" w:lineRule="auto"/>
              <w:ind w:left="222" w:right="0" w:hanging="222"/>
              <w:jc w:val="both"/>
            </w:pPr>
            <w:r w:rsidRPr="005970A0">
              <w:t>employment status changing from not employed before training (both unemployed and not in labour force) to employed after training (both full time and part time employed)</w:t>
            </w:r>
          </w:p>
          <w:p w:rsidR="00917109" w:rsidRPr="005970A0" w:rsidRDefault="00917109" w:rsidP="00FF7E62">
            <w:pPr>
              <w:pStyle w:val="TableBodyText"/>
              <w:keepNext w:val="0"/>
              <w:keepLines w:val="0"/>
              <w:numPr>
                <w:ilvl w:val="0"/>
                <w:numId w:val="15"/>
              </w:numPr>
              <w:tabs>
                <w:tab w:val="left" w:pos="222"/>
              </w:tabs>
              <w:spacing w:after="60" w:line="240" w:lineRule="auto"/>
              <w:ind w:left="222" w:right="0" w:hanging="222"/>
              <w:jc w:val="both"/>
            </w:pPr>
            <w:r w:rsidRPr="005970A0">
              <w:t xml:space="preserve">employed at a higher skill level (based on </w:t>
            </w:r>
            <w:proofErr w:type="spellStart"/>
            <w:r w:rsidRPr="005970A0">
              <w:t>ANZSCO</w:t>
            </w:r>
            <w:proofErr w:type="spellEnd"/>
            <w:r w:rsidRPr="005970A0">
              <w:t>) after training (regardless of full time or part time employment status before and after training)</w:t>
            </w:r>
          </w:p>
          <w:p w:rsidR="00917109" w:rsidRPr="005970A0" w:rsidRDefault="00917109" w:rsidP="00FF7E62">
            <w:pPr>
              <w:pStyle w:val="TableBodyText"/>
              <w:keepNext w:val="0"/>
              <w:keepLines w:val="0"/>
              <w:numPr>
                <w:ilvl w:val="0"/>
                <w:numId w:val="15"/>
              </w:numPr>
              <w:tabs>
                <w:tab w:val="left" w:pos="222"/>
              </w:tabs>
              <w:spacing w:after="60" w:line="240" w:lineRule="auto"/>
              <w:ind w:left="222" w:right="0" w:hanging="222"/>
              <w:jc w:val="both"/>
            </w:pPr>
            <w:r w:rsidRPr="005970A0">
              <w:t>received one of the following job related benefits: set up or expanded their own business, got a promotion, increased earnings, or other job-related benefits after completing their training.</w:t>
            </w:r>
          </w:p>
        </w:tc>
      </w:tr>
      <w:tr w:rsidR="005970A0" w:rsidRPr="005970A0" w:rsidTr="00395EF2">
        <w:tc>
          <w:tcPr>
            <w:tcW w:w="922" w:type="pct"/>
          </w:tcPr>
          <w:p w:rsidR="0068457F" w:rsidRPr="005970A0" w:rsidRDefault="0068457F" w:rsidP="006E0702">
            <w:pPr>
              <w:pStyle w:val="TableBodyText"/>
              <w:jc w:val="both"/>
              <w:rPr>
                <w:b/>
              </w:rPr>
            </w:pPr>
            <w:r w:rsidRPr="005970A0">
              <w:rPr>
                <w:b/>
              </w:rPr>
              <w:t>Data source/s</w:t>
            </w:r>
          </w:p>
        </w:tc>
        <w:tc>
          <w:tcPr>
            <w:tcW w:w="4078" w:type="pct"/>
          </w:tcPr>
          <w:p w:rsidR="009661FD" w:rsidRPr="005970A0" w:rsidRDefault="009661FD" w:rsidP="009661FD">
            <w:pPr>
              <w:pStyle w:val="TableBodyText"/>
              <w:spacing w:after="120"/>
              <w:jc w:val="both"/>
            </w:pPr>
            <w:r w:rsidRPr="005970A0">
              <w:t xml:space="preserve">All data are derived from the </w:t>
            </w:r>
            <w:r w:rsidRPr="005970A0">
              <w:rPr>
                <w:i/>
              </w:rPr>
              <w:t>Student Outcomes Survey</w:t>
            </w:r>
            <w:r w:rsidR="00DD55B0" w:rsidRPr="005970A0">
              <w:rPr>
                <w:i/>
              </w:rPr>
              <w:t xml:space="preserve"> </w:t>
            </w:r>
            <w:r w:rsidR="00DD55B0" w:rsidRPr="005970A0">
              <w:t>(SOS),</w:t>
            </w:r>
            <w:r w:rsidRPr="005970A0">
              <w:t xml:space="preserve"> which is an annual survey of students who successfully complete VET in Australia. It has been conducted by the National Centre for Vocational Education and Research (</w:t>
            </w:r>
            <w:proofErr w:type="spellStart"/>
            <w:r w:rsidRPr="005970A0">
              <w:t>NCVER</w:t>
            </w:r>
            <w:proofErr w:type="spellEnd"/>
            <w:r w:rsidRPr="005970A0">
              <w:t xml:space="preserve">) since 1997. </w:t>
            </w:r>
          </w:p>
          <w:p w:rsidR="0068457F" w:rsidRPr="005970A0" w:rsidRDefault="009661FD" w:rsidP="00645C35">
            <w:pPr>
              <w:pStyle w:val="TableBodyText"/>
              <w:spacing w:after="0"/>
              <w:jc w:val="both"/>
            </w:pPr>
            <w:r w:rsidRPr="005970A0">
              <w:t xml:space="preserve">The sample for the survey is drawn from the National VET Provider Collection. </w:t>
            </w:r>
          </w:p>
        </w:tc>
      </w:tr>
      <w:tr w:rsidR="005970A0" w:rsidRPr="005970A0" w:rsidTr="00645C35">
        <w:trPr>
          <w:trHeight w:val="165"/>
        </w:trPr>
        <w:tc>
          <w:tcPr>
            <w:tcW w:w="5000" w:type="pct"/>
            <w:gridSpan w:val="2"/>
          </w:tcPr>
          <w:p w:rsidR="0068457F" w:rsidRPr="005970A0" w:rsidRDefault="0068457F" w:rsidP="006E0702">
            <w:pPr>
              <w:pStyle w:val="TableBodyText"/>
              <w:jc w:val="both"/>
              <w:rPr>
                <w:b/>
                <w:u w:val="single"/>
              </w:rPr>
            </w:pPr>
          </w:p>
          <w:p w:rsidR="0068457F" w:rsidRPr="005970A0" w:rsidRDefault="0068457F" w:rsidP="006E0702">
            <w:pPr>
              <w:pStyle w:val="TableBodyText"/>
              <w:jc w:val="both"/>
              <w:rPr>
                <w:b/>
                <w:u w:val="single"/>
              </w:rPr>
            </w:pPr>
            <w:r w:rsidRPr="005970A0">
              <w:rPr>
                <w:b/>
                <w:u w:val="single"/>
              </w:rPr>
              <w:t>Data Quality Framework Dimensions</w:t>
            </w:r>
          </w:p>
        </w:tc>
      </w:tr>
      <w:tr w:rsidR="005970A0" w:rsidRPr="005970A0" w:rsidTr="00395EF2">
        <w:tc>
          <w:tcPr>
            <w:tcW w:w="922" w:type="pct"/>
          </w:tcPr>
          <w:p w:rsidR="0068457F" w:rsidRPr="005970A0" w:rsidRDefault="0068457F" w:rsidP="006E0702">
            <w:pPr>
              <w:pStyle w:val="TableBodyText"/>
              <w:jc w:val="both"/>
              <w:rPr>
                <w:rFonts w:cs="Arial"/>
                <w:b/>
              </w:rPr>
            </w:pPr>
            <w:r w:rsidRPr="005970A0">
              <w:rPr>
                <w:rFonts w:cs="Arial"/>
                <w:b/>
              </w:rPr>
              <w:t>Institutional environment</w:t>
            </w:r>
          </w:p>
        </w:tc>
        <w:tc>
          <w:tcPr>
            <w:tcW w:w="4078" w:type="pct"/>
          </w:tcPr>
          <w:p w:rsidR="009661FD" w:rsidRPr="005970A0" w:rsidRDefault="009661FD" w:rsidP="009661FD">
            <w:pPr>
              <w:pStyle w:val="TableBodyText"/>
              <w:spacing w:after="120"/>
              <w:jc w:val="both"/>
            </w:pPr>
            <w:r w:rsidRPr="005970A0">
              <w:t>The National Centre for Vocational Education Research (</w:t>
            </w:r>
            <w:proofErr w:type="spellStart"/>
            <w:r w:rsidRPr="005970A0">
              <w:t>NCVER</w:t>
            </w:r>
            <w:proofErr w:type="spellEnd"/>
            <w:r w:rsidRPr="005970A0">
              <w:t>) is a not for-profit company owned by the federal, state and territory ministers responsible for training.</w:t>
            </w:r>
          </w:p>
          <w:p w:rsidR="009661FD" w:rsidRDefault="009661FD" w:rsidP="009661FD">
            <w:pPr>
              <w:pStyle w:val="TableBodyText"/>
              <w:spacing w:after="120"/>
              <w:jc w:val="both"/>
            </w:pPr>
            <w:proofErr w:type="spellStart"/>
            <w:r w:rsidRPr="005970A0">
              <w:t>NCVER</w:t>
            </w:r>
            <w:proofErr w:type="spellEnd"/>
            <w:r w:rsidRPr="005970A0">
              <w:t xml:space="preserve">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68457F" w:rsidRPr="005970A0" w:rsidRDefault="009661FD" w:rsidP="00645C35">
            <w:pPr>
              <w:pStyle w:val="TableBodyText"/>
              <w:spacing w:after="0"/>
              <w:jc w:val="both"/>
            </w:pPr>
            <w:r w:rsidRPr="005970A0">
              <w:t xml:space="preserve">For further information on the </w:t>
            </w:r>
            <w:proofErr w:type="spellStart"/>
            <w:r w:rsidRPr="005970A0">
              <w:t>NCVER</w:t>
            </w:r>
            <w:proofErr w:type="spellEnd"/>
            <w:r w:rsidRPr="005970A0">
              <w:t>, see [</w:t>
            </w:r>
            <w:proofErr w:type="spellStart"/>
            <w:r w:rsidRPr="005970A0">
              <w:t>www.ncver.edu.au</w:t>
            </w:r>
            <w:proofErr w:type="spellEnd"/>
            <w:r w:rsidRPr="005970A0">
              <w:t xml:space="preserve">/about </w:t>
            </w:r>
            <w:proofErr w:type="spellStart"/>
            <w:r w:rsidRPr="005970A0">
              <w:t>ncver</w:t>
            </w:r>
            <w:proofErr w:type="spellEnd"/>
            <w:r w:rsidRPr="005970A0">
              <w:t>/</w:t>
            </w:r>
            <w:proofErr w:type="spellStart"/>
            <w:r w:rsidRPr="005970A0">
              <w:t>who.html</w:t>
            </w:r>
            <w:proofErr w:type="spellEnd"/>
            <w:r w:rsidRPr="005970A0">
              <w:t>]</w:t>
            </w:r>
          </w:p>
        </w:tc>
      </w:tr>
      <w:tr w:rsidR="005970A0" w:rsidRPr="005970A0" w:rsidTr="00395EF2">
        <w:tc>
          <w:tcPr>
            <w:tcW w:w="922" w:type="pct"/>
          </w:tcPr>
          <w:p w:rsidR="0068457F" w:rsidRPr="005970A0" w:rsidRDefault="0068457F" w:rsidP="006E0702">
            <w:pPr>
              <w:pStyle w:val="TableBodyText"/>
              <w:jc w:val="both"/>
              <w:rPr>
                <w:rFonts w:cs="Arial"/>
                <w:b/>
              </w:rPr>
            </w:pPr>
            <w:r w:rsidRPr="005970A0">
              <w:rPr>
                <w:rFonts w:cs="Arial"/>
                <w:b/>
              </w:rPr>
              <w:lastRenderedPageBreak/>
              <w:t>Relevance</w:t>
            </w:r>
          </w:p>
        </w:tc>
        <w:tc>
          <w:tcPr>
            <w:tcW w:w="4078" w:type="pct"/>
          </w:tcPr>
          <w:p w:rsidR="00921861" w:rsidRPr="005970A0" w:rsidRDefault="00921861" w:rsidP="00921861">
            <w:pPr>
              <w:pStyle w:val="TableBodyText"/>
              <w:spacing w:after="120"/>
              <w:jc w:val="both"/>
            </w:pPr>
            <w:r w:rsidRPr="005970A0">
              <w:t>The Student Outcomes Survey collects information on students’ employment outcomes and satisfaction with VET in Australia. Data are collected by mail-out survey with an option to complete the survey on line.</w:t>
            </w:r>
          </w:p>
          <w:p w:rsidR="00921861" w:rsidRPr="005970A0" w:rsidRDefault="00921861" w:rsidP="00921861">
            <w:pPr>
              <w:pStyle w:val="TableBodyText"/>
              <w:spacing w:after="120"/>
              <w:jc w:val="both"/>
            </w:pPr>
            <w:r w:rsidRPr="005970A0">
              <w:t>Information about the level and type of training students undertake, further study patterns and reasons for not continuing with the training (where applicable) is also collected.</w:t>
            </w:r>
          </w:p>
          <w:p w:rsidR="00921861" w:rsidRPr="005970A0" w:rsidRDefault="00921861" w:rsidP="00921861">
            <w:pPr>
              <w:pStyle w:val="TableBodyText"/>
              <w:spacing w:after="120"/>
              <w:jc w:val="both"/>
            </w:pPr>
            <w:r w:rsidRPr="005970A0">
              <w:t xml:space="preserve">The scope of the survey is nationally recognised VET (Figure 1).  </w:t>
            </w:r>
          </w:p>
          <w:p w:rsidR="00921861" w:rsidRPr="005970A0" w:rsidRDefault="00921861" w:rsidP="00921861">
            <w:pPr>
              <w:pStyle w:val="TableBodyText"/>
              <w:spacing w:after="120"/>
              <w:jc w:val="both"/>
            </w:pPr>
            <w:r w:rsidRPr="005970A0">
              <w:t>The survey includes:</w:t>
            </w:r>
          </w:p>
          <w:p w:rsidR="00921861" w:rsidRPr="005970A0" w:rsidRDefault="00921861" w:rsidP="00FF7E62">
            <w:pPr>
              <w:pStyle w:val="TableBodyText"/>
              <w:numPr>
                <w:ilvl w:val="0"/>
                <w:numId w:val="15"/>
              </w:numPr>
              <w:tabs>
                <w:tab w:val="left" w:pos="222"/>
              </w:tabs>
              <w:spacing w:after="60"/>
              <w:ind w:left="222" w:hanging="222"/>
              <w:jc w:val="both"/>
            </w:pPr>
            <w:r w:rsidRPr="005970A0">
              <w:t>Publicly funded VET activity (all providers)</w:t>
            </w:r>
          </w:p>
          <w:p w:rsidR="00921861" w:rsidRPr="005970A0" w:rsidRDefault="00921861" w:rsidP="00FF7E62">
            <w:pPr>
              <w:pStyle w:val="TableBodyText"/>
              <w:numPr>
                <w:ilvl w:val="0"/>
                <w:numId w:val="15"/>
              </w:numPr>
              <w:tabs>
                <w:tab w:val="left" w:pos="222"/>
              </w:tabs>
              <w:spacing w:after="60"/>
              <w:ind w:left="222" w:hanging="222"/>
              <w:jc w:val="both"/>
            </w:pPr>
            <w:r w:rsidRPr="005970A0">
              <w:t>Privately funded VET activity delivered by TAFE institutions, ACE providers, and other government providers.</w:t>
            </w:r>
          </w:p>
          <w:p w:rsidR="0068457F" w:rsidRPr="005970A0" w:rsidRDefault="0068457F" w:rsidP="006E0702">
            <w:pPr>
              <w:pStyle w:val="TableBodyText"/>
              <w:spacing w:after="120"/>
              <w:jc w:val="both"/>
            </w:pPr>
            <w:r w:rsidRPr="005970A0">
              <w:t>The survey excludes:</w:t>
            </w:r>
          </w:p>
          <w:p w:rsidR="00921861" w:rsidRPr="005970A0" w:rsidRDefault="00921861" w:rsidP="00FF7E62">
            <w:pPr>
              <w:pStyle w:val="TableBodyText"/>
              <w:numPr>
                <w:ilvl w:val="0"/>
                <w:numId w:val="15"/>
              </w:numPr>
              <w:tabs>
                <w:tab w:val="left" w:pos="222"/>
              </w:tabs>
              <w:spacing w:after="60"/>
              <w:ind w:left="222" w:hanging="222"/>
              <w:jc w:val="both"/>
            </w:pPr>
            <w:r w:rsidRPr="005970A0">
              <w:t>Recreation, leisure and personal enrichment (non-vocational programs)</w:t>
            </w:r>
          </w:p>
          <w:p w:rsidR="00921861" w:rsidRPr="005970A0" w:rsidRDefault="00921861" w:rsidP="00FF7E62">
            <w:pPr>
              <w:pStyle w:val="TableBodyText"/>
              <w:numPr>
                <w:ilvl w:val="0"/>
                <w:numId w:val="15"/>
              </w:numPr>
              <w:tabs>
                <w:tab w:val="left" w:pos="222"/>
              </w:tabs>
              <w:spacing w:after="60"/>
              <w:ind w:left="222" w:hanging="222"/>
              <w:jc w:val="both"/>
            </w:pPr>
            <w:r w:rsidRPr="005970A0">
              <w:t>Privately funded VET activity delivered by private providers</w:t>
            </w:r>
          </w:p>
          <w:p w:rsidR="00921861" w:rsidRPr="005970A0" w:rsidRDefault="00921861" w:rsidP="00FF7E62">
            <w:pPr>
              <w:pStyle w:val="TableBodyText"/>
              <w:numPr>
                <w:ilvl w:val="0"/>
                <w:numId w:val="15"/>
              </w:numPr>
              <w:tabs>
                <w:tab w:val="left" w:pos="222"/>
              </w:tabs>
              <w:spacing w:after="60"/>
              <w:ind w:left="222" w:hanging="222"/>
              <w:jc w:val="both"/>
            </w:pPr>
            <w:r w:rsidRPr="005970A0">
              <w:t>VET activity delivered at overseas campuses of Australian VET institutions</w:t>
            </w:r>
          </w:p>
          <w:p w:rsidR="00921861" w:rsidRPr="005970A0" w:rsidRDefault="00921861" w:rsidP="00FF7E62">
            <w:pPr>
              <w:pStyle w:val="TableBodyText"/>
              <w:numPr>
                <w:ilvl w:val="0"/>
                <w:numId w:val="15"/>
              </w:numPr>
              <w:tabs>
                <w:tab w:val="left" w:pos="222"/>
              </w:tabs>
              <w:spacing w:after="60"/>
              <w:ind w:left="222" w:hanging="222"/>
              <w:jc w:val="both"/>
            </w:pPr>
            <w:r w:rsidRPr="005970A0">
              <w:t>VET activity delivered in schools.</w:t>
            </w:r>
          </w:p>
          <w:p w:rsidR="00921861" w:rsidRPr="005970A0" w:rsidRDefault="00921861" w:rsidP="00921861">
            <w:pPr>
              <w:pStyle w:val="TableBodyText"/>
              <w:spacing w:before="120" w:after="120"/>
              <w:jc w:val="both"/>
            </w:pPr>
            <w:r w:rsidRPr="005970A0">
              <w:t>This scope has been in place since 2005. Prior to 2005, information was only collected from students undertaking Commonwealth/State funded programs through TAFE.</w:t>
            </w:r>
          </w:p>
          <w:p w:rsidR="0068457F" w:rsidRPr="005970A0" w:rsidRDefault="0068457F" w:rsidP="006E0702">
            <w:pPr>
              <w:pStyle w:val="TableBodyText"/>
              <w:jc w:val="both"/>
              <w:rPr>
                <w:b/>
                <w:sz w:val="17"/>
                <w:szCs w:val="17"/>
              </w:rPr>
            </w:pPr>
            <w:r w:rsidRPr="005970A0">
              <w:rPr>
                <w:b/>
                <w:sz w:val="17"/>
                <w:szCs w:val="17"/>
              </w:rPr>
              <w:t>Figure 1: Scope of the 201</w:t>
            </w:r>
            <w:r w:rsidR="00063E84">
              <w:rPr>
                <w:b/>
                <w:sz w:val="17"/>
                <w:szCs w:val="17"/>
              </w:rPr>
              <w:t>2</w:t>
            </w:r>
            <w:r w:rsidRPr="005970A0">
              <w:rPr>
                <w:b/>
                <w:sz w:val="17"/>
                <w:szCs w:val="17"/>
              </w:rPr>
              <w:t xml:space="preserve"> Student Outcomes Survey</w:t>
            </w:r>
          </w:p>
          <w:tbl>
            <w:tblPr>
              <w:tblW w:w="0" w:type="auto"/>
              <w:tblLook w:val="01E0" w:firstRow="1" w:lastRow="1" w:firstColumn="1" w:lastColumn="1" w:noHBand="0" w:noVBand="0"/>
            </w:tblPr>
            <w:tblGrid>
              <w:gridCol w:w="1691"/>
              <w:gridCol w:w="1800"/>
              <w:gridCol w:w="1656"/>
              <w:gridCol w:w="1948"/>
            </w:tblGrid>
            <w:tr w:rsidR="005970A0" w:rsidRPr="005970A0" w:rsidTr="00395EF2">
              <w:trPr>
                <w:trHeight w:val="251"/>
              </w:trPr>
              <w:tc>
                <w:tcPr>
                  <w:tcW w:w="1691" w:type="dxa"/>
                  <w:tcBorders>
                    <w:top w:val="single" w:sz="4" w:space="0" w:color="auto"/>
                    <w:left w:val="nil"/>
                    <w:bottom w:val="nil"/>
                    <w:right w:val="nil"/>
                  </w:tcBorders>
                </w:tcPr>
                <w:p w:rsidR="0068457F" w:rsidRPr="005970A0" w:rsidRDefault="0068457F" w:rsidP="006E0702">
                  <w:pPr>
                    <w:pStyle w:val="TableBodyText"/>
                    <w:jc w:val="both"/>
                    <w:rPr>
                      <w:sz w:val="16"/>
                      <w:szCs w:val="16"/>
                    </w:rPr>
                  </w:pPr>
                </w:p>
              </w:tc>
              <w:tc>
                <w:tcPr>
                  <w:tcW w:w="5404" w:type="dxa"/>
                  <w:gridSpan w:val="3"/>
                  <w:tcBorders>
                    <w:top w:val="single" w:sz="4" w:space="0" w:color="auto"/>
                    <w:left w:val="nil"/>
                    <w:bottom w:val="nil"/>
                    <w:right w:val="nil"/>
                  </w:tcBorders>
                </w:tcPr>
                <w:p w:rsidR="0068457F" w:rsidRPr="005970A0" w:rsidRDefault="0068457F" w:rsidP="006E0702">
                  <w:pPr>
                    <w:pStyle w:val="TableBodyText"/>
                    <w:jc w:val="both"/>
                    <w:rPr>
                      <w:b/>
                      <w:bCs/>
                      <w:sz w:val="16"/>
                      <w:szCs w:val="16"/>
                    </w:rPr>
                  </w:pPr>
                  <w:r w:rsidRPr="005970A0">
                    <w:rPr>
                      <w:b/>
                      <w:bCs/>
                      <w:sz w:val="16"/>
                      <w:szCs w:val="16"/>
                    </w:rPr>
                    <w:t>Provider Type</w:t>
                  </w:r>
                </w:p>
              </w:tc>
            </w:tr>
            <w:tr w:rsidR="005970A0" w:rsidRPr="005970A0" w:rsidTr="00395EF2">
              <w:trPr>
                <w:trHeight w:val="491"/>
              </w:trPr>
              <w:tc>
                <w:tcPr>
                  <w:tcW w:w="1691" w:type="dxa"/>
                  <w:tcBorders>
                    <w:top w:val="nil"/>
                    <w:left w:val="nil"/>
                    <w:bottom w:val="single" w:sz="4" w:space="0" w:color="auto"/>
                    <w:right w:val="nil"/>
                  </w:tcBorders>
                </w:tcPr>
                <w:p w:rsidR="0068457F" w:rsidRPr="005970A0" w:rsidRDefault="0068457F" w:rsidP="006E0702">
                  <w:pPr>
                    <w:pStyle w:val="TableBodyText"/>
                    <w:jc w:val="both"/>
                    <w:rPr>
                      <w:bCs/>
                      <w:sz w:val="16"/>
                      <w:szCs w:val="16"/>
                    </w:rPr>
                  </w:pPr>
                  <w:r w:rsidRPr="005970A0">
                    <w:rPr>
                      <w:bCs/>
                      <w:sz w:val="16"/>
                      <w:szCs w:val="16"/>
                    </w:rPr>
                    <w:t>Funding Type</w:t>
                  </w:r>
                </w:p>
              </w:tc>
              <w:tc>
                <w:tcPr>
                  <w:tcW w:w="1800" w:type="dxa"/>
                  <w:tcBorders>
                    <w:top w:val="nil"/>
                    <w:left w:val="nil"/>
                    <w:bottom w:val="single" w:sz="4" w:space="0" w:color="auto"/>
                    <w:right w:val="nil"/>
                  </w:tcBorders>
                </w:tcPr>
                <w:p w:rsidR="0068457F" w:rsidRPr="005970A0" w:rsidRDefault="0068457F" w:rsidP="006E0702">
                  <w:pPr>
                    <w:pStyle w:val="TableBodyText"/>
                    <w:jc w:val="both"/>
                    <w:rPr>
                      <w:bCs/>
                      <w:sz w:val="16"/>
                      <w:szCs w:val="16"/>
                    </w:rPr>
                  </w:pPr>
                  <w:r w:rsidRPr="005970A0">
                    <w:rPr>
                      <w:bCs/>
                      <w:sz w:val="16"/>
                      <w:szCs w:val="16"/>
                    </w:rPr>
                    <w:t>TAFE and Other Government providers</w:t>
                  </w:r>
                </w:p>
              </w:tc>
              <w:tc>
                <w:tcPr>
                  <w:tcW w:w="1656" w:type="dxa"/>
                  <w:tcBorders>
                    <w:top w:val="nil"/>
                    <w:left w:val="nil"/>
                    <w:bottom w:val="single" w:sz="4" w:space="0" w:color="auto"/>
                    <w:right w:val="nil"/>
                  </w:tcBorders>
                </w:tcPr>
                <w:p w:rsidR="0068457F" w:rsidRPr="005970A0" w:rsidRDefault="0068457F" w:rsidP="006E0702">
                  <w:pPr>
                    <w:pStyle w:val="TableBodyText"/>
                    <w:jc w:val="both"/>
                    <w:rPr>
                      <w:bCs/>
                      <w:sz w:val="16"/>
                      <w:szCs w:val="16"/>
                    </w:rPr>
                  </w:pPr>
                  <w:r w:rsidRPr="005970A0">
                    <w:rPr>
                      <w:bCs/>
                      <w:sz w:val="16"/>
                      <w:szCs w:val="16"/>
                    </w:rPr>
                    <w:t>Private Providers</w:t>
                  </w:r>
                </w:p>
              </w:tc>
              <w:tc>
                <w:tcPr>
                  <w:tcW w:w="1948" w:type="dxa"/>
                  <w:tcBorders>
                    <w:top w:val="nil"/>
                    <w:left w:val="nil"/>
                    <w:bottom w:val="single" w:sz="4" w:space="0" w:color="auto"/>
                    <w:right w:val="nil"/>
                  </w:tcBorders>
                </w:tcPr>
                <w:p w:rsidR="0068457F" w:rsidRPr="005970A0" w:rsidRDefault="0068457F" w:rsidP="006E0702">
                  <w:pPr>
                    <w:pStyle w:val="TableBodyText"/>
                    <w:jc w:val="both"/>
                    <w:rPr>
                      <w:bCs/>
                      <w:sz w:val="16"/>
                      <w:szCs w:val="16"/>
                    </w:rPr>
                  </w:pPr>
                  <w:r w:rsidRPr="005970A0">
                    <w:rPr>
                      <w:bCs/>
                      <w:sz w:val="16"/>
                      <w:szCs w:val="16"/>
                    </w:rPr>
                    <w:t>Community Education Providers</w:t>
                  </w:r>
                  <w:r w:rsidRPr="009A19A9">
                    <w:rPr>
                      <w:bCs/>
                    </w:rPr>
                    <w:t xml:space="preserve"> </w:t>
                  </w:r>
                  <w:r w:rsidRPr="009A19A9">
                    <w:rPr>
                      <w:bCs/>
                      <w:vertAlign w:val="superscript"/>
                    </w:rPr>
                    <w:t>a</w:t>
                  </w:r>
                </w:p>
              </w:tc>
            </w:tr>
            <w:tr w:rsidR="005970A0" w:rsidRPr="005970A0" w:rsidTr="00395EF2">
              <w:trPr>
                <w:trHeight w:val="405"/>
              </w:trPr>
              <w:tc>
                <w:tcPr>
                  <w:tcW w:w="1691" w:type="dxa"/>
                  <w:tcBorders>
                    <w:top w:val="single" w:sz="4" w:space="0" w:color="auto"/>
                    <w:left w:val="nil"/>
                    <w:bottom w:val="nil"/>
                    <w:right w:val="nil"/>
                  </w:tcBorders>
                </w:tcPr>
                <w:p w:rsidR="0068457F" w:rsidRPr="005970A0" w:rsidRDefault="0068457F" w:rsidP="006E0702">
                  <w:pPr>
                    <w:pStyle w:val="TableBodyText"/>
                    <w:jc w:val="both"/>
                    <w:rPr>
                      <w:sz w:val="16"/>
                      <w:szCs w:val="16"/>
                    </w:rPr>
                  </w:pPr>
                  <w:r w:rsidRPr="005970A0">
                    <w:rPr>
                      <w:sz w:val="16"/>
                      <w:szCs w:val="16"/>
                    </w:rPr>
                    <w:t>Commonwealth and state funded</w:t>
                  </w:r>
                </w:p>
              </w:tc>
              <w:tc>
                <w:tcPr>
                  <w:tcW w:w="1800" w:type="dxa"/>
                  <w:tcBorders>
                    <w:top w:val="single" w:sz="4" w:space="0" w:color="auto"/>
                    <w:left w:val="nil"/>
                    <w:bottom w:val="nil"/>
                    <w:right w:val="nil"/>
                  </w:tcBorders>
                </w:tcPr>
                <w:p w:rsidR="0068457F" w:rsidRPr="005970A0" w:rsidRDefault="007F080D" w:rsidP="006E0702">
                  <w:pPr>
                    <w:pStyle w:val="TableBodyText"/>
                    <w:jc w:val="center"/>
                    <w:rPr>
                      <w:sz w:val="16"/>
                      <w:szCs w:val="16"/>
                    </w:rPr>
                  </w:pPr>
                  <w:r w:rsidRPr="005970A0">
                    <w:rPr>
                      <w:noProof/>
                      <w:sz w:val="16"/>
                      <w:szCs w:val="16"/>
                    </w:rPr>
                    <w:drawing>
                      <wp:inline distT="0" distB="0" distL="0" distR="0" wp14:anchorId="755C60DD" wp14:editId="73FCF0EC">
                        <wp:extent cx="201930" cy="127635"/>
                        <wp:effectExtent l="0" t="0" r="7620" b="5715"/>
                        <wp:docPr id="11" name="Picture 11"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c>
                <w:tcPr>
                  <w:tcW w:w="1656" w:type="dxa"/>
                  <w:tcBorders>
                    <w:top w:val="single" w:sz="4" w:space="0" w:color="auto"/>
                    <w:left w:val="nil"/>
                    <w:bottom w:val="nil"/>
                    <w:right w:val="nil"/>
                  </w:tcBorders>
                </w:tcPr>
                <w:p w:rsidR="0068457F" w:rsidRPr="005970A0" w:rsidRDefault="007F080D" w:rsidP="006E0702">
                  <w:pPr>
                    <w:pStyle w:val="TableBodyText"/>
                    <w:jc w:val="center"/>
                    <w:rPr>
                      <w:sz w:val="16"/>
                      <w:szCs w:val="16"/>
                    </w:rPr>
                  </w:pPr>
                  <w:r w:rsidRPr="005970A0">
                    <w:rPr>
                      <w:noProof/>
                      <w:sz w:val="16"/>
                      <w:szCs w:val="16"/>
                    </w:rPr>
                    <w:drawing>
                      <wp:inline distT="0" distB="0" distL="0" distR="0" wp14:anchorId="49B38A7D" wp14:editId="07D4C7E3">
                        <wp:extent cx="201930" cy="127635"/>
                        <wp:effectExtent l="0" t="0" r="7620" b="5715"/>
                        <wp:docPr id="12" name="Picture 12"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c>
                <w:tcPr>
                  <w:tcW w:w="1948" w:type="dxa"/>
                  <w:tcBorders>
                    <w:top w:val="single" w:sz="4" w:space="0" w:color="auto"/>
                    <w:left w:val="nil"/>
                    <w:bottom w:val="nil"/>
                    <w:right w:val="nil"/>
                  </w:tcBorders>
                </w:tcPr>
                <w:p w:rsidR="0068457F" w:rsidRPr="005970A0" w:rsidRDefault="007F080D" w:rsidP="006E0702">
                  <w:pPr>
                    <w:pStyle w:val="TableBodyText"/>
                    <w:jc w:val="center"/>
                    <w:rPr>
                      <w:sz w:val="16"/>
                      <w:szCs w:val="16"/>
                    </w:rPr>
                  </w:pPr>
                  <w:r w:rsidRPr="005970A0">
                    <w:rPr>
                      <w:noProof/>
                      <w:sz w:val="16"/>
                      <w:szCs w:val="16"/>
                    </w:rPr>
                    <w:drawing>
                      <wp:inline distT="0" distB="0" distL="0" distR="0" wp14:anchorId="09050737" wp14:editId="20F281DA">
                        <wp:extent cx="201930" cy="127635"/>
                        <wp:effectExtent l="0" t="0" r="7620" b="5715"/>
                        <wp:docPr id="13" name="Picture 13"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r>
            <w:tr w:rsidR="005970A0" w:rsidRPr="005970A0" w:rsidTr="00395EF2">
              <w:trPr>
                <w:trHeight w:val="355"/>
              </w:trPr>
              <w:tc>
                <w:tcPr>
                  <w:tcW w:w="1691" w:type="dxa"/>
                  <w:tcBorders>
                    <w:top w:val="nil"/>
                    <w:left w:val="nil"/>
                    <w:bottom w:val="single" w:sz="4" w:space="0" w:color="auto"/>
                    <w:right w:val="nil"/>
                  </w:tcBorders>
                </w:tcPr>
                <w:p w:rsidR="0068457F" w:rsidRPr="005970A0" w:rsidRDefault="0068457F" w:rsidP="006E0702">
                  <w:pPr>
                    <w:pStyle w:val="TableBodyText"/>
                    <w:jc w:val="both"/>
                    <w:rPr>
                      <w:sz w:val="16"/>
                      <w:szCs w:val="16"/>
                    </w:rPr>
                  </w:pPr>
                  <w:r w:rsidRPr="005970A0">
                    <w:rPr>
                      <w:sz w:val="16"/>
                      <w:szCs w:val="16"/>
                    </w:rPr>
                    <w:t>Fee-for-service</w:t>
                  </w:r>
                </w:p>
              </w:tc>
              <w:tc>
                <w:tcPr>
                  <w:tcW w:w="1800" w:type="dxa"/>
                  <w:tcBorders>
                    <w:top w:val="nil"/>
                    <w:left w:val="nil"/>
                    <w:bottom w:val="single" w:sz="4" w:space="0" w:color="auto"/>
                    <w:right w:val="nil"/>
                  </w:tcBorders>
                </w:tcPr>
                <w:p w:rsidR="0068457F" w:rsidRPr="005970A0" w:rsidRDefault="007F080D" w:rsidP="006E0702">
                  <w:pPr>
                    <w:pStyle w:val="TableBodyText"/>
                    <w:jc w:val="center"/>
                    <w:rPr>
                      <w:sz w:val="16"/>
                      <w:szCs w:val="16"/>
                    </w:rPr>
                  </w:pPr>
                  <w:r w:rsidRPr="005970A0">
                    <w:rPr>
                      <w:noProof/>
                      <w:sz w:val="16"/>
                      <w:szCs w:val="16"/>
                    </w:rPr>
                    <w:drawing>
                      <wp:inline distT="0" distB="0" distL="0" distR="0" wp14:anchorId="126C5CDE" wp14:editId="62336DDD">
                        <wp:extent cx="201930" cy="127635"/>
                        <wp:effectExtent l="0" t="0" r="7620" b="5715"/>
                        <wp:docPr id="14" name="Picture 14"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c>
                <w:tcPr>
                  <w:tcW w:w="1656" w:type="dxa"/>
                  <w:tcBorders>
                    <w:top w:val="nil"/>
                    <w:left w:val="nil"/>
                    <w:bottom w:val="single" w:sz="4" w:space="0" w:color="auto"/>
                    <w:right w:val="nil"/>
                  </w:tcBorders>
                </w:tcPr>
                <w:p w:rsidR="0068457F" w:rsidRPr="005970A0" w:rsidRDefault="0068457F" w:rsidP="006E0702">
                  <w:pPr>
                    <w:pStyle w:val="TableBodyText"/>
                    <w:jc w:val="center"/>
                    <w:rPr>
                      <w:sz w:val="16"/>
                      <w:szCs w:val="16"/>
                    </w:rPr>
                  </w:pPr>
                </w:p>
              </w:tc>
              <w:tc>
                <w:tcPr>
                  <w:tcW w:w="1948" w:type="dxa"/>
                  <w:tcBorders>
                    <w:top w:val="nil"/>
                    <w:left w:val="nil"/>
                    <w:bottom w:val="single" w:sz="4" w:space="0" w:color="auto"/>
                    <w:right w:val="nil"/>
                  </w:tcBorders>
                </w:tcPr>
                <w:p w:rsidR="0068457F" w:rsidRPr="005970A0" w:rsidRDefault="007F080D" w:rsidP="006E0702">
                  <w:pPr>
                    <w:pStyle w:val="TableBodyText"/>
                    <w:jc w:val="center"/>
                    <w:rPr>
                      <w:sz w:val="16"/>
                      <w:szCs w:val="16"/>
                    </w:rPr>
                  </w:pPr>
                  <w:r w:rsidRPr="005970A0">
                    <w:rPr>
                      <w:noProof/>
                      <w:sz w:val="16"/>
                      <w:szCs w:val="16"/>
                    </w:rPr>
                    <w:drawing>
                      <wp:inline distT="0" distB="0" distL="0" distR="0" wp14:anchorId="6A0AA07B" wp14:editId="34BB8FC9">
                        <wp:extent cx="201930" cy="127635"/>
                        <wp:effectExtent l="0" t="0" r="7620" b="5715"/>
                        <wp:docPr id="15" name="Picture 15"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r>
          </w:tbl>
          <w:p w:rsidR="0068457F" w:rsidRPr="005970A0" w:rsidRDefault="009A19A9" w:rsidP="009A19A9">
            <w:pPr>
              <w:pStyle w:val="TableBodyText"/>
              <w:spacing w:before="40" w:after="60"/>
              <w:jc w:val="both"/>
            </w:pPr>
            <w:proofErr w:type="spellStart"/>
            <w:r w:rsidRPr="009A19A9">
              <w:rPr>
                <w:bCs/>
                <w:vertAlign w:val="superscript"/>
              </w:rPr>
              <w:t>a</w:t>
            </w:r>
            <w:proofErr w:type="spellEnd"/>
            <w:r>
              <w:t xml:space="preserve"> </w:t>
            </w:r>
            <w:r w:rsidRPr="005970A0">
              <w:t>This information is only collected in New South Wales and Victoria.</w:t>
            </w:r>
          </w:p>
        </w:tc>
      </w:tr>
      <w:tr w:rsidR="005970A0" w:rsidRPr="005970A0" w:rsidTr="00395EF2">
        <w:tc>
          <w:tcPr>
            <w:tcW w:w="922" w:type="pct"/>
          </w:tcPr>
          <w:p w:rsidR="0068457F" w:rsidRPr="005970A0" w:rsidRDefault="0068457F" w:rsidP="006E0702">
            <w:pPr>
              <w:spacing w:line="320" w:lineRule="exact"/>
              <w:jc w:val="both"/>
              <w:rPr>
                <w:rFonts w:ascii="Arial" w:hAnsi="Arial" w:cs="Arial"/>
                <w:b/>
                <w:sz w:val="20"/>
                <w:szCs w:val="20"/>
              </w:rPr>
            </w:pPr>
            <w:r w:rsidRPr="005970A0">
              <w:rPr>
                <w:rFonts w:ascii="Arial" w:hAnsi="Arial" w:cs="Arial"/>
                <w:b/>
                <w:sz w:val="20"/>
                <w:szCs w:val="20"/>
              </w:rPr>
              <w:t>Timeliness</w:t>
            </w:r>
          </w:p>
          <w:p w:rsidR="0068457F" w:rsidRPr="005970A0" w:rsidRDefault="0068457F" w:rsidP="006E0702">
            <w:pPr>
              <w:spacing w:line="320" w:lineRule="exact"/>
              <w:jc w:val="both"/>
              <w:rPr>
                <w:rFonts w:ascii="Arial" w:hAnsi="Arial" w:cs="Arial"/>
                <w:b/>
                <w:sz w:val="20"/>
                <w:szCs w:val="20"/>
              </w:rPr>
            </w:pPr>
          </w:p>
        </w:tc>
        <w:tc>
          <w:tcPr>
            <w:tcW w:w="4078" w:type="pct"/>
          </w:tcPr>
          <w:p w:rsidR="0068457F" w:rsidRPr="005970A0" w:rsidRDefault="00921861" w:rsidP="00063E84">
            <w:pPr>
              <w:keepNext/>
              <w:keepLines/>
              <w:spacing w:after="120" w:line="220" w:lineRule="atLeast"/>
              <w:ind w:left="6" w:right="113"/>
              <w:jc w:val="both"/>
              <w:rPr>
                <w:rFonts w:ascii="Arial" w:hAnsi="Arial" w:cs="Arial"/>
                <w:sz w:val="20"/>
                <w:szCs w:val="20"/>
              </w:rPr>
            </w:pPr>
            <w:r w:rsidRPr="005970A0">
              <w:rPr>
                <w:rFonts w:ascii="Arial" w:hAnsi="Arial" w:cs="Arial"/>
                <w:sz w:val="20"/>
                <w:szCs w:val="20"/>
              </w:rPr>
              <w:t>The Student Outcomes Survey is conducted every year. The reference date is the last Friday in May of the year after the training was completed. Results from the 201</w:t>
            </w:r>
            <w:r w:rsidR="00063E84">
              <w:rPr>
                <w:rFonts w:ascii="Arial" w:hAnsi="Arial" w:cs="Arial"/>
                <w:sz w:val="20"/>
                <w:szCs w:val="20"/>
              </w:rPr>
              <w:t>2</w:t>
            </w:r>
            <w:r w:rsidRPr="005970A0">
              <w:rPr>
                <w:rFonts w:ascii="Arial" w:hAnsi="Arial" w:cs="Arial"/>
                <w:sz w:val="20"/>
                <w:szCs w:val="20"/>
              </w:rPr>
              <w:t xml:space="preserve"> survey (for students who completed their training in 201</w:t>
            </w:r>
            <w:r w:rsidR="00063E84">
              <w:rPr>
                <w:rFonts w:ascii="Arial" w:hAnsi="Arial" w:cs="Arial"/>
                <w:sz w:val="20"/>
                <w:szCs w:val="20"/>
              </w:rPr>
              <w:t>1</w:t>
            </w:r>
            <w:r w:rsidRPr="005970A0">
              <w:rPr>
                <w:rFonts w:ascii="Arial" w:hAnsi="Arial" w:cs="Arial"/>
                <w:sz w:val="20"/>
                <w:szCs w:val="20"/>
              </w:rPr>
              <w:t xml:space="preserve">) were released on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website in December 201</w:t>
            </w:r>
            <w:r w:rsidR="00063E84">
              <w:rPr>
                <w:rFonts w:ascii="Arial" w:hAnsi="Arial" w:cs="Arial"/>
                <w:sz w:val="20"/>
                <w:szCs w:val="20"/>
              </w:rPr>
              <w:t>2</w:t>
            </w:r>
            <w:r w:rsidRPr="005970A0">
              <w:rPr>
                <w:rFonts w:ascii="Arial" w:hAnsi="Arial" w:cs="Arial"/>
                <w:sz w:val="20"/>
                <w:szCs w:val="20"/>
              </w:rPr>
              <w:t>.</w:t>
            </w:r>
          </w:p>
        </w:tc>
      </w:tr>
      <w:tr w:rsidR="005970A0" w:rsidRPr="005970A0" w:rsidTr="00395EF2">
        <w:tc>
          <w:tcPr>
            <w:tcW w:w="922" w:type="pct"/>
          </w:tcPr>
          <w:p w:rsidR="0068457F" w:rsidRPr="005970A0" w:rsidRDefault="0068457F" w:rsidP="006E0702">
            <w:pPr>
              <w:spacing w:line="320" w:lineRule="exact"/>
              <w:jc w:val="both"/>
              <w:rPr>
                <w:rFonts w:ascii="Arial" w:hAnsi="Arial" w:cs="Arial"/>
                <w:b/>
                <w:sz w:val="20"/>
                <w:szCs w:val="20"/>
              </w:rPr>
            </w:pPr>
            <w:r w:rsidRPr="005970A0">
              <w:rPr>
                <w:rFonts w:ascii="Arial" w:hAnsi="Arial" w:cs="Arial"/>
                <w:b/>
                <w:sz w:val="20"/>
                <w:szCs w:val="20"/>
              </w:rPr>
              <w:t>Accuracy</w:t>
            </w:r>
          </w:p>
          <w:p w:rsidR="0068457F" w:rsidRPr="005970A0" w:rsidRDefault="0068457F" w:rsidP="006E0702">
            <w:pPr>
              <w:spacing w:line="320" w:lineRule="exact"/>
              <w:jc w:val="both"/>
              <w:rPr>
                <w:rFonts w:ascii="Arial" w:hAnsi="Arial" w:cs="Arial"/>
                <w:b/>
                <w:sz w:val="20"/>
                <w:szCs w:val="20"/>
              </w:rPr>
            </w:pPr>
          </w:p>
        </w:tc>
        <w:tc>
          <w:tcPr>
            <w:tcW w:w="4078" w:type="pct"/>
          </w:tcPr>
          <w:p w:rsidR="00921861" w:rsidRPr="005970A0" w:rsidRDefault="00921861" w:rsidP="00921861">
            <w:pPr>
              <w:keepNext/>
              <w:keepLines/>
              <w:spacing w:after="120" w:line="220" w:lineRule="atLeast"/>
              <w:ind w:left="6" w:right="113"/>
              <w:jc w:val="both"/>
              <w:rPr>
                <w:rFonts w:ascii="Arial" w:hAnsi="Arial" w:cs="Arial"/>
                <w:sz w:val="20"/>
                <w:szCs w:val="20"/>
              </w:rPr>
            </w:pPr>
            <w:r w:rsidRPr="005970A0">
              <w:rPr>
                <w:rFonts w:ascii="Arial" w:hAnsi="Arial" w:cs="Arial"/>
                <w:sz w:val="20"/>
                <w:szCs w:val="20"/>
              </w:rPr>
              <w:t>In odd years, the sample is designed for reporting at the national, state/territory and institute level.  In even years, a smaller sample is used for reporting at the national and state/territory level only. The survey is undertaken as a stratified, randomly selected sample, with survey responses weighted to population benchmarks from the National VET Provider Collection.</w:t>
            </w:r>
          </w:p>
          <w:p w:rsidR="00921861" w:rsidRPr="005970A0" w:rsidRDefault="00921861" w:rsidP="001654FD">
            <w:pPr>
              <w:keepNext/>
              <w:keepLines/>
              <w:spacing w:after="60" w:line="220" w:lineRule="atLeast"/>
              <w:ind w:left="6" w:right="113"/>
              <w:jc w:val="both"/>
              <w:rPr>
                <w:rFonts w:ascii="Arial" w:hAnsi="Arial" w:cs="Arial"/>
                <w:sz w:val="20"/>
                <w:szCs w:val="20"/>
              </w:rPr>
            </w:pPr>
            <w:r w:rsidRPr="005970A0">
              <w:rPr>
                <w:rFonts w:ascii="Arial" w:hAnsi="Arial" w:cs="Arial"/>
                <w:sz w:val="20"/>
                <w:szCs w:val="20"/>
              </w:rPr>
              <w:t xml:space="preserve">Potential sources of error in survey data include failure to complete the survey or failure to answer every applicable question. Neither of these sources of error is considered, by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to have affected the quality of data. Three analyses are conducted to determine the impact of </w:t>
            </w:r>
            <w:r w:rsidR="005970A0" w:rsidRPr="005970A0">
              <w:rPr>
                <w:rFonts w:ascii="Arial" w:hAnsi="Arial" w:cs="Arial"/>
                <w:sz w:val="20"/>
                <w:szCs w:val="20"/>
              </w:rPr>
              <w:t>non-response</w:t>
            </w:r>
            <w:r w:rsidRPr="005970A0">
              <w:rPr>
                <w:rFonts w:ascii="Arial" w:hAnsi="Arial" w:cs="Arial"/>
                <w:sz w:val="20"/>
                <w:szCs w:val="20"/>
              </w:rPr>
              <w:t xml:space="preserve"> and mode bias. They are performed on weighted and unweighted data and include:</w:t>
            </w:r>
          </w:p>
          <w:p w:rsidR="00921861" w:rsidRPr="005970A0" w:rsidRDefault="00921861" w:rsidP="00FF7E62">
            <w:pPr>
              <w:numPr>
                <w:ilvl w:val="0"/>
                <w:numId w:val="17"/>
              </w:numPr>
              <w:tabs>
                <w:tab w:val="clear" w:pos="720"/>
                <w:tab w:val="num" w:pos="222"/>
              </w:tabs>
              <w:spacing w:after="60"/>
              <w:ind w:left="222" w:hanging="222"/>
              <w:jc w:val="both"/>
              <w:rPr>
                <w:rFonts w:ascii="Arial" w:hAnsi="Arial" w:cs="Arial"/>
                <w:sz w:val="20"/>
                <w:szCs w:val="20"/>
              </w:rPr>
            </w:pPr>
            <w:r w:rsidRPr="005970A0">
              <w:rPr>
                <w:rFonts w:ascii="Arial" w:hAnsi="Arial" w:cs="Arial"/>
                <w:sz w:val="20"/>
                <w:szCs w:val="20"/>
              </w:rPr>
              <w:t>a comparison of the responding sample with the mailing list sample</w:t>
            </w:r>
          </w:p>
          <w:p w:rsidR="00921861" w:rsidRPr="005970A0" w:rsidRDefault="00921861" w:rsidP="00FF7E62">
            <w:pPr>
              <w:numPr>
                <w:ilvl w:val="0"/>
                <w:numId w:val="17"/>
              </w:numPr>
              <w:tabs>
                <w:tab w:val="clear" w:pos="720"/>
                <w:tab w:val="num" w:pos="222"/>
              </w:tabs>
              <w:spacing w:after="60"/>
              <w:ind w:left="222" w:hanging="222"/>
              <w:jc w:val="both"/>
              <w:rPr>
                <w:rFonts w:ascii="Arial" w:hAnsi="Arial" w:cs="Arial"/>
                <w:sz w:val="20"/>
                <w:szCs w:val="20"/>
              </w:rPr>
            </w:pPr>
            <w:r w:rsidRPr="005970A0">
              <w:rPr>
                <w:rFonts w:ascii="Arial" w:hAnsi="Arial" w:cs="Arial"/>
                <w:sz w:val="20"/>
                <w:szCs w:val="20"/>
              </w:rPr>
              <w:t>a comparison of the characteristics of the responding sample with non respondents. Information on a sample of non-respondents is collected via telephone interview</w:t>
            </w:r>
          </w:p>
          <w:p w:rsidR="00921861" w:rsidRPr="005970A0" w:rsidRDefault="00921861" w:rsidP="00FF7E62">
            <w:pPr>
              <w:numPr>
                <w:ilvl w:val="0"/>
                <w:numId w:val="17"/>
              </w:numPr>
              <w:tabs>
                <w:tab w:val="clear" w:pos="720"/>
                <w:tab w:val="num" w:pos="222"/>
              </w:tabs>
              <w:spacing w:after="60"/>
              <w:ind w:left="222" w:hanging="222"/>
              <w:jc w:val="both"/>
              <w:rPr>
                <w:rFonts w:ascii="Arial" w:hAnsi="Arial" w:cs="Arial"/>
                <w:sz w:val="20"/>
                <w:szCs w:val="20"/>
              </w:rPr>
            </w:pPr>
            <w:r w:rsidRPr="005970A0">
              <w:rPr>
                <w:rFonts w:ascii="Arial" w:hAnsi="Arial" w:cs="Arial"/>
                <w:sz w:val="20"/>
                <w:szCs w:val="20"/>
              </w:rPr>
              <w:t>a comparison of the results obtained from mail and online completion.</w:t>
            </w:r>
          </w:p>
          <w:p w:rsidR="00D21520" w:rsidRDefault="00D21520" w:rsidP="00257902">
            <w:pPr>
              <w:autoSpaceDE w:val="0"/>
              <w:autoSpaceDN w:val="0"/>
              <w:adjustRightInd w:val="0"/>
              <w:spacing w:before="120" w:line="240" w:lineRule="atLeast"/>
              <w:jc w:val="both"/>
              <w:rPr>
                <w:rFonts w:ascii="Arial" w:hAnsi="Arial" w:cs="Arial"/>
                <w:sz w:val="20"/>
                <w:szCs w:val="20"/>
              </w:rPr>
            </w:pPr>
          </w:p>
          <w:p w:rsidR="0068457F" w:rsidRPr="005970A0" w:rsidRDefault="00921861" w:rsidP="00257902">
            <w:pPr>
              <w:autoSpaceDE w:val="0"/>
              <w:autoSpaceDN w:val="0"/>
              <w:adjustRightInd w:val="0"/>
              <w:spacing w:before="120" w:line="240" w:lineRule="atLeast"/>
              <w:jc w:val="both"/>
              <w:rPr>
                <w:rFonts w:ascii="Arial" w:hAnsi="Arial" w:cs="Arial"/>
                <w:sz w:val="20"/>
                <w:szCs w:val="20"/>
              </w:rPr>
            </w:pPr>
            <w:r w:rsidRPr="005970A0">
              <w:rPr>
                <w:rFonts w:ascii="Arial" w:hAnsi="Arial" w:cs="Arial"/>
                <w:sz w:val="20"/>
                <w:szCs w:val="20"/>
              </w:rPr>
              <w:lastRenderedPageBreak/>
              <w:t>Response rates to the 201</w:t>
            </w:r>
            <w:r w:rsidR="00063E84">
              <w:rPr>
                <w:rFonts w:ascii="Arial" w:hAnsi="Arial" w:cs="Arial"/>
                <w:sz w:val="20"/>
                <w:szCs w:val="20"/>
              </w:rPr>
              <w:t>2</w:t>
            </w:r>
            <w:r w:rsidR="0068457F" w:rsidRPr="005970A0">
              <w:rPr>
                <w:rFonts w:ascii="Arial" w:hAnsi="Arial" w:cs="Arial"/>
                <w:sz w:val="20"/>
                <w:szCs w:val="20"/>
              </w:rPr>
              <w:t xml:space="preserve"> survey are shown in table 1.</w:t>
            </w:r>
          </w:p>
          <w:p w:rsidR="00921861" w:rsidRPr="005970A0" w:rsidRDefault="00921861" w:rsidP="00921861">
            <w:pPr>
              <w:autoSpaceDE w:val="0"/>
              <w:autoSpaceDN w:val="0"/>
              <w:adjustRightInd w:val="0"/>
              <w:spacing w:before="120" w:after="40" w:line="240" w:lineRule="atLeast"/>
              <w:jc w:val="both"/>
              <w:rPr>
                <w:rFonts w:ascii="Arial" w:hAnsi="Arial" w:cs="Arial"/>
                <w:b/>
                <w:sz w:val="17"/>
                <w:szCs w:val="17"/>
              </w:rPr>
            </w:pPr>
            <w:r w:rsidRPr="005970A0">
              <w:rPr>
                <w:rFonts w:ascii="Arial" w:hAnsi="Arial" w:cs="Arial"/>
                <w:b/>
                <w:sz w:val="17"/>
                <w:szCs w:val="17"/>
              </w:rPr>
              <w:t>Table 1: Response rates for graduates to the 201</w:t>
            </w:r>
            <w:r w:rsidR="00063E84">
              <w:rPr>
                <w:rFonts w:ascii="Arial" w:hAnsi="Arial" w:cs="Arial"/>
                <w:b/>
                <w:sz w:val="17"/>
                <w:szCs w:val="17"/>
              </w:rPr>
              <w:t>2</w:t>
            </w:r>
            <w:r w:rsidRPr="005970A0">
              <w:rPr>
                <w:rFonts w:ascii="Arial" w:hAnsi="Arial" w:cs="Arial"/>
                <w:b/>
                <w:sz w:val="17"/>
                <w:szCs w:val="17"/>
              </w:rPr>
              <w:t xml:space="preserve"> Student Outcomes Survey by state</w:t>
            </w:r>
          </w:p>
          <w:tbl>
            <w:tblPr>
              <w:tblW w:w="2901" w:type="pct"/>
              <w:tblBorders>
                <w:top w:val="single" w:sz="4" w:space="0" w:color="auto"/>
                <w:bottom w:val="single" w:sz="4" w:space="0" w:color="auto"/>
              </w:tblBorders>
              <w:tblLook w:val="01E0" w:firstRow="1" w:lastRow="1" w:firstColumn="1" w:lastColumn="1" w:noHBand="0" w:noVBand="0"/>
            </w:tblPr>
            <w:tblGrid>
              <w:gridCol w:w="2411"/>
              <w:gridCol w:w="1748"/>
            </w:tblGrid>
            <w:tr w:rsidR="005970A0" w:rsidRPr="005970A0" w:rsidTr="007C0724">
              <w:tc>
                <w:tcPr>
                  <w:tcW w:w="2898" w:type="pct"/>
                  <w:tcBorders>
                    <w:top w:val="single" w:sz="4" w:space="0" w:color="auto"/>
                    <w:left w:val="nil"/>
                    <w:bottom w:val="single" w:sz="4" w:space="0" w:color="auto"/>
                    <w:right w:val="nil"/>
                  </w:tcBorders>
                </w:tcPr>
                <w:p w:rsidR="00921861" w:rsidRPr="005970A0" w:rsidRDefault="00921861" w:rsidP="007C0724">
                  <w:pPr>
                    <w:autoSpaceDE w:val="0"/>
                    <w:autoSpaceDN w:val="0"/>
                    <w:adjustRightInd w:val="0"/>
                    <w:spacing w:before="80"/>
                    <w:jc w:val="both"/>
                    <w:rPr>
                      <w:rFonts w:ascii="Arial" w:hAnsi="Arial" w:cs="Arial"/>
                      <w:b/>
                      <w:sz w:val="16"/>
                      <w:szCs w:val="16"/>
                    </w:rPr>
                  </w:pPr>
                  <w:r w:rsidRPr="005970A0">
                    <w:rPr>
                      <w:rFonts w:ascii="Arial" w:hAnsi="Arial" w:cs="Arial"/>
                      <w:b/>
                      <w:sz w:val="16"/>
                      <w:szCs w:val="16"/>
                    </w:rPr>
                    <w:t>State/Territory</w:t>
                  </w:r>
                </w:p>
              </w:tc>
              <w:tc>
                <w:tcPr>
                  <w:tcW w:w="2102" w:type="pct"/>
                  <w:tcBorders>
                    <w:top w:val="single" w:sz="4" w:space="0" w:color="auto"/>
                    <w:left w:val="nil"/>
                    <w:bottom w:val="single" w:sz="4" w:space="0" w:color="auto"/>
                    <w:right w:val="nil"/>
                  </w:tcBorders>
                </w:tcPr>
                <w:p w:rsidR="00921861" w:rsidRPr="005970A0" w:rsidRDefault="00921861" w:rsidP="007C0724">
                  <w:pPr>
                    <w:autoSpaceDE w:val="0"/>
                    <w:autoSpaceDN w:val="0"/>
                    <w:adjustRightInd w:val="0"/>
                    <w:spacing w:before="80"/>
                    <w:jc w:val="center"/>
                    <w:rPr>
                      <w:rFonts w:ascii="Arial" w:hAnsi="Arial" w:cs="Arial"/>
                      <w:b/>
                      <w:sz w:val="16"/>
                      <w:szCs w:val="16"/>
                    </w:rPr>
                  </w:pPr>
                  <w:r w:rsidRPr="005970A0">
                    <w:rPr>
                      <w:rFonts w:ascii="Arial" w:hAnsi="Arial" w:cs="Arial"/>
                      <w:b/>
                      <w:sz w:val="16"/>
                      <w:szCs w:val="16"/>
                    </w:rPr>
                    <w:t>Response rate (%)</w:t>
                  </w:r>
                </w:p>
              </w:tc>
            </w:tr>
            <w:tr w:rsidR="005970A0" w:rsidRPr="005970A0" w:rsidTr="007C0724">
              <w:trPr>
                <w:trHeight w:val="227"/>
              </w:trPr>
              <w:tc>
                <w:tcPr>
                  <w:tcW w:w="2898" w:type="pct"/>
                  <w:tcBorders>
                    <w:top w:val="single" w:sz="4" w:space="0" w:color="auto"/>
                    <w:left w:val="nil"/>
                    <w:bottom w:val="nil"/>
                    <w:right w:val="nil"/>
                  </w:tcBorders>
                  <w:vAlign w:val="center"/>
                </w:tcPr>
                <w:p w:rsidR="00921861" w:rsidRPr="005970A0" w:rsidRDefault="00921861" w:rsidP="007C0724">
                  <w:pPr>
                    <w:pStyle w:val="Tabletext"/>
                    <w:spacing w:before="0"/>
                    <w:jc w:val="center"/>
                    <w:rPr>
                      <w:rFonts w:cs="Arial"/>
                      <w:szCs w:val="16"/>
                    </w:rPr>
                  </w:pPr>
                  <w:r w:rsidRPr="005970A0">
                    <w:rPr>
                      <w:rFonts w:cs="Arial"/>
                      <w:szCs w:val="16"/>
                    </w:rPr>
                    <w:t>New South Wales</w:t>
                  </w:r>
                </w:p>
              </w:tc>
              <w:tc>
                <w:tcPr>
                  <w:tcW w:w="2102" w:type="pct"/>
                  <w:tcBorders>
                    <w:top w:val="single" w:sz="4" w:space="0" w:color="auto"/>
                    <w:left w:val="nil"/>
                    <w:bottom w:val="nil"/>
                    <w:right w:val="nil"/>
                  </w:tcBorders>
                  <w:vAlign w:val="center"/>
                </w:tcPr>
                <w:p w:rsidR="00921861" w:rsidRPr="005970A0" w:rsidRDefault="003B6FF3" w:rsidP="007C0724">
                  <w:pPr>
                    <w:pStyle w:val="Tabletext"/>
                    <w:spacing w:before="0"/>
                    <w:jc w:val="center"/>
                    <w:rPr>
                      <w:rFonts w:cs="Arial"/>
                      <w:szCs w:val="16"/>
                    </w:rPr>
                  </w:pPr>
                  <w:r>
                    <w:rPr>
                      <w:rFonts w:cs="Arial"/>
                      <w:szCs w:val="16"/>
                    </w:rPr>
                    <w:t>47.7</w:t>
                  </w:r>
                </w:p>
              </w:tc>
            </w:tr>
            <w:tr w:rsidR="005970A0" w:rsidRPr="005970A0" w:rsidTr="007C0724">
              <w:trPr>
                <w:trHeight w:val="227"/>
              </w:trPr>
              <w:tc>
                <w:tcPr>
                  <w:tcW w:w="2898" w:type="pct"/>
                  <w:tcBorders>
                    <w:top w:val="nil"/>
                    <w:left w:val="nil"/>
                    <w:bottom w:val="nil"/>
                    <w:right w:val="nil"/>
                  </w:tcBorders>
                  <w:vAlign w:val="center"/>
                </w:tcPr>
                <w:p w:rsidR="00921861" w:rsidRPr="005970A0" w:rsidRDefault="00921861" w:rsidP="007C0724">
                  <w:pPr>
                    <w:pStyle w:val="Tabletext"/>
                    <w:spacing w:before="0"/>
                    <w:jc w:val="center"/>
                    <w:rPr>
                      <w:rFonts w:cs="Arial"/>
                      <w:szCs w:val="16"/>
                    </w:rPr>
                  </w:pPr>
                  <w:r w:rsidRPr="005970A0">
                    <w:rPr>
                      <w:rFonts w:cs="Arial"/>
                      <w:szCs w:val="16"/>
                    </w:rPr>
                    <w:t>Victoria</w:t>
                  </w:r>
                </w:p>
              </w:tc>
              <w:tc>
                <w:tcPr>
                  <w:tcW w:w="2102" w:type="pct"/>
                  <w:tcBorders>
                    <w:top w:val="nil"/>
                    <w:left w:val="nil"/>
                    <w:bottom w:val="nil"/>
                    <w:right w:val="nil"/>
                  </w:tcBorders>
                  <w:vAlign w:val="center"/>
                </w:tcPr>
                <w:p w:rsidR="00921861" w:rsidRPr="005970A0" w:rsidRDefault="003B6FF3" w:rsidP="007C0724">
                  <w:pPr>
                    <w:pStyle w:val="Tabletext"/>
                    <w:spacing w:before="0"/>
                    <w:jc w:val="center"/>
                    <w:rPr>
                      <w:rFonts w:cs="Arial"/>
                      <w:szCs w:val="16"/>
                    </w:rPr>
                  </w:pPr>
                  <w:r>
                    <w:rPr>
                      <w:rFonts w:cs="Arial"/>
                      <w:szCs w:val="16"/>
                    </w:rPr>
                    <w:t>46.5</w:t>
                  </w:r>
                </w:p>
              </w:tc>
            </w:tr>
            <w:tr w:rsidR="005970A0" w:rsidRPr="005970A0" w:rsidTr="007C0724">
              <w:trPr>
                <w:trHeight w:val="227"/>
              </w:trPr>
              <w:tc>
                <w:tcPr>
                  <w:tcW w:w="2898" w:type="pct"/>
                  <w:tcBorders>
                    <w:top w:val="nil"/>
                    <w:left w:val="nil"/>
                    <w:bottom w:val="nil"/>
                    <w:right w:val="nil"/>
                  </w:tcBorders>
                  <w:vAlign w:val="center"/>
                </w:tcPr>
                <w:p w:rsidR="00921861" w:rsidRPr="005970A0" w:rsidRDefault="00921861" w:rsidP="007C0724">
                  <w:pPr>
                    <w:pStyle w:val="Tabletext"/>
                    <w:spacing w:before="0"/>
                    <w:jc w:val="center"/>
                    <w:rPr>
                      <w:rFonts w:cs="Arial"/>
                      <w:szCs w:val="16"/>
                    </w:rPr>
                  </w:pPr>
                  <w:r w:rsidRPr="005970A0">
                    <w:rPr>
                      <w:rFonts w:cs="Arial"/>
                      <w:szCs w:val="16"/>
                    </w:rPr>
                    <w:t>Queensland</w:t>
                  </w:r>
                </w:p>
              </w:tc>
              <w:tc>
                <w:tcPr>
                  <w:tcW w:w="2102" w:type="pct"/>
                  <w:tcBorders>
                    <w:top w:val="nil"/>
                    <w:left w:val="nil"/>
                    <w:bottom w:val="nil"/>
                    <w:right w:val="nil"/>
                  </w:tcBorders>
                  <w:vAlign w:val="center"/>
                </w:tcPr>
                <w:p w:rsidR="00921861" w:rsidRPr="005970A0" w:rsidRDefault="003B6FF3" w:rsidP="007C0724">
                  <w:pPr>
                    <w:pStyle w:val="Tabletext"/>
                    <w:spacing w:before="0"/>
                    <w:jc w:val="center"/>
                    <w:rPr>
                      <w:rFonts w:cs="Arial"/>
                      <w:szCs w:val="16"/>
                    </w:rPr>
                  </w:pPr>
                  <w:r>
                    <w:rPr>
                      <w:rFonts w:cs="Arial"/>
                      <w:szCs w:val="16"/>
                    </w:rPr>
                    <w:t>47.1</w:t>
                  </w:r>
                </w:p>
              </w:tc>
            </w:tr>
            <w:tr w:rsidR="005970A0" w:rsidRPr="005970A0" w:rsidTr="007C0724">
              <w:trPr>
                <w:trHeight w:val="227"/>
              </w:trPr>
              <w:tc>
                <w:tcPr>
                  <w:tcW w:w="2898" w:type="pct"/>
                  <w:tcBorders>
                    <w:top w:val="nil"/>
                    <w:left w:val="nil"/>
                    <w:bottom w:val="nil"/>
                    <w:right w:val="nil"/>
                  </w:tcBorders>
                  <w:vAlign w:val="center"/>
                </w:tcPr>
                <w:p w:rsidR="00921861" w:rsidRPr="005970A0" w:rsidRDefault="00921861" w:rsidP="007C0724">
                  <w:pPr>
                    <w:pStyle w:val="Tabletext"/>
                    <w:spacing w:before="0"/>
                    <w:jc w:val="center"/>
                    <w:rPr>
                      <w:rFonts w:cs="Arial"/>
                      <w:szCs w:val="16"/>
                    </w:rPr>
                  </w:pPr>
                  <w:r w:rsidRPr="005970A0">
                    <w:rPr>
                      <w:rFonts w:cs="Arial"/>
                      <w:szCs w:val="16"/>
                    </w:rPr>
                    <w:t>South Australia</w:t>
                  </w:r>
                </w:p>
              </w:tc>
              <w:tc>
                <w:tcPr>
                  <w:tcW w:w="2102" w:type="pct"/>
                  <w:tcBorders>
                    <w:top w:val="nil"/>
                    <w:left w:val="nil"/>
                    <w:bottom w:val="nil"/>
                    <w:right w:val="nil"/>
                  </w:tcBorders>
                  <w:vAlign w:val="center"/>
                </w:tcPr>
                <w:p w:rsidR="00921861" w:rsidRPr="005970A0" w:rsidRDefault="003B6FF3" w:rsidP="007C0724">
                  <w:pPr>
                    <w:pStyle w:val="Tabletext"/>
                    <w:spacing w:before="0"/>
                    <w:jc w:val="center"/>
                    <w:rPr>
                      <w:rFonts w:cs="Arial"/>
                      <w:szCs w:val="16"/>
                    </w:rPr>
                  </w:pPr>
                  <w:r>
                    <w:rPr>
                      <w:rFonts w:cs="Arial"/>
                      <w:szCs w:val="16"/>
                    </w:rPr>
                    <w:t>47.7</w:t>
                  </w:r>
                </w:p>
              </w:tc>
            </w:tr>
            <w:tr w:rsidR="005970A0" w:rsidRPr="005970A0" w:rsidTr="007C0724">
              <w:trPr>
                <w:trHeight w:val="227"/>
              </w:trPr>
              <w:tc>
                <w:tcPr>
                  <w:tcW w:w="2898" w:type="pct"/>
                  <w:tcBorders>
                    <w:top w:val="nil"/>
                    <w:left w:val="nil"/>
                    <w:bottom w:val="nil"/>
                    <w:right w:val="nil"/>
                  </w:tcBorders>
                  <w:vAlign w:val="center"/>
                </w:tcPr>
                <w:p w:rsidR="00921861" w:rsidRPr="005970A0" w:rsidRDefault="00921861" w:rsidP="007C0724">
                  <w:pPr>
                    <w:pStyle w:val="Tabletext"/>
                    <w:spacing w:before="0"/>
                    <w:jc w:val="center"/>
                    <w:rPr>
                      <w:rFonts w:cs="Arial"/>
                      <w:szCs w:val="16"/>
                    </w:rPr>
                  </w:pPr>
                  <w:r w:rsidRPr="005970A0">
                    <w:rPr>
                      <w:rFonts w:cs="Arial"/>
                      <w:szCs w:val="16"/>
                    </w:rPr>
                    <w:t>Western Australia</w:t>
                  </w:r>
                </w:p>
              </w:tc>
              <w:tc>
                <w:tcPr>
                  <w:tcW w:w="2102" w:type="pct"/>
                  <w:tcBorders>
                    <w:top w:val="nil"/>
                    <w:left w:val="nil"/>
                    <w:bottom w:val="nil"/>
                    <w:right w:val="nil"/>
                  </w:tcBorders>
                  <w:vAlign w:val="center"/>
                </w:tcPr>
                <w:p w:rsidR="00921861" w:rsidRPr="005970A0" w:rsidRDefault="003B6FF3" w:rsidP="007C0724">
                  <w:pPr>
                    <w:pStyle w:val="Tabletext"/>
                    <w:spacing w:before="0"/>
                    <w:jc w:val="center"/>
                    <w:rPr>
                      <w:rFonts w:cs="Arial"/>
                      <w:szCs w:val="16"/>
                    </w:rPr>
                  </w:pPr>
                  <w:r>
                    <w:rPr>
                      <w:rFonts w:cs="Arial"/>
                      <w:szCs w:val="16"/>
                    </w:rPr>
                    <w:t>45.9</w:t>
                  </w:r>
                </w:p>
              </w:tc>
            </w:tr>
            <w:tr w:rsidR="005970A0" w:rsidRPr="005970A0" w:rsidTr="007C0724">
              <w:trPr>
                <w:trHeight w:val="227"/>
              </w:trPr>
              <w:tc>
                <w:tcPr>
                  <w:tcW w:w="2898" w:type="pct"/>
                  <w:tcBorders>
                    <w:top w:val="nil"/>
                    <w:left w:val="nil"/>
                    <w:bottom w:val="nil"/>
                    <w:right w:val="nil"/>
                  </w:tcBorders>
                  <w:vAlign w:val="center"/>
                </w:tcPr>
                <w:p w:rsidR="00921861" w:rsidRPr="005970A0" w:rsidRDefault="00921861" w:rsidP="007C0724">
                  <w:pPr>
                    <w:pStyle w:val="Tabletext"/>
                    <w:spacing w:before="0"/>
                    <w:jc w:val="center"/>
                    <w:rPr>
                      <w:rFonts w:cs="Arial"/>
                      <w:szCs w:val="16"/>
                    </w:rPr>
                  </w:pPr>
                  <w:r w:rsidRPr="005970A0">
                    <w:rPr>
                      <w:rFonts w:cs="Arial"/>
                      <w:szCs w:val="16"/>
                    </w:rPr>
                    <w:t>Tasmania</w:t>
                  </w:r>
                </w:p>
              </w:tc>
              <w:tc>
                <w:tcPr>
                  <w:tcW w:w="2102" w:type="pct"/>
                  <w:tcBorders>
                    <w:top w:val="nil"/>
                    <w:left w:val="nil"/>
                    <w:bottom w:val="nil"/>
                    <w:right w:val="nil"/>
                  </w:tcBorders>
                  <w:vAlign w:val="center"/>
                </w:tcPr>
                <w:p w:rsidR="00921861" w:rsidRPr="005970A0" w:rsidRDefault="003B6FF3" w:rsidP="007C0724">
                  <w:pPr>
                    <w:pStyle w:val="Tabletext"/>
                    <w:spacing w:before="0"/>
                    <w:jc w:val="center"/>
                    <w:rPr>
                      <w:rFonts w:cs="Arial"/>
                      <w:szCs w:val="16"/>
                    </w:rPr>
                  </w:pPr>
                  <w:r>
                    <w:rPr>
                      <w:rFonts w:cs="Arial"/>
                      <w:szCs w:val="16"/>
                    </w:rPr>
                    <w:t>50.8</w:t>
                  </w:r>
                </w:p>
              </w:tc>
            </w:tr>
            <w:tr w:rsidR="005970A0" w:rsidRPr="005970A0" w:rsidTr="007C0724">
              <w:trPr>
                <w:trHeight w:val="227"/>
              </w:trPr>
              <w:tc>
                <w:tcPr>
                  <w:tcW w:w="2898" w:type="pct"/>
                  <w:tcBorders>
                    <w:top w:val="nil"/>
                    <w:left w:val="nil"/>
                    <w:bottom w:val="nil"/>
                    <w:right w:val="nil"/>
                  </w:tcBorders>
                  <w:vAlign w:val="center"/>
                </w:tcPr>
                <w:p w:rsidR="00921861" w:rsidRPr="005970A0" w:rsidRDefault="00921861" w:rsidP="007C0724">
                  <w:pPr>
                    <w:pStyle w:val="Tabletext"/>
                    <w:spacing w:before="0"/>
                    <w:jc w:val="center"/>
                    <w:rPr>
                      <w:rFonts w:cs="Arial"/>
                      <w:szCs w:val="16"/>
                    </w:rPr>
                  </w:pPr>
                  <w:r w:rsidRPr="005970A0">
                    <w:rPr>
                      <w:rFonts w:cs="Arial"/>
                      <w:szCs w:val="16"/>
                    </w:rPr>
                    <w:t>Northern Territory</w:t>
                  </w:r>
                </w:p>
              </w:tc>
              <w:tc>
                <w:tcPr>
                  <w:tcW w:w="2102" w:type="pct"/>
                  <w:tcBorders>
                    <w:top w:val="nil"/>
                    <w:left w:val="nil"/>
                    <w:bottom w:val="nil"/>
                    <w:right w:val="nil"/>
                  </w:tcBorders>
                  <w:vAlign w:val="center"/>
                </w:tcPr>
                <w:p w:rsidR="00921861" w:rsidRPr="005970A0" w:rsidRDefault="003B6FF3" w:rsidP="007C0724">
                  <w:pPr>
                    <w:pStyle w:val="Tabletext"/>
                    <w:spacing w:before="0"/>
                    <w:jc w:val="center"/>
                    <w:rPr>
                      <w:rFonts w:cs="Arial"/>
                      <w:szCs w:val="16"/>
                    </w:rPr>
                  </w:pPr>
                  <w:r>
                    <w:rPr>
                      <w:rFonts w:cs="Arial"/>
                      <w:szCs w:val="16"/>
                    </w:rPr>
                    <w:t>45.4</w:t>
                  </w:r>
                </w:p>
              </w:tc>
            </w:tr>
            <w:tr w:rsidR="005970A0" w:rsidRPr="005970A0" w:rsidTr="007C0724">
              <w:trPr>
                <w:trHeight w:val="227"/>
              </w:trPr>
              <w:tc>
                <w:tcPr>
                  <w:tcW w:w="2898" w:type="pct"/>
                  <w:tcBorders>
                    <w:top w:val="nil"/>
                    <w:left w:val="nil"/>
                    <w:bottom w:val="nil"/>
                    <w:right w:val="nil"/>
                  </w:tcBorders>
                  <w:vAlign w:val="center"/>
                </w:tcPr>
                <w:p w:rsidR="00921861" w:rsidRPr="005970A0" w:rsidRDefault="00921861" w:rsidP="007C0724">
                  <w:pPr>
                    <w:pStyle w:val="Tabletext"/>
                    <w:spacing w:before="0"/>
                    <w:jc w:val="center"/>
                    <w:rPr>
                      <w:rFonts w:cs="Arial"/>
                      <w:szCs w:val="16"/>
                    </w:rPr>
                  </w:pPr>
                  <w:r w:rsidRPr="005970A0">
                    <w:rPr>
                      <w:rFonts w:cs="Arial"/>
                      <w:szCs w:val="16"/>
                    </w:rPr>
                    <w:t>Australian Capital Territory</w:t>
                  </w:r>
                </w:p>
              </w:tc>
              <w:tc>
                <w:tcPr>
                  <w:tcW w:w="2102" w:type="pct"/>
                  <w:tcBorders>
                    <w:top w:val="nil"/>
                    <w:left w:val="nil"/>
                    <w:bottom w:val="nil"/>
                    <w:right w:val="nil"/>
                  </w:tcBorders>
                  <w:vAlign w:val="center"/>
                </w:tcPr>
                <w:p w:rsidR="00921861" w:rsidRPr="005970A0" w:rsidRDefault="003B6FF3" w:rsidP="007C0724">
                  <w:pPr>
                    <w:pStyle w:val="Tabletext"/>
                    <w:spacing w:before="0"/>
                    <w:jc w:val="center"/>
                    <w:rPr>
                      <w:rFonts w:cs="Arial"/>
                      <w:szCs w:val="16"/>
                    </w:rPr>
                  </w:pPr>
                  <w:r>
                    <w:rPr>
                      <w:rFonts w:cs="Arial"/>
                      <w:szCs w:val="16"/>
                    </w:rPr>
                    <w:t>45.2</w:t>
                  </w:r>
                </w:p>
              </w:tc>
            </w:tr>
            <w:tr w:rsidR="005970A0" w:rsidRPr="005970A0" w:rsidTr="007C0724">
              <w:trPr>
                <w:trHeight w:val="227"/>
              </w:trPr>
              <w:tc>
                <w:tcPr>
                  <w:tcW w:w="2898" w:type="pct"/>
                  <w:tcBorders>
                    <w:top w:val="nil"/>
                    <w:left w:val="nil"/>
                    <w:bottom w:val="single" w:sz="4" w:space="0" w:color="auto"/>
                    <w:right w:val="nil"/>
                  </w:tcBorders>
                  <w:vAlign w:val="center"/>
                </w:tcPr>
                <w:p w:rsidR="00921861" w:rsidRPr="005970A0" w:rsidRDefault="00921861" w:rsidP="007C0724">
                  <w:pPr>
                    <w:pStyle w:val="Tabletext"/>
                    <w:spacing w:before="0"/>
                    <w:jc w:val="center"/>
                    <w:rPr>
                      <w:rFonts w:cs="Arial"/>
                      <w:b/>
                      <w:szCs w:val="16"/>
                    </w:rPr>
                  </w:pPr>
                  <w:r w:rsidRPr="005970A0">
                    <w:rPr>
                      <w:rFonts w:cs="Arial"/>
                      <w:b/>
                      <w:szCs w:val="16"/>
                    </w:rPr>
                    <w:t>Australia</w:t>
                  </w:r>
                </w:p>
              </w:tc>
              <w:tc>
                <w:tcPr>
                  <w:tcW w:w="2102" w:type="pct"/>
                  <w:tcBorders>
                    <w:top w:val="nil"/>
                    <w:left w:val="nil"/>
                    <w:bottom w:val="single" w:sz="4" w:space="0" w:color="auto"/>
                    <w:right w:val="nil"/>
                  </w:tcBorders>
                  <w:vAlign w:val="center"/>
                </w:tcPr>
                <w:p w:rsidR="00921861" w:rsidRPr="005970A0" w:rsidRDefault="003B6FF3" w:rsidP="007C0724">
                  <w:pPr>
                    <w:pStyle w:val="Tabletext"/>
                    <w:spacing w:before="0"/>
                    <w:jc w:val="center"/>
                    <w:rPr>
                      <w:rFonts w:cs="Arial"/>
                      <w:b/>
                      <w:szCs w:val="16"/>
                    </w:rPr>
                  </w:pPr>
                  <w:r>
                    <w:rPr>
                      <w:rFonts w:cs="Arial"/>
                      <w:b/>
                      <w:szCs w:val="16"/>
                    </w:rPr>
                    <w:t>47.0</w:t>
                  </w:r>
                </w:p>
              </w:tc>
            </w:tr>
          </w:tbl>
          <w:p w:rsidR="0068457F" w:rsidRPr="005970A0" w:rsidRDefault="00921861" w:rsidP="00063E84">
            <w:pPr>
              <w:keepNext/>
              <w:keepLines/>
              <w:spacing w:before="120" w:after="120" w:line="220" w:lineRule="atLeast"/>
              <w:jc w:val="both"/>
              <w:rPr>
                <w:rFonts w:ascii="Arial" w:hAnsi="Arial" w:cs="Arial"/>
                <w:sz w:val="20"/>
                <w:szCs w:val="20"/>
              </w:rPr>
            </w:pPr>
            <w:r w:rsidRPr="005970A0">
              <w:rPr>
                <w:rFonts w:ascii="Arial" w:hAnsi="Arial" w:cs="Arial"/>
                <w:sz w:val="20"/>
                <w:szCs w:val="20"/>
              </w:rPr>
              <w:t>For 201</w:t>
            </w:r>
            <w:r w:rsidR="00063E84">
              <w:rPr>
                <w:rFonts w:ascii="Arial" w:hAnsi="Arial" w:cs="Arial"/>
                <w:sz w:val="20"/>
                <w:szCs w:val="20"/>
              </w:rPr>
              <w:t>2</w:t>
            </w:r>
            <w:r w:rsidRPr="005970A0">
              <w:rPr>
                <w:rFonts w:ascii="Arial" w:hAnsi="Arial" w:cs="Arial"/>
                <w:sz w:val="20"/>
                <w:szCs w:val="20"/>
              </w:rPr>
              <w:t>, the indicator has acceptable (less than 25</w:t>
            </w:r>
            <w:r w:rsidR="008C50BE">
              <w:rPr>
                <w:rFonts w:ascii="Arial" w:hAnsi="Arial" w:cs="Arial"/>
                <w:sz w:val="20"/>
                <w:szCs w:val="20"/>
              </w:rPr>
              <w:t xml:space="preserve"> per cent</w:t>
            </w:r>
            <w:r w:rsidRPr="005970A0">
              <w:rPr>
                <w:rFonts w:ascii="Arial" w:hAnsi="Arial" w:cs="Arial"/>
                <w:sz w:val="20"/>
                <w:szCs w:val="20"/>
              </w:rPr>
              <w:t>) relative standard errors (</w:t>
            </w:r>
            <w:proofErr w:type="spellStart"/>
            <w:r w:rsidRPr="005970A0">
              <w:rPr>
                <w:rFonts w:ascii="Arial" w:hAnsi="Arial" w:cs="Arial"/>
                <w:sz w:val="20"/>
                <w:szCs w:val="20"/>
              </w:rPr>
              <w:t>RSEs</w:t>
            </w:r>
            <w:proofErr w:type="spellEnd"/>
            <w:r w:rsidRPr="005970A0">
              <w:rPr>
                <w:rFonts w:ascii="Arial" w:hAnsi="Arial" w:cs="Arial"/>
                <w:sz w:val="20"/>
                <w:szCs w:val="20"/>
              </w:rPr>
              <w:t xml:space="preserve">) for all VET graduates at the national level. When data are disaggregated by state/territory and Indigenous status, many </w:t>
            </w:r>
            <w:proofErr w:type="spellStart"/>
            <w:r w:rsidRPr="005970A0">
              <w:rPr>
                <w:rFonts w:ascii="Arial" w:hAnsi="Arial" w:cs="Arial"/>
                <w:sz w:val="20"/>
                <w:szCs w:val="20"/>
              </w:rPr>
              <w:t>RSEs</w:t>
            </w:r>
            <w:proofErr w:type="spellEnd"/>
            <w:r w:rsidRPr="005970A0">
              <w:rPr>
                <w:rFonts w:ascii="Arial" w:hAnsi="Arial" w:cs="Arial"/>
                <w:sz w:val="20"/>
                <w:szCs w:val="20"/>
              </w:rPr>
              <w:t xml:space="preserve"> are consistently above 25</w:t>
            </w:r>
            <w:r w:rsidR="008C50BE">
              <w:rPr>
                <w:rFonts w:ascii="Arial" w:hAnsi="Arial" w:cs="Arial"/>
                <w:sz w:val="20"/>
                <w:szCs w:val="20"/>
              </w:rPr>
              <w:t xml:space="preserve"> per cent</w:t>
            </w:r>
            <w:r w:rsidRPr="005970A0">
              <w:rPr>
                <w:rFonts w:ascii="Arial" w:hAnsi="Arial" w:cs="Arial"/>
                <w:sz w:val="20"/>
                <w:szCs w:val="20"/>
              </w:rPr>
              <w:t xml:space="preserve"> due to small sample sizes.</w:t>
            </w:r>
          </w:p>
        </w:tc>
      </w:tr>
      <w:tr w:rsidR="005970A0" w:rsidRPr="005970A0" w:rsidTr="00395EF2">
        <w:tc>
          <w:tcPr>
            <w:tcW w:w="922" w:type="pct"/>
          </w:tcPr>
          <w:p w:rsidR="0068457F" w:rsidRPr="005970A0" w:rsidRDefault="0068457F" w:rsidP="006E0702">
            <w:pPr>
              <w:spacing w:line="320" w:lineRule="exact"/>
              <w:jc w:val="both"/>
              <w:rPr>
                <w:rFonts w:ascii="Arial" w:hAnsi="Arial" w:cs="Arial"/>
                <w:b/>
                <w:sz w:val="20"/>
                <w:szCs w:val="20"/>
              </w:rPr>
            </w:pPr>
            <w:r w:rsidRPr="005970A0">
              <w:rPr>
                <w:rFonts w:ascii="Arial" w:hAnsi="Arial" w:cs="Arial"/>
                <w:b/>
                <w:sz w:val="20"/>
                <w:szCs w:val="20"/>
              </w:rPr>
              <w:lastRenderedPageBreak/>
              <w:t>Coherence</w:t>
            </w:r>
          </w:p>
          <w:p w:rsidR="0068457F" w:rsidRPr="005970A0" w:rsidRDefault="0068457F" w:rsidP="006E0702">
            <w:pPr>
              <w:spacing w:line="320" w:lineRule="exact"/>
              <w:jc w:val="both"/>
              <w:rPr>
                <w:rFonts w:ascii="Arial" w:hAnsi="Arial" w:cs="Arial"/>
                <w:b/>
                <w:sz w:val="20"/>
                <w:szCs w:val="20"/>
              </w:rPr>
            </w:pPr>
          </w:p>
        </w:tc>
        <w:tc>
          <w:tcPr>
            <w:tcW w:w="4078" w:type="pct"/>
          </w:tcPr>
          <w:p w:rsidR="00801895" w:rsidRPr="005970A0" w:rsidRDefault="00801895" w:rsidP="00801895">
            <w:pPr>
              <w:keepNext/>
              <w:keepLines/>
              <w:spacing w:after="120" w:line="220" w:lineRule="atLeast"/>
              <w:ind w:left="6" w:right="113"/>
              <w:jc w:val="both"/>
              <w:rPr>
                <w:rFonts w:ascii="Arial" w:hAnsi="Arial" w:cs="Arial"/>
                <w:sz w:val="20"/>
                <w:szCs w:val="20"/>
              </w:rPr>
            </w:pPr>
            <w:r w:rsidRPr="005970A0">
              <w:rPr>
                <w:rFonts w:ascii="Arial" w:hAnsi="Arial" w:cs="Arial"/>
                <w:sz w:val="20"/>
                <w:szCs w:val="20"/>
              </w:rPr>
              <w:t xml:space="preserve">The majority of data items have not changed since the survey was first conducted in 1997. The scope of the survey has increased over time. Until 2000, the survey was restricted to TAFE students. From 2000, it was expanded to include students from Adult and Community Education, private and other government providers. </w:t>
            </w:r>
          </w:p>
          <w:p w:rsidR="0068457F" w:rsidRPr="005970A0" w:rsidRDefault="00801895" w:rsidP="00801895">
            <w:pPr>
              <w:keepNext/>
              <w:keepLines/>
              <w:spacing w:after="120" w:line="220" w:lineRule="atLeast"/>
              <w:ind w:left="6" w:right="113"/>
              <w:jc w:val="both"/>
              <w:rPr>
                <w:rFonts w:ascii="Arial" w:hAnsi="Arial" w:cs="Arial"/>
                <w:sz w:val="20"/>
                <w:szCs w:val="20"/>
              </w:rPr>
            </w:pPr>
            <w:r w:rsidRPr="005970A0">
              <w:rPr>
                <w:rFonts w:ascii="Arial" w:hAnsi="Arial" w:cs="Arial"/>
                <w:sz w:val="20"/>
                <w:szCs w:val="20"/>
              </w:rPr>
              <w:t>Two questionnaires are used to collect the data. The main questionnaire is sent to students from TAFE, other Government and private providers. A separate shorter questionnaire is sent to students from Adult and Community Education (ACE) providers.</w:t>
            </w:r>
          </w:p>
        </w:tc>
      </w:tr>
      <w:tr w:rsidR="005970A0" w:rsidRPr="005970A0" w:rsidTr="00395EF2">
        <w:tc>
          <w:tcPr>
            <w:tcW w:w="922" w:type="pct"/>
          </w:tcPr>
          <w:p w:rsidR="0068457F" w:rsidRPr="005970A0" w:rsidRDefault="0068457F" w:rsidP="006E0702">
            <w:pPr>
              <w:spacing w:line="320" w:lineRule="exact"/>
              <w:jc w:val="both"/>
              <w:rPr>
                <w:rFonts w:ascii="Arial" w:hAnsi="Arial" w:cs="Arial"/>
                <w:b/>
                <w:sz w:val="20"/>
                <w:szCs w:val="20"/>
              </w:rPr>
            </w:pPr>
            <w:r w:rsidRPr="005970A0">
              <w:rPr>
                <w:rFonts w:ascii="Arial" w:hAnsi="Arial" w:cs="Arial"/>
                <w:b/>
                <w:sz w:val="20"/>
                <w:szCs w:val="20"/>
              </w:rPr>
              <w:t>Accessibility</w:t>
            </w:r>
          </w:p>
          <w:p w:rsidR="0068457F" w:rsidRPr="005970A0" w:rsidRDefault="0068457F" w:rsidP="006E0702">
            <w:pPr>
              <w:spacing w:line="320" w:lineRule="exact"/>
              <w:jc w:val="both"/>
              <w:rPr>
                <w:rFonts w:ascii="Arial" w:hAnsi="Arial" w:cs="Arial"/>
                <w:b/>
                <w:sz w:val="20"/>
                <w:szCs w:val="20"/>
              </w:rPr>
            </w:pPr>
          </w:p>
        </w:tc>
        <w:tc>
          <w:tcPr>
            <w:tcW w:w="4078" w:type="pct"/>
          </w:tcPr>
          <w:p w:rsidR="00801895" w:rsidRPr="005970A0" w:rsidRDefault="00801895" w:rsidP="00801895">
            <w:pPr>
              <w:keepNext/>
              <w:keepLines/>
              <w:spacing w:after="120" w:line="220" w:lineRule="atLeast"/>
              <w:ind w:left="6" w:right="113"/>
              <w:jc w:val="both"/>
              <w:rPr>
                <w:rFonts w:ascii="Arial" w:hAnsi="Arial" w:cs="Arial"/>
                <w:sz w:val="20"/>
                <w:szCs w:val="20"/>
              </w:rPr>
            </w:pPr>
            <w:r w:rsidRPr="005970A0">
              <w:rPr>
                <w:rFonts w:ascii="Arial" w:hAnsi="Arial" w:cs="Arial"/>
                <w:sz w:val="20"/>
                <w:szCs w:val="20"/>
              </w:rPr>
              <w:t xml:space="preserve">Results of the survey are available free of charge on </w:t>
            </w:r>
            <w:proofErr w:type="spellStart"/>
            <w:r w:rsidRPr="005970A0">
              <w:rPr>
                <w:rFonts w:ascii="Arial" w:hAnsi="Arial" w:cs="Arial"/>
                <w:sz w:val="20"/>
                <w:szCs w:val="20"/>
              </w:rPr>
              <w:t>NCVER’s</w:t>
            </w:r>
            <w:proofErr w:type="spellEnd"/>
            <w:r w:rsidRPr="005970A0">
              <w:rPr>
                <w:rFonts w:ascii="Arial" w:hAnsi="Arial" w:cs="Arial"/>
                <w:sz w:val="20"/>
                <w:szCs w:val="20"/>
              </w:rPr>
              <w:t xml:space="preserve"> website at: [</w:t>
            </w:r>
            <w:proofErr w:type="spellStart"/>
            <w:r w:rsidRPr="005970A0">
              <w:rPr>
                <w:rFonts w:ascii="Arial" w:hAnsi="Arial" w:cs="Arial"/>
                <w:sz w:val="20"/>
                <w:szCs w:val="20"/>
              </w:rPr>
              <w:t>www.ncver.edu.au</w:t>
            </w:r>
            <w:proofErr w:type="spellEnd"/>
            <w:r w:rsidRPr="005970A0">
              <w:rPr>
                <w:rFonts w:ascii="Arial" w:hAnsi="Arial" w:cs="Arial"/>
                <w:sz w:val="20"/>
                <w:szCs w:val="20"/>
              </w:rPr>
              <w:t>/statistic/</w:t>
            </w:r>
            <w:proofErr w:type="spellStart"/>
            <w:r w:rsidRPr="005970A0">
              <w:rPr>
                <w:rFonts w:ascii="Arial" w:hAnsi="Arial" w:cs="Arial"/>
                <w:sz w:val="20"/>
                <w:szCs w:val="20"/>
              </w:rPr>
              <w:t>21065.html</w:t>
            </w:r>
            <w:proofErr w:type="spellEnd"/>
            <w:r w:rsidRPr="005970A0">
              <w:rPr>
                <w:rFonts w:ascii="Arial" w:hAnsi="Arial" w:cs="Arial"/>
                <w:sz w:val="20"/>
                <w:szCs w:val="20"/>
              </w:rPr>
              <w:t xml:space="preserve">]. Requests for more detailed statistical information or further information about the Student Outcomes Survey can be made to: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on (08) 8230 8400 or </w:t>
            </w:r>
            <w:proofErr w:type="spellStart"/>
            <w:r w:rsidRPr="005970A0">
              <w:rPr>
                <w:rFonts w:ascii="Arial" w:hAnsi="Arial" w:cs="Arial"/>
                <w:sz w:val="20"/>
                <w:szCs w:val="20"/>
              </w:rPr>
              <w:t>surveys_req@ncver.edu.au</w:t>
            </w:r>
            <w:proofErr w:type="spellEnd"/>
          </w:p>
          <w:p w:rsidR="0068457F" w:rsidRPr="005970A0" w:rsidRDefault="00801895" w:rsidP="00801895">
            <w:pPr>
              <w:keepNext/>
              <w:keepLines/>
              <w:spacing w:after="120" w:line="220" w:lineRule="atLeast"/>
              <w:ind w:left="6" w:right="113"/>
              <w:jc w:val="both"/>
              <w:rPr>
                <w:rFonts w:ascii="Arial" w:hAnsi="Arial" w:cs="Arial"/>
                <w:sz w:val="20"/>
                <w:szCs w:val="20"/>
              </w:rPr>
            </w:pPr>
            <w:r w:rsidRPr="005970A0">
              <w:rPr>
                <w:rFonts w:ascii="Arial" w:hAnsi="Arial" w:cs="Arial"/>
                <w:sz w:val="20"/>
                <w:szCs w:val="20"/>
              </w:rPr>
              <w:t xml:space="preserve">A charge will be generally made by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for more complex requests for information. See </w:t>
            </w:r>
            <w:proofErr w:type="spellStart"/>
            <w:r w:rsidRPr="005970A0">
              <w:rPr>
                <w:rFonts w:ascii="Arial" w:hAnsi="Arial" w:cs="Arial"/>
                <w:sz w:val="20"/>
                <w:szCs w:val="20"/>
              </w:rPr>
              <w:t>NCVER’s</w:t>
            </w:r>
            <w:proofErr w:type="spellEnd"/>
            <w:r w:rsidRPr="005970A0">
              <w:rPr>
                <w:rFonts w:ascii="Arial" w:hAnsi="Arial" w:cs="Arial"/>
                <w:sz w:val="20"/>
                <w:szCs w:val="20"/>
              </w:rPr>
              <w:t xml:space="preserve"> fees and charges policy at [</w:t>
            </w:r>
            <w:proofErr w:type="spellStart"/>
            <w:r w:rsidRPr="005970A0">
              <w:rPr>
                <w:rFonts w:ascii="Arial" w:hAnsi="Arial" w:cs="Arial"/>
                <w:sz w:val="20"/>
                <w:szCs w:val="20"/>
              </w:rPr>
              <w:t>www.ncver.edu.au</w:t>
            </w:r>
            <w:proofErr w:type="spellEnd"/>
            <w:r w:rsidRPr="005970A0">
              <w:rPr>
                <w:rFonts w:ascii="Arial" w:hAnsi="Arial" w:cs="Arial"/>
                <w:sz w:val="20"/>
                <w:szCs w:val="20"/>
              </w:rPr>
              <w:t>/statistic/</w:t>
            </w:r>
            <w:proofErr w:type="spellStart"/>
            <w:r w:rsidRPr="005970A0">
              <w:rPr>
                <w:rFonts w:ascii="Arial" w:hAnsi="Arial" w:cs="Arial"/>
                <w:sz w:val="20"/>
                <w:szCs w:val="20"/>
              </w:rPr>
              <w:t>21075.html</w:t>
            </w:r>
            <w:proofErr w:type="spellEnd"/>
          </w:p>
        </w:tc>
      </w:tr>
      <w:tr w:rsidR="005970A0" w:rsidRPr="005970A0" w:rsidTr="00395EF2">
        <w:tc>
          <w:tcPr>
            <w:tcW w:w="922" w:type="pct"/>
          </w:tcPr>
          <w:p w:rsidR="0068457F" w:rsidRPr="005970A0" w:rsidRDefault="0068457F" w:rsidP="006E0702">
            <w:pPr>
              <w:spacing w:line="320" w:lineRule="exact"/>
              <w:jc w:val="both"/>
              <w:rPr>
                <w:rFonts w:ascii="Arial" w:hAnsi="Arial" w:cs="Arial"/>
                <w:b/>
                <w:sz w:val="20"/>
                <w:szCs w:val="20"/>
              </w:rPr>
            </w:pPr>
            <w:r w:rsidRPr="005970A0">
              <w:rPr>
                <w:rFonts w:ascii="Arial" w:hAnsi="Arial" w:cs="Arial"/>
                <w:b/>
                <w:sz w:val="20"/>
                <w:szCs w:val="20"/>
              </w:rPr>
              <w:t>Interpretability</w:t>
            </w:r>
          </w:p>
          <w:p w:rsidR="0068457F" w:rsidRPr="005970A0" w:rsidRDefault="0068457F" w:rsidP="006E0702">
            <w:pPr>
              <w:spacing w:line="320" w:lineRule="exact"/>
              <w:jc w:val="both"/>
              <w:rPr>
                <w:rFonts w:ascii="Arial" w:hAnsi="Arial" w:cs="Arial"/>
                <w:b/>
                <w:sz w:val="20"/>
                <w:szCs w:val="20"/>
              </w:rPr>
            </w:pPr>
          </w:p>
        </w:tc>
        <w:tc>
          <w:tcPr>
            <w:tcW w:w="4078" w:type="pct"/>
          </w:tcPr>
          <w:p w:rsidR="00801895" w:rsidRPr="005970A0" w:rsidRDefault="00801895" w:rsidP="00801895">
            <w:pPr>
              <w:keepNext/>
              <w:keepLines/>
              <w:spacing w:after="120" w:line="220" w:lineRule="atLeast"/>
              <w:ind w:left="6" w:right="113"/>
              <w:jc w:val="both"/>
              <w:rPr>
                <w:rFonts w:ascii="Arial" w:hAnsi="Arial" w:cs="Arial"/>
                <w:sz w:val="20"/>
                <w:szCs w:val="20"/>
              </w:rPr>
            </w:pPr>
            <w:r w:rsidRPr="005970A0">
              <w:rPr>
                <w:rFonts w:ascii="Arial" w:hAnsi="Arial" w:cs="Arial"/>
                <w:sz w:val="20"/>
                <w:szCs w:val="20"/>
              </w:rPr>
              <w:t xml:space="preserve">To aid interpretation of the data, information on the Student Outcomes Survey is available on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website.</w:t>
            </w:r>
          </w:p>
          <w:p w:rsidR="00801895" w:rsidRPr="005970A0" w:rsidRDefault="00801895" w:rsidP="00801895">
            <w:pPr>
              <w:keepNext/>
              <w:keepLines/>
              <w:spacing w:after="40" w:line="220" w:lineRule="atLeast"/>
              <w:ind w:left="6" w:right="113"/>
              <w:jc w:val="both"/>
              <w:rPr>
                <w:rFonts w:ascii="Arial" w:hAnsi="Arial" w:cs="Arial"/>
                <w:sz w:val="20"/>
                <w:szCs w:val="20"/>
              </w:rPr>
            </w:pPr>
            <w:r w:rsidRPr="005970A0">
              <w:rPr>
                <w:rFonts w:ascii="Arial" w:hAnsi="Arial" w:cs="Arial"/>
                <w:sz w:val="20"/>
                <w:szCs w:val="20"/>
              </w:rPr>
              <w:t>The survey uses the:</w:t>
            </w:r>
          </w:p>
          <w:p w:rsidR="00E01646" w:rsidRPr="00E01646" w:rsidRDefault="00E01646" w:rsidP="00E01646">
            <w:pPr>
              <w:numPr>
                <w:ilvl w:val="0"/>
                <w:numId w:val="36"/>
              </w:numPr>
              <w:ind w:left="340" w:hanging="340"/>
              <w:rPr>
                <w:rFonts w:ascii="Arial" w:hAnsi="Arial" w:cs="Arial"/>
                <w:sz w:val="20"/>
                <w:szCs w:val="20"/>
              </w:rPr>
            </w:pPr>
            <w:r w:rsidRPr="00E01646">
              <w:rPr>
                <w:rFonts w:ascii="Arial" w:hAnsi="Arial" w:cs="Arial"/>
                <w:sz w:val="20"/>
                <w:szCs w:val="20"/>
              </w:rPr>
              <w:t>Australian Classification of Education (</w:t>
            </w:r>
            <w:proofErr w:type="spellStart"/>
            <w:r w:rsidRPr="00E01646">
              <w:rPr>
                <w:rFonts w:ascii="Arial" w:hAnsi="Arial" w:cs="Arial"/>
                <w:sz w:val="20"/>
                <w:szCs w:val="20"/>
              </w:rPr>
              <w:t>ASCED</w:t>
            </w:r>
            <w:proofErr w:type="spellEnd"/>
            <w:r w:rsidRPr="00E01646">
              <w:rPr>
                <w:rFonts w:ascii="Arial" w:hAnsi="Arial" w:cs="Arial"/>
                <w:sz w:val="20"/>
                <w:szCs w:val="20"/>
              </w:rPr>
              <w:t>) (ABS cat. no. 1272.0) to classify the level and field of education</w:t>
            </w:r>
          </w:p>
          <w:p w:rsidR="00E01646" w:rsidRPr="00E01646" w:rsidRDefault="00E01646" w:rsidP="00E01646">
            <w:pPr>
              <w:numPr>
                <w:ilvl w:val="0"/>
                <w:numId w:val="36"/>
              </w:numPr>
              <w:ind w:left="340" w:hanging="340"/>
              <w:rPr>
                <w:rFonts w:ascii="Arial" w:hAnsi="Arial" w:cs="Arial"/>
                <w:sz w:val="20"/>
                <w:szCs w:val="20"/>
              </w:rPr>
            </w:pPr>
            <w:r w:rsidRPr="00E01646">
              <w:rPr>
                <w:rFonts w:ascii="Arial" w:hAnsi="Arial" w:cs="Arial"/>
                <w:sz w:val="20"/>
                <w:szCs w:val="20"/>
              </w:rPr>
              <w:t>Australian and New Zealand Standard Industry Classification (</w:t>
            </w:r>
            <w:proofErr w:type="spellStart"/>
            <w:r w:rsidRPr="00E01646">
              <w:rPr>
                <w:rFonts w:ascii="Arial" w:hAnsi="Arial" w:cs="Arial"/>
                <w:sz w:val="20"/>
                <w:szCs w:val="20"/>
              </w:rPr>
              <w:t>ANZSIC</w:t>
            </w:r>
            <w:proofErr w:type="spellEnd"/>
            <w:r w:rsidRPr="00E01646">
              <w:rPr>
                <w:rFonts w:ascii="Arial" w:hAnsi="Arial" w:cs="Arial"/>
                <w:sz w:val="20"/>
                <w:szCs w:val="20"/>
              </w:rPr>
              <w:t>) (ABS cat. no. 1292.0) to classify industry</w:t>
            </w:r>
          </w:p>
          <w:p w:rsidR="00E01646" w:rsidRPr="00E01646" w:rsidRDefault="00E01646" w:rsidP="00E01646">
            <w:pPr>
              <w:numPr>
                <w:ilvl w:val="0"/>
                <w:numId w:val="36"/>
              </w:numPr>
              <w:ind w:left="340" w:hanging="340"/>
              <w:rPr>
                <w:rFonts w:ascii="Arial" w:hAnsi="Arial" w:cs="Arial"/>
                <w:sz w:val="20"/>
                <w:szCs w:val="20"/>
              </w:rPr>
            </w:pPr>
            <w:r w:rsidRPr="00E01646">
              <w:rPr>
                <w:rFonts w:ascii="Arial" w:hAnsi="Arial" w:cs="Arial"/>
                <w:sz w:val="20"/>
                <w:szCs w:val="20"/>
              </w:rPr>
              <w:t>Australian and New Zealand Standard Classification of Occupations (</w:t>
            </w:r>
            <w:proofErr w:type="spellStart"/>
            <w:r w:rsidRPr="00E01646">
              <w:rPr>
                <w:rFonts w:ascii="Arial" w:hAnsi="Arial" w:cs="Arial"/>
                <w:sz w:val="20"/>
                <w:szCs w:val="20"/>
              </w:rPr>
              <w:t>ANZSCO</w:t>
            </w:r>
            <w:proofErr w:type="spellEnd"/>
            <w:r w:rsidRPr="00E01646">
              <w:rPr>
                <w:rFonts w:ascii="Arial" w:hAnsi="Arial" w:cs="Arial"/>
                <w:sz w:val="20"/>
                <w:szCs w:val="20"/>
              </w:rPr>
              <w:t xml:space="preserve">, previously </w:t>
            </w:r>
            <w:proofErr w:type="spellStart"/>
            <w:r w:rsidRPr="00E01646">
              <w:rPr>
                <w:rFonts w:ascii="Arial" w:hAnsi="Arial" w:cs="Arial"/>
                <w:sz w:val="20"/>
                <w:szCs w:val="20"/>
              </w:rPr>
              <w:t>ASCO</w:t>
            </w:r>
            <w:proofErr w:type="spellEnd"/>
            <w:r w:rsidRPr="00E01646">
              <w:rPr>
                <w:rFonts w:ascii="Arial" w:hAnsi="Arial" w:cs="Arial"/>
                <w:sz w:val="20"/>
                <w:szCs w:val="20"/>
              </w:rPr>
              <w:t>) (ABS cat. no. 1220.0) to classify occupation</w:t>
            </w:r>
          </w:p>
          <w:p w:rsidR="00E01646" w:rsidRPr="00E01646" w:rsidRDefault="00E01646" w:rsidP="00E01646">
            <w:pPr>
              <w:numPr>
                <w:ilvl w:val="0"/>
                <w:numId w:val="37"/>
              </w:numPr>
              <w:ind w:left="340" w:hanging="340"/>
              <w:rPr>
                <w:rFonts w:ascii="Arial" w:hAnsi="Arial" w:cs="Arial"/>
                <w:sz w:val="20"/>
                <w:szCs w:val="20"/>
              </w:rPr>
            </w:pPr>
            <w:r w:rsidRPr="00E01646">
              <w:rPr>
                <w:rFonts w:ascii="Arial" w:hAnsi="Arial" w:cs="Arial"/>
                <w:sz w:val="20"/>
                <w:szCs w:val="20"/>
              </w:rPr>
              <w:t>Australian Statistical Geography Standard (</w:t>
            </w:r>
            <w:proofErr w:type="spellStart"/>
            <w:r w:rsidRPr="00E01646">
              <w:rPr>
                <w:rFonts w:ascii="Arial" w:hAnsi="Arial" w:cs="Arial"/>
                <w:sz w:val="20"/>
                <w:szCs w:val="20"/>
              </w:rPr>
              <w:t>ASGS</w:t>
            </w:r>
            <w:proofErr w:type="spellEnd"/>
            <w:r w:rsidRPr="00E01646">
              <w:rPr>
                <w:rFonts w:ascii="Arial" w:hAnsi="Arial" w:cs="Arial"/>
                <w:sz w:val="20"/>
                <w:szCs w:val="20"/>
              </w:rPr>
              <w:t xml:space="preserve">): Volume 5 - Remoteness Structure (ABS cat. </w:t>
            </w:r>
            <w:proofErr w:type="spellStart"/>
            <w:r w:rsidRPr="00E01646">
              <w:rPr>
                <w:rFonts w:ascii="Arial" w:hAnsi="Arial" w:cs="Arial"/>
                <w:sz w:val="20"/>
                <w:szCs w:val="20"/>
              </w:rPr>
              <w:t>no.1270.0.55.005</w:t>
            </w:r>
            <w:proofErr w:type="spellEnd"/>
            <w:r w:rsidRPr="00E01646">
              <w:rPr>
                <w:rFonts w:ascii="Arial" w:hAnsi="Arial" w:cs="Arial"/>
                <w:sz w:val="20"/>
                <w:szCs w:val="20"/>
              </w:rPr>
              <w:t>) together with the Accessibility/Remoteness Index of Australia (ARIA) to classify remoteness.</w:t>
            </w:r>
          </w:p>
          <w:p w:rsidR="0068457F" w:rsidRPr="005970A0" w:rsidRDefault="0068457F" w:rsidP="00FF7E62">
            <w:pPr>
              <w:keepNext/>
              <w:keepLines/>
              <w:spacing w:after="60" w:line="220" w:lineRule="atLeast"/>
              <w:ind w:left="6" w:right="113"/>
              <w:jc w:val="both"/>
              <w:rPr>
                <w:rFonts w:ascii="Arial" w:hAnsi="Arial" w:cs="Arial"/>
                <w:sz w:val="20"/>
                <w:szCs w:val="20"/>
              </w:rPr>
            </w:pPr>
            <w:r w:rsidRPr="005970A0">
              <w:rPr>
                <w:rFonts w:ascii="Arial" w:hAnsi="Arial" w:cs="Arial"/>
                <w:sz w:val="20"/>
                <w:szCs w:val="20"/>
              </w:rPr>
              <w:t>Other standards used include the ABS standard question on:</w:t>
            </w:r>
          </w:p>
          <w:p w:rsidR="0068457F" w:rsidRPr="005970A0" w:rsidRDefault="0068457F" w:rsidP="00FF7E62">
            <w:pPr>
              <w:numPr>
                <w:ilvl w:val="0"/>
                <w:numId w:val="18"/>
              </w:numPr>
              <w:tabs>
                <w:tab w:val="left" w:pos="222"/>
              </w:tabs>
              <w:spacing w:after="60"/>
              <w:ind w:left="222" w:hanging="222"/>
              <w:jc w:val="both"/>
              <w:rPr>
                <w:rFonts w:ascii="Arial" w:hAnsi="Arial" w:cs="Arial"/>
                <w:sz w:val="20"/>
                <w:szCs w:val="20"/>
              </w:rPr>
            </w:pPr>
            <w:r w:rsidRPr="005970A0">
              <w:rPr>
                <w:rFonts w:ascii="Arial" w:hAnsi="Arial" w:cs="Arial"/>
                <w:sz w:val="20"/>
                <w:szCs w:val="20"/>
              </w:rPr>
              <w:t>Indigenous status</w:t>
            </w:r>
          </w:p>
          <w:p w:rsidR="0068457F" w:rsidRPr="005970A0" w:rsidRDefault="0068457F" w:rsidP="00FF7E62">
            <w:pPr>
              <w:numPr>
                <w:ilvl w:val="0"/>
                <w:numId w:val="18"/>
              </w:numPr>
              <w:tabs>
                <w:tab w:val="left" w:pos="222"/>
              </w:tabs>
              <w:spacing w:after="60"/>
              <w:ind w:left="222" w:hanging="222"/>
              <w:jc w:val="both"/>
              <w:rPr>
                <w:rFonts w:ascii="Arial" w:hAnsi="Arial" w:cs="Arial"/>
                <w:sz w:val="20"/>
                <w:szCs w:val="20"/>
              </w:rPr>
            </w:pPr>
            <w:r w:rsidRPr="005970A0">
              <w:rPr>
                <w:rFonts w:ascii="Arial" w:hAnsi="Arial" w:cs="Arial"/>
                <w:sz w:val="20"/>
                <w:szCs w:val="20"/>
              </w:rPr>
              <w:t>Country of birth</w:t>
            </w:r>
          </w:p>
          <w:p w:rsidR="0068457F" w:rsidRPr="005970A0" w:rsidRDefault="0068457F" w:rsidP="00FF7E62">
            <w:pPr>
              <w:numPr>
                <w:ilvl w:val="0"/>
                <w:numId w:val="18"/>
              </w:numPr>
              <w:tabs>
                <w:tab w:val="left" w:pos="222"/>
              </w:tabs>
              <w:spacing w:after="60"/>
              <w:ind w:left="222" w:hanging="222"/>
              <w:jc w:val="both"/>
              <w:rPr>
                <w:rFonts w:ascii="Arial" w:hAnsi="Arial" w:cs="Arial"/>
                <w:sz w:val="20"/>
                <w:szCs w:val="20"/>
              </w:rPr>
            </w:pPr>
            <w:r w:rsidRPr="005970A0">
              <w:rPr>
                <w:rFonts w:ascii="Arial" w:hAnsi="Arial" w:cs="Arial"/>
                <w:sz w:val="20"/>
                <w:szCs w:val="20"/>
              </w:rPr>
              <w:t>Main Language Other than English Spoken at Home</w:t>
            </w:r>
          </w:p>
          <w:p w:rsidR="0068457F" w:rsidRPr="00582952" w:rsidRDefault="0068457F" w:rsidP="00FF7E62">
            <w:pPr>
              <w:numPr>
                <w:ilvl w:val="0"/>
                <w:numId w:val="18"/>
              </w:numPr>
              <w:tabs>
                <w:tab w:val="left" w:pos="222"/>
              </w:tabs>
              <w:spacing w:after="60"/>
              <w:ind w:left="222" w:hanging="222"/>
              <w:jc w:val="both"/>
              <w:rPr>
                <w:rFonts w:ascii="Arial" w:hAnsi="Arial" w:cs="Arial"/>
                <w:sz w:val="20"/>
                <w:szCs w:val="20"/>
                <w:u w:val="single"/>
              </w:rPr>
            </w:pPr>
            <w:r w:rsidRPr="005970A0">
              <w:rPr>
                <w:rFonts w:ascii="Arial" w:hAnsi="Arial" w:cs="Arial"/>
                <w:sz w:val="20"/>
                <w:szCs w:val="20"/>
              </w:rPr>
              <w:t>Labour force status</w:t>
            </w:r>
          </w:p>
          <w:p w:rsidR="00582952" w:rsidRPr="00582952" w:rsidRDefault="00582952" w:rsidP="00EC5E2C">
            <w:pPr>
              <w:tabs>
                <w:tab w:val="left" w:pos="222"/>
              </w:tabs>
              <w:spacing w:before="120"/>
              <w:jc w:val="both"/>
              <w:rPr>
                <w:rFonts w:ascii="Arial" w:hAnsi="Arial" w:cs="Arial"/>
                <w:sz w:val="20"/>
                <w:szCs w:val="20"/>
              </w:rPr>
            </w:pPr>
            <w:r w:rsidRPr="00582952">
              <w:rPr>
                <w:rFonts w:ascii="Arial" w:hAnsi="Arial" w:cs="Arial"/>
                <w:sz w:val="20"/>
                <w:szCs w:val="20"/>
              </w:rPr>
              <w:t xml:space="preserve">Student remoteness is based on the Access/Remoteness Index of Australia </w:t>
            </w:r>
            <w:r w:rsidRPr="00582952">
              <w:rPr>
                <w:rFonts w:ascii="Arial" w:hAnsi="Arial" w:cs="Arial"/>
                <w:sz w:val="20"/>
                <w:szCs w:val="20"/>
              </w:rPr>
              <w:lastRenderedPageBreak/>
              <w:t>(ARIA+), which was developed by the National Centre for Social Applications of Geographic Information Systems (</w:t>
            </w:r>
            <w:proofErr w:type="spellStart"/>
            <w:r w:rsidRPr="00582952">
              <w:rPr>
                <w:rFonts w:ascii="Arial" w:hAnsi="Arial" w:cs="Arial"/>
                <w:sz w:val="20"/>
                <w:szCs w:val="20"/>
              </w:rPr>
              <w:t>GISCA</w:t>
            </w:r>
            <w:proofErr w:type="spellEnd"/>
            <w:r w:rsidRPr="00582952">
              <w:rPr>
                <w:rFonts w:ascii="Arial" w:hAnsi="Arial" w:cs="Arial"/>
                <w:sz w:val="20"/>
                <w:szCs w:val="20"/>
              </w:rPr>
              <w:t xml:space="preserve">). ARIA+ is now the standard ABS-endorsed measure of remoteness. From 2012, Student remoteness (ARIA+) is determined from ARIA+ remoteness regions and ABS </w:t>
            </w:r>
            <w:proofErr w:type="spellStart"/>
            <w:r w:rsidRPr="00582952">
              <w:rPr>
                <w:rFonts w:ascii="Arial" w:hAnsi="Arial" w:cs="Arial"/>
                <w:sz w:val="20"/>
                <w:szCs w:val="20"/>
              </w:rPr>
              <w:t>SA2</w:t>
            </w:r>
            <w:proofErr w:type="spellEnd"/>
            <w:r w:rsidRPr="00582952">
              <w:rPr>
                <w:rFonts w:ascii="Arial" w:hAnsi="Arial" w:cs="Arial"/>
                <w:sz w:val="20"/>
                <w:szCs w:val="20"/>
              </w:rPr>
              <w:t xml:space="preserve"> regions. Data prior to 2012 is based on ABS postal areas and ARIA+. Student remoteness (ARIA+) regions use the same ARIA+ ranges as the ABS remoteness areas and are therefore an approximation of the ABS remoteness areas. For more details of ARIA+ refer to &lt;</w:t>
            </w:r>
            <w:r w:rsidRPr="00D86CD7">
              <w:rPr>
                <w:rFonts w:ascii="Arial" w:hAnsi="Arial" w:cs="Arial"/>
                <w:sz w:val="20"/>
                <w:szCs w:val="20"/>
              </w:rPr>
              <w:t>www.adelaide.edu.au/apmrc/research/projects/category/about_aria.html</w:t>
            </w:r>
            <w:r w:rsidRPr="00582952">
              <w:rPr>
                <w:rFonts w:ascii="Arial" w:hAnsi="Arial" w:cs="Arial"/>
                <w:sz w:val="20"/>
                <w:szCs w:val="20"/>
              </w:rPr>
              <w:t>&gt;</w:t>
            </w:r>
          </w:p>
          <w:p w:rsidR="00582952" w:rsidRPr="005970A0" w:rsidRDefault="00582952" w:rsidP="00582952">
            <w:pPr>
              <w:tabs>
                <w:tab w:val="left" w:pos="222"/>
              </w:tabs>
              <w:spacing w:after="60"/>
              <w:jc w:val="both"/>
              <w:rPr>
                <w:rFonts w:ascii="Arial" w:hAnsi="Arial" w:cs="Arial"/>
                <w:sz w:val="20"/>
                <w:szCs w:val="20"/>
                <w:u w:val="single"/>
              </w:rPr>
            </w:pPr>
          </w:p>
        </w:tc>
      </w:tr>
      <w:tr w:rsidR="005970A0" w:rsidRPr="005970A0" w:rsidTr="00395EF2">
        <w:tc>
          <w:tcPr>
            <w:tcW w:w="5000" w:type="pct"/>
            <w:gridSpan w:val="2"/>
            <w:shd w:val="clear" w:color="auto" w:fill="auto"/>
          </w:tcPr>
          <w:p w:rsidR="0068457F" w:rsidRPr="005970A0" w:rsidRDefault="0068457F" w:rsidP="006E0702">
            <w:pPr>
              <w:pStyle w:val="TableBodyText"/>
              <w:jc w:val="both"/>
              <w:rPr>
                <w:b/>
                <w:u w:val="single"/>
              </w:rPr>
            </w:pPr>
            <w:r w:rsidRPr="005970A0">
              <w:rPr>
                <w:b/>
                <w:u w:val="single"/>
              </w:rPr>
              <w:lastRenderedPageBreak/>
              <w:t>Data Gaps/Issues Analysis</w:t>
            </w:r>
          </w:p>
        </w:tc>
      </w:tr>
      <w:tr w:rsidR="005970A0" w:rsidRPr="005970A0" w:rsidTr="00395EF2">
        <w:tc>
          <w:tcPr>
            <w:tcW w:w="922" w:type="pct"/>
            <w:shd w:val="clear" w:color="auto" w:fill="auto"/>
          </w:tcPr>
          <w:p w:rsidR="0068457F" w:rsidRPr="005970A0" w:rsidRDefault="0068457F" w:rsidP="006E0702">
            <w:pPr>
              <w:pStyle w:val="TableBodyText"/>
              <w:jc w:val="both"/>
              <w:rPr>
                <w:b/>
              </w:rPr>
            </w:pPr>
            <w:r w:rsidRPr="005970A0">
              <w:rPr>
                <w:b/>
              </w:rPr>
              <w:t>Key data gaps/ issues</w:t>
            </w:r>
          </w:p>
        </w:tc>
        <w:tc>
          <w:tcPr>
            <w:tcW w:w="4078" w:type="pct"/>
            <w:shd w:val="clear" w:color="auto" w:fill="auto"/>
          </w:tcPr>
          <w:p w:rsidR="0068457F" w:rsidRPr="005970A0" w:rsidRDefault="0068457F" w:rsidP="006E0702">
            <w:pPr>
              <w:pStyle w:val="TableBodyText"/>
              <w:spacing w:after="120"/>
              <w:jc w:val="both"/>
              <w:rPr>
                <w:rFonts w:cs="Arial"/>
              </w:rPr>
            </w:pPr>
            <w:r w:rsidRPr="005970A0">
              <w:rPr>
                <w:rFonts w:cs="Arial"/>
              </w:rPr>
              <w:t xml:space="preserve">The Steering Committee notes the following key data gaps/issues: </w:t>
            </w:r>
          </w:p>
          <w:p w:rsidR="0068457F" w:rsidRPr="005970A0" w:rsidRDefault="00C1035B" w:rsidP="00FF7E62">
            <w:pPr>
              <w:pStyle w:val="TableBullet"/>
              <w:tabs>
                <w:tab w:val="clear" w:pos="170"/>
                <w:tab w:val="num" w:pos="222"/>
              </w:tabs>
              <w:spacing w:after="60"/>
              <w:ind w:left="222" w:hanging="222"/>
              <w:jc w:val="both"/>
              <w:rPr>
                <w:rFonts w:cs="Arial"/>
              </w:rPr>
            </w:pPr>
            <w:r w:rsidRPr="005970A0">
              <w:rPr>
                <w:rFonts w:cs="Arial"/>
              </w:rPr>
              <w:t xml:space="preserve">Annual data are available from the </w:t>
            </w:r>
            <w:r w:rsidRPr="005970A0">
              <w:rPr>
                <w:rFonts w:cs="Arial"/>
                <w:i/>
              </w:rPr>
              <w:t>Student Outcomes Survey</w:t>
            </w:r>
            <w:r w:rsidRPr="005970A0">
              <w:rPr>
                <w:rFonts w:cs="Arial"/>
              </w:rPr>
              <w:t>. The most recent available data are for 201</w:t>
            </w:r>
            <w:r w:rsidR="00063E84">
              <w:rPr>
                <w:rFonts w:cs="Arial"/>
              </w:rPr>
              <w:t>2</w:t>
            </w:r>
            <w:r w:rsidRPr="005970A0">
              <w:rPr>
                <w:rFonts w:cs="Arial"/>
              </w:rPr>
              <w:t xml:space="preserve"> (outcomes of students in 201</w:t>
            </w:r>
            <w:r w:rsidR="00063E84">
              <w:rPr>
                <w:rFonts w:cs="Arial"/>
              </w:rPr>
              <w:t>2</w:t>
            </w:r>
            <w:r w:rsidRPr="005970A0">
              <w:rPr>
                <w:rFonts w:cs="Arial"/>
              </w:rPr>
              <w:t xml:space="preserve"> who completed qualifications in 201</w:t>
            </w:r>
            <w:r w:rsidR="00063E84">
              <w:rPr>
                <w:rFonts w:cs="Arial"/>
              </w:rPr>
              <w:t>1</w:t>
            </w:r>
            <w:r w:rsidRPr="005970A0">
              <w:rPr>
                <w:rFonts w:cs="Arial"/>
              </w:rPr>
              <w:t>)</w:t>
            </w:r>
          </w:p>
          <w:p w:rsidR="00C1035B" w:rsidRPr="005970A0" w:rsidRDefault="00C1035B" w:rsidP="00FF7E62">
            <w:pPr>
              <w:pStyle w:val="TableBullet"/>
              <w:tabs>
                <w:tab w:val="clear" w:pos="170"/>
                <w:tab w:val="num" w:pos="222"/>
              </w:tabs>
              <w:spacing w:after="60"/>
              <w:ind w:left="222" w:hanging="222"/>
              <w:jc w:val="both"/>
              <w:rPr>
                <w:rFonts w:cs="Arial"/>
              </w:rPr>
            </w:pPr>
            <w:r w:rsidRPr="005970A0">
              <w:rPr>
                <w:rFonts w:cs="Arial"/>
              </w:rPr>
              <w:t xml:space="preserve">The response rate to this survey was </w:t>
            </w:r>
            <w:r w:rsidR="003B6FF3">
              <w:rPr>
                <w:rFonts w:cs="Arial"/>
              </w:rPr>
              <w:t>47.0</w:t>
            </w:r>
            <w:r w:rsidRPr="005970A0">
              <w:rPr>
                <w:rFonts w:cs="Arial"/>
              </w:rPr>
              <w:t xml:space="preserve"> per cent in 201</w:t>
            </w:r>
            <w:r w:rsidR="00063E84">
              <w:rPr>
                <w:rFonts w:cs="Arial"/>
              </w:rPr>
              <w:t>2</w:t>
            </w:r>
            <w:r w:rsidRPr="005970A0">
              <w:rPr>
                <w:rFonts w:cs="Arial"/>
              </w:rPr>
              <w:t xml:space="preserve">. </w:t>
            </w:r>
            <w:proofErr w:type="spellStart"/>
            <w:r w:rsidRPr="005970A0">
              <w:rPr>
                <w:rFonts w:cs="Arial"/>
              </w:rPr>
              <w:t>NCVER</w:t>
            </w:r>
            <w:proofErr w:type="spellEnd"/>
            <w:r w:rsidRPr="005970A0">
              <w:rPr>
                <w:rFonts w:cs="Arial"/>
              </w:rPr>
              <w:t xml:space="preserve"> analysis found that the non-response was not likely to have affected the quality of the results.</w:t>
            </w:r>
          </w:p>
          <w:p w:rsidR="00C1035B" w:rsidRPr="005970A0" w:rsidRDefault="00C1035B" w:rsidP="00FF7E62">
            <w:pPr>
              <w:pStyle w:val="TableBullet"/>
              <w:tabs>
                <w:tab w:val="clear" w:pos="170"/>
                <w:tab w:val="num" w:pos="222"/>
              </w:tabs>
              <w:spacing w:after="60"/>
              <w:ind w:left="222" w:hanging="222"/>
              <w:jc w:val="both"/>
              <w:rPr>
                <w:rFonts w:cs="Arial"/>
              </w:rPr>
            </w:pPr>
            <w:r w:rsidRPr="005970A0">
              <w:rPr>
                <w:rFonts w:cs="Arial"/>
              </w:rPr>
              <w:t xml:space="preserve">Data are of acceptable accuracy at the national level, but some data disaggregated by Indigenous status by State and Territory have relative standard errors greater than 25 per cent and should be used with caution. </w:t>
            </w:r>
          </w:p>
          <w:p w:rsidR="0068457F" w:rsidRPr="005970A0" w:rsidRDefault="0068457F" w:rsidP="00FF7E62">
            <w:pPr>
              <w:pStyle w:val="TableBullet"/>
              <w:keepNext w:val="0"/>
              <w:keepLines w:val="0"/>
              <w:tabs>
                <w:tab w:val="clear" w:pos="170"/>
                <w:tab w:val="num" w:pos="222"/>
              </w:tabs>
              <w:spacing w:after="60" w:line="240" w:lineRule="auto"/>
              <w:ind w:left="222" w:right="0" w:hanging="222"/>
              <w:jc w:val="both"/>
              <w:rPr>
                <w:rFonts w:cs="Arial"/>
              </w:rPr>
            </w:pPr>
            <w:r w:rsidRPr="005970A0">
              <w:rPr>
                <w:rFonts w:cs="Arial"/>
              </w:rPr>
              <w:t>Percentages in tables are rounded and may not sum to 100.</w:t>
            </w:r>
          </w:p>
          <w:p w:rsidR="0068457F" w:rsidRPr="005970A0" w:rsidRDefault="00F26D5B" w:rsidP="00FF7E62">
            <w:pPr>
              <w:pStyle w:val="TableBullet"/>
              <w:tabs>
                <w:tab w:val="clear" w:pos="170"/>
                <w:tab w:val="num" w:pos="222"/>
              </w:tabs>
              <w:spacing w:after="60"/>
              <w:ind w:left="222" w:hanging="222"/>
              <w:jc w:val="both"/>
            </w:pPr>
            <w:r w:rsidRPr="005970A0">
              <w:t xml:space="preserve">The size of the </w:t>
            </w:r>
            <w:proofErr w:type="spellStart"/>
            <w:r w:rsidRPr="005970A0">
              <w:t>RSEs</w:t>
            </w:r>
            <w:proofErr w:type="spellEnd"/>
            <w:r w:rsidRPr="005970A0">
              <w:t xml:space="preserve"> affects the ability to identify small year to year movements in some disaggregated measures for this indicator for some jurisdictions.</w:t>
            </w:r>
          </w:p>
        </w:tc>
      </w:tr>
    </w:tbl>
    <w:p w:rsidR="0068457F" w:rsidRPr="005970A0" w:rsidRDefault="0068457F" w:rsidP="00772353">
      <w:pPr>
        <w:pStyle w:val="Heading3"/>
        <w:spacing w:before="120"/>
      </w:pPr>
      <w:r w:rsidRPr="005970A0">
        <w:br w:type="page"/>
      </w:r>
      <w:bookmarkStart w:id="27" w:name="_Toc370472624"/>
      <w:r w:rsidRPr="005970A0">
        <w:lastRenderedPageBreak/>
        <w:t xml:space="preserve">Student employment and further study outcomes — proportion of graduates who undertook their course for employment-related reasons and were employed after completing their course, who reported at least one </w:t>
      </w:r>
      <w:r w:rsidR="00715A0B" w:rsidRPr="005970A0">
        <w:t>job</w:t>
      </w:r>
      <w:r w:rsidRPr="005970A0">
        <w:t>-related benefit from completing the course</w:t>
      </w:r>
      <w:bookmarkEnd w:id="27"/>
    </w:p>
    <w:p w:rsidR="0068457F" w:rsidRPr="005970A0" w:rsidRDefault="0068457F" w:rsidP="006E0702">
      <w:pPr>
        <w:pStyle w:val="Box"/>
      </w:pPr>
      <w:r w:rsidRPr="005970A0">
        <w:t>Data quality information for this indicator has been drafted by the National Centre for Vocational Education Research (</w:t>
      </w:r>
      <w:proofErr w:type="spellStart"/>
      <w:r w:rsidRPr="005970A0">
        <w:t>NCVER</w:t>
      </w:r>
      <w:proofErr w:type="spellEnd"/>
      <w:r w:rsidRPr="005970A0">
        <w:t>)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395EF2">
        <w:tc>
          <w:tcPr>
            <w:tcW w:w="5000" w:type="pct"/>
            <w:gridSpan w:val="2"/>
          </w:tcPr>
          <w:p w:rsidR="0068457F" w:rsidRPr="005970A0" w:rsidRDefault="0068457F" w:rsidP="006E0702">
            <w:pPr>
              <w:pStyle w:val="TableBodyText"/>
              <w:jc w:val="both"/>
              <w:rPr>
                <w:b/>
                <w:u w:val="single"/>
              </w:rPr>
            </w:pPr>
          </w:p>
          <w:p w:rsidR="0068457F" w:rsidRPr="005970A0" w:rsidRDefault="0068457F" w:rsidP="006E0702">
            <w:pPr>
              <w:pStyle w:val="TableBodyText"/>
              <w:jc w:val="both"/>
            </w:pPr>
            <w:r w:rsidRPr="005970A0">
              <w:rPr>
                <w:b/>
                <w:u w:val="single"/>
              </w:rPr>
              <w:t>Indicator definition and description</w:t>
            </w:r>
            <w:r w:rsidRPr="005970A0">
              <w:rPr>
                <w:rFonts w:cs="Arial"/>
                <w:b/>
                <w:sz w:val="22"/>
                <w:szCs w:val="22"/>
                <w:u w:val="single"/>
              </w:rPr>
              <w:t xml:space="preserve"> </w:t>
            </w:r>
          </w:p>
        </w:tc>
      </w:tr>
      <w:tr w:rsidR="005970A0" w:rsidRPr="005970A0" w:rsidTr="00395EF2">
        <w:tc>
          <w:tcPr>
            <w:tcW w:w="922" w:type="pct"/>
          </w:tcPr>
          <w:p w:rsidR="0068457F" w:rsidRPr="005970A0" w:rsidRDefault="0068457F" w:rsidP="006E0702">
            <w:pPr>
              <w:pStyle w:val="TableBodyText"/>
              <w:jc w:val="both"/>
              <w:rPr>
                <w:b/>
              </w:rPr>
            </w:pPr>
            <w:r w:rsidRPr="005970A0">
              <w:rPr>
                <w:b/>
              </w:rPr>
              <w:t>Element</w:t>
            </w:r>
          </w:p>
        </w:tc>
        <w:tc>
          <w:tcPr>
            <w:tcW w:w="4078" w:type="pct"/>
          </w:tcPr>
          <w:p w:rsidR="0068457F" w:rsidRPr="005970A0" w:rsidRDefault="0068457F" w:rsidP="006E0702">
            <w:pPr>
              <w:pStyle w:val="TableBodyText"/>
              <w:spacing w:after="120"/>
              <w:jc w:val="both"/>
            </w:pPr>
            <w:r w:rsidRPr="005970A0">
              <w:t>Outcomes.</w:t>
            </w:r>
          </w:p>
        </w:tc>
      </w:tr>
      <w:tr w:rsidR="005970A0" w:rsidRPr="005970A0" w:rsidTr="00395EF2">
        <w:tc>
          <w:tcPr>
            <w:tcW w:w="922" w:type="pct"/>
          </w:tcPr>
          <w:p w:rsidR="0068457F" w:rsidRPr="005970A0" w:rsidRDefault="0068457F" w:rsidP="006E0702">
            <w:pPr>
              <w:pStyle w:val="TableBodyText"/>
              <w:jc w:val="both"/>
              <w:rPr>
                <w:b/>
              </w:rPr>
            </w:pPr>
            <w:r w:rsidRPr="005970A0">
              <w:rPr>
                <w:b/>
              </w:rPr>
              <w:t>Indicator</w:t>
            </w:r>
          </w:p>
        </w:tc>
        <w:tc>
          <w:tcPr>
            <w:tcW w:w="4078" w:type="pct"/>
          </w:tcPr>
          <w:p w:rsidR="0068457F" w:rsidRPr="005970A0" w:rsidRDefault="0068457F" w:rsidP="006E0702">
            <w:pPr>
              <w:pStyle w:val="TableBodyText"/>
              <w:spacing w:after="120"/>
              <w:jc w:val="both"/>
            </w:pPr>
            <w:r w:rsidRPr="005970A0">
              <w:t>Student employment and further study outcomes</w:t>
            </w:r>
          </w:p>
        </w:tc>
      </w:tr>
      <w:tr w:rsidR="005970A0" w:rsidRPr="005970A0" w:rsidTr="00395EF2">
        <w:tc>
          <w:tcPr>
            <w:tcW w:w="922" w:type="pct"/>
          </w:tcPr>
          <w:p w:rsidR="0068457F" w:rsidRPr="005970A0" w:rsidRDefault="0068457F" w:rsidP="006E0702">
            <w:pPr>
              <w:pStyle w:val="TableBodyText"/>
              <w:jc w:val="both"/>
              <w:rPr>
                <w:b/>
              </w:rPr>
            </w:pPr>
            <w:r w:rsidRPr="005970A0">
              <w:rPr>
                <w:b/>
              </w:rPr>
              <w:t>Measure (computation)</w:t>
            </w:r>
          </w:p>
        </w:tc>
        <w:tc>
          <w:tcPr>
            <w:tcW w:w="4078" w:type="pct"/>
          </w:tcPr>
          <w:p w:rsidR="0068457F" w:rsidRPr="005970A0" w:rsidRDefault="0068457F" w:rsidP="006E0702">
            <w:pPr>
              <w:pStyle w:val="TableBodyText"/>
              <w:jc w:val="both"/>
              <w:rPr>
                <w:u w:val="single"/>
              </w:rPr>
            </w:pPr>
            <w:r w:rsidRPr="005970A0">
              <w:rPr>
                <w:u w:val="single"/>
              </w:rPr>
              <w:t>Definition</w:t>
            </w:r>
          </w:p>
          <w:p w:rsidR="0068457F" w:rsidRPr="005970A0" w:rsidRDefault="0068457F" w:rsidP="006E0702">
            <w:pPr>
              <w:pStyle w:val="TableBodyText"/>
              <w:spacing w:after="120"/>
              <w:jc w:val="both"/>
            </w:pPr>
            <w:r w:rsidRPr="005970A0">
              <w:t>The proportion of graduates who undertook their course for employment-related reasons and were employed after completing their course, who reported at least one work-related benefit from completing the course.</w:t>
            </w:r>
          </w:p>
          <w:p w:rsidR="0068457F" w:rsidRPr="005970A0" w:rsidRDefault="0068457F" w:rsidP="006E0702">
            <w:pPr>
              <w:pStyle w:val="TableBodyText"/>
              <w:jc w:val="both"/>
              <w:rPr>
                <w:u w:val="single"/>
              </w:rPr>
            </w:pPr>
            <w:r w:rsidRPr="005970A0">
              <w:rPr>
                <w:u w:val="single"/>
              </w:rPr>
              <w:t>Numerator/s</w:t>
            </w:r>
          </w:p>
          <w:p w:rsidR="0068457F" w:rsidRPr="005970A0" w:rsidRDefault="0068457F" w:rsidP="006E0702">
            <w:pPr>
              <w:pStyle w:val="TableBodyText"/>
              <w:spacing w:after="120"/>
              <w:jc w:val="both"/>
            </w:pPr>
            <w:r w:rsidRPr="005970A0">
              <w:t>Number of persons who:</w:t>
            </w:r>
          </w:p>
          <w:p w:rsidR="0068457F" w:rsidRPr="005970A0" w:rsidRDefault="0068457F" w:rsidP="006E0702">
            <w:pPr>
              <w:pStyle w:val="TableBodyText"/>
              <w:jc w:val="both"/>
            </w:pPr>
            <w:r w:rsidRPr="005970A0">
              <w:t>(a) completed training during the year prior to the nominated year, and</w:t>
            </w:r>
          </w:p>
          <w:p w:rsidR="0068457F" w:rsidRPr="005970A0" w:rsidRDefault="0068457F" w:rsidP="006E0702">
            <w:pPr>
              <w:pStyle w:val="TableBodyText"/>
              <w:jc w:val="both"/>
            </w:pPr>
            <w:r w:rsidRPr="005970A0">
              <w:t>(b) undertook that training for employment-related reasons, and</w:t>
            </w:r>
          </w:p>
          <w:p w:rsidR="0068457F" w:rsidRPr="005970A0" w:rsidRDefault="0068457F" w:rsidP="006E0702">
            <w:pPr>
              <w:pStyle w:val="TableBodyText"/>
              <w:jc w:val="both"/>
            </w:pPr>
            <w:r w:rsidRPr="005970A0">
              <w:t xml:space="preserve">(c) were employed on the last Friday in May of the nominated year, and </w:t>
            </w:r>
          </w:p>
          <w:p w:rsidR="0068457F" w:rsidRPr="005970A0" w:rsidRDefault="0068457F" w:rsidP="00FF7E62">
            <w:pPr>
              <w:pStyle w:val="TableBodyText"/>
              <w:spacing w:after="120"/>
              <w:jc w:val="both"/>
            </w:pPr>
            <w:r w:rsidRPr="005970A0">
              <w:t>(d) reported as having received one of the following job related benefits: set up or expanded their own business, got a promotion, increased their earnings, or other job-related benefit after completing their training.</w:t>
            </w:r>
          </w:p>
          <w:p w:rsidR="0068457F" w:rsidRPr="005970A0" w:rsidRDefault="0068457F" w:rsidP="006E0702">
            <w:pPr>
              <w:pStyle w:val="TableBodyText"/>
              <w:jc w:val="both"/>
              <w:rPr>
                <w:u w:val="single"/>
              </w:rPr>
            </w:pPr>
            <w:r w:rsidRPr="005970A0">
              <w:rPr>
                <w:u w:val="single"/>
              </w:rPr>
              <w:t>Denominator/s</w:t>
            </w:r>
          </w:p>
          <w:p w:rsidR="0068457F" w:rsidRPr="005970A0" w:rsidRDefault="0068457F" w:rsidP="006E0702">
            <w:pPr>
              <w:pStyle w:val="TableBodyText"/>
              <w:spacing w:after="120"/>
              <w:jc w:val="both"/>
            </w:pPr>
            <w:r w:rsidRPr="005970A0">
              <w:t>Number of graduates who completed their training during the year prior to the nominated year (less those with the numerator variable not stated).</w:t>
            </w:r>
          </w:p>
          <w:p w:rsidR="0068457F" w:rsidRPr="005970A0" w:rsidRDefault="0068457F" w:rsidP="006E0702">
            <w:pPr>
              <w:pStyle w:val="TableBodyText"/>
              <w:jc w:val="both"/>
              <w:rPr>
                <w:u w:val="single"/>
              </w:rPr>
            </w:pPr>
            <w:r w:rsidRPr="005970A0">
              <w:rPr>
                <w:u w:val="single"/>
              </w:rPr>
              <w:t>Computation/s:</w:t>
            </w:r>
          </w:p>
          <w:p w:rsidR="0068457F" w:rsidRPr="005970A0" w:rsidRDefault="0068457F" w:rsidP="006E0702">
            <w:pPr>
              <w:pStyle w:val="TableBodyText"/>
              <w:spacing w:after="120"/>
              <w:jc w:val="both"/>
            </w:pPr>
            <w:r w:rsidRPr="005970A0">
              <w:t>Numerator (above) divi</w:t>
            </w:r>
            <w:r w:rsidR="003B11B3" w:rsidRPr="005970A0">
              <w:t>ded by denominator (above).</w:t>
            </w:r>
          </w:p>
          <w:p w:rsidR="0068457F" w:rsidRPr="005970A0" w:rsidRDefault="0068457F" w:rsidP="006E0702">
            <w:pPr>
              <w:pStyle w:val="TableBodyText"/>
              <w:spacing w:after="120"/>
              <w:jc w:val="both"/>
              <w:rPr>
                <w:u w:val="single"/>
              </w:rPr>
            </w:pPr>
            <w:r w:rsidRPr="005970A0">
              <w:t>‘Graduate’ is defined as a past student who was awarded a qualification from a VET provider in Australia.</w:t>
            </w:r>
          </w:p>
        </w:tc>
      </w:tr>
      <w:tr w:rsidR="005970A0" w:rsidRPr="005970A0" w:rsidTr="00395EF2">
        <w:tc>
          <w:tcPr>
            <w:tcW w:w="922" w:type="pct"/>
          </w:tcPr>
          <w:p w:rsidR="0068457F" w:rsidRPr="005970A0" w:rsidRDefault="0068457F" w:rsidP="006E0702">
            <w:pPr>
              <w:pStyle w:val="TableBodyText"/>
              <w:jc w:val="both"/>
              <w:rPr>
                <w:b/>
              </w:rPr>
            </w:pPr>
            <w:r w:rsidRPr="005970A0">
              <w:rPr>
                <w:b/>
              </w:rPr>
              <w:t>Data source/s</w:t>
            </w:r>
          </w:p>
        </w:tc>
        <w:tc>
          <w:tcPr>
            <w:tcW w:w="4078" w:type="pct"/>
          </w:tcPr>
          <w:p w:rsidR="0068457F" w:rsidRPr="005970A0" w:rsidRDefault="0068457F" w:rsidP="006E0702">
            <w:pPr>
              <w:pStyle w:val="TableBodyText"/>
              <w:spacing w:after="120"/>
              <w:jc w:val="both"/>
            </w:pPr>
            <w:r w:rsidRPr="005970A0">
              <w:t xml:space="preserve">All data are derived from the </w:t>
            </w:r>
            <w:r w:rsidRPr="005970A0">
              <w:rPr>
                <w:i/>
              </w:rPr>
              <w:t>Student Outcomes Survey</w:t>
            </w:r>
            <w:r w:rsidRPr="005970A0">
              <w:t xml:space="preserve"> (SOS), which is an annual survey of students who successfully complete VET in Australia. This survey is conducted by the </w:t>
            </w:r>
            <w:proofErr w:type="spellStart"/>
            <w:r w:rsidRPr="005970A0">
              <w:t>NCVER</w:t>
            </w:r>
            <w:proofErr w:type="spellEnd"/>
            <w:r w:rsidRPr="005970A0">
              <w:t>.</w:t>
            </w:r>
          </w:p>
          <w:p w:rsidR="0068457F" w:rsidRPr="005970A0" w:rsidRDefault="0068457F" w:rsidP="006E0702">
            <w:pPr>
              <w:pStyle w:val="TableBodyText"/>
              <w:spacing w:after="120"/>
              <w:jc w:val="both"/>
            </w:pPr>
            <w:r w:rsidRPr="005970A0">
              <w:t>The sample for the survey is drawn from the National VET Provider Collection.</w:t>
            </w:r>
          </w:p>
        </w:tc>
      </w:tr>
      <w:tr w:rsidR="005970A0" w:rsidRPr="005970A0" w:rsidTr="00395EF2">
        <w:tc>
          <w:tcPr>
            <w:tcW w:w="5000" w:type="pct"/>
            <w:gridSpan w:val="2"/>
          </w:tcPr>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C736D5">
              <w:tc>
                <w:tcPr>
                  <w:tcW w:w="5000" w:type="pct"/>
                  <w:gridSpan w:val="2"/>
                </w:tcPr>
                <w:p w:rsidR="00C736D5" w:rsidRPr="005970A0" w:rsidRDefault="00C736D5" w:rsidP="00C736D5">
                  <w:pPr>
                    <w:pStyle w:val="TableBodyText"/>
                    <w:jc w:val="both"/>
                    <w:rPr>
                      <w:b/>
                      <w:u w:val="single"/>
                    </w:rPr>
                  </w:pPr>
                </w:p>
                <w:p w:rsidR="00C736D5" w:rsidRPr="005970A0" w:rsidRDefault="00C736D5" w:rsidP="00C736D5">
                  <w:pPr>
                    <w:pStyle w:val="TableBodyText"/>
                    <w:jc w:val="both"/>
                    <w:rPr>
                      <w:b/>
                      <w:u w:val="single"/>
                    </w:rPr>
                  </w:pPr>
                  <w:r w:rsidRPr="005970A0">
                    <w:rPr>
                      <w:b/>
                      <w:u w:val="single"/>
                    </w:rPr>
                    <w:t>Data Quality Framework Dimensions</w:t>
                  </w:r>
                </w:p>
              </w:tc>
            </w:tr>
            <w:tr w:rsidR="005970A0" w:rsidRPr="005970A0" w:rsidTr="00C736D5">
              <w:tc>
                <w:tcPr>
                  <w:tcW w:w="922" w:type="pct"/>
                </w:tcPr>
                <w:p w:rsidR="00C736D5" w:rsidRPr="005970A0" w:rsidRDefault="00C736D5" w:rsidP="00C736D5">
                  <w:pPr>
                    <w:pStyle w:val="TableBodyText"/>
                    <w:jc w:val="both"/>
                    <w:rPr>
                      <w:rFonts w:cs="Arial"/>
                      <w:b/>
                    </w:rPr>
                  </w:pPr>
                  <w:r w:rsidRPr="005970A0">
                    <w:rPr>
                      <w:rFonts w:cs="Arial"/>
                      <w:b/>
                    </w:rPr>
                    <w:t>Institutional environment</w:t>
                  </w:r>
                </w:p>
              </w:tc>
              <w:tc>
                <w:tcPr>
                  <w:tcW w:w="4078" w:type="pct"/>
                </w:tcPr>
                <w:p w:rsidR="00C736D5" w:rsidRPr="005970A0" w:rsidRDefault="00C736D5" w:rsidP="00C736D5">
                  <w:pPr>
                    <w:pStyle w:val="TableBodyText"/>
                    <w:keepNext w:val="0"/>
                    <w:keepLines w:val="0"/>
                    <w:autoSpaceDE w:val="0"/>
                    <w:autoSpaceDN w:val="0"/>
                    <w:adjustRightInd w:val="0"/>
                    <w:spacing w:after="120" w:line="240" w:lineRule="atLeast"/>
                    <w:ind w:left="0" w:right="0"/>
                    <w:jc w:val="left"/>
                  </w:pPr>
                  <w:r w:rsidRPr="005970A0">
                    <w:t>The National Centre for Vocational Education Research (</w:t>
                  </w:r>
                  <w:proofErr w:type="spellStart"/>
                  <w:r w:rsidRPr="005970A0">
                    <w:t>NCVER</w:t>
                  </w:r>
                  <w:proofErr w:type="spellEnd"/>
                  <w:r w:rsidRPr="005970A0">
                    <w:t>) is a not-for-profit company owned by the federal, state and territory ministers responsible for training.</w:t>
                  </w:r>
                </w:p>
                <w:p w:rsidR="00C736D5" w:rsidRPr="005970A0" w:rsidRDefault="00C736D5" w:rsidP="00C736D5">
                  <w:pPr>
                    <w:pStyle w:val="TableBodyText"/>
                    <w:keepNext w:val="0"/>
                    <w:keepLines w:val="0"/>
                    <w:autoSpaceDE w:val="0"/>
                    <w:autoSpaceDN w:val="0"/>
                    <w:adjustRightInd w:val="0"/>
                    <w:spacing w:after="120" w:line="240" w:lineRule="atLeast"/>
                    <w:ind w:left="0" w:right="0"/>
                    <w:jc w:val="left"/>
                  </w:pPr>
                  <w:proofErr w:type="spellStart"/>
                  <w:r w:rsidRPr="005970A0">
                    <w:t>NCVER</w:t>
                  </w:r>
                  <w:proofErr w:type="spellEnd"/>
                  <w:r w:rsidRPr="005970A0">
                    <w:t xml:space="preserve">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C736D5" w:rsidRPr="005970A0" w:rsidRDefault="00C736D5" w:rsidP="00C736D5">
                  <w:pPr>
                    <w:pStyle w:val="TableBodyText"/>
                    <w:keepNext w:val="0"/>
                    <w:keepLines w:val="0"/>
                    <w:autoSpaceDE w:val="0"/>
                    <w:autoSpaceDN w:val="0"/>
                    <w:adjustRightInd w:val="0"/>
                    <w:spacing w:after="120" w:line="240" w:lineRule="atLeast"/>
                    <w:ind w:left="0" w:right="0"/>
                    <w:jc w:val="left"/>
                  </w:pPr>
                  <w:r w:rsidRPr="005970A0">
                    <w:t xml:space="preserve">For further information on the </w:t>
                  </w:r>
                  <w:proofErr w:type="spellStart"/>
                  <w:r w:rsidRPr="005970A0">
                    <w:t>NCVER</w:t>
                  </w:r>
                  <w:proofErr w:type="spellEnd"/>
                  <w:r w:rsidRPr="005970A0">
                    <w:t xml:space="preserve">, see </w:t>
                  </w:r>
                  <w:r w:rsidRPr="00D86CD7">
                    <w:t>http://</w:t>
                  </w:r>
                  <w:proofErr w:type="spellStart"/>
                  <w:r w:rsidRPr="00D86CD7">
                    <w:t>www.ncver.edu.au</w:t>
                  </w:r>
                  <w:proofErr w:type="spellEnd"/>
                  <w:r w:rsidRPr="00D86CD7">
                    <w:t>/</w:t>
                  </w:r>
                  <w:proofErr w:type="spellStart"/>
                  <w:r w:rsidRPr="00D86CD7">
                    <w:t>aboutncver</w:t>
                  </w:r>
                  <w:proofErr w:type="spellEnd"/>
                  <w:r w:rsidRPr="00D86CD7">
                    <w:t>/</w:t>
                  </w:r>
                  <w:proofErr w:type="spellStart"/>
                  <w:r w:rsidRPr="00D86CD7">
                    <w:t>who.html</w:t>
                  </w:r>
                  <w:proofErr w:type="spellEnd"/>
                </w:p>
              </w:tc>
            </w:tr>
            <w:tr w:rsidR="005970A0" w:rsidRPr="005970A0" w:rsidTr="00C736D5">
              <w:tc>
                <w:tcPr>
                  <w:tcW w:w="922" w:type="pct"/>
                </w:tcPr>
                <w:p w:rsidR="00C736D5" w:rsidRPr="005970A0" w:rsidRDefault="00C736D5" w:rsidP="00C736D5">
                  <w:pPr>
                    <w:pStyle w:val="TableBodyText"/>
                    <w:jc w:val="both"/>
                    <w:rPr>
                      <w:rFonts w:cs="Arial"/>
                      <w:b/>
                    </w:rPr>
                  </w:pPr>
                  <w:r w:rsidRPr="005970A0">
                    <w:lastRenderedPageBreak/>
                    <w:br w:type="page"/>
                  </w:r>
                  <w:r w:rsidRPr="005970A0">
                    <w:rPr>
                      <w:rFonts w:cs="Arial"/>
                      <w:b/>
                    </w:rPr>
                    <w:t>Relevance</w:t>
                  </w:r>
                </w:p>
              </w:tc>
              <w:tc>
                <w:tcPr>
                  <w:tcW w:w="4078" w:type="pct"/>
                </w:tcPr>
                <w:p w:rsidR="00C736D5" w:rsidRPr="005970A0" w:rsidRDefault="00C736D5" w:rsidP="00C736D5">
                  <w:pPr>
                    <w:pStyle w:val="TableBodyText"/>
                    <w:keepNext w:val="0"/>
                    <w:keepLines w:val="0"/>
                    <w:autoSpaceDE w:val="0"/>
                    <w:autoSpaceDN w:val="0"/>
                    <w:adjustRightInd w:val="0"/>
                    <w:spacing w:after="120" w:line="240" w:lineRule="atLeast"/>
                    <w:ind w:left="0" w:right="0"/>
                    <w:jc w:val="both"/>
                  </w:pPr>
                  <w:r w:rsidRPr="005970A0">
                    <w:t xml:space="preserve">The Student Outcomes Survey collects information on students’ employment outcomes and satisfaction with VET in Australia. Data are collected by mail-out survey with an option to complete the survey </w:t>
                  </w:r>
                  <w:proofErr w:type="spellStart"/>
                  <w:r w:rsidRPr="005970A0">
                    <w:t>on-line</w:t>
                  </w:r>
                  <w:proofErr w:type="spellEnd"/>
                  <w:r w:rsidRPr="005970A0">
                    <w:t>.</w:t>
                  </w:r>
                </w:p>
                <w:p w:rsidR="00C736D5" w:rsidRPr="005970A0" w:rsidRDefault="00C736D5" w:rsidP="00C736D5">
                  <w:pPr>
                    <w:pStyle w:val="TableBodyText"/>
                    <w:keepNext w:val="0"/>
                    <w:keepLines w:val="0"/>
                    <w:autoSpaceDE w:val="0"/>
                    <w:autoSpaceDN w:val="0"/>
                    <w:adjustRightInd w:val="0"/>
                    <w:spacing w:after="120" w:line="240" w:lineRule="atLeast"/>
                    <w:ind w:left="0" w:right="0"/>
                    <w:jc w:val="both"/>
                  </w:pPr>
                  <w:r w:rsidRPr="005970A0">
                    <w:t>Information about the level and type of training students undertake, further study patterns and reasons for not continuing with the training (where applicable) is also collected.</w:t>
                  </w:r>
                </w:p>
                <w:p w:rsidR="00C736D5" w:rsidRPr="005970A0" w:rsidRDefault="00C736D5" w:rsidP="00C736D5">
                  <w:pPr>
                    <w:pStyle w:val="TableBodyText"/>
                    <w:keepNext w:val="0"/>
                    <w:keepLines w:val="0"/>
                    <w:autoSpaceDE w:val="0"/>
                    <w:autoSpaceDN w:val="0"/>
                    <w:adjustRightInd w:val="0"/>
                    <w:spacing w:after="120" w:line="240" w:lineRule="atLeast"/>
                    <w:ind w:left="0" w:right="0"/>
                    <w:jc w:val="both"/>
                  </w:pPr>
                  <w:r w:rsidRPr="005970A0">
                    <w:t xml:space="preserve">The scope of the survey is nationally recognised VET (Figure 1).  </w:t>
                  </w:r>
                </w:p>
                <w:p w:rsidR="00C736D5" w:rsidRPr="005970A0" w:rsidRDefault="00C736D5" w:rsidP="00C736D5">
                  <w:pPr>
                    <w:pStyle w:val="TableBodyText"/>
                    <w:keepNext w:val="0"/>
                    <w:keepLines w:val="0"/>
                    <w:autoSpaceDE w:val="0"/>
                    <w:autoSpaceDN w:val="0"/>
                    <w:adjustRightInd w:val="0"/>
                    <w:spacing w:after="120" w:line="240" w:lineRule="atLeast"/>
                    <w:ind w:left="0" w:right="0"/>
                    <w:jc w:val="both"/>
                  </w:pPr>
                  <w:r w:rsidRPr="005970A0">
                    <w:t>The survey includes:</w:t>
                  </w:r>
                </w:p>
                <w:p w:rsidR="00C736D5" w:rsidRPr="005970A0" w:rsidRDefault="00C736D5" w:rsidP="00FF7E62">
                  <w:pPr>
                    <w:pStyle w:val="TableBodyText"/>
                    <w:numPr>
                      <w:ilvl w:val="0"/>
                      <w:numId w:val="15"/>
                    </w:numPr>
                    <w:tabs>
                      <w:tab w:val="left" w:pos="222"/>
                    </w:tabs>
                    <w:spacing w:after="60"/>
                    <w:ind w:left="222" w:hanging="222"/>
                    <w:jc w:val="both"/>
                  </w:pPr>
                  <w:r w:rsidRPr="005970A0">
                    <w:t>Publicly funded VET activity (all providers)</w:t>
                  </w:r>
                </w:p>
                <w:p w:rsidR="00C736D5" w:rsidRPr="005970A0" w:rsidRDefault="00C736D5" w:rsidP="00FF7E62">
                  <w:pPr>
                    <w:pStyle w:val="TableBodyText"/>
                    <w:numPr>
                      <w:ilvl w:val="0"/>
                      <w:numId w:val="16"/>
                    </w:numPr>
                    <w:tabs>
                      <w:tab w:val="left" w:pos="222"/>
                    </w:tabs>
                    <w:spacing w:after="60"/>
                    <w:ind w:left="222" w:hanging="222"/>
                    <w:jc w:val="both"/>
                  </w:pPr>
                  <w:r w:rsidRPr="005970A0">
                    <w:t xml:space="preserve">Privately funded VET activity delivered by TAFE institutions, ACE providers, and other government providers </w:t>
                  </w:r>
                </w:p>
                <w:p w:rsidR="00C736D5" w:rsidRPr="005970A0" w:rsidRDefault="00C736D5" w:rsidP="00C736D5">
                  <w:pPr>
                    <w:pStyle w:val="TableBodyText"/>
                    <w:spacing w:before="120"/>
                    <w:jc w:val="both"/>
                  </w:pPr>
                  <w:r w:rsidRPr="005970A0">
                    <w:t>The survey excludes:</w:t>
                  </w:r>
                </w:p>
                <w:p w:rsidR="00C736D5" w:rsidRPr="005970A0" w:rsidRDefault="00C736D5" w:rsidP="00FF7E62">
                  <w:pPr>
                    <w:pStyle w:val="TableBodyText"/>
                    <w:numPr>
                      <w:ilvl w:val="0"/>
                      <w:numId w:val="15"/>
                    </w:numPr>
                    <w:tabs>
                      <w:tab w:val="left" w:pos="222"/>
                    </w:tabs>
                    <w:spacing w:after="60"/>
                    <w:ind w:left="222" w:hanging="222"/>
                    <w:jc w:val="both"/>
                  </w:pPr>
                  <w:r w:rsidRPr="005970A0">
                    <w:t>Recreation, leisure and personal enrichment (non-vocational programs)</w:t>
                  </w:r>
                </w:p>
                <w:p w:rsidR="00C736D5" w:rsidRPr="005970A0" w:rsidRDefault="00C736D5" w:rsidP="00FF7E62">
                  <w:pPr>
                    <w:pStyle w:val="TableBodyText"/>
                    <w:numPr>
                      <w:ilvl w:val="0"/>
                      <w:numId w:val="15"/>
                    </w:numPr>
                    <w:tabs>
                      <w:tab w:val="left" w:pos="222"/>
                    </w:tabs>
                    <w:spacing w:after="60"/>
                    <w:ind w:left="222" w:hanging="222"/>
                    <w:jc w:val="both"/>
                  </w:pPr>
                  <w:r w:rsidRPr="005970A0">
                    <w:t>Privately funded VET activity delivered by private providers</w:t>
                  </w:r>
                </w:p>
                <w:p w:rsidR="00C736D5" w:rsidRPr="005970A0" w:rsidRDefault="00C736D5" w:rsidP="00FF7E62">
                  <w:pPr>
                    <w:pStyle w:val="TableBodyText"/>
                    <w:numPr>
                      <w:ilvl w:val="0"/>
                      <w:numId w:val="15"/>
                    </w:numPr>
                    <w:tabs>
                      <w:tab w:val="left" w:pos="222"/>
                    </w:tabs>
                    <w:spacing w:after="60"/>
                    <w:ind w:left="222" w:hanging="222"/>
                    <w:jc w:val="both"/>
                  </w:pPr>
                  <w:r w:rsidRPr="005970A0">
                    <w:t>VET activity delivered at overseas campuses of Australian VET institutions</w:t>
                  </w:r>
                </w:p>
                <w:p w:rsidR="00C736D5" w:rsidRPr="005970A0" w:rsidRDefault="00C736D5" w:rsidP="00FF7E62">
                  <w:pPr>
                    <w:pStyle w:val="TableBodyText"/>
                    <w:numPr>
                      <w:ilvl w:val="0"/>
                      <w:numId w:val="15"/>
                    </w:numPr>
                    <w:tabs>
                      <w:tab w:val="left" w:pos="222"/>
                    </w:tabs>
                    <w:spacing w:after="60"/>
                    <w:ind w:left="222" w:hanging="222"/>
                    <w:jc w:val="both"/>
                  </w:pPr>
                  <w:r w:rsidRPr="005970A0">
                    <w:t>VET activity delivered in schools.</w:t>
                  </w:r>
                </w:p>
                <w:p w:rsidR="00C736D5" w:rsidRPr="005970A0" w:rsidRDefault="00C736D5" w:rsidP="00C736D5">
                  <w:pPr>
                    <w:pStyle w:val="TableBodyText"/>
                    <w:keepNext w:val="0"/>
                    <w:keepLines w:val="0"/>
                    <w:autoSpaceDE w:val="0"/>
                    <w:autoSpaceDN w:val="0"/>
                    <w:adjustRightInd w:val="0"/>
                    <w:spacing w:before="120" w:after="120" w:line="240" w:lineRule="atLeast"/>
                    <w:ind w:left="0" w:right="0"/>
                    <w:jc w:val="both"/>
                  </w:pPr>
                  <w:r w:rsidRPr="005970A0">
                    <w:t>This scope has been in place since 2005. Prior to 2005, information was only collected from students undertaking Commonwealth/State funded programs through TAFE.</w:t>
                  </w:r>
                </w:p>
                <w:p w:rsidR="00C736D5" w:rsidRPr="005970A0" w:rsidRDefault="00C736D5" w:rsidP="00C736D5">
                  <w:pPr>
                    <w:pStyle w:val="TableBodyText"/>
                    <w:jc w:val="both"/>
                    <w:rPr>
                      <w:b/>
                      <w:sz w:val="17"/>
                      <w:szCs w:val="17"/>
                    </w:rPr>
                  </w:pPr>
                  <w:r w:rsidRPr="005970A0">
                    <w:rPr>
                      <w:b/>
                      <w:sz w:val="17"/>
                      <w:szCs w:val="17"/>
                    </w:rPr>
                    <w:t>Figure 1: Scope of the 201</w:t>
                  </w:r>
                  <w:r w:rsidR="00063E84">
                    <w:rPr>
                      <w:b/>
                      <w:sz w:val="17"/>
                      <w:szCs w:val="17"/>
                    </w:rPr>
                    <w:t>2</w:t>
                  </w:r>
                  <w:r w:rsidRPr="005970A0">
                    <w:rPr>
                      <w:b/>
                      <w:sz w:val="17"/>
                      <w:szCs w:val="17"/>
                    </w:rPr>
                    <w:t xml:space="preserve"> Student Outcomes Survey</w:t>
                  </w:r>
                </w:p>
                <w:tbl>
                  <w:tblPr>
                    <w:tblW w:w="0" w:type="auto"/>
                    <w:tblLook w:val="01E0" w:firstRow="1" w:lastRow="1" w:firstColumn="1" w:lastColumn="1" w:noHBand="0" w:noVBand="0"/>
                  </w:tblPr>
                  <w:tblGrid>
                    <w:gridCol w:w="1691"/>
                    <w:gridCol w:w="1800"/>
                    <w:gridCol w:w="1656"/>
                    <w:gridCol w:w="1948"/>
                  </w:tblGrid>
                  <w:tr w:rsidR="005970A0" w:rsidRPr="005970A0" w:rsidTr="00C736D5">
                    <w:trPr>
                      <w:trHeight w:val="251"/>
                    </w:trPr>
                    <w:tc>
                      <w:tcPr>
                        <w:tcW w:w="1691" w:type="dxa"/>
                        <w:tcBorders>
                          <w:top w:val="single" w:sz="4" w:space="0" w:color="auto"/>
                          <w:left w:val="nil"/>
                          <w:bottom w:val="nil"/>
                          <w:right w:val="nil"/>
                        </w:tcBorders>
                      </w:tcPr>
                      <w:p w:rsidR="00C736D5" w:rsidRPr="005970A0" w:rsidRDefault="00C736D5" w:rsidP="00C736D5">
                        <w:pPr>
                          <w:pStyle w:val="TableBodyText"/>
                          <w:jc w:val="both"/>
                          <w:rPr>
                            <w:sz w:val="16"/>
                            <w:szCs w:val="16"/>
                          </w:rPr>
                        </w:pPr>
                      </w:p>
                    </w:tc>
                    <w:tc>
                      <w:tcPr>
                        <w:tcW w:w="5404" w:type="dxa"/>
                        <w:gridSpan w:val="3"/>
                        <w:tcBorders>
                          <w:top w:val="single" w:sz="4" w:space="0" w:color="auto"/>
                          <w:left w:val="nil"/>
                          <w:bottom w:val="nil"/>
                          <w:right w:val="nil"/>
                        </w:tcBorders>
                      </w:tcPr>
                      <w:p w:rsidR="00C736D5" w:rsidRPr="005970A0" w:rsidRDefault="00C736D5" w:rsidP="00C736D5">
                        <w:pPr>
                          <w:pStyle w:val="TableBodyText"/>
                          <w:jc w:val="both"/>
                          <w:rPr>
                            <w:b/>
                            <w:bCs/>
                            <w:sz w:val="16"/>
                            <w:szCs w:val="16"/>
                          </w:rPr>
                        </w:pPr>
                        <w:r w:rsidRPr="005970A0">
                          <w:rPr>
                            <w:b/>
                            <w:bCs/>
                            <w:sz w:val="16"/>
                            <w:szCs w:val="16"/>
                          </w:rPr>
                          <w:t>Provider Type</w:t>
                        </w:r>
                      </w:p>
                    </w:tc>
                  </w:tr>
                  <w:tr w:rsidR="005970A0" w:rsidRPr="005970A0" w:rsidTr="00C736D5">
                    <w:trPr>
                      <w:trHeight w:val="491"/>
                    </w:trPr>
                    <w:tc>
                      <w:tcPr>
                        <w:tcW w:w="1691" w:type="dxa"/>
                        <w:tcBorders>
                          <w:top w:val="nil"/>
                          <w:left w:val="nil"/>
                          <w:bottom w:val="single" w:sz="4" w:space="0" w:color="auto"/>
                          <w:right w:val="nil"/>
                        </w:tcBorders>
                      </w:tcPr>
                      <w:p w:rsidR="00C736D5" w:rsidRPr="005970A0" w:rsidRDefault="00C736D5" w:rsidP="00C736D5">
                        <w:pPr>
                          <w:pStyle w:val="TableBodyText"/>
                          <w:jc w:val="both"/>
                          <w:rPr>
                            <w:bCs/>
                            <w:sz w:val="16"/>
                            <w:szCs w:val="16"/>
                          </w:rPr>
                        </w:pPr>
                        <w:r w:rsidRPr="005970A0">
                          <w:rPr>
                            <w:bCs/>
                            <w:sz w:val="16"/>
                            <w:szCs w:val="16"/>
                          </w:rPr>
                          <w:t>Funding Type</w:t>
                        </w:r>
                      </w:p>
                    </w:tc>
                    <w:tc>
                      <w:tcPr>
                        <w:tcW w:w="1800" w:type="dxa"/>
                        <w:tcBorders>
                          <w:top w:val="nil"/>
                          <w:left w:val="nil"/>
                          <w:bottom w:val="single" w:sz="4" w:space="0" w:color="auto"/>
                          <w:right w:val="nil"/>
                        </w:tcBorders>
                      </w:tcPr>
                      <w:p w:rsidR="00C736D5" w:rsidRPr="005970A0" w:rsidRDefault="00C736D5" w:rsidP="00C736D5">
                        <w:pPr>
                          <w:pStyle w:val="TableBodyText"/>
                          <w:jc w:val="both"/>
                          <w:rPr>
                            <w:bCs/>
                            <w:sz w:val="16"/>
                            <w:szCs w:val="16"/>
                          </w:rPr>
                        </w:pPr>
                        <w:r w:rsidRPr="005970A0">
                          <w:rPr>
                            <w:bCs/>
                            <w:sz w:val="16"/>
                            <w:szCs w:val="16"/>
                          </w:rPr>
                          <w:t>TAFE and Other Government providers</w:t>
                        </w:r>
                      </w:p>
                    </w:tc>
                    <w:tc>
                      <w:tcPr>
                        <w:tcW w:w="1656" w:type="dxa"/>
                        <w:tcBorders>
                          <w:top w:val="nil"/>
                          <w:left w:val="nil"/>
                          <w:bottom w:val="single" w:sz="4" w:space="0" w:color="auto"/>
                          <w:right w:val="nil"/>
                        </w:tcBorders>
                      </w:tcPr>
                      <w:p w:rsidR="00C736D5" w:rsidRPr="005970A0" w:rsidRDefault="00C736D5" w:rsidP="00C736D5">
                        <w:pPr>
                          <w:pStyle w:val="TableBodyText"/>
                          <w:jc w:val="both"/>
                          <w:rPr>
                            <w:bCs/>
                            <w:sz w:val="16"/>
                            <w:szCs w:val="16"/>
                          </w:rPr>
                        </w:pPr>
                        <w:r w:rsidRPr="005970A0">
                          <w:rPr>
                            <w:bCs/>
                            <w:sz w:val="16"/>
                            <w:szCs w:val="16"/>
                          </w:rPr>
                          <w:t>Private Providers</w:t>
                        </w:r>
                      </w:p>
                    </w:tc>
                    <w:tc>
                      <w:tcPr>
                        <w:tcW w:w="1948" w:type="dxa"/>
                        <w:tcBorders>
                          <w:top w:val="nil"/>
                          <w:left w:val="nil"/>
                          <w:bottom w:val="single" w:sz="4" w:space="0" w:color="auto"/>
                          <w:right w:val="nil"/>
                        </w:tcBorders>
                      </w:tcPr>
                      <w:p w:rsidR="00C736D5" w:rsidRPr="005970A0" w:rsidRDefault="00C736D5" w:rsidP="00C736D5">
                        <w:pPr>
                          <w:pStyle w:val="TableBodyText"/>
                          <w:jc w:val="both"/>
                          <w:rPr>
                            <w:bCs/>
                            <w:sz w:val="16"/>
                            <w:szCs w:val="16"/>
                          </w:rPr>
                        </w:pPr>
                        <w:r w:rsidRPr="005970A0">
                          <w:rPr>
                            <w:bCs/>
                            <w:sz w:val="16"/>
                            <w:szCs w:val="16"/>
                          </w:rPr>
                          <w:t>Community Education Providers</w:t>
                        </w:r>
                        <w:r w:rsidRPr="009A19A9">
                          <w:rPr>
                            <w:bCs/>
                          </w:rPr>
                          <w:t xml:space="preserve"> </w:t>
                        </w:r>
                        <w:r w:rsidRPr="009A19A9">
                          <w:rPr>
                            <w:bCs/>
                            <w:vertAlign w:val="superscript"/>
                          </w:rPr>
                          <w:t>a</w:t>
                        </w:r>
                      </w:p>
                    </w:tc>
                  </w:tr>
                  <w:tr w:rsidR="005970A0" w:rsidRPr="005970A0" w:rsidTr="00C736D5">
                    <w:trPr>
                      <w:trHeight w:val="405"/>
                    </w:trPr>
                    <w:tc>
                      <w:tcPr>
                        <w:tcW w:w="1691" w:type="dxa"/>
                        <w:tcBorders>
                          <w:top w:val="single" w:sz="4" w:space="0" w:color="auto"/>
                          <w:left w:val="nil"/>
                          <w:bottom w:val="nil"/>
                          <w:right w:val="nil"/>
                        </w:tcBorders>
                      </w:tcPr>
                      <w:p w:rsidR="00C736D5" w:rsidRPr="005970A0" w:rsidRDefault="00C736D5" w:rsidP="00C736D5">
                        <w:pPr>
                          <w:pStyle w:val="TableBodyText"/>
                          <w:jc w:val="both"/>
                          <w:rPr>
                            <w:sz w:val="16"/>
                            <w:szCs w:val="16"/>
                          </w:rPr>
                        </w:pPr>
                        <w:r w:rsidRPr="005970A0">
                          <w:rPr>
                            <w:sz w:val="16"/>
                            <w:szCs w:val="16"/>
                          </w:rPr>
                          <w:t>Commonwealth and state funded</w:t>
                        </w:r>
                      </w:p>
                    </w:tc>
                    <w:tc>
                      <w:tcPr>
                        <w:tcW w:w="1800" w:type="dxa"/>
                        <w:tcBorders>
                          <w:top w:val="single" w:sz="4" w:space="0" w:color="auto"/>
                          <w:left w:val="nil"/>
                          <w:bottom w:val="nil"/>
                          <w:right w:val="nil"/>
                        </w:tcBorders>
                      </w:tcPr>
                      <w:p w:rsidR="00C736D5" w:rsidRPr="005970A0" w:rsidRDefault="00C736D5" w:rsidP="00C736D5">
                        <w:pPr>
                          <w:pStyle w:val="TableBodyText"/>
                          <w:jc w:val="center"/>
                          <w:rPr>
                            <w:sz w:val="16"/>
                            <w:szCs w:val="16"/>
                          </w:rPr>
                        </w:pPr>
                        <w:r w:rsidRPr="005970A0">
                          <w:rPr>
                            <w:noProof/>
                            <w:sz w:val="16"/>
                            <w:szCs w:val="16"/>
                          </w:rPr>
                          <w:drawing>
                            <wp:inline distT="0" distB="0" distL="0" distR="0" wp14:anchorId="1A87EA96" wp14:editId="6B3F4ACA">
                              <wp:extent cx="201930" cy="127635"/>
                              <wp:effectExtent l="0" t="0" r="7620" b="5715"/>
                              <wp:docPr id="36" name="Picture 1"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c>
                      <w:tcPr>
                        <w:tcW w:w="1656" w:type="dxa"/>
                        <w:tcBorders>
                          <w:top w:val="single" w:sz="4" w:space="0" w:color="auto"/>
                          <w:left w:val="nil"/>
                          <w:bottom w:val="nil"/>
                          <w:right w:val="nil"/>
                        </w:tcBorders>
                      </w:tcPr>
                      <w:p w:rsidR="00C736D5" w:rsidRPr="005970A0" w:rsidRDefault="00C736D5" w:rsidP="00C736D5">
                        <w:pPr>
                          <w:pStyle w:val="TableBodyText"/>
                          <w:jc w:val="center"/>
                          <w:rPr>
                            <w:sz w:val="16"/>
                            <w:szCs w:val="16"/>
                          </w:rPr>
                        </w:pPr>
                        <w:r w:rsidRPr="005970A0">
                          <w:rPr>
                            <w:noProof/>
                            <w:sz w:val="16"/>
                            <w:szCs w:val="16"/>
                          </w:rPr>
                          <w:drawing>
                            <wp:inline distT="0" distB="0" distL="0" distR="0" wp14:anchorId="76252077" wp14:editId="095B6374">
                              <wp:extent cx="201930" cy="127635"/>
                              <wp:effectExtent l="0" t="0" r="7620" b="5715"/>
                              <wp:docPr id="37" name="Picture 2"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c>
                      <w:tcPr>
                        <w:tcW w:w="1948" w:type="dxa"/>
                        <w:tcBorders>
                          <w:top w:val="single" w:sz="4" w:space="0" w:color="auto"/>
                          <w:left w:val="nil"/>
                          <w:bottom w:val="nil"/>
                          <w:right w:val="nil"/>
                        </w:tcBorders>
                      </w:tcPr>
                      <w:p w:rsidR="00C736D5" w:rsidRPr="005970A0" w:rsidRDefault="00C736D5" w:rsidP="00C736D5">
                        <w:pPr>
                          <w:pStyle w:val="TableBodyText"/>
                          <w:jc w:val="center"/>
                          <w:rPr>
                            <w:sz w:val="16"/>
                            <w:szCs w:val="16"/>
                          </w:rPr>
                        </w:pPr>
                        <w:r w:rsidRPr="005970A0">
                          <w:rPr>
                            <w:noProof/>
                            <w:sz w:val="16"/>
                            <w:szCs w:val="16"/>
                          </w:rPr>
                          <w:drawing>
                            <wp:inline distT="0" distB="0" distL="0" distR="0" wp14:anchorId="1203141D" wp14:editId="1B274E24">
                              <wp:extent cx="201930" cy="127635"/>
                              <wp:effectExtent l="0" t="0" r="7620" b="5715"/>
                              <wp:docPr id="38" name="Picture 3"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r>
                  <w:tr w:rsidR="005970A0" w:rsidRPr="005970A0" w:rsidTr="00C736D5">
                    <w:trPr>
                      <w:trHeight w:val="355"/>
                    </w:trPr>
                    <w:tc>
                      <w:tcPr>
                        <w:tcW w:w="1691" w:type="dxa"/>
                        <w:tcBorders>
                          <w:top w:val="nil"/>
                          <w:left w:val="nil"/>
                          <w:bottom w:val="single" w:sz="4" w:space="0" w:color="auto"/>
                          <w:right w:val="nil"/>
                        </w:tcBorders>
                      </w:tcPr>
                      <w:p w:rsidR="00C736D5" w:rsidRPr="005970A0" w:rsidRDefault="00C736D5" w:rsidP="00C736D5">
                        <w:pPr>
                          <w:pStyle w:val="TableBodyText"/>
                          <w:jc w:val="both"/>
                          <w:rPr>
                            <w:sz w:val="16"/>
                            <w:szCs w:val="16"/>
                          </w:rPr>
                        </w:pPr>
                        <w:r w:rsidRPr="005970A0">
                          <w:rPr>
                            <w:sz w:val="16"/>
                            <w:szCs w:val="16"/>
                          </w:rPr>
                          <w:t>Fee-for-service</w:t>
                        </w:r>
                      </w:p>
                    </w:tc>
                    <w:tc>
                      <w:tcPr>
                        <w:tcW w:w="1800" w:type="dxa"/>
                        <w:tcBorders>
                          <w:top w:val="nil"/>
                          <w:left w:val="nil"/>
                          <w:bottom w:val="single" w:sz="4" w:space="0" w:color="auto"/>
                          <w:right w:val="nil"/>
                        </w:tcBorders>
                      </w:tcPr>
                      <w:p w:rsidR="00C736D5" w:rsidRPr="005970A0" w:rsidRDefault="00C736D5" w:rsidP="00C736D5">
                        <w:pPr>
                          <w:pStyle w:val="TableBodyText"/>
                          <w:jc w:val="center"/>
                          <w:rPr>
                            <w:sz w:val="16"/>
                            <w:szCs w:val="16"/>
                          </w:rPr>
                        </w:pPr>
                        <w:r w:rsidRPr="005970A0">
                          <w:rPr>
                            <w:noProof/>
                            <w:sz w:val="16"/>
                            <w:szCs w:val="16"/>
                          </w:rPr>
                          <w:drawing>
                            <wp:inline distT="0" distB="0" distL="0" distR="0" wp14:anchorId="4DED77FF" wp14:editId="2A213EF7">
                              <wp:extent cx="201930" cy="127635"/>
                              <wp:effectExtent l="0" t="0" r="7620" b="5715"/>
                              <wp:docPr id="39" name="Picture 4"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c>
                      <w:tcPr>
                        <w:tcW w:w="1656" w:type="dxa"/>
                        <w:tcBorders>
                          <w:top w:val="nil"/>
                          <w:left w:val="nil"/>
                          <w:bottom w:val="single" w:sz="4" w:space="0" w:color="auto"/>
                          <w:right w:val="nil"/>
                        </w:tcBorders>
                      </w:tcPr>
                      <w:p w:rsidR="00C736D5" w:rsidRPr="005970A0" w:rsidRDefault="00C736D5" w:rsidP="00C736D5">
                        <w:pPr>
                          <w:pStyle w:val="TableBodyText"/>
                          <w:jc w:val="center"/>
                          <w:rPr>
                            <w:sz w:val="16"/>
                            <w:szCs w:val="16"/>
                          </w:rPr>
                        </w:pPr>
                      </w:p>
                    </w:tc>
                    <w:tc>
                      <w:tcPr>
                        <w:tcW w:w="1948" w:type="dxa"/>
                        <w:tcBorders>
                          <w:top w:val="nil"/>
                          <w:left w:val="nil"/>
                          <w:bottom w:val="single" w:sz="4" w:space="0" w:color="auto"/>
                          <w:right w:val="nil"/>
                        </w:tcBorders>
                      </w:tcPr>
                      <w:p w:rsidR="00C736D5" w:rsidRPr="005970A0" w:rsidRDefault="00C736D5" w:rsidP="00C736D5">
                        <w:pPr>
                          <w:pStyle w:val="TableBodyText"/>
                          <w:jc w:val="center"/>
                          <w:rPr>
                            <w:sz w:val="16"/>
                            <w:szCs w:val="16"/>
                          </w:rPr>
                        </w:pPr>
                        <w:r w:rsidRPr="005970A0">
                          <w:rPr>
                            <w:noProof/>
                            <w:sz w:val="16"/>
                            <w:szCs w:val="16"/>
                          </w:rPr>
                          <w:drawing>
                            <wp:inline distT="0" distB="0" distL="0" distR="0" wp14:anchorId="58794E97" wp14:editId="40C8CDEC">
                              <wp:extent cx="201930" cy="127635"/>
                              <wp:effectExtent l="0" t="0" r="7620" b="5715"/>
                              <wp:docPr id="40" name="Picture 5"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r>
                </w:tbl>
                <w:p w:rsidR="00C736D5" w:rsidRPr="005970A0" w:rsidRDefault="009A19A9" w:rsidP="009A19A9">
                  <w:pPr>
                    <w:pStyle w:val="TableBodyText"/>
                    <w:spacing w:before="40" w:after="60"/>
                    <w:jc w:val="both"/>
                  </w:pPr>
                  <w:proofErr w:type="spellStart"/>
                  <w:r w:rsidRPr="009A19A9">
                    <w:rPr>
                      <w:bCs/>
                      <w:vertAlign w:val="superscript"/>
                    </w:rPr>
                    <w:t>a</w:t>
                  </w:r>
                  <w:proofErr w:type="spellEnd"/>
                  <w:r>
                    <w:t xml:space="preserve"> </w:t>
                  </w:r>
                  <w:r w:rsidRPr="005970A0">
                    <w:t>This information is only collected in New South Wales and Victoria.</w:t>
                  </w:r>
                </w:p>
              </w:tc>
            </w:tr>
            <w:tr w:rsidR="005970A0" w:rsidRPr="005970A0" w:rsidTr="00C736D5">
              <w:tc>
                <w:tcPr>
                  <w:tcW w:w="922" w:type="pct"/>
                </w:tcPr>
                <w:p w:rsidR="00C736D5" w:rsidRPr="005970A0" w:rsidRDefault="00C736D5" w:rsidP="00C736D5">
                  <w:pPr>
                    <w:spacing w:line="320" w:lineRule="exact"/>
                    <w:jc w:val="both"/>
                    <w:rPr>
                      <w:rFonts w:ascii="Arial" w:hAnsi="Arial" w:cs="Arial"/>
                      <w:b/>
                      <w:sz w:val="20"/>
                      <w:szCs w:val="20"/>
                    </w:rPr>
                  </w:pPr>
                  <w:r w:rsidRPr="005970A0">
                    <w:rPr>
                      <w:rFonts w:ascii="Arial" w:hAnsi="Arial" w:cs="Arial"/>
                      <w:b/>
                      <w:sz w:val="20"/>
                      <w:szCs w:val="20"/>
                    </w:rPr>
                    <w:t>Timeliness</w:t>
                  </w:r>
                </w:p>
                <w:p w:rsidR="00C736D5" w:rsidRPr="005970A0" w:rsidRDefault="00C736D5" w:rsidP="00C736D5">
                  <w:pPr>
                    <w:spacing w:line="320" w:lineRule="exact"/>
                    <w:jc w:val="both"/>
                    <w:rPr>
                      <w:rFonts w:ascii="Arial" w:hAnsi="Arial" w:cs="Arial"/>
                      <w:b/>
                      <w:sz w:val="20"/>
                      <w:szCs w:val="20"/>
                    </w:rPr>
                  </w:pPr>
                </w:p>
              </w:tc>
              <w:tc>
                <w:tcPr>
                  <w:tcW w:w="4078" w:type="pct"/>
                </w:tcPr>
                <w:p w:rsidR="00C736D5" w:rsidRPr="005970A0" w:rsidRDefault="00C736D5" w:rsidP="00063E84">
                  <w:pPr>
                    <w:pStyle w:val="Default"/>
                    <w:spacing w:after="120" w:line="240" w:lineRule="atLeast"/>
                    <w:jc w:val="both"/>
                    <w:rPr>
                      <w:color w:val="auto"/>
                      <w:sz w:val="20"/>
                      <w:szCs w:val="20"/>
                    </w:rPr>
                  </w:pPr>
                  <w:r w:rsidRPr="005970A0">
                    <w:rPr>
                      <w:color w:val="auto"/>
                      <w:sz w:val="20"/>
                      <w:szCs w:val="20"/>
                    </w:rPr>
                    <w:t>The Student Outcomes Survey is conducted every year. The reference date is the last Friday in May of the year after the training was completed. Results from the 201</w:t>
                  </w:r>
                  <w:r w:rsidR="00063E84">
                    <w:rPr>
                      <w:color w:val="auto"/>
                      <w:sz w:val="20"/>
                      <w:szCs w:val="20"/>
                    </w:rPr>
                    <w:t>2</w:t>
                  </w:r>
                  <w:r w:rsidRPr="005970A0">
                    <w:rPr>
                      <w:color w:val="auto"/>
                      <w:sz w:val="20"/>
                      <w:szCs w:val="20"/>
                    </w:rPr>
                    <w:t xml:space="preserve"> survey (for students who completed their training in 201</w:t>
                  </w:r>
                  <w:r w:rsidR="00063E84">
                    <w:rPr>
                      <w:color w:val="auto"/>
                      <w:sz w:val="20"/>
                      <w:szCs w:val="20"/>
                    </w:rPr>
                    <w:t>1</w:t>
                  </w:r>
                  <w:r w:rsidRPr="005970A0">
                    <w:rPr>
                      <w:color w:val="auto"/>
                      <w:sz w:val="20"/>
                      <w:szCs w:val="20"/>
                    </w:rPr>
                    <w:t xml:space="preserve">) were released on the </w:t>
                  </w:r>
                  <w:proofErr w:type="spellStart"/>
                  <w:r w:rsidRPr="005970A0">
                    <w:rPr>
                      <w:color w:val="auto"/>
                      <w:sz w:val="20"/>
                      <w:szCs w:val="20"/>
                    </w:rPr>
                    <w:t>NCVER</w:t>
                  </w:r>
                  <w:proofErr w:type="spellEnd"/>
                  <w:r w:rsidRPr="005970A0">
                    <w:rPr>
                      <w:color w:val="auto"/>
                      <w:sz w:val="20"/>
                      <w:szCs w:val="20"/>
                    </w:rPr>
                    <w:t xml:space="preserve"> website in December 201</w:t>
                  </w:r>
                  <w:r w:rsidR="00063E84">
                    <w:rPr>
                      <w:color w:val="auto"/>
                      <w:sz w:val="20"/>
                      <w:szCs w:val="20"/>
                    </w:rPr>
                    <w:t>2</w:t>
                  </w:r>
                  <w:r w:rsidRPr="005970A0">
                    <w:rPr>
                      <w:color w:val="auto"/>
                      <w:sz w:val="20"/>
                      <w:szCs w:val="20"/>
                    </w:rPr>
                    <w:t>.</w:t>
                  </w:r>
                </w:p>
              </w:tc>
            </w:tr>
            <w:tr w:rsidR="005970A0" w:rsidRPr="005970A0" w:rsidTr="00C736D5">
              <w:tc>
                <w:tcPr>
                  <w:tcW w:w="922" w:type="pct"/>
                </w:tcPr>
                <w:p w:rsidR="00C736D5" w:rsidRPr="005970A0" w:rsidRDefault="00C736D5" w:rsidP="00C736D5">
                  <w:pPr>
                    <w:spacing w:line="320" w:lineRule="exact"/>
                    <w:jc w:val="both"/>
                    <w:rPr>
                      <w:rFonts w:ascii="Arial" w:hAnsi="Arial" w:cs="Arial"/>
                      <w:b/>
                      <w:sz w:val="20"/>
                      <w:szCs w:val="20"/>
                    </w:rPr>
                  </w:pPr>
                  <w:r w:rsidRPr="005970A0">
                    <w:rPr>
                      <w:rFonts w:ascii="Arial" w:hAnsi="Arial" w:cs="Arial"/>
                      <w:b/>
                      <w:sz w:val="20"/>
                      <w:szCs w:val="20"/>
                    </w:rPr>
                    <w:t>Accuracy</w:t>
                  </w:r>
                </w:p>
                <w:p w:rsidR="00C736D5" w:rsidRPr="005970A0" w:rsidRDefault="00C736D5" w:rsidP="00C736D5">
                  <w:pPr>
                    <w:spacing w:line="320" w:lineRule="exact"/>
                    <w:jc w:val="both"/>
                    <w:rPr>
                      <w:rFonts w:ascii="Arial" w:hAnsi="Arial" w:cs="Arial"/>
                      <w:b/>
                      <w:sz w:val="20"/>
                      <w:szCs w:val="20"/>
                    </w:rPr>
                  </w:pPr>
                </w:p>
              </w:tc>
              <w:tc>
                <w:tcPr>
                  <w:tcW w:w="4078" w:type="pct"/>
                </w:tcPr>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In odd years, the sample is designed for reporting at the national, state/territory and institute level.  In even years, a smaller sample is used for reporting at the national and state/territory level only. The survey is undertaken as a stratified, randomly selected sample, with survey responses weighted to population benchmarks from the National VET Provider Collection.</w:t>
                  </w:r>
                </w:p>
                <w:p w:rsidR="00C736D5" w:rsidRPr="005970A0" w:rsidRDefault="00C736D5" w:rsidP="001C7F97">
                  <w:pPr>
                    <w:autoSpaceDE w:val="0"/>
                    <w:autoSpaceDN w:val="0"/>
                    <w:adjustRightInd w:val="0"/>
                    <w:spacing w:after="80" w:line="240" w:lineRule="atLeast"/>
                    <w:jc w:val="both"/>
                    <w:rPr>
                      <w:rFonts w:ascii="Arial" w:hAnsi="Arial" w:cs="Arial"/>
                      <w:sz w:val="20"/>
                      <w:szCs w:val="20"/>
                    </w:rPr>
                  </w:pPr>
                  <w:r w:rsidRPr="005970A0">
                    <w:rPr>
                      <w:rFonts w:ascii="Arial" w:hAnsi="Arial" w:cs="Arial"/>
                      <w:sz w:val="20"/>
                      <w:szCs w:val="20"/>
                    </w:rPr>
                    <w:t xml:space="preserve">Potential sources of error in survey data include failure to complete the survey or failure to answer every applicable question. Neither of these sources of error is considered, by </w:t>
                  </w:r>
                  <w:proofErr w:type="spellStart"/>
                  <w:r w:rsidRPr="005970A0">
                    <w:rPr>
                      <w:rFonts w:ascii="Arial" w:hAnsi="Arial" w:cs="Arial"/>
                      <w:sz w:val="20"/>
                      <w:szCs w:val="20"/>
                    </w:rPr>
                    <w:t>NCVER</w:t>
                  </w:r>
                  <w:proofErr w:type="spellEnd"/>
                  <w:r w:rsidRPr="005970A0">
                    <w:rPr>
                      <w:rFonts w:ascii="Arial" w:hAnsi="Arial" w:cs="Arial"/>
                      <w:sz w:val="20"/>
                      <w:szCs w:val="20"/>
                    </w:rPr>
                    <w:t>, to have affected the quality of data. Three analyses are conducted to determine the impact of non-response and mode bias. They are performed on weighted and unweighted data and include:</w:t>
                  </w:r>
                </w:p>
                <w:p w:rsidR="00C736D5" w:rsidRPr="005970A0" w:rsidRDefault="00C736D5" w:rsidP="00FF7E62">
                  <w:pPr>
                    <w:pStyle w:val="TableBodyText"/>
                    <w:numPr>
                      <w:ilvl w:val="0"/>
                      <w:numId w:val="15"/>
                    </w:numPr>
                    <w:tabs>
                      <w:tab w:val="left" w:pos="222"/>
                    </w:tabs>
                    <w:spacing w:after="60"/>
                    <w:ind w:left="222" w:hanging="222"/>
                    <w:jc w:val="both"/>
                  </w:pPr>
                  <w:r w:rsidRPr="005970A0">
                    <w:t>a comparison of the responding sample with the mailing list sample</w:t>
                  </w:r>
                </w:p>
                <w:p w:rsidR="00C736D5" w:rsidRPr="005970A0" w:rsidRDefault="00C736D5" w:rsidP="00FF7E62">
                  <w:pPr>
                    <w:pStyle w:val="TableBodyText"/>
                    <w:numPr>
                      <w:ilvl w:val="0"/>
                      <w:numId w:val="15"/>
                    </w:numPr>
                    <w:tabs>
                      <w:tab w:val="left" w:pos="222"/>
                    </w:tabs>
                    <w:spacing w:after="60"/>
                    <w:ind w:left="222" w:hanging="222"/>
                    <w:jc w:val="both"/>
                  </w:pPr>
                  <w:r w:rsidRPr="005970A0">
                    <w:t>a comparison of the characteristics of the responding sample with non-respondents. Information on a sample of non-respondents is collected via telephone interview</w:t>
                  </w:r>
                </w:p>
                <w:p w:rsidR="00C736D5" w:rsidRPr="005970A0" w:rsidRDefault="00C736D5" w:rsidP="00FF7E62">
                  <w:pPr>
                    <w:pStyle w:val="TableBodyText"/>
                    <w:numPr>
                      <w:ilvl w:val="0"/>
                      <w:numId w:val="15"/>
                    </w:numPr>
                    <w:tabs>
                      <w:tab w:val="left" w:pos="222"/>
                    </w:tabs>
                    <w:spacing w:after="60"/>
                    <w:ind w:left="222" w:hanging="222"/>
                    <w:jc w:val="both"/>
                  </w:pPr>
                  <w:r w:rsidRPr="005970A0">
                    <w:t>a comparison of the results obtained from mail and online completion.</w:t>
                  </w:r>
                </w:p>
                <w:p w:rsidR="001C7F97" w:rsidRPr="005970A0" w:rsidRDefault="001C7F97" w:rsidP="00C736D5">
                  <w:pPr>
                    <w:autoSpaceDE w:val="0"/>
                    <w:autoSpaceDN w:val="0"/>
                    <w:adjustRightInd w:val="0"/>
                    <w:spacing w:after="120" w:line="240" w:lineRule="atLeast"/>
                    <w:jc w:val="both"/>
                    <w:rPr>
                      <w:rFonts w:ascii="Arial" w:hAnsi="Arial" w:cs="Arial"/>
                      <w:sz w:val="20"/>
                      <w:szCs w:val="20"/>
                    </w:rPr>
                  </w:pPr>
                </w:p>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Response rates to the 201</w:t>
                  </w:r>
                  <w:r w:rsidR="00063E84">
                    <w:rPr>
                      <w:rFonts w:ascii="Arial" w:hAnsi="Arial" w:cs="Arial"/>
                      <w:sz w:val="20"/>
                      <w:szCs w:val="20"/>
                    </w:rPr>
                    <w:t>2</w:t>
                  </w:r>
                  <w:r w:rsidRPr="005970A0">
                    <w:rPr>
                      <w:rFonts w:ascii="Arial" w:hAnsi="Arial" w:cs="Arial"/>
                      <w:sz w:val="20"/>
                      <w:szCs w:val="20"/>
                    </w:rPr>
                    <w:t xml:space="preserve"> survey are shown in table 1.</w:t>
                  </w:r>
                </w:p>
                <w:p w:rsidR="00C736D5" w:rsidRPr="005970A0" w:rsidRDefault="00C736D5" w:rsidP="00C736D5">
                  <w:pPr>
                    <w:autoSpaceDE w:val="0"/>
                    <w:autoSpaceDN w:val="0"/>
                    <w:adjustRightInd w:val="0"/>
                    <w:spacing w:before="120" w:after="40" w:line="240" w:lineRule="atLeast"/>
                    <w:jc w:val="both"/>
                    <w:rPr>
                      <w:rFonts w:ascii="Arial" w:hAnsi="Arial" w:cs="Arial"/>
                      <w:b/>
                      <w:sz w:val="17"/>
                      <w:szCs w:val="17"/>
                    </w:rPr>
                  </w:pPr>
                  <w:r w:rsidRPr="005970A0">
                    <w:rPr>
                      <w:rFonts w:ascii="Arial" w:hAnsi="Arial" w:cs="Arial"/>
                      <w:b/>
                      <w:sz w:val="17"/>
                      <w:szCs w:val="17"/>
                    </w:rPr>
                    <w:t>Table 1: Response rates for graduates to the 201</w:t>
                  </w:r>
                  <w:r w:rsidR="00063E84">
                    <w:rPr>
                      <w:rFonts w:ascii="Arial" w:hAnsi="Arial" w:cs="Arial"/>
                      <w:b/>
                      <w:sz w:val="17"/>
                      <w:szCs w:val="17"/>
                    </w:rPr>
                    <w:t>2</w:t>
                  </w:r>
                  <w:r w:rsidRPr="005970A0">
                    <w:rPr>
                      <w:rFonts w:ascii="Arial" w:hAnsi="Arial" w:cs="Arial"/>
                      <w:b/>
                      <w:sz w:val="17"/>
                      <w:szCs w:val="17"/>
                    </w:rPr>
                    <w:t xml:space="preserve"> Student Outcomes Survey by state</w:t>
                  </w:r>
                </w:p>
                <w:tbl>
                  <w:tblPr>
                    <w:tblW w:w="2901" w:type="pct"/>
                    <w:tblBorders>
                      <w:top w:val="single" w:sz="4" w:space="0" w:color="auto"/>
                      <w:bottom w:val="single" w:sz="4" w:space="0" w:color="auto"/>
                    </w:tblBorders>
                    <w:tblLook w:val="01E0" w:firstRow="1" w:lastRow="1" w:firstColumn="1" w:lastColumn="1" w:noHBand="0" w:noVBand="0"/>
                  </w:tblPr>
                  <w:tblGrid>
                    <w:gridCol w:w="2411"/>
                    <w:gridCol w:w="1748"/>
                  </w:tblGrid>
                  <w:tr w:rsidR="005970A0" w:rsidRPr="005970A0" w:rsidTr="00C736D5">
                    <w:tc>
                      <w:tcPr>
                        <w:tcW w:w="2898" w:type="pct"/>
                        <w:tcBorders>
                          <w:top w:val="single" w:sz="4" w:space="0" w:color="auto"/>
                          <w:left w:val="nil"/>
                          <w:bottom w:val="single" w:sz="4" w:space="0" w:color="auto"/>
                          <w:right w:val="nil"/>
                        </w:tcBorders>
                      </w:tcPr>
                      <w:p w:rsidR="00C736D5" w:rsidRPr="005970A0" w:rsidRDefault="00C736D5" w:rsidP="00C736D5">
                        <w:pPr>
                          <w:autoSpaceDE w:val="0"/>
                          <w:autoSpaceDN w:val="0"/>
                          <w:adjustRightInd w:val="0"/>
                          <w:spacing w:before="80"/>
                          <w:jc w:val="both"/>
                          <w:rPr>
                            <w:rFonts w:ascii="Arial" w:hAnsi="Arial" w:cs="Arial"/>
                            <w:b/>
                            <w:sz w:val="16"/>
                            <w:szCs w:val="16"/>
                          </w:rPr>
                        </w:pPr>
                        <w:r w:rsidRPr="005970A0">
                          <w:rPr>
                            <w:rFonts w:ascii="Arial" w:hAnsi="Arial" w:cs="Arial"/>
                            <w:b/>
                            <w:sz w:val="16"/>
                            <w:szCs w:val="16"/>
                          </w:rPr>
                          <w:t>State/Territory</w:t>
                        </w:r>
                      </w:p>
                    </w:tc>
                    <w:tc>
                      <w:tcPr>
                        <w:tcW w:w="2102" w:type="pct"/>
                        <w:tcBorders>
                          <w:top w:val="single" w:sz="4" w:space="0" w:color="auto"/>
                          <w:left w:val="nil"/>
                          <w:bottom w:val="single" w:sz="4" w:space="0" w:color="auto"/>
                          <w:right w:val="nil"/>
                        </w:tcBorders>
                      </w:tcPr>
                      <w:p w:rsidR="00C736D5" w:rsidRPr="005970A0" w:rsidRDefault="00C736D5" w:rsidP="00C736D5">
                        <w:pPr>
                          <w:autoSpaceDE w:val="0"/>
                          <w:autoSpaceDN w:val="0"/>
                          <w:adjustRightInd w:val="0"/>
                          <w:spacing w:before="80"/>
                          <w:jc w:val="center"/>
                          <w:rPr>
                            <w:rFonts w:ascii="Arial" w:hAnsi="Arial" w:cs="Arial"/>
                            <w:b/>
                            <w:sz w:val="16"/>
                            <w:szCs w:val="16"/>
                          </w:rPr>
                        </w:pPr>
                        <w:r w:rsidRPr="005970A0">
                          <w:rPr>
                            <w:rFonts w:ascii="Arial" w:hAnsi="Arial" w:cs="Arial"/>
                            <w:b/>
                            <w:sz w:val="16"/>
                            <w:szCs w:val="16"/>
                          </w:rPr>
                          <w:t>Response rate (%)</w:t>
                        </w:r>
                      </w:p>
                    </w:tc>
                  </w:tr>
                  <w:tr w:rsidR="005970A0" w:rsidRPr="005970A0" w:rsidTr="00C736D5">
                    <w:trPr>
                      <w:trHeight w:val="227"/>
                    </w:trPr>
                    <w:tc>
                      <w:tcPr>
                        <w:tcW w:w="2898" w:type="pct"/>
                        <w:tcBorders>
                          <w:top w:val="single" w:sz="4" w:space="0" w:color="auto"/>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New South Wales</w:t>
                        </w:r>
                      </w:p>
                    </w:tc>
                    <w:tc>
                      <w:tcPr>
                        <w:tcW w:w="2102" w:type="pct"/>
                        <w:tcBorders>
                          <w:top w:val="single" w:sz="4" w:space="0" w:color="auto"/>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47.7</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Victoria</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46.5</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Queensland</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47.1</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South Australia</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47.7</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Western Australia</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45.9</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Tasmania</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50.8</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Northern Territory</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45.4</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Australian Capital Territory</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45.2</w:t>
                        </w:r>
                      </w:p>
                    </w:tc>
                  </w:tr>
                  <w:tr w:rsidR="005970A0" w:rsidRPr="005970A0" w:rsidTr="00C736D5">
                    <w:trPr>
                      <w:trHeight w:val="227"/>
                    </w:trPr>
                    <w:tc>
                      <w:tcPr>
                        <w:tcW w:w="2898" w:type="pct"/>
                        <w:tcBorders>
                          <w:top w:val="nil"/>
                          <w:left w:val="nil"/>
                          <w:bottom w:val="single" w:sz="4" w:space="0" w:color="auto"/>
                          <w:right w:val="nil"/>
                        </w:tcBorders>
                        <w:vAlign w:val="center"/>
                      </w:tcPr>
                      <w:p w:rsidR="00C736D5" w:rsidRPr="005970A0" w:rsidRDefault="00C736D5" w:rsidP="00C736D5">
                        <w:pPr>
                          <w:pStyle w:val="Tabletext"/>
                          <w:spacing w:before="0"/>
                          <w:jc w:val="center"/>
                          <w:rPr>
                            <w:rFonts w:cs="Arial"/>
                            <w:b/>
                            <w:szCs w:val="16"/>
                          </w:rPr>
                        </w:pPr>
                        <w:r w:rsidRPr="005970A0">
                          <w:rPr>
                            <w:rFonts w:cs="Arial"/>
                            <w:b/>
                            <w:szCs w:val="16"/>
                          </w:rPr>
                          <w:t>Australia</w:t>
                        </w:r>
                      </w:p>
                    </w:tc>
                    <w:tc>
                      <w:tcPr>
                        <w:tcW w:w="2102" w:type="pct"/>
                        <w:tcBorders>
                          <w:top w:val="nil"/>
                          <w:left w:val="nil"/>
                          <w:bottom w:val="single" w:sz="4" w:space="0" w:color="auto"/>
                          <w:right w:val="nil"/>
                        </w:tcBorders>
                        <w:vAlign w:val="center"/>
                      </w:tcPr>
                      <w:p w:rsidR="00C736D5" w:rsidRPr="005970A0" w:rsidRDefault="003B6FF3" w:rsidP="00C736D5">
                        <w:pPr>
                          <w:pStyle w:val="Tabletext"/>
                          <w:spacing w:before="0"/>
                          <w:jc w:val="center"/>
                          <w:rPr>
                            <w:rFonts w:cs="Arial"/>
                            <w:b/>
                            <w:szCs w:val="16"/>
                          </w:rPr>
                        </w:pPr>
                        <w:r>
                          <w:rPr>
                            <w:rFonts w:cs="Arial"/>
                            <w:b/>
                            <w:szCs w:val="16"/>
                          </w:rPr>
                          <w:t>47.0</w:t>
                        </w:r>
                      </w:p>
                    </w:tc>
                  </w:tr>
                </w:tbl>
                <w:p w:rsidR="00C736D5" w:rsidRPr="005970A0" w:rsidRDefault="00C736D5" w:rsidP="00063E84">
                  <w:pPr>
                    <w:keepNext/>
                    <w:keepLines/>
                    <w:spacing w:before="120" w:after="120" w:line="220" w:lineRule="atLeast"/>
                    <w:jc w:val="both"/>
                    <w:rPr>
                      <w:rFonts w:ascii="Arial" w:hAnsi="Arial" w:cs="Arial"/>
                      <w:sz w:val="20"/>
                      <w:szCs w:val="20"/>
                    </w:rPr>
                  </w:pPr>
                  <w:r w:rsidRPr="005970A0">
                    <w:rPr>
                      <w:rFonts w:ascii="Arial" w:hAnsi="Arial" w:cs="Arial"/>
                      <w:sz w:val="20"/>
                      <w:szCs w:val="20"/>
                    </w:rPr>
                    <w:t>For 201</w:t>
                  </w:r>
                  <w:r w:rsidR="00063E84">
                    <w:rPr>
                      <w:rFonts w:ascii="Arial" w:hAnsi="Arial" w:cs="Arial"/>
                      <w:sz w:val="20"/>
                      <w:szCs w:val="20"/>
                    </w:rPr>
                    <w:t>2</w:t>
                  </w:r>
                  <w:r w:rsidRPr="005970A0">
                    <w:rPr>
                      <w:rFonts w:ascii="Arial" w:hAnsi="Arial" w:cs="Arial"/>
                      <w:sz w:val="20"/>
                      <w:szCs w:val="20"/>
                    </w:rPr>
                    <w:t>, the indicator has acceptable (less than 25</w:t>
                  </w:r>
                  <w:r w:rsidR="008C50BE">
                    <w:rPr>
                      <w:rFonts w:ascii="Arial" w:hAnsi="Arial" w:cs="Arial"/>
                      <w:sz w:val="20"/>
                      <w:szCs w:val="20"/>
                    </w:rPr>
                    <w:t xml:space="preserve"> per cent</w:t>
                  </w:r>
                  <w:r w:rsidRPr="005970A0">
                    <w:rPr>
                      <w:rFonts w:ascii="Arial" w:hAnsi="Arial" w:cs="Arial"/>
                      <w:sz w:val="20"/>
                      <w:szCs w:val="20"/>
                    </w:rPr>
                    <w:t>) relative standard errors (</w:t>
                  </w:r>
                  <w:proofErr w:type="spellStart"/>
                  <w:r w:rsidRPr="005970A0">
                    <w:rPr>
                      <w:rFonts w:ascii="Arial" w:hAnsi="Arial" w:cs="Arial"/>
                      <w:sz w:val="20"/>
                      <w:szCs w:val="20"/>
                    </w:rPr>
                    <w:t>RSEs</w:t>
                  </w:r>
                  <w:proofErr w:type="spellEnd"/>
                  <w:r w:rsidRPr="005970A0">
                    <w:rPr>
                      <w:rFonts w:ascii="Arial" w:hAnsi="Arial" w:cs="Arial"/>
                      <w:sz w:val="20"/>
                      <w:szCs w:val="20"/>
                    </w:rPr>
                    <w:t>) for all VET graduates at the national</w:t>
                  </w:r>
                  <w:r w:rsidR="00063E84">
                    <w:rPr>
                      <w:rFonts w:ascii="Arial" w:hAnsi="Arial" w:cs="Arial"/>
                      <w:sz w:val="20"/>
                      <w:szCs w:val="20"/>
                    </w:rPr>
                    <w:t xml:space="preserve"> and</w:t>
                  </w:r>
                  <w:r w:rsidRPr="005970A0">
                    <w:rPr>
                      <w:rFonts w:ascii="Arial" w:hAnsi="Arial" w:cs="Arial"/>
                      <w:sz w:val="20"/>
                      <w:szCs w:val="20"/>
                    </w:rPr>
                    <w:t xml:space="preserve"> state/territory level. </w:t>
                  </w:r>
                </w:p>
              </w:tc>
            </w:tr>
            <w:tr w:rsidR="005970A0" w:rsidRPr="005970A0" w:rsidTr="00C736D5">
              <w:tc>
                <w:tcPr>
                  <w:tcW w:w="922" w:type="pct"/>
                </w:tcPr>
                <w:p w:rsidR="00C736D5" w:rsidRPr="005970A0" w:rsidRDefault="00C736D5" w:rsidP="00C736D5">
                  <w:pPr>
                    <w:spacing w:line="320" w:lineRule="exact"/>
                    <w:jc w:val="both"/>
                    <w:rPr>
                      <w:rFonts w:ascii="Arial" w:hAnsi="Arial" w:cs="Arial"/>
                      <w:b/>
                      <w:sz w:val="20"/>
                      <w:szCs w:val="20"/>
                    </w:rPr>
                  </w:pPr>
                  <w:r w:rsidRPr="005970A0">
                    <w:rPr>
                      <w:rFonts w:ascii="Arial" w:hAnsi="Arial" w:cs="Arial"/>
                      <w:b/>
                      <w:sz w:val="20"/>
                      <w:szCs w:val="20"/>
                    </w:rPr>
                    <w:lastRenderedPageBreak/>
                    <w:t>Coherence</w:t>
                  </w:r>
                </w:p>
                <w:p w:rsidR="00C736D5" w:rsidRPr="005970A0" w:rsidRDefault="00C736D5" w:rsidP="00C736D5">
                  <w:pPr>
                    <w:spacing w:line="320" w:lineRule="exact"/>
                    <w:jc w:val="both"/>
                    <w:rPr>
                      <w:rFonts w:ascii="Arial" w:hAnsi="Arial" w:cs="Arial"/>
                      <w:b/>
                      <w:sz w:val="20"/>
                      <w:szCs w:val="20"/>
                    </w:rPr>
                  </w:pPr>
                </w:p>
              </w:tc>
              <w:tc>
                <w:tcPr>
                  <w:tcW w:w="4078" w:type="pct"/>
                </w:tcPr>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 xml:space="preserve">The majority of data items have not changed since the survey was first conducted in 1997. The scope of the survey has increased over time. Until 2000, the survey was restricted to TAFE students. From 2000, it was expanded to include students from Adult and Community Education, private and other government providers. </w:t>
                  </w:r>
                </w:p>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Two questionnaires are used to collect the data. The main questionnaire is sent to students from TAFE, other Government and private providers. A separate shorter questionnaire is sent to students from Adult and Community Education (ACE) providers.</w:t>
                  </w:r>
                </w:p>
              </w:tc>
            </w:tr>
            <w:tr w:rsidR="005970A0" w:rsidRPr="005970A0" w:rsidTr="00C736D5">
              <w:tc>
                <w:tcPr>
                  <w:tcW w:w="922" w:type="pct"/>
                </w:tcPr>
                <w:p w:rsidR="00C736D5" w:rsidRPr="005970A0" w:rsidRDefault="00C736D5" w:rsidP="00C736D5">
                  <w:pPr>
                    <w:spacing w:line="320" w:lineRule="exact"/>
                    <w:jc w:val="both"/>
                    <w:rPr>
                      <w:rFonts w:ascii="Arial" w:hAnsi="Arial" w:cs="Arial"/>
                      <w:b/>
                      <w:sz w:val="20"/>
                      <w:szCs w:val="20"/>
                    </w:rPr>
                  </w:pPr>
                  <w:r w:rsidRPr="005970A0">
                    <w:rPr>
                      <w:rFonts w:ascii="Arial" w:hAnsi="Arial" w:cs="Arial"/>
                      <w:b/>
                      <w:sz w:val="20"/>
                      <w:szCs w:val="20"/>
                    </w:rPr>
                    <w:t>Accessibility</w:t>
                  </w:r>
                </w:p>
                <w:p w:rsidR="00C736D5" w:rsidRPr="005970A0" w:rsidRDefault="00C736D5" w:rsidP="00C736D5">
                  <w:pPr>
                    <w:spacing w:line="320" w:lineRule="exact"/>
                    <w:jc w:val="both"/>
                    <w:rPr>
                      <w:rFonts w:ascii="Arial" w:hAnsi="Arial" w:cs="Arial"/>
                      <w:b/>
                      <w:sz w:val="20"/>
                      <w:szCs w:val="20"/>
                    </w:rPr>
                  </w:pPr>
                </w:p>
              </w:tc>
              <w:tc>
                <w:tcPr>
                  <w:tcW w:w="4078" w:type="pct"/>
                </w:tcPr>
                <w:p w:rsidR="00C736D5" w:rsidRPr="005970A0" w:rsidRDefault="00C736D5" w:rsidP="00C736D5">
                  <w:pPr>
                    <w:autoSpaceDE w:val="0"/>
                    <w:autoSpaceDN w:val="0"/>
                    <w:adjustRightInd w:val="0"/>
                    <w:spacing w:after="120" w:line="240" w:lineRule="atLeast"/>
                    <w:jc w:val="both"/>
                    <w:rPr>
                      <w:rFonts w:ascii="Arial" w:hAnsi="Arial" w:cs="Arial"/>
                      <w:sz w:val="20"/>
                      <w:szCs w:val="20"/>
                      <w:u w:val="single"/>
                    </w:rPr>
                  </w:pPr>
                  <w:r w:rsidRPr="005970A0">
                    <w:rPr>
                      <w:rFonts w:ascii="Arial" w:hAnsi="Arial" w:cs="Arial"/>
                      <w:sz w:val="20"/>
                      <w:szCs w:val="20"/>
                    </w:rPr>
                    <w:t xml:space="preserve">Results of the survey are available free of charge on </w:t>
                  </w:r>
                  <w:proofErr w:type="spellStart"/>
                  <w:r w:rsidRPr="005970A0">
                    <w:rPr>
                      <w:rFonts w:ascii="Arial" w:hAnsi="Arial" w:cs="Arial"/>
                      <w:sz w:val="20"/>
                      <w:szCs w:val="20"/>
                    </w:rPr>
                    <w:t>NCVER’s</w:t>
                  </w:r>
                  <w:proofErr w:type="spellEnd"/>
                  <w:r w:rsidRPr="005970A0">
                    <w:rPr>
                      <w:rFonts w:ascii="Arial" w:hAnsi="Arial" w:cs="Arial"/>
                      <w:sz w:val="20"/>
                      <w:szCs w:val="20"/>
                    </w:rPr>
                    <w:t xml:space="preserve"> website at: </w:t>
                  </w:r>
                  <w:r w:rsidRPr="00D86CD7">
                    <w:rPr>
                      <w:rFonts w:ascii="Arial" w:hAnsi="Arial" w:cs="Arial"/>
                      <w:sz w:val="20"/>
                      <w:szCs w:val="20"/>
                    </w:rPr>
                    <w:t>http://</w:t>
                  </w:r>
                  <w:proofErr w:type="spellStart"/>
                  <w:r w:rsidRPr="00D86CD7">
                    <w:rPr>
                      <w:rFonts w:ascii="Arial" w:hAnsi="Arial" w:cs="Arial"/>
                      <w:sz w:val="20"/>
                      <w:szCs w:val="20"/>
                    </w:rPr>
                    <w:t>www.ncver.edu.au</w:t>
                  </w:r>
                  <w:proofErr w:type="spellEnd"/>
                  <w:r w:rsidRPr="00D86CD7">
                    <w:rPr>
                      <w:rFonts w:ascii="Arial" w:hAnsi="Arial" w:cs="Arial"/>
                      <w:sz w:val="20"/>
                      <w:szCs w:val="20"/>
                    </w:rPr>
                    <w:t>/statistic/</w:t>
                  </w:r>
                  <w:proofErr w:type="spellStart"/>
                  <w:r w:rsidRPr="00D86CD7">
                    <w:rPr>
                      <w:rFonts w:ascii="Arial" w:hAnsi="Arial" w:cs="Arial"/>
                      <w:sz w:val="20"/>
                      <w:szCs w:val="20"/>
                    </w:rPr>
                    <w:t>21065.html</w:t>
                  </w:r>
                  <w:proofErr w:type="spellEnd"/>
                  <w:r w:rsidRPr="005970A0">
                    <w:rPr>
                      <w:rFonts w:ascii="Arial" w:hAnsi="Arial" w:cs="Arial"/>
                      <w:sz w:val="20"/>
                      <w:szCs w:val="20"/>
                    </w:rPr>
                    <w:t xml:space="preserve">. Requests for more detailed statistical information or further information about the Student Outcomes Survey can be made to </w:t>
                  </w:r>
                  <w:proofErr w:type="spellStart"/>
                  <w:r w:rsidRPr="005970A0">
                    <w:rPr>
                      <w:rFonts w:ascii="Arial" w:hAnsi="Arial" w:cs="Arial"/>
                      <w:bCs/>
                      <w:sz w:val="20"/>
                      <w:szCs w:val="20"/>
                    </w:rPr>
                    <w:t>NCVER</w:t>
                  </w:r>
                  <w:proofErr w:type="spellEnd"/>
                  <w:r w:rsidRPr="005970A0">
                    <w:rPr>
                      <w:rFonts w:ascii="Arial" w:hAnsi="Arial" w:cs="Arial"/>
                      <w:bCs/>
                      <w:sz w:val="20"/>
                      <w:szCs w:val="20"/>
                    </w:rPr>
                    <w:t xml:space="preserve"> on</w:t>
                  </w:r>
                  <w:r w:rsidRPr="005970A0">
                    <w:rPr>
                      <w:rFonts w:ascii="Arial" w:hAnsi="Arial" w:cs="Arial"/>
                      <w:sz w:val="20"/>
                      <w:szCs w:val="20"/>
                    </w:rPr>
                    <w:t xml:space="preserve"> (08) 8230 8400 or </w:t>
                  </w:r>
                  <w:proofErr w:type="spellStart"/>
                  <w:r w:rsidRPr="00D86CD7">
                    <w:rPr>
                      <w:rFonts w:ascii="Arial" w:hAnsi="Arial" w:cs="Arial"/>
                      <w:sz w:val="20"/>
                      <w:szCs w:val="20"/>
                    </w:rPr>
                    <w:t>surveys_req@ncver.edu.au</w:t>
                  </w:r>
                  <w:proofErr w:type="spellEnd"/>
                </w:p>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 xml:space="preserve">A charge will be generally made by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for more complex requests for information. See </w:t>
                  </w:r>
                  <w:proofErr w:type="spellStart"/>
                  <w:r w:rsidRPr="005970A0">
                    <w:rPr>
                      <w:rFonts w:ascii="Arial" w:hAnsi="Arial" w:cs="Arial"/>
                      <w:sz w:val="20"/>
                      <w:szCs w:val="20"/>
                    </w:rPr>
                    <w:t>NCVER’s</w:t>
                  </w:r>
                  <w:proofErr w:type="spellEnd"/>
                  <w:r w:rsidRPr="005970A0">
                    <w:rPr>
                      <w:rFonts w:ascii="Arial" w:hAnsi="Arial" w:cs="Arial"/>
                      <w:sz w:val="20"/>
                      <w:szCs w:val="20"/>
                    </w:rPr>
                    <w:t xml:space="preserve"> fees and charges policy at </w:t>
                  </w:r>
                  <w:r w:rsidRPr="00D86CD7">
                    <w:rPr>
                      <w:rFonts w:ascii="Arial" w:hAnsi="Arial" w:cs="Arial"/>
                      <w:sz w:val="20"/>
                      <w:szCs w:val="20"/>
                    </w:rPr>
                    <w:t>http://</w:t>
                  </w:r>
                  <w:proofErr w:type="spellStart"/>
                  <w:r w:rsidRPr="00D86CD7">
                    <w:rPr>
                      <w:rFonts w:ascii="Arial" w:hAnsi="Arial" w:cs="Arial"/>
                      <w:sz w:val="20"/>
                      <w:szCs w:val="20"/>
                    </w:rPr>
                    <w:t>www.ncver.edu.au</w:t>
                  </w:r>
                  <w:proofErr w:type="spellEnd"/>
                  <w:r w:rsidRPr="00D86CD7">
                    <w:rPr>
                      <w:rFonts w:ascii="Arial" w:hAnsi="Arial" w:cs="Arial"/>
                      <w:sz w:val="20"/>
                      <w:szCs w:val="20"/>
                    </w:rPr>
                    <w:t>/statistic/</w:t>
                  </w:r>
                  <w:proofErr w:type="spellStart"/>
                  <w:r w:rsidRPr="00D86CD7">
                    <w:rPr>
                      <w:rFonts w:ascii="Arial" w:hAnsi="Arial" w:cs="Arial"/>
                      <w:sz w:val="20"/>
                      <w:szCs w:val="20"/>
                    </w:rPr>
                    <w:t>21075.html</w:t>
                  </w:r>
                  <w:proofErr w:type="spellEnd"/>
                </w:p>
              </w:tc>
            </w:tr>
            <w:tr w:rsidR="005970A0" w:rsidRPr="005970A0" w:rsidTr="00C736D5">
              <w:tc>
                <w:tcPr>
                  <w:tcW w:w="922" w:type="pct"/>
                </w:tcPr>
                <w:p w:rsidR="00C736D5" w:rsidRPr="005970A0" w:rsidRDefault="00C736D5" w:rsidP="00C736D5">
                  <w:pPr>
                    <w:spacing w:line="320" w:lineRule="exact"/>
                    <w:jc w:val="both"/>
                    <w:rPr>
                      <w:rFonts w:ascii="Arial" w:hAnsi="Arial" w:cs="Arial"/>
                      <w:b/>
                      <w:sz w:val="20"/>
                      <w:szCs w:val="20"/>
                    </w:rPr>
                  </w:pPr>
                  <w:r w:rsidRPr="005970A0">
                    <w:rPr>
                      <w:rFonts w:ascii="Arial" w:hAnsi="Arial" w:cs="Arial"/>
                      <w:b/>
                      <w:sz w:val="20"/>
                      <w:szCs w:val="20"/>
                    </w:rPr>
                    <w:t>Interpretability</w:t>
                  </w:r>
                </w:p>
                <w:p w:rsidR="00C736D5" w:rsidRPr="005970A0" w:rsidRDefault="00C736D5" w:rsidP="00C736D5">
                  <w:pPr>
                    <w:spacing w:line="320" w:lineRule="exact"/>
                    <w:jc w:val="both"/>
                    <w:rPr>
                      <w:rFonts w:ascii="Arial" w:hAnsi="Arial" w:cs="Arial"/>
                      <w:b/>
                      <w:sz w:val="20"/>
                      <w:szCs w:val="20"/>
                    </w:rPr>
                  </w:pPr>
                </w:p>
              </w:tc>
              <w:tc>
                <w:tcPr>
                  <w:tcW w:w="4078" w:type="pct"/>
                </w:tcPr>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 xml:space="preserve">To aid interpretation of the data, information on the Student Outcomes Survey is available on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website.</w:t>
                  </w:r>
                </w:p>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The survey uses the:</w:t>
                  </w:r>
                </w:p>
                <w:p w:rsidR="00E01646" w:rsidRPr="00E01646" w:rsidRDefault="00E01646" w:rsidP="00E01646">
                  <w:pPr>
                    <w:numPr>
                      <w:ilvl w:val="0"/>
                      <w:numId w:val="36"/>
                    </w:numPr>
                    <w:ind w:left="340" w:hanging="340"/>
                    <w:rPr>
                      <w:rFonts w:ascii="Arial" w:hAnsi="Arial" w:cs="Arial"/>
                      <w:sz w:val="20"/>
                      <w:szCs w:val="20"/>
                    </w:rPr>
                  </w:pPr>
                  <w:r w:rsidRPr="00E01646">
                    <w:rPr>
                      <w:rFonts w:ascii="Arial" w:hAnsi="Arial" w:cs="Arial"/>
                      <w:sz w:val="20"/>
                      <w:szCs w:val="20"/>
                    </w:rPr>
                    <w:t>Australian Classification of Education (</w:t>
                  </w:r>
                  <w:proofErr w:type="spellStart"/>
                  <w:r w:rsidRPr="00E01646">
                    <w:rPr>
                      <w:rFonts w:ascii="Arial" w:hAnsi="Arial" w:cs="Arial"/>
                      <w:sz w:val="20"/>
                      <w:szCs w:val="20"/>
                    </w:rPr>
                    <w:t>ASCED</w:t>
                  </w:r>
                  <w:proofErr w:type="spellEnd"/>
                  <w:r w:rsidRPr="00E01646">
                    <w:rPr>
                      <w:rFonts w:ascii="Arial" w:hAnsi="Arial" w:cs="Arial"/>
                      <w:sz w:val="20"/>
                      <w:szCs w:val="20"/>
                    </w:rPr>
                    <w:t>) (ABS cat. no. 1272.0) to classify the level and field of education</w:t>
                  </w:r>
                </w:p>
                <w:p w:rsidR="00E01646" w:rsidRPr="00E01646" w:rsidRDefault="00E01646" w:rsidP="00E01646">
                  <w:pPr>
                    <w:numPr>
                      <w:ilvl w:val="0"/>
                      <w:numId w:val="36"/>
                    </w:numPr>
                    <w:ind w:left="340" w:hanging="340"/>
                    <w:rPr>
                      <w:rFonts w:ascii="Arial" w:hAnsi="Arial" w:cs="Arial"/>
                      <w:sz w:val="20"/>
                      <w:szCs w:val="20"/>
                    </w:rPr>
                  </w:pPr>
                  <w:r w:rsidRPr="00E01646">
                    <w:rPr>
                      <w:rFonts w:ascii="Arial" w:hAnsi="Arial" w:cs="Arial"/>
                      <w:sz w:val="20"/>
                      <w:szCs w:val="20"/>
                    </w:rPr>
                    <w:t>Australian and New Zealand Standard Industry Classification (</w:t>
                  </w:r>
                  <w:proofErr w:type="spellStart"/>
                  <w:r w:rsidRPr="00E01646">
                    <w:rPr>
                      <w:rFonts w:ascii="Arial" w:hAnsi="Arial" w:cs="Arial"/>
                      <w:sz w:val="20"/>
                      <w:szCs w:val="20"/>
                    </w:rPr>
                    <w:t>ANZSIC</w:t>
                  </w:r>
                  <w:proofErr w:type="spellEnd"/>
                  <w:r w:rsidRPr="00E01646">
                    <w:rPr>
                      <w:rFonts w:ascii="Arial" w:hAnsi="Arial" w:cs="Arial"/>
                      <w:sz w:val="20"/>
                      <w:szCs w:val="20"/>
                    </w:rPr>
                    <w:t>) (ABS cat. no. 1292.0) to classify industry</w:t>
                  </w:r>
                </w:p>
                <w:p w:rsidR="00E01646" w:rsidRPr="00E01646" w:rsidRDefault="00E01646" w:rsidP="00E01646">
                  <w:pPr>
                    <w:numPr>
                      <w:ilvl w:val="0"/>
                      <w:numId w:val="36"/>
                    </w:numPr>
                    <w:ind w:left="340" w:hanging="340"/>
                    <w:rPr>
                      <w:rFonts w:ascii="Arial" w:hAnsi="Arial" w:cs="Arial"/>
                      <w:sz w:val="20"/>
                      <w:szCs w:val="20"/>
                    </w:rPr>
                  </w:pPr>
                  <w:r w:rsidRPr="00E01646">
                    <w:rPr>
                      <w:rFonts w:ascii="Arial" w:hAnsi="Arial" w:cs="Arial"/>
                      <w:sz w:val="20"/>
                      <w:szCs w:val="20"/>
                    </w:rPr>
                    <w:t>Australian and New Zealand Standard Classification of Occupations (</w:t>
                  </w:r>
                  <w:proofErr w:type="spellStart"/>
                  <w:r w:rsidRPr="00E01646">
                    <w:rPr>
                      <w:rFonts w:ascii="Arial" w:hAnsi="Arial" w:cs="Arial"/>
                      <w:sz w:val="20"/>
                      <w:szCs w:val="20"/>
                    </w:rPr>
                    <w:t>ANZSCO</w:t>
                  </w:r>
                  <w:proofErr w:type="spellEnd"/>
                  <w:r w:rsidRPr="00E01646">
                    <w:rPr>
                      <w:rFonts w:ascii="Arial" w:hAnsi="Arial" w:cs="Arial"/>
                      <w:sz w:val="20"/>
                      <w:szCs w:val="20"/>
                    </w:rPr>
                    <w:t xml:space="preserve">, previously </w:t>
                  </w:r>
                  <w:proofErr w:type="spellStart"/>
                  <w:r w:rsidRPr="00E01646">
                    <w:rPr>
                      <w:rFonts w:ascii="Arial" w:hAnsi="Arial" w:cs="Arial"/>
                      <w:sz w:val="20"/>
                      <w:szCs w:val="20"/>
                    </w:rPr>
                    <w:t>ASCO</w:t>
                  </w:r>
                  <w:proofErr w:type="spellEnd"/>
                  <w:r w:rsidRPr="00E01646">
                    <w:rPr>
                      <w:rFonts w:ascii="Arial" w:hAnsi="Arial" w:cs="Arial"/>
                      <w:sz w:val="20"/>
                      <w:szCs w:val="20"/>
                    </w:rPr>
                    <w:t>) (ABS cat. no. 1220.0) to classify occupation</w:t>
                  </w:r>
                </w:p>
                <w:p w:rsidR="00E01646" w:rsidRPr="00E01646" w:rsidRDefault="00E01646" w:rsidP="00E01646">
                  <w:pPr>
                    <w:numPr>
                      <w:ilvl w:val="0"/>
                      <w:numId w:val="37"/>
                    </w:numPr>
                    <w:ind w:left="340" w:hanging="340"/>
                    <w:rPr>
                      <w:rFonts w:ascii="Arial" w:hAnsi="Arial" w:cs="Arial"/>
                      <w:sz w:val="20"/>
                      <w:szCs w:val="20"/>
                    </w:rPr>
                  </w:pPr>
                  <w:r w:rsidRPr="00E01646">
                    <w:rPr>
                      <w:rFonts w:ascii="Arial" w:hAnsi="Arial" w:cs="Arial"/>
                      <w:sz w:val="20"/>
                      <w:szCs w:val="20"/>
                    </w:rPr>
                    <w:t>Australian Statistical Geography Standard (</w:t>
                  </w:r>
                  <w:proofErr w:type="spellStart"/>
                  <w:r w:rsidRPr="00E01646">
                    <w:rPr>
                      <w:rFonts w:ascii="Arial" w:hAnsi="Arial" w:cs="Arial"/>
                      <w:sz w:val="20"/>
                      <w:szCs w:val="20"/>
                    </w:rPr>
                    <w:t>ASGS</w:t>
                  </w:r>
                  <w:proofErr w:type="spellEnd"/>
                  <w:r w:rsidRPr="00E01646">
                    <w:rPr>
                      <w:rFonts w:ascii="Arial" w:hAnsi="Arial" w:cs="Arial"/>
                      <w:sz w:val="20"/>
                      <w:szCs w:val="20"/>
                    </w:rPr>
                    <w:t xml:space="preserve">): Volume 5 - Remoteness Structure (ABS cat. </w:t>
                  </w:r>
                  <w:proofErr w:type="spellStart"/>
                  <w:r w:rsidRPr="00E01646">
                    <w:rPr>
                      <w:rFonts w:ascii="Arial" w:hAnsi="Arial" w:cs="Arial"/>
                      <w:sz w:val="20"/>
                      <w:szCs w:val="20"/>
                    </w:rPr>
                    <w:t>no.1270.0.55.005</w:t>
                  </w:r>
                  <w:proofErr w:type="spellEnd"/>
                  <w:r w:rsidRPr="00E01646">
                    <w:rPr>
                      <w:rFonts w:ascii="Arial" w:hAnsi="Arial" w:cs="Arial"/>
                      <w:sz w:val="20"/>
                      <w:szCs w:val="20"/>
                    </w:rPr>
                    <w:t>) together with the Accessibility/Remoteness Index of Australia (ARIA) to classify remoteness.</w:t>
                  </w:r>
                </w:p>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Other standards used include the ABS standard question on:</w:t>
                  </w:r>
                </w:p>
                <w:p w:rsidR="00C736D5" w:rsidRPr="005970A0" w:rsidRDefault="00C736D5" w:rsidP="00FF7E62">
                  <w:pPr>
                    <w:pStyle w:val="TableBodyText"/>
                    <w:numPr>
                      <w:ilvl w:val="0"/>
                      <w:numId w:val="15"/>
                    </w:numPr>
                    <w:tabs>
                      <w:tab w:val="left" w:pos="222"/>
                    </w:tabs>
                    <w:spacing w:after="60"/>
                    <w:ind w:left="222" w:hanging="222"/>
                    <w:jc w:val="both"/>
                  </w:pPr>
                  <w:r w:rsidRPr="005970A0">
                    <w:t>Indigenous status</w:t>
                  </w:r>
                </w:p>
                <w:p w:rsidR="00C736D5" w:rsidRPr="005970A0" w:rsidRDefault="00C736D5" w:rsidP="00FF7E62">
                  <w:pPr>
                    <w:pStyle w:val="TableBodyText"/>
                    <w:numPr>
                      <w:ilvl w:val="0"/>
                      <w:numId w:val="15"/>
                    </w:numPr>
                    <w:tabs>
                      <w:tab w:val="left" w:pos="222"/>
                    </w:tabs>
                    <w:spacing w:after="60"/>
                    <w:ind w:left="222" w:hanging="222"/>
                    <w:jc w:val="both"/>
                  </w:pPr>
                  <w:r w:rsidRPr="005970A0">
                    <w:t>Country of birth</w:t>
                  </w:r>
                </w:p>
                <w:p w:rsidR="00C736D5" w:rsidRPr="005970A0" w:rsidRDefault="00C736D5" w:rsidP="00FF7E62">
                  <w:pPr>
                    <w:pStyle w:val="TableBodyText"/>
                    <w:numPr>
                      <w:ilvl w:val="0"/>
                      <w:numId w:val="15"/>
                    </w:numPr>
                    <w:tabs>
                      <w:tab w:val="left" w:pos="222"/>
                    </w:tabs>
                    <w:spacing w:after="60"/>
                    <w:ind w:left="222" w:hanging="222"/>
                    <w:jc w:val="both"/>
                  </w:pPr>
                  <w:r w:rsidRPr="005970A0">
                    <w:t>Main Language Other than English Spoken at Home</w:t>
                  </w:r>
                </w:p>
                <w:p w:rsidR="00C736D5" w:rsidRPr="00582952" w:rsidRDefault="00C736D5" w:rsidP="00FF7E62">
                  <w:pPr>
                    <w:pStyle w:val="TableBodyText"/>
                    <w:numPr>
                      <w:ilvl w:val="0"/>
                      <w:numId w:val="15"/>
                    </w:numPr>
                    <w:tabs>
                      <w:tab w:val="left" w:pos="222"/>
                    </w:tabs>
                    <w:spacing w:after="60"/>
                    <w:ind w:left="222" w:hanging="222"/>
                    <w:jc w:val="both"/>
                    <w:rPr>
                      <w:rFonts w:cs="Arial"/>
                      <w:u w:val="single"/>
                    </w:rPr>
                  </w:pPr>
                  <w:r w:rsidRPr="005970A0">
                    <w:t>Labour force status</w:t>
                  </w:r>
                </w:p>
                <w:p w:rsidR="00582952" w:rsidRPr="00582952" w:rsidRDefault="00582952" w:rsidP="00EC5E2C">
                  <w:pPr>
                    <w:tabs>
                      <w:tab w:val="left" w:pos="222"/>
                    </w:tabs>
                    <w:spacing w:before="120"/>
                    <w:jc w:val="both"/>
                    <w:rPr>
                      <w:rFonts w:ascii="Arial" w:hAnsi="Arial" w:cs="Arial"/>
                      <w:sz w:val="20"/>
                      <w:szCs w:val="20"/>
                    </w:rPr>
                  </w:pPr>
                  <w:r w:rsidRPr="00582952">
                    <w:rPr>
                      <w:rFonts w:ascii="Arial" w:hAnsi="Arial" w:cs="Arial"/>
                      <w:sz w:val="20"/>
                      <w:szCs w:val="20"/>
                    </w:rPr>
                    <w:t xml:space="preserve">Student remoteness is based on the Access/Remoteness Index of Australia </w:t>
                  </w:r>
                  <w:r w:rsidRPr="00582952">
                    <w:rPr>
                      <w:rFonts w:ascii="Arial" w:hAnsi="Arial" w:cs="Arial"/>
                      <w:sz w:val="20"/>
                      <w:szCs w:val="20"/>
                    </w:rPr>
                    <w:lastRenderedPageBreak/>
                    <w:t>(ARIA+), which was developed by the National Centre for Social Applications of Geographic Information Systems (</w:t>
                  </w:r>
                  <w:proofErr w:type="spellStart"/>
                  <w:r w:rsidRPr="00582952">
                    <w:rPr>
                      <w:rFonts w:ascii="Arial" w:hAnsi="Arial" w:cs="Arial"/>
                      <w:sz w:val="20"/>
                      <w:szCs w:val="20"/>
                    </w:rPr>
                    <w:t>GISCA</w:t>
                  </w:r>
                  <w:proofErr w:type="spellEnd"/>
                  <w:r w:rsidRPr="00582952">
                    <w:rPr>
                      <w:rFonts w:ascii="Arial" w:hAnsi="Arial" w:cs="Arial"/>
                      <w:sz w:val="20"/>
                      <w:szCs w:val="20"/>
                    </w:rPr>
                    <w:t xml:space="preserve">). ARIA+ is now the standard ABS-endorsed measure of remoteness. From 2012, Student remoteness (ARIA+) is determined from ARIA+ remoteness regions and ABS </w:t>
                  </w:r>
                  <w:proofErr w:type="spellStart"/>
                  <w:r w:rsidRPr="00582952">
                    <w:rPr>
                      <w:rFonts w:ascii="Arial" w:hAnsi="Arial" w:cs="Arial"/>
                      <w:sz w:val="20"/>
                      <w:szCs w:val="20"/>
                    </w:rPr>
                    <w:t>SA2</w:t>
                  </w:r>
                  <w:proofErr w:type="spellEnd"/>
                  <w:r w:rsidRPr="00582952">
                    <w:rPr>
                      <w:rFonts w:ascii="Arial" w:hAnsi="Arial" w:cs="Arial"/>
                      <w:sz w:val="20"/>
                      <w:szCs w:val="20"/>
                    </w:rPr>
                    <w:t xml:space="preserve"> regions. Data prior to 2012 is based on ABS postal areas and ARIA+. Student remoteness (ARIA+) regions use the same ARIA+ ranges as the ABS remoteness areas and are therefore an approximation of the ABS remoteness areas. For more details of ARIA+ refer to &lt;</w:t>
                  </w:r>
                  <w:r w:rsidRPr="00D86CD7">
                    <w:rPr>
                      <w:rFonts w:ascii="Arial" w:hAnsi="Arial" w:cs="Arial"/>
                      <w:sz w:val="20"/>
                      <w:szCs w:val="20"/>
                    </w:rPr>
                    <w:t>www.adelaide.edu.au/apmrc/research/projects/category/about_aria.html</w:t>
                  </w:r>
                  <w:r w:rsidRPr="00582952">
                    <w:rPr>
                      <w:rFonts w:ascii="Arial" w:hAnsi="Arial" w:cs="Arial"/>
                      <w:sz w:val="20"/>
                      <w:szCs w:val="20"/>
                    </w:rPr>
                    <w:t>&gt;</w:t>
                  </w:r>
                </w:p>
                <w:p w:rsidR="00582952" w:rsidRPr="005970A0" w:rsidRDefault="00582952" w:rsidP="00582952">
                  <w:pPr>
                    <w:pStyle w:val="TableBodyText"/>
                    <w:tabs>
                      <w:tab w:val="left" w:pos="222"/>
                    </w:tabs>
                    <w:spacing w:after="60"/>
                    <w:ind w:left="0"/>
                    <w:jc w:val="both"/>
                    <w:rPr>
                      <w:rFonts w:cs="Arial"/>
                      <w:u w:val="single"/>
                    </w:rPr>
                  </w:pPr>
                </w:p>
              </w:tc>
            </w:tr>
            <w:tr w:rsidR="005970A0" w:rsidRPr="005970A0" w:rsidTr="00C736D5">
              <w:tc>
                <w:tcPr>
                  <w:tcW w:w="5000" w:type="pct"/>
                  <w:gridSpan w:val="2"/>
                  <w:shd w:val="clear" w:color="auto" w:fill="auto"/>
                </w:tcPr>
                <w:p w:rsidR="00C736D5" w:rsidRPr="005970A0" w:rsidRDefault="00C736D5" w:rsidP="00DD55B0">
                  <w:pPr>
                    <w:pStyle w:val="TableBodyText"/>
                    <w:spacing w:after="120"/>
                    <w:jc w:val="both"/>
                    <w:rPr>
                      <w:rFonts w:cs="Arial"/>
                      <w:b/>
                      <w:u w:val="single"/>
                    </w:rPr>
                  </w:pPr>
                  <w:r w:rsidRPr="005970A0">
                    <w:rPr>
                      <w:rFonts w:cs="Arial"/>
                      <w:b/>
                      <w:u w:val="single"/>
                    </w:rPr>
                    <w:lastRenderedPageBreak/>
                    <w:t>Data Gaps/Issues Analysis</w:t>
                  </w:r>
                </w:p>
              </w:tc>
            </w:tr>
          </w:tbl>
          <w:p w:rsidR="0068457F" w:rsidRPr="005970A0" w:rsidRDefault="0068457F" w:rsidP="006E0702">
            <w:pPr>
              <w:pStyle w:val="TableBodyText"/>
              <w:jc w:val="both"/>
              <w:rPr>
                <w:b/>
                <w:u w:val="single"/>
              </w:rPr>
            </w:pPr>
          </w:p>
        </w:tc>
      </w:tr>
      <w:tr w:rsidR="009D2674" w:rsidRPr="005970A0" w:rsidTr="007C0724">
        <w:tc>
          <w:tcPr>
            <w:tcW w:w="922" w:type="pct"/>
            <w:shd w:val="clear" w:color="auto" w:fill="auto"/>
          </w:tcPr>
          <w:p w:rsidR="00DD55B0" w:rsidRPr="005970A0" w:rsidRDefault="00DD55B0" w:rsidP="007C0724">
            <w:pPr>
              <w:pStyle w:val="TableBodyText"/>
              <w:jc w:val="both"/>
              <w:rPr>
                <w:b/>
              </w:rPr>
            </w:pPr>
            <w:r w:rsidRPr="005970A0">
              <w:rPr>
                <w:b/>
              </w:rPr>
              <w:lastRenderedPageBreak/>
              <w:t>Key data gaps/ issues</w:t>
            </w:r>
          </w:p>
        </w:tc>
        <w:tc>
          <w:tcPr>
            <w:tcW w:w="4078" w:type="pct"/>
            <w:shd w:val="clear" w:color="auto" w:fill="auto"/>
          </w:tcPr>
          <w:p w:rsidR="00DD55B0" w:rsidRPr="005970A0" w:rsidRDefault="00DD55B0" w:rsidP="007C0724">
            <w:pPr>
              <w:pStyle w:val="TableBodyText"/>
              <w:spacing w:after="120"/>
              <w:jc w:val="both"/>
              <w:rPr>
                <w:rFonts w:cs="Arial"/>
              </w:rPr>
            </w:pPr>
            <w:r w:rsidRPr="005970A0">
              <w:rPr>
                <w:rFonts w:cs="Arial"/>
              </w:rPr>
              <w:t xml:space="preserve">The Steering Committee notes the following key data gaps/issues: </w:t>
            </w:r>
          </w:p>
          <w:p w:rsidR="00DD55B0" w:rsidRPr="005970A0" w:rsidRDefault="00DD55B0" w:rsidP="00FF7E62">
            <w:pPr>
              <w:pStyle w:val="TableBodyText"/>
              <w:numPr>
                <w:ilvl w:val="0"/>
                <w:numId w:val="15"/>
              </w:numPr>
              <w:tabs>
                <w:tab w:val="left" w:pos="222"/>
              </w:tabs>
              <w:spacing w:after="60"/>
              <w:ind w:left="222" w:hanging="222"/>
              <w:jc w:val="both"/>
            </w:pPr>
            <w:r w:rsidRPr="005970A0">
              <w:t>Annual data are available from the Student Outcomes Survey. The most recent available data are for 201</w:t>
            </w:r>
            <w:r w:rsidR="00063E84">
              <w:t>2</w:t>
            </w:r>
            <w:r w:rsidRPr="005970A0">
              <w:t xml:space="preserve"> (outcomes of students in 201</w:t>
            </w:r>
            <w:r w:rsidR="00063E84">
              <w:t>2</w:t>
            </w:r>
            <w:r w:rsidRPr="005970A0">
              <w:t xml:space="preserve"> who completed qualifications in 201</w:t>
            </w:r>
            <w:r w:rsidR="00063E84">
              <w:t>1</w:t>
            </w:r>
            <w:r w:rsidRPr="005970A0">
              <w:t>)</w:t>
            </w:r>
          </w:p>
          <w:p w:rsidR="00DD55B0" w:rsidRPr="005970A0" w:rsidRDefault="00DD55B0" w:rsidP="00FF7E62">
            <w:pPr>
              <w:pStyle w:val="TableBodyText"/>
              <w:numPr>
                <w:ilvl w:val="0"/>
                <w:numId w:val="15"/>
              </w:numPr>
              <w:tabs>
                <w:tab w:val="left" w:pos="222"/>
              </w:tabs>
              <w:spacing w:after="60"/>
              <w:ind w:left="222" w:hanging="222"/>
              <w:jc w:val="both"/>
            </w:pPr>
            <w:r w:rsidRPr="005970A0">
              <w:t xml:space="preserve">The response rate to this survey was </w:t>
            </w:r>
            <w:r w:rsidR="003B6FF3">
              <w:t>47.0</w:t>
            </w:r>
            <w:r w:rsidRPr="005970A0">
              <w:t xml:space="preserve"> per cent in 201</w:t>
            </w:r>
            <w:r w:rsidR="00063E84">
              <w:t>2</w:t>
            </w:r>
            <w:r w:rsidRPr="005970A0">
              <w:t xml:space="preserve">. </w:t>
            </w:r>
            <w:proofErr w:type="spellStart"/>
            <w:r w:rsidRPr="005970A0">
              <w:t>NCVER</w:t>
            </w:r>
            <w:proofErr w:type="spellEnd"/>
            <w:r w:rsidRPr="005970A0">
              <w:t xml:space="preserve"> analysis found that the non-response was not likely to have affected the quality of the results.</w:t>
            </w:r>
          </w:p>
          <w:p w:rsidR="00DD55B0" w:rsidRPr="005970A0" w:rsidRDefault="00DD55B0" w:rsidP="00FF7E62">
            <w:pPr>
              <w:pStyle w:val="TableBodyText"/>
              <w:numPr>
                <w:ilvl w:val="0"/>
                <w:numId w:val="15"/>
              </w:numPr>
              <w:tabs>
                <w:tab w:val="left" w:pos="222"/>
              </w:tabs>
              <w:spacing w:after="60"/>
              <w:ind w:left="222" w:hanging="222"/>
              <w:jc w:val="both"/>
            </w:pPr>
            <w:r w:rsidRPr="005970A0">
              <w:t xml:space="preserve">Data are of acceptable accuracy at the national level, but some data disaggregated by Indigenous status by State and Territory have relative standard errors greater than 25 per cent and should be used with caution. </w:t>
            </w:r>
          </w:p>
          <w:p w:rsidR="00DD55B0" w:rsidRPr="005970A0" w:rsidRDefault="00DD55B0" w:rsidP="00FF7E62">
            <w:pPr>
              <w:pStyle w:val="TableBodyText"/>
              <w:numPr>
                <w:ilvl w:val="0"/>
                <w:numId w:val="15"/>
              </w:numPr>
              <w:tabs>
                <w:tab w:val="left" w:pos="222"/>
              </w:tabs>
              <w:spacing w:after="60"/>
              <w:ind w:left="222" w:hanging="222"/>
              <w:jc w:val="both"/>
            </w:pPr>
            <w:r w:rsidRPr="005970A0">
              <w:t>Percentages in tables are rounded and may not sum to 100.</w:t>
            </w:r>
          </w:p>
          <w:p w:rsidR="00DD55B0" w:rsidRPr="005970A0" w:rsidRDefault="00DD55B0" w:rsidP="00FF7E62">
            <w:pPr>
              <w:pStyle w:val="TableBodyText"/>
              <w:numPr>
                <w:ilvl w:val="0"/>
                <w:numId w:val="15"/>
              </w:numPr>
              <w:tabs>
                <w:tab w:val="left" w:pos="222"/>
              </w:tabs>
              <w:spacing w:after="60"/>
              <w:ind w:left="222" w:hanging="222"/>
              <w:jc w:val="both"/>
            </w:pPr>
            <w:r w:rsidRPr="005970A0">
              <w:t xml:space="preserve">The size of the </w:t>
            </w:r>
            <w:proofErr w:type="spellStart"/>
            <w:r w:rsidRPr="005970A0">
              <w:t>RSEs</w:t>
            </w:r>
            <w:proofErr w:type="spellEnd"/>
            <w:r w:rsidRPr="005970A0">
              <w:t xml:space="preserve"> affects the ability to identify small year to year movements in some disaggregated measures for this indicator for some jurisdictions.</w:t>
            </w:r>
          </w:p>
        </w:tc>
      </w:tr>
    </w:tbl>
    <w:p w:rsidR="00DD55B0" w:rsidRPr="005970A0" w:rsidRDefault="00DD55B0" w:rsidP="00DD55B0">
      <w:pPr>
        <w:pStyle w:val="BodyText"/>
      </w:pPr>
    </w:p>
    <w:p w:rsidR="00A97467" w:rsidRPr="005970A0" w:rsidRDefault="00A97467" w:rsidP="00772353">
      <w:pPr>
        <w:pStyle w:val="Heading3"/>
        <w:spacing w:before="120"/>
      </w:pPr>
      <w:r w:rsidRPr="005970A0">
        <w:br w:type="page"/>
      </w:r>
      <w:bookmarkStart w:id="28" w:name="_Toc370472625"/>
      <w:r w:rsidRPr="005970A0">
        <w:lastRenderedPageBreak/>
        <w:t>Student achievement in VET — load pass rate</w:t>
      </w:r>
      <w:bookmarkEnd w:id="28"/>
    </w:p>
    <w:p w:rsidR="00A97467" w:rsidRPr="005970A0" w:rsidRDefault="00A97467" w:rsidP="00A97467">
      <w:pPr>
        <w:pStyle w:val="Box"/>
      </w:pPr>
      <w:r w:rsidRPr="005970A0">
        <w:t>Data quality information for this indicator has been drafted by the National Centre for Vocational Education Research (</w:t>
      </w:r>
      <w:proofErr w:type="spellStart"/>
      <w:r w:rsidRPr="005970A0">
        <w:t>NCVER</w:t>
      </w:r>
      <w:proofErr w:type="spellEnd"/>
      <w:r w:rsidRPr="005970A0">
        <w:t>)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A97467">
        <w:tc>
          <w:tcPr>
            <w:tcW w:w="5000" w:type="pct"/>
            <w:gridSpan w:val="2"/>
          </w:tcPr>
          <w:p w:rsidR="00A97467" w:rsidRPr="005970A0" w:rsidRDefault="00A97467" w:rsidP="00A97467">
            <w:pPr>
              <w:pStyle w:val="TableBodyText"/>
              <w:jc w:val="both"/>
              <w:rPr>
                <w:b/>
                <w:u w:val="single"/>
              </w:rPr>
            </w:pPr>
          </w:p>
          <w:p w:rsidR="00A97467" w:rsidRPr="005970A0" w:rsidRDefault="00A97467" w:rsidP="00A97467">
            <w:pPr>
              <w:pStyle w:val="TableBodyText"/>
              <w:jc w:val="both"/>
            </w:pPr>
            <w:r w:rsidRPr="005970A0">
              <w:rPr>
                <w:b/>
                <w:u w:val="single"/>
              </w:rPr>
              <w:t>Indicator definition and description</w:t>
            </w:r>
            <w:r w:rsidRPr="005970A0">
              <w:rPr>
                <w:rFonts w:cs="Arial"/>
                <w:b/>
                <w:sz w:val="22"/>
                <w:szCs w:val="22"/>
                <w:u w:val="single"/>
              </w:rPr>
              <w:t xml:space="preserve"> </w:t>
            </w:r>
          </w:p>
        </w:tc>
      </w:tr>
      <w:tr w:rsidR="005970A0" w:rsidRPr="005970A0" w:rsidTr="00A97467">
        <w:tc>
          <w:tcPr>
            <w:tcW w:w="922" w:type="pct"/>
          </w:tcPr>
          <w:p w:rsidR="00A97467" w:rsidRPr="005970A0" w:rsidRDefault="00A97467" w:rsidP="00A97467">
            <w:pPr>
              <w:pStyle w:val="TableBodyText"/>
              <w:jc w:val="both"/>
              <w:rPr>
                <w:b/>
              </w:rPr>
            </w:pPr>
            <w:r w:rsidRPr="005970A0">
              <w:rPr>
                <w:b/>
              </w:rPr>
              <w:t>Element</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Outcomes.</w:t>
            </w:r>
          </w:p>
        </w:tc>
      </w:tr>
      <w:tr w:rsidR="005970A0" w:rsidRPr="005970A0" w:rsidTr="00A97467">
        <w:tc>
          <w:tcPr>
            <w:tcW w:w="922" w:type="pct"/>
          </w:tcPr>
          <w:p w:rsidR="00A97467" w:rsidRPr="005970A0" w:rsidRDefault="00A97467" w:rsidP="00A97467">
            <w:pPr>
              <w:pStyle w:val="TableBodyText"/>
              <w:jc w:val="both"/>
              <w:rPr>
                <w:b/>
              </w:rPr>
            </w:pPr>
            <w:r w:rsidRPr="005970A0">
              <w:rPr>
                <w:b/>
              </w:rPr>
              <w:t>Indicator</w:t>
            </w:r>
          </w:p>
        </w:tc>
        <w:tc>
          <w:tcPr>
            <w:tcW w:w="4078" w:type="pct"/>
          </w:tcPr>
          <w:p w:rsidR="00A97467" w:rsidRPr="005970A0" w:rsidRDefault="00A97467" w:rsidP="00A239BB">
            <w:pPr>
              <w:pStyle w:val="TableBodyText"/>
              <w:keepNext w:val="0"/>
              <w:keepLines w:val="0"/>
              <w:spacing w:after="120" w:line="240" w:lineRule="auto"/>
              <w:ind w:left="0" w:right="0"/>
              <w:jc w:val="both"/>
            </w:pPr>
            <w:r w:rsidRPr="005970A0">
              <w:t>Student achievement in VET</w:t>
            </w:r>
          </w:p>
        </w:tc>
      </w:tr>
      <w:tr w:rsidR="005970A0" w:rsidRPr="005970A0" w:rsidTr="00A97467">
        <w:tc>
          <w:tcPr>
            <w:tcW w:w="922" w:type="pct"/>
          </w:tcPr>
          <w:p w:rsidR="00A97467" w:rsidRPr="005970A0" w:rsidRDefault="00A97467" w:rsidP="00A97467">
            <w:pPr>
              <w:pStyle w:val="TableBodyText"/>
              <w:jc w:val="both"/>
              <w:rPr>
                <w:b/>
              </w:rPr>
            </w:pPr>
            <w:r w:rsidRPr="005970A0">
              <w:rPr>
                <w:b/>
              </w:rPr>
              <w:t>Measure (computation)</w:t>
            </w:r>
          </w:p>
        </w:tc>
        <w:tc>
          <w:tcPr>
            <w:tcW w:w="4078" w:type="pct"/>
          </w:tcPr>
          <w:p w:rsidR="00A97467" w:rsidRPr="005970A0" w:rsidRDefault="00A97467" w:rsidP="00A97467">
            <w:pPr>
              <w:pStyle w:val="TableBodyText"/>
              <w:jc w:val="both"/>
              <w:rPr>
                <w:u w:val="single"/>
              </w:rPr>
            </w:pPr>
            <w:r w:rsidRPr="005970A0">
              <w:rPr>
                <w:u w:val="single"/>
              </w:rPr>
              <w:t>Definition</w:t>
            </w:r>
          </w:p>
          <w:p w:rsidR="00A97467" w:rsidRPr="005970A0" w:rsidRDefault="00A97467" w:rsidP="00A97467">
            <w:pPr>
              <w:pStyle w:val="TableBodyText"/>
              <w:keepNext w:val="0"/>
              <w:keepLines w:val="0"/>
              <w:spacing w:after="120" w:line="240" w:lineRule="auto"/>
              <w:ind w:left="0" w:right="0"/>
              <w:jc w:val="both"/>
            </w:pPr>
            <w:r w:rsidRPr="005970A0">
              <w:t>The ratio of hours attributed to students who gained competencies/passed assessment in an assessable module or unit of competency to all hours of students who were assessed and either passed, failed or withdrew.</w:t>
            </w:r>
          </w:p>
          <w:p w:rsidR="00A97467" w:rsidRPr="005970A0" w:rsidRDefault="00A97467" w:rsidP="00A97467">
            <w:pPr>
              <w:pStyle w:val="TableBodyText"/>
              <w:jc w:val="both"/>
              <w:rPr>
                <w:u w:val="single"/>
              </w:rPr>
            </w:pPr>
            <w:r w:rsidRPr="005970A0">
              <w:rPr>
                <w:u w:val="single"/>
              </w:rPr>
              <w:t>Numerator/s</w:t>
            </w:r>
          </w:p>
          <w:p w:rsidR="00A97467" w:rsidRPr="005970A0" w:rsidRDefault="00A97467" w:rsidP="00A97467">
            <w:pPr>
              <w:pStyle w:val="TableBodyText"/>
              <w:keepNext w:val="0"/>
              <w:keepLines w:val="0"/>
              <w:spacing w:after="120" w:line="240" w:lineRule="auto"/>
              <w:ind w:left="0" w:right="0"/>
              <w:jc w:val="both"/>
            </w:pPr>
            <w:r w:rsidRPr="005970A0">
              <w:t xml:space="preserve">Government funded recurrent hours attributed to students who gained competencies/passed assessment in an assessable module or unit of competency </w:t>
            </w:r>
          </w:p>
          <w:p w:rsidR="00A97467" w:rsidRPr="005970A0" w:rsidRDefault="00A97467" w:rsidP="00A97467">
            <w:pPr>
              <w:pStyle w:val="TableBodyText"/>
              <w:jc w:val="both"/>
              <w:rPr>
                <w:u w:val="single"/>
              </w:rPr>
            </w:pPr>
            <w:r w:rsidRPr="005970A0">
              <w:rPr>
                <w:u w:val="single"/>
              </w:rPr>
              <w:t>Denominator/s</w:t>
            </w:r>
          </w:p>
          <w:p w:rsidR="00A97467" w:rsidRPr="005970A0" w:rsidRDefault="00A97467" w:rsidP="00A97467">
            <w:pPr>
              <w:pStyle w:val="TableBodyText"/>
              <w:keepNext w:val="0"/>
              <w:keepLines w:val="0"/>
              <w:spacing w:after="120" w:line="240" w:lineRule="auto"/>
              <w:ind w:left="0" w:right="0"/>
              <w:jc w:val="both"/>
            </w:pPr>
            <w:r w:rsidRPr="005970A0">
              <w:t>All Government funded recurrent hours of students who were assessed and either passed, failed or withdrew.</w:t>
            </w:r>
          </w:p>
          <w:p w:rsidR="00A97467" w:rsidRPr="005970A0" w:rsidRDefault="00A97467" w:rsidP="00A97467">
            <w:pPr>
              <w:pStyle w:val="TableBodyText"/>
              <w:jc w:val="both"/>
              <w:rPr>
                <w:u w:val="single"/>
              </w:rPr>
            </w:pPr>
            <w:r w:rsidRPr="005970A0">
              <w:rPr>
                <w:u w:val="single"/>
              </w:rPr>
              <w:t>Computation/s:</w:t>
            </w:r>
          </w:p>
          <w:p w:rsidR="00A97467" w:rsidRPr="005970A0" w:rsidRDefault="00A97467" w:rsidP="00A97467">
            <w:pPr>
              <w:pStyle w:val="TableBodyText"/>
              <w:keepNext w:val="0"/>
              <w:keepLines w:val="0"/>
              <w:spacing w:after="120" w:line="240" w:lineRule="auto"/>
              <w:ind w:left="0" w:right="0"/>
              <w:jc w:val="both"/>
            </w:pPr>
            <w:r w:rsidRPr="005970A0">
              <w:t>Numerator (above) divided by denominator (</w:t>
            </w:r>
            <w:r w:rsidR="00050B54" w:rsidRPr="005970A0">
              <w:t>above</w:t>
            </w:r>
            <w:r w:rsidRPr="005970A0">
              <w:t>), calculated separately for all VET students and VET target groups:</w:t>
            </w:r>
          </w:p>
          <w:p w:rsidR="00A97467" w:rsidRPr="005970A0" w:rsidRDefault="00A97467" w:rsidP="00FF7E62">
            <w:pPr>
              <w:pStyle w:val="TableBodyText"/>
              <w:numPr>
                <w:ilvl w:val="0"/>
                <w:numId w:val="15"/>
              </w:numPr>
              <w:tabs>
                <w:tab w:val="left" w:pos="222"/>
              </w:tabs>
              <w:spacing w:after="60"/>
              <w:ind w:left="222" w:hanging="222"/>
              <w:jc w:val="both"/>
            </w:pPr>
            <w:r w:rsidRPr="005970A0">
              <w:t>students with disability</w:t>
            </w:r>
          </w:p>
          <w:p w:rsidR="00A97467" w:rsidRPr="005970A0" w:rsidRDefault="00A97467" w:rsidP="00FF7E62">
            <w:pPr>
              <w:pStyle w:val="TableBodyText"/>
              <w:numPr>
                <w:ilvl w:val="0"/>
                <w:numId w:val="15"/>
              </w:numPr>
              <w:tabs>
                <w:tab w:val="left" w:pos="222"/>
              </w:tabs>
              <w:spacing w:after="60"/>
              <w:ind w:left="222" w:hanging="222"/>
              <w:jc w:val="both"/>
            </w:pPr>
            <w:r w:rsidRPr="005970A0">
              <w:t>students speaking a language other than English at home</w:t>
            </w:r>
          </w:p>
          <w:p w:rsidR="00A97467" w:rsidRPr="005970A0" w:rsidRDefault="00A97467" w:rsidP="00FF7E62">
            <w:pPr>
              <w:pStyle w:val="TableBodyText"/>
              <w:numPr>
                <w:ilvl w:val="0"/>
                <w:numId w:val="15"/>
              </w:numPr>
              <w:tabs>
                <w:tab w:val="left" w:pos="222"/>
              </w:tabs>
              <w:spacing w:after="60"/>
              <w:ind w:left="222" w:hanging="222"/>
              <w:jc w:val="both"/>
            </w:pPr>
            <w:r w:rsidRPr="005970A0">
              <w:t>students from remote and very remote areas</w:t>
            </w:r>
          </w:p>
          <w:p w:rsidR="00A97467" w:rsidRPr="005970A0" w:rsidRDefault="00A97467" w:rsidP="00FF7E62">
            <w:pPr>
              <w:pStyle w:val="TableBodyText"/>
              <w:numPr>
                <w:ilvl w:val="0"/>
                <w:numId w:val="15"/>
              </w:numPr>
              <w:tabs>
                <w:tab w:val="left" w:pos="222"/>
              </w:tabs>
              <w:spacing w:after="60"/>
              <w:ind w:left="222" w:hanging="222"/>
              <w:jc w:val="both"/>
            </w:pPr>
            <w:r w:rsidRPr="005970A0">
              <w:t xml:space="preserve">Indigenous students </w:t>
            </w:r>
          </w:p>
          <w:p w:rsidR="00A97467" w:rsidRPr="005970A0" w:rsidRDefault="00A97467" w:rsidP="00A97467">
            <w:pPr>
              <w:pStyle w:val="TableBodyText"/>
              <w:keepNext w:val="0"/>
              <w:keepLines w:val="0"/>
              <w:spacing w:after="120" w:line="240" w:lineRule="auto"/>
              <w:ind w:left="0" w:right="0"/>
              <w:jc w:val="both"/>
              <w:rPr>
                <w:rStyle w:val="DraftingNote"/>
                <w:b/>
                <w:color w:val="auto"/>
                <w:sz w:val="20"/>
                <w:u w:val="none"/>
              </w:rPr>
            </w:pPr>
            <w:r w:rsidRPr="005970A0">
              <w:t>Achievement by VET target groups can also indicate the equity of outcomes for these groups.</w:t>
            </w:r>
          </w:p>
        </w:tc>
      </w:tr>
      <w:tr w:rsidR="005970A0" w:rsidRPr="005970A0" w:rsidTr="00A97467">
        <w:tc>
          <w:tcPr>
            <w:tcW w:w="922" w:type="pct"/>
          </w:tcPr>
          <w:p w:rsidR="00A97467" w:rsidRPr="005970A0" w:rsidRDefault="00A97467" w:rsidP="00A97467">
            <w:pPr>
              <w:pStyle w:val="TableBodyText"/>
              <w:jc w:val="both"/>
              <w:rPr>
                <w:b/>
              </w:rPr>
            </w:pPr>
            <w:r w:rsidRPr="005970A0">
              <w:rPr>
                <w:b/>
              </w:rPr>
              <w:t>Data source/s</w:t>
            </w:r>
          </w:p>
        </w:tc>
        <w:tc>
          <w:tcPr>
            <w:tcW w:w="4078" w:type="pct"/>
          </w:tcPr>
          <w:p w:rsidR="00A97467" w:rsidRPr="005970A0" w:rsidRDefault="00A97467" w:rsidP="00A97467">
            <w:pPr>
              <w:pStyle w:val="TableBodyText"/>
              <w:keepNext w:val="0"/>
              <w:keepLines w:val="0"/>
              <w:spacing w:after="120" w:line="240" w:lineRule="auto"/>
              <w:ind w:left="0" w:right="0"/>
              <w:jc w:val="both"/>
            </w:pPr>
            <w:r w:rsidRPr="005970A0">
              <w:t xml:space="preserve">All data are unpublished and are derived from </w:t>
            </w:r>
            <w:proofErr w:type="spellStart"/>
            <w:r w:rsidRPr="005970A0">
              <w:t>NCVER</w:t>
            </w:r>
            <w:proofErr w:type="spellEnd"/>
            <w:r w:rsidRPr="005970A0">
              <w:t xml:space="preserve"> National VET Provider data collections.</w:t>
            </w:r>
          </w:p>
        </w:tc>
      </w:tr>
      <w:tr w:rsidR="005970A0" w:rsidRPr="005970A0" w:rsidTr="00A97467">
        <w:tc>
          <w:tcPr>
            <w:tcW w:w="5000" w:type="pct"/>
            <w:gridSpan w:val="2"/>
          </w:tcPr>
          <w:p w:rsidR="00A97467" w:rsidRPr="005970A0" w:rsidRDefault="00A97467" w:rsidP="00A97467">
            <w:pPr>
              <w:pStyle w:val="TableBodyText"/>
              <w:jc w:val="both"/>
              <w:rPr>
                <w:b/>
                <w:u w:val="single"/>
              </w:rPr>
            </w:pPr>
          </w:p>
          <w:p w:rsidR="00A97467" w:rsidRPr="005970A0" w:rsidRDefault="00A97467" w:rsidP="00A97467">
            <w:pPr>
              <w:pStyle w:val="TableBodyText"/>
              <w:jc w:val="both"/>
              <w:rPr>
                <w:b/>
                <w:u w:val="single"/>
              </w:rPr>
            </w:pPr>
            <w:r w:rsidRPr="005970A0">
              <w:rPr>
                <w:b/>
                <w:u w:val="single"/>
              </w:rPr>
              <w:t>Data Quality Framework Dimensions</w:t>
            </w:r>
          </w:p>
        </w:tc>
      </w:tr>
      <w:tr w:rsidR="005970A0" w:rsidRPr="005970A0" w:rsidTr="00A97467">
        <w:tc>
          <w:tcPr>
            <w:tcW w:w="922" w:type="pct"/>
          </w:tcPr>
          <w:p w:rsidR="00A97467" w:rsidRPr="005970A0" w:rsidRDefault="00A97467" w:rsidP="00A97467">
            <w:pPr>
              <w:pStyle w:val="TableBodyText"/>
              <w:jc w:val="both"/>
              <w:rPr>
                <w:b/>
              </w:rPr>
            </w:pPr>
            <w:r w:rsidRPr="005970A0">
              <w:rPr>
                <w:b/>
              </w:rPr>
              <w:t>Institutional environment</w:t>
            </w:r>
          </w:p>
        </w:tc>
        <w:tc>
          <w:tcPr>
            <w:tcW w:w="4078" w:type="pct"/>
          </w:tcPr>
          <w:p w:rsidR="00A97467" w:rsidRPr="005970A0" w:rsidRDefault="00A97467" w:rsidP="00A97467">
            <w:pPr>
              <w:spacing w:after="120"/>
              <w:jc w:val="both"/>
              <w:rPr>
                <w:rFonts w:ascii="Arial" w:hAnsi="Arial" w:cs="Arial"/>
                <w:sz w:val="20"/>
                <w:szCs w:val="20"/>
              </w:rPr>
            </w:pPr>
            <w:r w:rsidRPr="005970A0">
              <w:rPr>
                <w:rFonts w:ascii="Arial" w:hAnsi="Arial" w:cs="Arial"/>
                <w:sz w:val="20"/>
                <w:szCs w:val="20"/>
              </w:rPr>
              <w:t>The National Centre for Vocational Education Research (</w:t>
            </w:r>
            <w:proofErr w:type="spellStart"/>
            <w:r w:rsidRPr="005970A0">
              <w:rPr>
                <w:rFonts w:ascii="Arial" w:hAnsi="Arial" w:cs="Arial"/>
                <w:sz w:val="20"/>
                <w:szCs w:val="20"/>
              </w:rPr>
              <w:t>NCVER</w:t>
            </w:r>
            <w:proofErr w:type="spellEnd"/>
            <w:r w:rsidRPr="005970A0">
              <w:rPr>
                <w:rFonts w:ascii="Arial" w:hAnsi="Arial" w:cs="Arial"/>
                <w:sz w:val="20"/>
                <w:szCs w:val="20"/>
              </w:rPr>
              <w:t>) is a not-for-profit company owned by the federal, state and territory ministers responsible for training.</w:t>
            </w:r>
          </w:p>
          <w:p w:rsidR="00A97467" w:rsidRPr="005970A0" w:rsidRDefault="00A97467" w:rsidP="00A97467">
            <w:pPr>
              <w:spacing w:after="120"/>
              <w:jc w:val="both"/>
              <w:rPr>
                <w:rFonts w:ascii="Arial" w:hAnsi="Arial" w:cs="Arial"/>
                <w:sz w:val="20"/>
                <w:szCs w:val="20"/>
              </w:rPr>
            </w:pPr>
            <w:proofErr w:type="spellStart"/>
            <w:r w:rsidRPr="005970A0">
              <w:rPr>
                <w:rFonts w:ascii="Arial" w:hAnsi="Arial" w:cs="Arial"/>
                <w:sz w:val="20"/>
                <w:szCs w:val="20"/>
              </w:rPr>
              <w:t>NCVER</w:t>
            </w:r>
            <w:proofErr w:type="spellEnd"/>
            <w:r w:rsidRPr="005970A0">
              <w:rPr>
                <w:rFonts w:ascii="Arial" w:hAnsi="Arial" w:cs="Arial"/>
                <w:sz w:val="20"/>
                <w:szCs w:val="20"/>
              </w:rPr>
              <w:t xml:space="preserve">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A97467" w:rsidRPr="005970A0" w:rsidRDefault="00A97467" w:rsidP="00A97467">
            <w:pPr>
              <w:pStyle w:val="TableBodyText"/>
              <w:keepNext w:val="0"/>
              <w:keepLines w:val="0"/>
              <w:spacing w:after="120" w:line="240" w:lineRule="auto"/>
              <w:ind w:left="0" w:right="0"/>
              <w:jc w:val="both"/>
            </w:pPr>
            <w:r w:rsidRPr="005970A0">
              <w:rPr>
                <w:rFonts w:cs="Arial"/>
              </w:rPr>
              <w:t xml:space="preserve">For further information on the </w:t>
            </w:r>
            <w:proofErr w:type="spellStart"/>
            <w:r w:rsidRPr="005970A0">
              <w:rPr>
                <w:rFonts w:cs="Arial"/>
              </w:rPr>
              <w:t>NCVER</w:t>
            </w:r>
            <w:proofErr w:type="spellEnd"/>
            <w:r w:rsidRPr="005970A0">
              <w:rPr>
                <w:rFonts w:cs="Arial"/>
              </w:rPr>
              <w:t xml:space="preserve">, see </w:t>
            </w:r>
            <w:r w:rsidRPr="00D86CD7">
              <w:rPr>
                <w:rFonts w:cs="Arial"/>
              </w:rPr>
              <w:t>http://</w:t>
            </w:r>
            <w:proofErr w:type="spellStart"/>
            <w:r w:rsidRPr="00D86CD7">
              <w:rPr>
                <w:rFonts w:cs="Arial"/>
              </w:rPr>
              <w:t>www.ncver.edu.au</w:t>
            </w:r>
            <w:proofErr w:type="spellEnd"/>
            <w:r w:rsidRPr="00D86CD7">
              <w:rPr>
                <w:rFonts w:cs="Arial"/>
              </w:rPr>
              <w:t>/</w:t>
            </w:r>
            <w:proofErr w:type="spellStart"/>
            <w:r w:rsidRPr="00D86CD7">
              <w:rPr>
                <w:rFonts w:cs="Arial"/>
              </w:rPr>
              <w:t>aboutncver</w:t>
            </w:r>
            <w:proofErr w:type="spellEnd"/>
            <w:r w:rsidRPr="00D86CD7">
              <w:rPr>
                <w:rFonts w:cs="Arial"/>
              </w:rPr>
              <w:t>/</w:t>
            </w:r>
            <w:proofErr w:type="spellStart"/>
            <w:r w:rsidRPr="00D86CD7">
              <w:rPr>
                <w:rFonts w:cs="Arial"/>
              </w:rPr>
              <w:t>who.html</w:t>
            </w:r>
            <w:proofErr w:type="spellEnd"/>
          </w:p>
        </w:tc>
      </w:tr>
    </w:tbl>
    <w:p w:rsidR="000A0BB0" w:rsidRPr="005970A0" w:rsidRDefault="000A0BB0">
      <w:r w:rsidRPr="005970A0">
        <w:br w:type="page"/>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A97467">
        <w:tc>
          <w:tcPr>
            <w:tcW w:w="922" w:type="pct"/>
          </w:tcPr>
          <w:p w:rsidR="00A97467" w:rsidRPr="005970A0" w:rsidRDefault="00A97467" w:rsidP="00A97467">
            <w:pPr>
              <w:pStyle w:val="TableBodyText"/>
              <w:jc w:val="both"/>
              <w:rPr>
                <w:b/>
              </w:rPr>
            </w:pPr>
            <w:r w:rsidRPr="005970A0">
              <w:rPr>
                <w:b/>
              </w:rPr>
              <w:lastRenderedPageBreak/>
              <w:t>Relevance</w:t>
            </w:r>
          </w:p>
        </w:tc>
        <w:tc>
          <w:tcPr>
            <w:tcW w:w="4078" w:type="pct"/>
          </w:tcPr>
          <w:p w:rsidR="00A97467" w:rsidRPr="005970A0" w:rsidRDefault="00A97467" w:rsidP="00A97467">
            <w:pPr>
              <w:spacing w:after="120"/>
              <w:jc w:val="both"/>
              <w:rPr>
                <w:rFonts w:ascii="Arial" w:hAnsi="Arial" w:cs="Arial"/>
                <w:sz w:val="20"/>
                <w:szCs w:val="20"/>
              </w:rPr>
            </w:pPr>
            <w:r w:rsidRPr="005970A0">
              <w:rPr>
                <w:rFonts w:ascii="Arial" w:hAnsi="Arial" w:cs="Arial"/>
                <w:sz w:val="20"/>
                <w:szCs w:val="20"/>
              </w:rPr>
              <w:t>The National VET Provider Collection collects information relating to students, courses, qualifications, training providers and funding in Australia’s publicly funded vocational education and training (VET) system.</w:t>
            </w:r>
          </w:p>
          <w:p w:rsidR="00A97467" w:rsidRPr="005970A0" w:rsidRDefault="00A97467" w:rsidP="00A97467">
            <w:pPr>
              <w:spacing w:after="120"/>
              <w:jc w:val="both"/>
              <w:rPr>
                <w:rFonts w:ascii="Arial" w:hAnsi="Arial" w:cs="Arial"/>
                <w:sz w:val="20"/>
                <w:szCs w:val="20"/>
              </w:rPr>
            </w:pPr>
            <w:r w:rsidRPr="005970A0">
              <w:rPr>
                <w:rFonts w:ascii="Arial" w:hAnsi="Arial" w:cs="Arial"/>
                <w:sz w:val="20"/>
                <w:szCs w:val="20"/>
              </w:rPr>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A97467" w:rsidRPr="005970A0" w:rsidRDefault="00A97467" w:rsidP="00A97467">
            <w:pPr>
              <w:spacing w:after="120"/>
              <w:jc w:val="both"/>
              <w:rPr>
                <w:rFonts w:ascii="Arial" w:hAnsi="Arial" w:cs="Arial"/>
                <w:sz w:val="20"/>
                <w:szCs w:val="20"/>
              </w:rPr>
            </w:pPr>
            <w:r w:rsidRPr="005970A0">
              <w:rPr>
                <w:rFonts w:ascii="Arial" w:hAnsi="Arial" w:cs="Arial"/>
                <w:sz w:val="20"/>
                <w:szCs w:val="20"/>
              </w:rPr>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A97467" w:rsidRPr="005970A0" w:rsidRDefault="00A97467" w:rsidP="00A97467">
            <w:pPr>
              <w:spacing w:after="120"/>
              <w:jc w:val="both"/>
              <w:rPr>
                <w:rFonts w:ascii="Arial" w:hAnsi="Arial" w:cs="Arial"/>
                <w:sz w:val="20"/>
                <w:szCs w:val="20"/>
              </w:rPr>
            </w:pPr>
            <w:r w:rsidRPr="005970A0">
              <w:rPr>
                <w:rFonts w:ascii="Arial" w:hAnsi="Arial" w:cs="Arial"/>
                <w:sz w:val="20"/>
                <w:szCs w:val="20"/>
              </w:rPr>
              <w:t>This collection does not report on the following types of training activity:</w:t>
            </w:r>
          </w:p>
          <w:p w:rsidR="00A97467" w:rsidRPr="005970A0" w:rsidRDefault="00A97467" w:rsidP="00FF7E62">
            <w:pPr>
              <w:pStyle w:val="TableBodyText"/>
              <w:numPr>
                <w:ilvl w:val="0"/>
                <w:numId w:val="15"/>
              </w:numPr>
              <w:tabs>
                <w:tab w:val="left" w:pos="222"/>
              </w:tabs>
              <w:spacing w:after="60"/>
              <w:ind w:left="222" w:hanging="222"/>
              <w:jc w:val="both"/>
            </w:pPr>
            <w:r w:rsidRPr="005970A0">
              <w:t xml:space="preserve">recreation, leisure and personal enrichment </w:t>
            </w:r>
          </w:p>
          <w:p w:rsidR="00A97467" w:rsidRPr="005970A0" w:rsidRDefault="00A97467" w:rsidP="00FF7E62">
            <w:pPr>
              <w:pStyle w:val="TableBodyText"/>
              <w:numPr>
                <w:ilvl w:val="0"/>
                <w:numId w:val="15"/>
              </w:numPr>
              <w:tabs>
                <w:tab w:val="left" w:pos="222"/>
              </w:tabs>
              <w:spacing w:after="60"/>
              <w:ind w:left="222" w:hanging="222"/>
              <w:jc w:val="both"/>
            </w:pPr>
            <w:r w:rsidRPr="005970A0">
              <w:t xml:space="preserve">fee-for-service VET by private providers </w:t>
            </w:r>
          </w:p>
          <w:p w:rsidR="00A97467" w:rsidRPr="005970A0" w:rsidRDefault="00A97467" w:rsidP="00FF7E62">
            <w:pPr>
              <w:pStyle w:val="TableBodyText"/>
              <w:numPr>
                <w:ilvl w:val="0"/>
                <w:numId w:val="15"/>
              </w:numPr>
              <w:tabs>
                <w:tab w:val="left" w:pos="222"/>
              </w:tabs>
              <w:spacing w:after="60"/>
              <w:ind w:left="222" w:hanging="222"/>
              <w:jc w:val="both"/>
            </w:pPr>
            <w:r w:rsidRPr="005970A0">
              <w:t xml:space="preserve">delivery undertaken at overseas campuses of Australian VET institutions </w:t>
            </w:r>
          </w:p>
          <w:p w:rsidR="00A97467" w:rsidRPr="005970A0" w:rsidRDefault="00A97467" w:rsidP="00FF7E62">
            <w:pPr>
              <w:pStyle w:val="TableBodyText"/>
              <w:numPr>
                <w:ilvl w:val="0"/>
                <w:numId w:val="15"/>
              </w:numPr>
              <w:tabs>
                <w:tab w:val="left" w:pos="222"/>
              </w:tabs>
              <w:spacing w:after="60"/>
              <w:ind w:left="222" w:hanging="222"/>
              <w:jc w:val="both"/>
            </w:pPr>
            <w:r w:rsidRPr="005970A0">
              <w:t>credit transfer</w:t>
            </w:r>
          </w:p>
          <w:p w:rsidR="00A97467" w:rsidRPr="005970A0" w:rsidRDefault="00A97467" w:rsidP="00FF7E62">
            <w:pPr>
              <w:pStyle w:val="TableBodyText"/>
              <w:numPr>
                <w:ilvl w:val="0"/>
                <w:numId w:val="15"/>
              </w:numPr>
              <w:tabs>
                <w:tab w:val="left" w:pos="222"/>
              </w:tabs>
              <w:spacing w:after="60"/>
              <w:ind w:left="222" w:hanging="222"/>
              <w:jc w:val="both"/>
              <w:rPr>
                <w:rFonts w:cs="Arial"/>
              </w:rPr>
            </w:pPr>
            <w:r w:rsidRPr="005970A0">
              <w:t>VET delivered in schools, where the delivery has been undertaken by schools.</w:t>
            </w:r>
          </w:p>
        </w:tc>
      </w:tr>
      <w:tr w:rsidR="005970A0" w:rsidRPr="005970A0" w:rsidTr="00A97467">
        <w:tc>
          <w:tcPr>
            <w:tcW w:w="922" w:type="pct"/>
          </w:tcPr>
          <w:p w:rsidR="00A97467" w:rsidRPr="005970A0" w:rsidRDefault="00A97467" w:rsidP="00A97467">
            <w:pPr>
              <w:pStyle w:val="TableBodyText"/>
              <w:jc w:val="both"/>
              <w:rPr>
                <w:b/>
              </w:rPr>
            </w:pPr>
            <w:r w:rsidRPr="005970A0">
              <w:rPr>
                <w:b/>
              </w:rPr>
              <w:t>Timeliness</w:t>
            </w:r>
          </w:p>
        </w:tc>
        <w:tc>
          <w:tcPr>
            <w:tcW w:w="4078" w:type="pct"/>
          </w:tcPr>
          <w:p w:rsidR="00A97467" w:rsidRPr="005970A0" w:rsidRDefault="00A97467" w:rsidP="00440520">
            <w:pPr>
              <w:pStyle w:val="TableBodyText"/>
              <w:keepNext w:val="0"/>
              <w:keepLines w:val="0"/>
              <w:spacing w:after="120" w:line="240" w:lineRule="auto"/>
              <w:ind w:left="0" w:right="0"/>
              <w:jc w:val="both"/>
            </w:pPr>
            <w:r w:rsidRPr="005970A0">
              <w:t xml:space="preserve">The National VET Provider Collection is an annual collection of data. Data are submitted to </w:t>
            </w:r>
            <w:proofErr w:type="spellStart"/>
            <w:r w:rsidRPr="005970A0">
              <w:t>NCVER</w:t>
            </w:r>
            <w:proofErr w:type="spellEnd"/>
            <w:r w:rsidRPr="005970A0">
              <w:t xml:space="preserve"> (via state training authorities) by 31 March in the year following activity. A summary of </w:t>
            </w:r>
            <w:r w:rsidR="00440520">
              <w:t>2012</w:t>
            </w:r>
            <w:r w:rsidR="00440520" w:rsidRPr="005970A0">
              <w:t xml:space="preserve"> </w:t>
            </w:r>
            <w:r w:rsidRPr="005970A0">
              <w:t xml:space="preserve">data was released in early July </w:t>
            </w:r>
            <w:r w:rsidR="00440520">
              <w:t>2013</w:t>
            </w:r>
            <w:r w:rsidR="00440520" w:rsidRPr="005970A0">
              <w:t xml:space="preserve"> </w:t>
            </w:r>
            <w:r w:rsidRPr="005970A0">
              <w:t xml:space="preserve">in </w:t>
            </w:r>
            <w:r w:rsidRPr="00D86CD7">
              <w:t>Students and Courses</w:t>
            </w:r>
            <w:r w:rsidRPr="005970A0">
              <w:t>.</w:t>
            </w:r>
          </w:p>
        </w:tc>
      </w:tr>
      <w:tr w:rsidR="005970A0" w:rsidRPr="005970A0" w:rsidTr="00A97467">
        <w:tc>
          <w:tcPr>
            <w:tcW w:w="922" w:type="pct"/>
          </w:tcPr>
          <w:p w:rsidR="00A97467" w:rsidRPr="005970A0" w:rsidRDefault="00A97467" w:rsidP="00A97467">
            <w:pPr>
              <w:pStyle w:val="TableBodyText"/>
              <w:jc w:val="both"/>
              <w:rPr>
                <w:b/>
              </w:rPr>
            </w:pPr>
            <w:r w:rsidRPr="005970A0">
              <w:rPr>
                <w:b/>
              </w:rPr>
              <w:t>Accuracy</w:t>
            </w:r>
          </w:p>
        </w:tc>
        <w:tc>
          <w:tcPr>
            <w:tcW w:w="4078" w:type="pct"/>
          </w:tcPr>
          <w:p w:rsidR="00A97467" w:rsidRPr="005970A0" w:rsidRDefault="00A97467" w:rsidP="00A97467">
            <w:pPr>
              <w:spacing w:after="120"/>
              <w:jc w:val="both"/>
              <w:rPr>
                <w:rFonts w:ascii="Arial" w:hAnsi="Arial" w:cs="Arial"/>
                <w:sz w:val="20"/>
                <w:szCs w:val="20"/>
              </w:rPr>
            </w:pPr>
            <w:r w:rsidRPr="005970A0">
              <w:rPr>
                <w:rFonts w:ascii="Arial" w:hAnsi="Arial" w:cs="Arial"/>
                <w:sz w:val="20"/>
                <w:szCs w:val="20"/>
              </w:rPr>
              <w:t>The National VET Provider Collection is a collection of all publicly funded training activity in Australia in a particular year. It is an administrative collection.</w:t>
            </w:r>
          </w:p>
          <w:p w:rsidR="00A97467" w:rsidRPr="005970A0" w:rsidRDefault="00A97467" w:rsidP="00A97467">
            <w:pPr>
              <w:spacing w:after="120"/>
              <w:jc w:val="both"/>
              <w:rPr>
                <w:rFonts w:ascii="Arial" w:hAnsi="Arial" w:cs="Arial"/>
                <w:sz w:val="20"/>
                <w:szCs w:val="20"/>
              </w:rPr>
            </w:pPr>
            <w:r w:rsidRPr="005970A0">
              <w:rPr>
                <w:rFonts w:ascii="Arial" w:hAnsi="Arial" w:cs="Arial"/>
                <w:sz w:val="20"/>
                <w:szCs w:val="20"/>
              </w:rPr>
              <w:t xml:space="preserve">Publicly funded registered training organisations submit unit record data directly to state/territory training authorities, who in turn submit the data to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Prior to submissions to </w:t>
            </w:r>
            <w:proofErr w:type="spellStart"/>
            <w:r w:rsidRPr="005970A0">
              <w:rPr>
                <w:rFonts w:ascii="Arial" w:hAnsi="Arial" w:cs="Arial"/>
                <w:sz w:val="20"/>
                <w:szCs w:val="20"/>
              </w:rPr>
              <w:t>NCVER</w:t>
            </w:r>
            <w:proofErr w:type="spellEnd"/>
            <w:r w:rsidRPr="005970A0">
              <w:rPr>
                <w:rFonts w:ascii="Arial" w:hAnsi="Arial" w:cs="Arial"/>
                <w:sz w:val="20"/>
                <w:szCs w:val="20"/>
              </w:rPr>
              <w:t>, data must first pass a validation process to ensure that data conforms to the Australian vocational education and training management information statistical standard (</w:t>
            </w:r>
            <w:proofErr w:type="spellStart"/>
            <w:r w:rsidRPr="005970A0">
              <w:rPr>
                <w:rFonts w:ascii="Arial" w:hAnsi="Arial" w:cs="Arial"/>
                <w:sz w:val="20"/>
                <w:szCs w:val="20"/>
              </w:rPr>
              <w:t>AVETMISS</w:t>
            </w:r>
            <w:proofErr w:type="spellEnd"/>
            <w:r w:rsidRPr="005970A0">
              <w:rPr>
                <w:rFonts w:ascii="Arial" w:hAnsi="Arial" w:cs="Arial"/>
                <w:sz w:val="20"/>
                <w:szCs w:val="20"/>
              </w:rPr>
              <w:t xml:space="preserve">) (Refer to </w:t>
            </w:r>
            <w:r w:rsidRPr="005970A0">
              <w:rPr>
                <w:rFonts w:ascii="Arial" w:hAnsi="Arial" w:cs="Arial"/>
                <w:sz w:val="20"/>
                <w:szCs w:val="20"/>
                <w:u w:val="single"/>
              </w:rPr>
              <w:t>http://</w:t>
            </w:r>
            <w:proofErr w:type="spellStart"/>
            <w:r w:rsidRPr="005970A0">
              <w:rPr>
                <w:rFonts w:ascii="Arial" w:hAnsi="Arial" w:cs="Arial"/>
                <w:sz w:val="20"/>
                <w:szCs w:val="20"/>
                <w:u w:val="single"/>
              </w:rPr>
              <w:t>www.ncver.edu.au</w:t>
            </w:r>
            <w:proofErr w:type="spellEnd"/>
            <w:r w:rsidRPr="005970A0">
              <w:rPr>
                <w:rFonts w:ascii="Arial" w:hAnsi="Arial" w:cs="Arial"/>
                <w:sz w:val="20"/>
                <w:szCs w:val="20"/>
                <w:u w:val="single"/>
              </w:rPr>
              <w:t>/</w:t>
            </w:r>
            <w:proofErr w:type="spellStart"/>
            <w:r w:rsidRPr="005970A0">
              <w:rPr>
                <w:rFonts w:ascii="Arial" w:hAnsi="Arial" w:cs="Arial"/>
                <w:sz w:val="20"/>
                <w:szCs w:val="20"/>
                <w:u w:val="single"/>
              </w:rPr>
              <w:t>avetmiss</w:t>
            </w:r>
            <w:proofErr w:type="spellEnd"/>
            <w:r w:rsidRPr="005970A0">
              <w:rPr>
                <w:rFonts w:ascii="Arial" w:hAnsi="Arial" w:cs="Arial"/>
                <w:sz w:val="20"/>
                <w:szCs w:val="20"/>
                <w:u w:val="single"/>
              </w:rPr>
              <w:t>/</w:t>
            </w:r>
            <w:proofErr w:type="spellStart"/>
            <w:r w:rsidRPr="005970A0">
              <w:rPr>
                <w:rFonts w:ascii="Arial" w:hAnsi="Arial" w:cs="Arial"/>
                <w:sz w:val="20"/>
                <w:szCs w:val="20"/>
                <w:u w:val="single"/>
              </w:rPr>
              <w:t>21055.html</w:t>
            </w:r>
            <w:proofErr w:type="spellEnd"/>
            <w:r w:rsidRPr="005970A0">
              <w:rPr>
                <w:rFonts w:ascii="Arial" w:hAnsi="Arial" w:cs="Arial"/>
                <w:sz w:val="20"/>
                <w:szCs w:val="20"/>
              </w:rPr>
              <w:t xml:space="preserve">). </w:t>
            </w:r>
          </w:p>
          <w:p w:rsidR="00A97467" w:rsidRPr="005970A0" w:rsidRDefault="00A97467" w:rsidP="00A97467">
            <w:pPr>
              <w:spacing w:after="120"/>
              <w:jc w:val="both"/>
              <w:rPr>
                <w:rFonts w:ascii="Arial" w:hAnsi="Arial" w:cs="Arial"/>
                <w:sz w:val="20"/>
                <w:szCs w:val="20"/>
              </w:rPr>
            </w:pPr>
            <w:r w:rsidRPr="005970A0">
              <w:rPr>
                <w:rFonts w:ascii="Arial" w:hAnsi="Arial" w:cs="Arial"/>
                <w:sz w:val="20"/>
                <w:szCs w:val="20"/>
              </w:rPr>
              <w:t xml:space="preserve">Once data submissions are received by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they are subjected to a comprehensive data quality checking program to ensure accurate reporting against agreed Key Performance Measures (</w:t>
            </w:r>
            <w:proofErr w:type="spellStart"/>
            <w:r w:rsidRPr="005970A0">
              <w:rPr>
                <w:rFonts w:ascii="Arial" w:hAnsi="Arial" w:cs="Arial"/>
                <w:sz w:val="20"/>
                <w:szCs w:val="20"/>
              </w:rPr>
              <w:t>KPMs</w:t>
            </w:r>
            <w:proofErr w:type="spellEnd"/>
            <w:r w:rsidRPr="005970A0">
              <w:rPr>
                <w:rFonts w:ascii="Arial" w:hAnsi="Arial" w:cs="Arial"/>
                <w:sz w:val="20"/>
                <w:szCs w:val="20"/>
              </w:rPr>
              <w:t xml:space="preserve">). Some of the </w:t>
            </w:r>
            <w:proofErr w:type="spellStart"/>
            <w:r w:rsidRPr="005970A0">
              <w:rPr>
                <w:rFonts w:ascii="Arial" w:hAnsi="Arial" w:cs="Arial"/>
                <w:sz w:val="20"/>
                <w:szCs w:val="20"/>
              </w:rPr>
              <w:t>KPMs</w:t>
            </w:r>
            <w:proofErr w:type="spellEnd"/>
            <w:r w:rsidRPr="005970A0">
              <w:rPr>
                <w:rFonts w:ascii="Arial" w:hAnsi="Arial" w:cs="Arial"/>
                <w:sz w:val="20"/>
                <w:szCs w:val="20"/>
              </w:rPr>
              <w:t xml:space="preserve"> include:</w:t>
            </w:r>
          </w:p>
          <w:p w:rsidR="00A97467" w:rsidRPr="005970A0" w:rsidRDefault="00A97467" w:rsidP="00FF7E62">
            <w:pPr>
              <w:pStyle w:val="TableBodyText"/>
              <w:numPr>
                <w:ilvl w:val="0"/>
                <w:numId w:val="15"/>
              </w:numPr>
              <w:tabs>
                <w:tab w:val="left" w:pos="222"/>
              </w:tabs>
              <w:spacing w:after="60"/>
              <w:ind w:left="222" w:hanging="222"/>
              <w:jc w:val="both"/>
            </w:pPr>
            <w:r w:rsidRPr="005970A0">
              <w:t>Percentage of unknown data</w:t>
            </w:r>
          </w:p>
          <w:p w:rsidR="00A97467" w:rsidRPr="005970A0" w:rsidRDefault="00A97467" w:rsidP="00FF7E62">
            <w:pPr>
              <w:pStyle w:val="TableBodyText"/>
              <w:numPr>
                <w:ilvl w:val="0"/>
                <w:numId w:val="15"/>
              </w:numPr>
              <w:tabs>
                <w:tab w:val="left" w:pos="222"/>
              </w:tabs>
              <w:spacing w:after="60"/>
              <w:ind w:left="222" w:hanging="222"/>
              <w:jc w:val="both"/>
            </w:pPr>
            <w:r w:rsidRPr="005970A0">
              <w:t>The number of training organisation identifiers that do not match the National Training Information Service (</w:t>
            </w:r>
            <w:proofErr w:type="spellStart"/>
            <w:r w:rsidRPr="005970A0">
              <w:t>NTIS</w:t>
            </w:r>
            <w:proofErr w:type="spellEnd"/>
            <w:r w:rsidRPr="005970A0">
              <w:t>) listing</w:t>
            </w:r>
          </w:p>
          <w:p w:rsidR="00A97467" w:rsidRPr="005970A0" w:rsidRDefault="00A97467" w:rsidP="00FF7E62">
            <w:pPr>
              <w:pStyle w:val="TableBodyText"/>
              <w:numPr>
                <w:ilvl w:val="0"/>
                <w:numId w:val="15"/>
              </w:numPr>
              <w:tabs>
                <w:tab w:val="left" w:pos="222"/>
              </w:tabs>
              <w:spacing w:after="60"/>
              <w:ind w:left="222" w:hanging="222"/>
              <w:jc w:val="both"/>
            </w:pPr>
            <w:r w:rsidRPr="005970A0">
              <w:t>Inappropriate training organisation delivery locations</w:t>
            </w:r>
          </w:p>
          <w:p w:rsidR="00A97467" w:rsidRPr="005970A0" w:rsidRDefault="00A97467" w:rsidP="00FF7E62">
            <w:pPr>
              <w:pStyle w:val="TableBodyText"/>
              <w:numPr>
                <w:ilvl w:val="0"/>
                <w:numId w:val="15"/>
              </w:numPr>
              <w:tabs>
                <w:tab w:val="left" w:pos="222"/>
              </w:tabs>
              <w:spacing w:after="60"/>
              <w:ind w:left="222" w:hanging="222"/>
              <w:jc w:val="both"/>
            </w:pPr>
            <w:r w:rsidRPr="005970A0">
              <w:t xml:space="preserve">The number of qualifications/courses that do not match the </w:t>
            </w:r>
            <w:proofErr w:type="spellStart"/>
            <w:r w:rsidRPr="005970A0">
              <w:t>NTIS</w:t>
            </w:r>
            <w:proofErr w:type="spellEnd"/>
            <w:r w:rsidRPr="005970A0">
              <w:t xml:space="preserve"> listing</w:t>
            </w:r>
          </w:p>
          <w:p w:rsidR="00A97467" w:rsidRPr="005970A0" w:rsidRDefault="00A97467" w:rsidP="00FF7E62">
            <w:pPr>
              <w:pStyle w:val="TableBodyText"/>
              <w:numPr>
                <w:ilvl w:val="0"/>
                <w:numId w:val="15"/>
              </w:numPr>
              <w:tabs>
                <w:tab w:val="left" w:pos="222"/>
              </w:tabs>
              <w:spacing w:after="60"/>
              <w:ind w:left="222" w:hanging="222"/>
              <w:jc w:val="both"/>
            </w:pPr>
            <w:r w:rsidRPr="005970A0">
              <w:t xml:space="preserve">The number of modules/units of competency that do not match the </w:t>
            </w:r>
            <w:proofErr w:type="spellStart"/>
            <w:r w:rsidRPr="005970A0">
              <w:t>NTIS</w:t>
            </w:r>
            <w:proofErr w:type="spellEnd"/>
            <w:r w:rsidRPr="005970A0">
              <w:t xml:space="preserve"> listing </w:t>
            </w:r>
          </w:p>
          <w:p w:rsidR="00A97467" w:rsidRPr="005970A0" w:rsidRDefault="00A97467" w:rsidP="00FF7E62">
            <w:pPr>
              <w:pStyle w:val="TableBodyText"/>
              <w:numPr>
                <w:ilvl w:val="0"/>
                <w:numId w:val="15"/>
              </w:numPr>
              <w:tabs>
                <w:tab w:val="left" w:pos="222"/>
              </w:tabs>
              <w:spacing w:after="60"/>
              <w:ind w:left="222" w:hanging="222"/>
              <w:jc w:val="both"/>
            </w:pPr>
            <w:r w:rsidRPr="005970A0">
              <w:t>Duplicate client identification</w:t>
            </w:r>
          </w:p>
          <w:p w:rsidR="00A97467" w:rsidRPr="005970A0" w:rsidRDefault="00A97467" w:rsidP="00FF7E62">
            <w:pPr>
              <w:pStyle w:val="TableBodyText"/>
              <w:numPr>
                <w:ilvl w:val="0"/>
                <w:numId w:val="15"/>
              </w:numPr>
              <w:tabs>
                <w:tab w:val="left" w:pos="222"/>
              </w:tabs>
              <w:spacing w:after="60"/>
              <w:ind w:left="222" w:hanging="222"/>
              <w:jc w:val="both"/>
            </w:pPr>
            <w:r w:rsidRPr="005970A0">
              <w:t>Duplicate qualifications completed</w:t>
            </w:r>
          </w:p>
          <w:p w:rsidR="00A97467" w:rsidRPr="005970A0" w:rsidRDefault="00A97467" w:rsidP="00FF7E62">
            <w:pPr>
              <w:pStyle w:val="TableBodyText"/>
              <w:numPr>
                <w:ilvl w:val="0"/>
                <w:numId w:val="15"/>
              </w:numPr>
              <w:tabs>
                <w:tab w:val="left" w:pos="222"/>
              </w:tabs>
              <w:spacing w:after="60"/>
              <w:ind w:left="222" w:hanging="222"/>
              <w:jc w:val="both"/>
            </w:pPr>
            <w:r w:rsidRPr="005970A0">
              <w:t>Reporting scopes</w:t>
            </w:r>
          </w:p>
          <w:p w:rsidR="00A97467" w:rsidRPr="005970A0" w:rsidRDefault="00A97467" w:rsidP="00FF7E62">
            <w:pPr>
              <w:pStyle w:val="TableBodyText"/>
              <w:numPr>
                <w:ilvl w:val="0"/>
                <w:numId w:val="15"/>
              </w:numPr>
              <w:tabs>
                <w:tab w:val="left" w:pos="222"/>
              </w:tabs>
              <w:spacing w:after="60"/>
              <w:ind w:left="222" w:hanging="222"/>
              <w:jc w:val="both"/>
            </w:pPr>
            <w:r w:rsidRPr="005970A0">
              <w:t>Funding sources</w:t>
            </w:r>
          </w:p>
          <w:p w:rsidR="00A97467" w:rsidRPr="005970A0" w:rsidRDefault="00A97467" w:rsidP="00FF7E62">
            <w:pPr>
              <w:pStyle w:val="TableBodyText"/>
              <w:numPr>
                <w:ilvl w:val="0"/>
                <w:numId w:val="15"/>
              </w:numPr>
              <w:tabs>
                <w:tab w:val="left" w:pos="222"/>
              </w:tabs>
              <w:spacing w:after="60"/>
              <w:ind w:left="222" w:hanging="222"/>
              <w:jc w:val="both"/>
              <w:rPr>
                <w:rFonts w:cs="Arial"/>
              </w:rPr>
            </w:pPr>
            <w:r w:rsidRPr="005970A0">
              <w:t>Outcome identifiers</w:t>
            </w:r>
          </w:p>
        </w:tc>
      </w:tr>
    </w:tbl>
    <w:p w:rsidR="00A97467" w:rsidRPr="005970A0" w:rsidRDefault="00A97467">
      <w:r w:rsidRPr="005970A0">
        <w:br w:type="page"/>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A97467">
        <w:tc>
          <w:tcPr>
            <w:tcW w:w="922" w:type="pct"/>
          </w:tcPr>
          <w:p w:rsidR="00A97467" w:rsidRPr="005970A0" w:rsidRDefault="00A97467" w:rsidP="00A97467">
            <w:pPr>
              <w:pStyle w:val="TableBodyText"/>
              <w:jc w:val="both"/>
              <w:rPr>
                <w:b/>
              </w:rPr>
            </w:pPr>
            <w:r w:rsidRPr="005970A0">
              <w:rPr>
                <w:b/>
              </w:rPr>
              <w:lastRenderedPageBreak/>
              <w:t>Coherence</w:t>
            </w:r>
          </w:p>
        </w:tc>
        <w:tc>
          <w:tcPr>
            <w:tcW w:w="4078" w:type="pct"/>
          </w:tcPr>
          <w:p w:rsidR="00A97467" w:rsidRPr="005970A0" w:rsidRDefault="00A97467" w:rsidP="00A97467">
            <w:pPr>
              <w:pStyle w:val="TableBodyText"/>
              <w:keepNext w:val="0"/>
              <w:keepLines w:val="0"/>
              <w:spacing w:after="120" w:line="240" w:lineRule="auto"/>
              <w:ind w:left="0" w:right="0"/>
              <w:jc w:val="both"/>
            </w:pPr>
            <w:proofErr w:type="spellStart"/>
            <w:r w:rsidRPr="005970A0">
              <w:t>AVETMISS</w:t>
            </w:r>
            <w:proofErr w:type="spellEnd"/>
            <w:r w:rsidRPr="005970A0">
              <w:t xml:space="preserve"> provides the foundation for nationally comparable data and includes a range of data items relevant to the VET system. From 2007, data comply with release 6.0 of </w:t>
            </w:r>
            <w:proofErr w:type="spellStart"/>
            <w:r w:rsidRPr="005970A0">
              <w:t>AVETMISS</w:t>
            </w:r>
            <w:proofErr w:type="spellEnd"/>
            <w:r w:rsidRPr="005970A0">
              <w:t xml:space="preserve">, whereas previous collections complied with earlier releases. For details, see </w:t>
            </w:r>
            <w:r w:rsidRPr="00D86CD7">
              <w:t>http://</w:t>
            </w:r>
            <w:proofErr w:type="spellStart"/>
            <w:r w:rsidRPr="00D86CD7">
              <w:t>www.ncver.edu.au</w:t>
            </w:r>
            <w:proofErr w:type="spellEnd"/>
            <w:r w:rsidRPr="00D86CD7">
              <w:t>/</w:t>
            </w:r>
            <w:proofErr w:type="spellStart"/>
            <w:r w:rsidRPr="00D86CD7">
              <w:t>avetmiss</w:t>
            </w:r>
            <w:proofErr w:type="spellEnd"/>
            <w:r w:rsidRPr="00D86CD7">
              <w:t>/</w:t>
            </w:r>
            <w:proofErr w:type="spellStart"/>
            <w:r w:rsidRPr="00D86CD7">
              <w:t>21055.html</w:t>
            </w:r>
            <w:proofErr w:type="spellEnd"/>
            <w:r w:rsidRPr="00EC5E2C">
              <w:t>.</w:t>
            </w:r>
            <w:r w:rsidR="00DF031A" w:rsidRPr="00EC5E2C">
              <w:t xml:space="preserve"> From 2012, data comply with release 6.1 of </w:t>
            </w:r>
            <w:proofErr w:type="spellStart"/>
            <w:r w:rsidR="00DF031A" w:rsidRPr="00EC5E2C">
              <w:t>AVETMISS</w:t>
            </w:r>
            <w:proofErr w:type="spellEnd"/>
            <w:r w:rsidR="00DF031A" w:rsidRPr="00EC5E2C">
              <w:t>, whereas previous collections complied with earlier releases. For details, see http://</w:t>
            </w:r>
            <w:proofErr w:type="spellStart"/>
            <w:r w:rsidR="00DF031A" w:rsidRPr="00EC5E2C">
              <w:t>www.ncver.edu.au</w:t>
            </w:r>
            <w:proofErr w:type="spellEnd"/>
            <w:r w:rsidR="00DF031A" w:rsidRPr="00EC5E2C">
              <w:t>/</w:t>
            </w:r>
            <w:proofErr w:type="spellStart"/>
            <w:r w:rsidR="00DF031A" w:rsidRPr="00EC5E2C">
              <w:t>avetmiss</w:t>
            </w:r>
            <w:proofErr w:type="spellEnd"/>
            <w:r w:rsidR="00DF031A" w:rsidRPr="00EC5E2C">
              <w:t>/</w:t>
            </w:r>
            <w:proofErr w:type="spellStart"/>
            <w:r w:rsidR="00DF031A" w:rsidRPr="00EC5E2C">
              <w:t>21055.html</w:t>
            </w:r>
            <w:proofErr w:type="spellEnd"/>
            <w:r w:rsidR="00DF031A" w:rsidRPr="00EC5E2C">
              <w:t>.</w:t>
            </w:r>
          </w:p>
          <w:p w:rsidR="00A97467" w:rsidRPr="005970A0" w:rsidRDefault="00A97467" w:rsidP="00A97467">
            <w:pPr>
              <w:pStyle w:val="TableBodyText"/>
              <w:keepNext w:val="0"/>
              <w:keepLines w:val="0"/>
              <w:spacing w:after="120" w:line="240" w:lineRule="auto"/>
              <w:ind w:left="0" w:right="0"/>
              <w:jc w:val="both"/>
            </w:pPr>
            <w:r w:rsidRPr="005970A0">
              <w:t>In 2007, Victoria adopted standard nominal hour values for common units of competency as the basis of calculating total annual hours of delivery, thereby achieving consistency with all other states and territories. To enable comparison over time, standard nominal hour values have been used to revise the time series back to 2002, except for Victoria, where data prior to 2007 cannot be rebased from scheduled hours to standard nominal hours.</w:t>
            </w:r>
          </w:p>
        </w:tc>
      </w:tr>
      <w:tr w:rsidR="005970A0" w:rsidRPr="005970A0" w:rsidTr="00A97467">
        <w:tc>
          <w:tcPr>
            <w:tcW w:w="922" w:type="pct"/>
          </w:tcPr>
          <w:p w:rsidR="00A97467" w:rsidRPr="005970A0" w:rsidRDefault="00A97467" w:rsidP="00A97467">
            <w:pPr>
              <w:pStyle w:val="TableBodyText"/>
              <w:jc w:val="both"/>
              <w:rPr>
                <w:b/>
              </w:rPr>
            </w:pPr>
            <w:r w:rsidRPr="005970A0">
              <w:rPr>
                <w:b/>
              </w:rPr>
              <w:t>Accessibility</w:t>
            </w:r>
          </w:p>
        </w:tc>
        <w:tc>
          <w:tcPr>
            <w:tcW w:w="4078" w:type="pct"/>
          </w:tcPr>
          <w:p w:rsidR="00A97467" w:rsidRPr="005970A0" w:rsidRDefault="00A97467" w:rsidP="00A97467">
            <w:pPr>
              <w:spacing w:after="120"/>
              <w:jc w:val="both"/>
              <w:rPr>
                <w:rFonts w:ascii="Arial" w:hAnsi="Arial" w:cs="Arial"/>
                <w:sz w:val="20"/>
                <w:szCs w:val="20"/>
              </w:rPr>
            </w:pPr>
            <w:r w:rsidRPr="005970A0">
              <w:rPr>
                <w:rFonts w:ascii="Arial" w:hAnsi="Arial" w:cs="Arial"/>
                <w:sz w:val="20"/>
                <w:szCs w:val="20"/>
              </w:rPr>
              <w:t xml:space="preserve">Summary information is available free of charge in </w:t>
            </w:r>
            <w:r w:rsidRPr="005970A0">
              <w:rPr>
                <w:rFonts w:ascii="Arial" w:hAnsi="Arial" w:cs="Arial"/>
                <w:sz w:val="20"/>
                <w:szCs w:val="20"/>
                <w:u w:val="single"/>
              </w:rPr>
              <w:t>Students and Courses</w:t>
            </w:r>
            <w:r w:rsidRPr="005970A0">
              <w:rPr>
                <w:rFonts w:ascii="Arial" w:hAnsi="Arial" w:cs="Arial"/>
                <w:sz w:val="20"/>
                <w:szCs w:val="20"/>
              </w:rPr>
              <w:t xml:space="preserve"> on </w:t>
            </w:r>
            <w:proofErr w:type="spellStart"/>
            <w:r w:rsidRPr="005970A0">
              <w:rPr>
                <w:rFonts w:ascii="Arial" w:hAnsi="Arial" w:cs="Arial"/>
                <w:sz w:val="20"/>
                <w:szCs w:val="20"/>
              </w:rPr>
              <w:t>NCVER’s</w:t>
            </w:r>
            <w:proofErr w:type="spellEnd"/>
            <w:r w:rsidRPr="005970A0">
              <w:rPr>
                <w:rFonts w:ascii="Arial" w:hAnsi="Arial" w:cs="Arial"/>
                <w:sz w:val="20"/>
                <w:szCs w:val="20"/>
              </w:rPr>
              <w:t xml:space="preserve"> website at: </w:t>
            </w:r>
            <w:r w:rsidRPr="00D86CD7">
              <w:rPr>
                <w:rFonts w:ascii="Arial" w:hAnsi="Arial" w:cs="Arial"/>
                <w:sz w:val="20"/>
                <w:szCs w:val="20"/>
              </w:rPr>
              <w:t>http://</w:t>
            </w:r>
            <w:proofErr w:type="spellStart"/>
            <w:r w:rsidRPr="00D86CD7">
              <w:rPr>
                <w:rFonts w:ascii="Arial" w:hAnsi="Arial" w:cs="Arial"/>
                <w:sz w:val="20"/>
                <w:szCs w:val="20"/>
              </w:rPr>
              <w:t>www.ncver.edu.au</w:t>
            </w:r>
            <w:proofErr w:type="spellEnd"/>
            <w:r w:rsidRPr="00D86CD7">
              <w:rPr>
                <w:rFonts w:ascii="Arial" w:hAnsi="Arial" w:cs="Arial"/>
                <w:sz w:val="20"/>
                <w:szCs w:val="20"/>
              </w:rPr>
              <w:t>/statistic/</w:t>
            </w:r>
            <w:proofErr w:type="spellStart"/>
            <w:r w:rsidRPr="00D86CD7">
              <w:rPr>
                <w:rFonts w:ascii="Arial" w:hAnsi="Arial" w:cs="Arial"/>
                <w:sz w:val="20"/>
                <w:szCs w:val="20"/>
              </w:rPr>
              <w:t>21053.html</w:t>
            </w:r>
            <w:proofErr w:type="spellEnd"/>
            <w:r w:rsidRPr="005970A0">
              <w:rPr>
                <w:rFonts w:ascii="Arial" w:hAnsi="Arial" w:cs="Arial"/>
                <w:sz w:val="20"/>
                <w:szCs w:val="20"/>
              </w:rPr>
              <w:t>. Requests for more detailed statist</w:t>
            </w:r>
            <w:r w:rsidR="007553F3" w:rsidRPr="005970A0">
              <w:rPr>
                <w:rFonts w:ascii="Arial" w:hAnsi="Arial" w:cs="Arial"/>
                <w:sz w:val="20"/>
                <w:szCs w:val="20"/>
              </w:rPr>
              <w:t xml:space="preserve">ical information can be made to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on (08) 8230 8400 or </w:t>
            </w:r>
            <w:proofErr w:type="spellStart"/>
            <w:r w:rsidRPr="005970A0">
              <w:rPr>
                <w:rFonts w:ascii="Arial" w:hAnsi="Arial" w:cs="Arial"/>
                <w:sz w:val="20"/>
                <w:szCs w:val="20"/>
                <w:u w:val="single"/>
              </w:rPr>
              <w:t>vet_req@ncver.edu.au</w:t>
            </w:r>
            <w:proofErr w:type="spellEnd"/>
          </w:p>
          <w:p w:rsidR="00A97467" w:rsidRPr="005970A0" w:rsidRDefault="00A97467" w:rsidP="00A97467">
            <w:pPr>
              <w:pStyle w:val="TableBodyText"/>
              <w:keepNext w:val="0"/>
              <w:keepLines w:val="0"/>
              <w:spacing w:after="120" w:line="240" w:lineRule="auto"/>
              <w:ind w:left="0" w:right="0"/>
              <w:jc w:val="both"/>
            </w:pPr>
            <w:r w:rsidRPr="005970A0">
              <w:rPr>
                <w:rFonts w:cs="Arial"/>
              </w:rPr>
              <w:t xml:space="preserve">A charge will be generally made by the </w:t>
            </w:r>
            <w:proofErr w:type="spellStart"/>
            <w:r w:rsidRPr="005970A0">
              <w:rPr>
                <w:rFonts w:cs="Arial"/>
              </w:rPr>
              <w:t>NCVER</w:t>
            </w:r>
            <w:proofErr w:type="spellEnd"/>
            <w:r w:rsidRPr="005970A0">
              <w:rPr>
                <w:rFonts w:cs="Arial"/>
              </w:rPr>
              <w:t xml:space="preserve"> for more complex requests for information. See </w:t>
            </w:r>
            <w:proofErr w:type="spellStart"/>
            <w:r w:rsidRPr="005970A0">
              <w:rPr>
                <w:rFonts w:cs="Arial"/>
              </w:rPr>
              <w:t>NCVER’s</w:t>
            </w:r>
            <w:proofErr w:type="spellEnd"/>
            <w:r w:rsidRPr="005970A0">
              <w:rPr>
                <w:rFonts w:cs="Arial"/>
              </w:rPr>
              <w:t xml:space="preserve"> fees and charges policy at </w:t>
            </w:r>
            <w:r w:rsidRPr="005970A0">
              <w:rPr>
                <w:rFonts w:cs="Arial"/>
                <w:u w:val="single"/>
              </w:rPr>
              <w:t>http://</w:t>
            </w:r>
            <w:proofErr w:type="spellStart"/>
            <w:r w:rsidRPr="005970A0">
              <w:rPr>
                <w:rFonts w:cs="Arial"/>
                <w:u w:val="single"/>
              </w:rPr>
              <w:t>www.ncver.edu.au</w:t>
            </w:r>
            <w:proofErr w:type="spellEnd"/>
            <w:r w:rsidRPr="005970A0">
              <w:rPr>
                <w:rFonts w:cs="Arial"/>
                <w:u w:val="single"/>
              </w:rPr>
              <w:t>/statistic/</w:t>
            </w:r>
            <w:proofErr w:type="spellStart"/>
            <w:r w:rsidRPr="005970A0">
              <w:rPr>
                <w:rFonts w:cs="Arial"/>
                <w:u w:val="single"/>
              </w:rPr>
              <w:t>21075.html</w:t>
            </w:r>
            <w:proofErr w:type="spellEnd"/>
          </w:p>
        </w:tc>
      </w:tr>
      <w:tr w:rsidR="005970A0" w:rsidRPr="005970A0" w:rsidTr="00A97467">
        <w:tc>
          <w:tcPr>
            <w:tcW w:w="922" w:type="pct"/>
          </w:tcPr>
          <w:p w:rsidR="00A97467" w:rsidRPr="005970A0" w:rsidRDefault="00A97467" w:rsidP="00A97467">
            <w:pPr>
              <w:pStyle w:val="TableBodyText"/>
              <w:jc w:val="both"/>
              <w:rPr>
                <w:b/>
              </w:rPr>
            </w:pPr>
            <w:r w:rsidRPr="005970A0">
              <w:rPr>
                <w:b/>
              </w:rPr>
              <w:t>Interpretability</w:t>
            </w:r>
          </w:p>
        </w:tc>
        <w:tc>
          <w:tcPr>
            <w:tcW w:w="4078" w:type="pct"/>
          </w:tcPr>
          <w:p w:rsidR="00A97467" w:rsidRPr="005970A0" w:rsidRDefault="00A97467" w:rsidP="00A97467">
            <w:pPr>
              <w:spacing w:after="120"/>
              <w:jc w:val="both"/>
              <w:rPr>
                <w:rFonts w:ascii="Arial" w:hAnsi="Arial" w:cs="Arial"/>
                <w:sz w:val="20"/>
                <w:szCs w:val="20"/>
              </w:rPr>
            </w:pPr>
            <w:r w:rsidRPr="005970A0">
              <w:rPr>
                <w:rFonts w:ascii="Arial" w:hAnsi="Arial" w:cs="Arial"/>
                <w:sz w:val="20"/>
                <w:szCs w:val="20"/>
              </w:rPr>
              <w:t xml:space="preserve">To aid interpretation, information on the National VET Provider Collection, </w:t>
            </w:r>
            <w:proofErr w:type="spellStart"/>
            <w:r w:rsidRPr="005970A0">
              <w:rPr>
                <w:rFonts w:ascii="Arial" w:hAnsi="Arial" w:cs="Arial"/>
                <w:sz w:val="20"/>
                <w:szCs w:val="20"/>
              </w:rPr>
              <w:t>AVETMISS</w:t>
            </w:r>
            <w:proofErr w:type="spellEnd"/>
            <w:r w:rsidRPr="005970A0">
              <w:rPr>
                <w:rFonts w:ascii="Arial" w:hAnsi="Arial" w:cs="Arial"/>
                <w:sz w:val="20"/>
                <w:szCs w:val="20"/>
              </w:rPr>
              <w:t xml:space="preserve">, and Students and Courses is available on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website.</w:t>
            </w:r>
          </w:p>
          <w:p w:rsidR="00A97467" w:rsidRPr="005970A0" w:rsidRDefault="00A97467" w:rsidP="00A97467">
            <w:pPr>
              <w:spacing w:after="120"/>
              <w:jc w:val="both"/>
              <w:rPr>
                <w:rFonts w:ascii="Arial" w:hAnsi="Arial" w:cs="Arial"/>
                <w:sz w:val="20"/>
                <w:szCs w:val="20"/>
              </w:rPr>
            </w:pPr>
            <w:r w:rsidRPr="005970A0">
              <w:rPr>
                <w:rFonts w:ascii="Arial" w:hAnsi="Arial" w:cs="Arial"/>
                <w:sz w:val="20"/>
                <w:szCs w:val="20"/>
              </w:rPr>
              <w:t xml:space="preserve">Among other standards detailed in </w:t>
            </w:r>
            <w:proofErr w:type="spellStart"/>
            <w:r w:rsidRPr="005970A0">
              <w:rPr>
                <w:rFonts w:ascii="Arial" w:hAnsi="Arial" w:cs="Arial"/>
                <w:sz w:val="20"/>
                <w:szCs w:val="20"/>
              </w:rPr>
              <w:t>AVETMISS</w:t>
            </w:r>
            <w:proofErr w:type="spellEnd"/>
            <w:r w:rsidRPr="005970A0">
              <w:rPr>
                <w:rFonts w:ascii="Arial" w:hAnsi="Arial" w:cs="Arial"/>
                <w:sz w:val="20"/>
                <w:szCs w:val="20"/>
              </w:rPr>
              <w:t>, the collection uses the:</w:t>
            </w:r>
          </w:p>
          <w:p w:rsidR="00A97467" w:rsidRPr="005970A0" w:rsidRDefault="00A97467" w:rsidP="00FF7E62">
            <w:pPr>
              <w:numPr>
                <w:ilvl w:val="0"/>
                <w:numId w:val="25"/>
              </w:numPr>
              <w:tabs>
                <w:tab w:val="clear" w:pos="720"/>
                <w:tab w:val="num" w:pos="179"/>
              </w:tabs>
              <w:autoSpaceDE w:val="0"/>
              <w:autoSpaceDN w:val="0"/>
              <w:adjustRightInd w:val="0"/>
              <w:spacing w:after="60" w:line="240" w:lineRule="atLeast"/>
              <w:ind w:left="179" w:hanging="177"/>
              <w:jc w:val="both"/>
              <w:rPr>
                <w:rFonts w:ascii="Arial" w:hAnsi="Arial" w:cs="Arial"/>
                <w:sz w:val="20"/>
                <w:szCs w:val="20"/>
              </w:rPr>
            </w:pPr>
            <w:r w:rsidRPr="005970A0">
              <w:rPr>
                <w:rFonts w:ascii="Arial" w:hAnsi="Arial" w:cs="Arial"/>
                <w:bCs/>
                <w:sz w:val="20"/>
                <w:szCs w:val="20"/>
                <w:u w:val="single"/>
              </w:rPr>
              <w:t>Australian Classification of Education (</w:t>
            </w:r>
            <w:proofErr w:type="spellStart"/>
            <w:r w:rsidRPr="005970A0">
              <w:rPr>
                <w:rFonts w:ascii="Arial" w:hAnsi="Arial" w:cs="Arial"/>
                <w:bCs/>
                <w:sz w:val="20"/>
                <w:szCs w:val="20"/>
                <w:u w:val="single"/>
              </w:rPr>
              <w:t>ASCED</w:t>
            </w:r>
            <w:proofErr w:type="spellEnd"/>
            <w:r w:rsidRPr="005970A0">
              <w:rPr>
                <w:rFonts w:ascii="Arial" w:hAnsi="Arial" w:cs="Arial"/>
                <w:bCs/>
                <w:sz w:val="20"/>
                <w:szCs w:val="20"/>
                <w:u w:val="single"/>
              </w:rPr>
              <w:t>) (ABS cat. no. 1272.0)</w:t>
            </w:r>
            <w:r w:rsidRPr="005970A0">
              <w:rPr>
                <w:rFonts w:ascii="Arial" w:hAnsi="Arial" w:cs="Arial"/>
                <w:sz w:val="20"/>
                <w:szCs w:val="20"/>
              </w:rPr>
              <w:t xml:space="preserve"> to classify the level and field of education</w:t>
            </w:r>
          </w:p>
          <w:p w:rsidR="00A97467" w:rsidRPr="005970A0" w:rsidRDefault="00A97467" w:rsidP="00FF7E62">
            <w:pPr>
              <w:numPr>
                <w:ilvl w:val="0"/>
                <w:numId w:val="25"/>
              </w:numPr>
              <w:tabs>
                <w:tab w:val="clear" w:pos="720"/>
                <w:tab w:val="num" w:pos="179"/>
              </w:tabs>
              <w:autoSpaceDE w:val="0"/>
              <w:autoSpaceDN w:val="0"/>
              <w:adjustRightInd w:val="0"/>
              <w:spacing w:after="60" w:line="240" w:lineRule="atLeast"/>
              <w:ind w:left="179" w:hanging="177"/>
              <w:jc w:val="both"/>
              <w:rPr>
                <w:rFonts w:ascii="Arial" w:hAnsi="Arial" w:cs="Arial"/>
                <w:sz w:val="20"/>
                <w:szCs w:val="20"/>
              </w:rPr>
            </w:pPr>
            <w:r w:rsidRPr="00D86CD7">
              <w:rPr>
                <w:rFonts w:ascii="Arial" w:hAnsi="Arial" w:cs="Arial"/>
                <w:sz w:val="20"/>
                <w:szCs w:val="20"/>
              </w:rPr>
              <w:t>Australian and New Zealand Standard Classification of Occupations (</w:t>
            </w:r>
            <w:proofErr w:type="spellStart"/>
            <w:r w:rsidRPr="00D86CD7">
              <w:rPr>
                <w:rFonts w:ascii="Arial" w:hAnsi="Arial" w:cs="Arial"/>
                <w:sz w:val="20"/>
                <w:szCs w:val="20"/>
              </w:rPr>
              <w:t>ANZSCO</w:t>
            </w:r>
            <w:proofErr w:type="spellEnd"/>
            <w:r w:rsidRPr="00D86CD7">
              <w:rPr>
                <w:rFonts w:ascii="Arial" w:hAnsi="Arial" w:cs="Arial"/>
                <w:sz w:val="20"/>
                <w:szCs w:val="20"/>
              </w:rPr>
              <w:t xml:space="preserve">, previously </w:t>
            </w:r>
            <w:proofErr w:type="spellStart"/>
            <w:r w:rsidRPr="00D86CD7">
              <w:rPr>
                <w:rFonts w:ascii="Arial" w:hAnsi="Arial" w:cs="Arial"/>
                <w:sz w:val="20"/>
                <w:szCs w:val="20"/>
              </w:rPr>
              <w:t>ASCO</w:t>
            </w:r>
            <w:proofErr w:type="spellEnd"/>
            <w:r w:rsidRPr="00D86CD7">
              <w:rPr>
                <w:rFonts w:ascii="Arial" w:hAnsi="Arial" w:cs="Arial"/>
                <w:sz w:val="20"/>
                <w:szCs w:val="20"/>
              </w:rPr>
              <w:t>) (ABS cat. no. 1220.0)</w:t>
            </w:r>
            <w:r w:rsidRPr="005970A0">
              <w:rPr>
                <w:rFonts w:ascii="Arial" w:hAnsi="Arial" w:cs="Arial"/>
                <w:sz w:val="20"/>
                <w:szCs w:val="20"/>
              </w:rPr>
              <w:t xml:space="preserve"> to classify occupation</w:t>
            </w:r>
          </w:p>
          <w:p w:rsidR="00A97467" w:rsidRPr="004A75E6" w:rsidRDefault="00A97467" w:rsidP="00FF7E62">
            <w:pPr>
              <w:pStyle w:val="TableBullet"/>
              <w:numPr>
                <w:ilvl w:val="0"/>
                <w:numId w:val="25"/>
              </w:numPr>
              <w:tabs>
                <w:tab w:val="clear" w:pos="720"/>
                <w:tab w:val="num" w:pos="179"/>
              </w:tabs>
              <w:spacing w:after="60"/>
              <w:ind w:left="179" w:hanging="177"/>
              <w:jc w:val="both"/>
            </w:pPr>
            <w:r w:rsidRPr="005970A0">
              <w:rPr>
                <w:rFonts w:cs="Arial"/>
                <w:u w:val="single"/>
              </w:rPr>
              <w:t>Access/Remoteness Index of Australia (ARIA+)</w:t>
            </w:r>
            <w:r w:rsidRPr="005970A0">
              <w:rPr>
                <w:rFonts w:cs="Arial"/>
              </w:rPr>
              <w:t xml:space="preserve"> to classify remoteness. It was developed by the National Centre for Applications of Geographic Information Systems </w:t>
            </w:r>
            <w:r w:rsidRPr="005970A0">
              <w:rPr>
                <w:rFonts w:cs="Arial"/>
                <w:u w:val="single"/>
              </w:rPr>
              <w:t>(</w:t>
            </w:r>
            <w:proofErr w:type="spellStart"/>
            <w:r w:rsidRPr="005970A0">
              <w:rPr>
                <w:rFonts w:cs="Arial"/>
                <w:u w:val="single"/>
              </w:rPr>
              <w:t>GISCA</w:t>
            </w:r>
            <w:proofErr w:type="spellEnd"/>
            <w:r w:rsidRPr="005970A0">
              <w:rPr>
                <w:rFonts w:cs="Arial"/>
                <w:u w:val="single"/>
              </w:rPr>
              <w:t>)</w:t>
            </w:r>
            <w:r w:rsidRPr="005970A0">
              <w:rPr>
                <w:rFonts w:cs="Arial"/>
              </w:rPr>
              <w:t xml:space="preserve"> and is the standard ABS endorsed measure of remoteness.</w:t>
            </w:r>
          </w:p>
          <w:p w:rsidR="004A75E6" w:rsidRPr="005970A0" w:rsidRDefault="004A75E6" w:rsidP="004A75E6">
            <w:pPr>
              <w:pStyle w:val="TableBullet"/>
              <w:numPr>
                <w:ilvl w:val="0"/>
                <w:numId w:val="0"/>
              </w:numPr>
              <w:spacing w:after="60"/>
              <w:ind w:left="2"/>
              <w:jc w:val="both"/>
            </w:pPr>
            <w:r w:rsidRPr="00EC5E2C">
              <w:t>Student remoteness is based on the Access/Remoteness Index of Australia (ARIA+), which was developed by the National Centre for Social Applications of Geographic Information Systems (</w:t>
            </w:r>
            <w:proofErr w:type="spellStart"/>
            <w:r w:rsidRPr="00EC5E2C">
              <w:t>GISCA</w:t>
            </w:r>
            <w:proofErr w:type="spellEnd"/>
            <w:r w:rsidRPr="00EC5E2C">
              <w:t xml:space="preserve">). ARIA+ is now the standard ABS-endorsed measure of remoteness. From 2011, Student remoteness (ARIA+) is determined from ARIA+ remoteness regions and ABS </w:t>
            </w:r>
            <w:proofErr w:type="spellStart"/>
            <w:r w:rsidRPr="00EC5E2C">
              <w:t>SA2</w:t>
            </w:r>
            <w:proofErr w:type="spellEnd"/>
            <w:r w:rsidRPr="00EC5E2C">
              <w:t xml:space="preserve"> regions. Data prior to 2011 is based on ABS postal areas and ARIA+. Student remoteness (ARIA+) regions use the same ARIA+ ranges as the ABS remoteness areas and are therefore an approximation of the ABS remoteness areas. For more details of ARIA+ refer to &lt;www.adelaide.edu.au/apmrc/research/projects/category/about_aria.html&gt;</w:t>
            </w:r>
          </w:p>
        </w:tc>
      </w:tr>
      <w:tr w:rsidR="005970A0" w:rsidRPr="005970A0" w:rsidTr="00A97467">
        <w:tc>
          <w:tcPr>
            <w:tcW w:w="5000" w:type="pct"/>
            <w:gridSpan w:val="2"/>
            <w:shd w:val="clear" w:color="auto" w:fill="auto"/>
          </w:tcPr>
          <w:p w:rsidR="00A97467" w:rsidRPr="005970A0" w:rsidRDefault="00A97467" w:rsidP="00A97467">
            <w:pPr>
              <w:pStyle w:val="TableBodyText"/>
              <w:jc w:val="both"/>
              <w:rPr>
                <w:b/>
                <w:u w:val="single"/>
              </w:rPr>
            </w:pPr>
          </w:p>
          <w:p w:rsidR="00A97467" w:rsidRPr="005970A0" w:rsidRDefault="00A97467" w:rsidP="00A97467">
            <w:pPr>
              <w:pStyle w:val="TableBodyText"/>
              <w:jc w:val="both"/>
              <w:rPr>
                <w:b/>
                <w:u w:val="single"/>
              </w:rPr>
            </w:pPr>
            <w:r w:rsidRPr="005970A0">
              <w:rPr>
                <w:b/>
                <w:u w:val="single"/>
              </w:rPr>
              <w:t>Data Gaps/Issues Analysis</w:t>
            </w:r>
          </w:p>
        </w:tc>
      </w:tr>
      <w:tr w:rsidR="00A97467" w:rsidRPr="005970A0" w:rsidTr="00A97467">
        <w:tc>
          <w:tcPr>
            <w:tcW w:w="922" w:type="pct"/>
            <w:shd w:val="clear" w:color="auto" w:fill="auto"/>
          </w:tcPr>
          <w:p w:rsidR="00A97467" w:rsidRPr="005970A0" w:rsidRDefault="00A97467" w:rsidP="00A97467">
            <w:pPr>
              <w:pStyle w:val="TableBodyText"/>
              <w:jc w:val="both"/>
              <w:rPr>
                <w:b/>
              </w:rPr>
            </w:pPr>
            <w:r w:rsidRPr="005970A0">
              <w:rPr>
                <w:b/>
              </w:rPr>
              <w:t>Key data gaps/ issues</w:t>
            </w:r>
          </w:p>
        </w:tc>
        <w:tc>
          <w:tcPr>
            <w:tcW w:w="4078" w:type="pct"/>
            <w:shd w:val="clear" w:color="auto" w:fill="auto"/>
          </w:tcPr>
          <w:p w:rsidR="00A97467" w:rsidRPr="005970A0" w:rsidRDefault="00A97467" w:rsidP="00A97467">
            <w:pPr>
              <w:pStyle w:val="TableBodyText"/>
              <w:keepNext w:val="0"/>
              <w:keepLines w:val="0"/>
              <w:spacing w:after="120" w:line="240" w:lineRule="auto"/>
              <w:ind w:left="0" w:right="0"/>
              <w:jc w:val="both"/>
            </w:pPr>
            <w:r w:rsidRPr="005970A0">
              <w:t xml:space="preserve">The Steering Committee notes the following key data gaps/issues: </w:t>
            </w:r>
          </w:p>
          <w:p w:rsidR="00A97467" w:rsidRPr="005970A0" w:rsidRDefault="00A97467" w:rsidP="00FF7E62">
            <w:pPr>
              <w:pStyle w:val="TableBodyText"/>
              <w:numPr>
                <w:ilvl w:val="0"/>
                <w:numId w:val="15"/>
              </w:numPr>
              <w:tabs>
                <w:tab w:val="left" w:pos="222"/>
              </w:tabs>
              <w:spacing w:after="60"/>
              <w:ind w:left="222" w:hanging="222"/>
              <w:jc w:val="both"/>
            </w:pPr>
            <w:r w:rsidRPr="005970A0">
              <w:t>Load pass rate is a measure of students’ success, which has an impact on a student’s attainment of skills. High ‘load pass rates’ and ‘number of students who commenced and completed’ indicate that student achievement is high, which is desirable. The rates for target groups, relative to those for the general student population, indicate whether students from target groups are as successful as other students.</w:t>
            </w:r>
          </w:p>
          <w:p w:rsidR="00A97467" w:rsidRPr="005970A0" w:rsidRDefault="00A97467" w:rsidP="00FF7E62">
            <w:pPr>
              <w:pStyle w:val="TableBodyText"/>
              <w:numPr>
                <w:ilvl w:val="0"/>
                <w:numId w:val="15"/>
              </w:numPr>
              <w:tabs>
                <w:tab w:val="left" w:pos="222"/>
              </w:tabs>
              <w:spacing w:after="60"/>
              <w:ind w:left="222" w:hanging="222"/>
              <w:jc w:val="both"/>
            </w:pPr>
            <w:r w:rsidRPr="005970A0">
              <w:t xml:space="preserve">Care needs to be taken in comparing data across jurisdictions because average module durations vary across jurisdictions. </w:t>
            </w:r>
          </w:p>
        </w:tc>
      </w:tr>
    </w:tbl>
    <w:p w:rsidR="007056F1" w:rsidRPr="005970A0" w:rsidRDefault="007056F1" w:rsidP="00A00BBA">
      <w:pPr>
        <w:pStyle w:val="Heading3"/>
        <w:spacing w:before="120"/>
      </w:pPr>
      <w:r w:rsidRPr="005970A0">
        <w:br w:type="column"/>
      </w:r>
      <w:bookmarkStart w:id="29" w:name="_Toc370472626"/>
      <w:r w:rsidRPr="005970A0">
        <w:lastRenderedPageBreak/>
        <w:t xml:space="preserve">Student achievement in VET — </w:t>
      </w:r>
      <w:r w:rsidR="00C30F95" w:rsidRPr="005970A0">
        <w:t>proportion of VET graduates with improved education/training status after training</w:t>
      </w:r>
      <w:bookmarkEnd w:id="29"/>
    </w:p>
    <w:p w:rsidR="007056F1" w:rsidRPr="005970A0" w:rsidRDefault="001305D2" w:rsidP="007056F1">
      <w:pPr>
        <w:pStyle w:val="Box"/>
      </w:pPr>
      <w:r w:rsidRPr="005970A0">
        <w:t xml:space="preserve">Data quality information for this indicator has been sourced from the Steering Committee’s report to the </w:t>
      </w:r>
      <w:proofErr w:type="spellStart"/>
      <w:r w:rsidRPr="005970A0">
        <w:t>COAG</w:t>
      </w:r>
      <w:proofErr w:type="spellEnd"/>
      <w:r w:rsidRPr="005970A0">
        <w:t xml:space="preserve"> Reform Council on the </w:t>
      </w:r>
      <w:r w:rsidRPr="005970A0">
        <w:rPr>
          <w:i/>
        </w:rPr>
        <w:t xml:space="preserve">National Agreement for Skills and Workforce Development </w:t>
      </w:r>
      <w:r w:rsidRPr="005970A0">
        <w:t xml:space="preserve">(data supplied by </w:t>
      </w:r>
      <w:proofErr w:type="spellStart"/>
      <w:r w:rsidRPr="005970A0">
        <w:t>NCVER</w:t>
      </w:r>
      <w:proofErr w:type="spellEnd"/>
      <w:r w:rsidRPr="005970A0">
        <w:t>) with additional Steering Committee comments.</w:t>
      </w:r>
    </w:p>
    <w:tbl>
      <w:tblPr>
        <w:tblW w:w="5000" w:type="pct"/>
        <w:tblCellMar>
          <w:left w:w="0" w:type="dxa"/>
          <w:right w:w="0" w:type="dxa"/>
        </w:tblCellMar>
        <w:tblLook w:val="0000" w:firstRow="0" w:lastRow="0" w:firstColumn="0" w:lastColumn="0" w:noHBand="0" w:noVBand="0"/>
      </w:tblPr>
      <w:tblGrid>
        <w:gridCol w:w="1559"/>
        <w:gridCol w:w="7230"/>
      </w:tblGrid>
      <w:tr w:rsidR="005970A0" w:rsidRPr="005970A0" w:rsidTr="00504F21">
        <w:tc>
          <w:tcPr>
            <w:tcW w:w="5000" w:type="pct"/>
            <w:gridSpan w:val="2"/>
          </w:tcPr>
          <w:p w:rsidR="007056F1" w:rsidRPr="005970A0" w:rsidRDefault="007056F1" w:rsidP="007056F1">
            <w:pPr>
              <w:pStyle w:val="TableBodyText"/>
              <w:jc w:val="both"/>
              <w:rPr>
                <w:b/>
                <w:u w:val="single"/>
              </w:rPr>
            </w:pPr>
          </w:p>
          <w:p w:rsidR="007056F1" w:rsidRPr="005970A0" w:rsidRDefault="007056F1" w:rsidP="007056F1">
            <w:pPr>
              <w:pStyle w:val="TableBodyText"/>
              <w:jc w:val="both"/>
            </w:pPr>
            <w:r w:rsidRPr="005970A0">
              <w:rPr>
                <w:b/>
                <w:u w:val="single"/>
              </w:rPr>
              <w:t>Indicator definition and description</w:t>
            </w:r>
            <w:r w:rsidRPr="005970A0">
              <w:rPr>
                <w:rFonts w:cs="Arial"/>
                <w:b/>
                <w:sz w:val="22"/>
                <w:szCs w:val="22"/>
                <w:u w:val="single"/>
              </w:rPr>
              <w:t xml:space="preserve"> </w:t>
            </w:r>
          </w:p>
        </w:tc>
      </w:tr>
      <w:tr w:rsidR="005970A0" w:rsidRPr="005970A0" w:rsidTr="00504F21">
        <w:tc>
          <w:tcPr>
            <w:tcW w:w="887" w:type="pct"/>
          </w:tcPr>
          <w:p w:rsidR="007056F1" w:rsidRPr="005970A0" w:rsidRDefault="007056F1" w:rsidP="007056F1">
            <w:pPr>
              <w:pStyle w:val="TableBodyText"/>
              <w:jc w:val="both"/>
              <w:rPr>
                <w:b/>
              </w:rPr>
            </w:pPr>
            <w:r w:rsidRPr="005970A0">
              <w:rPr>
                <w:b/>
              </w:rPr>
              <w:t>Element</w:t>
            </w:r>
          </w:p>
        </w:tc>
        <w:tc>
          <w:tcPr>
            <w:tcW w:w="4113" w:type="pct"/>
          </w:tcPr>
          <w:p w:rsidR="007056F1" w:rsidRPr="005970A0" w:rsidRDefault="007056F1" w:rsidP="007056F1">
            <w:pPr>
              <w:pStyle w:val="TableBodyText"/>
              <w:keepNext w:val="0"/>
              <w:keepLines w:val="0"/>
              <w:spacing w:after="120" w:line="240" w:lineRule="auto"/>
              <w:ind w:left="0" w:right="0"/>
              <w:jc w:val="both"/>
            </w:pPr>
            <w:r w:rsidRPr="005970A0">
              <w:t>Outcomes.</w:t>
            </w:r>
          </w:p>
        </w:tc>
      </w:tr>
      <w:tr w:rsidR="005970A0" w:rsidRPr="005970A0" w:rsidTr="00504F21">
        <w:tc>
          <w:tcPr>
            <w:tcW w:w="887" w:type="pct"/>
          </w:tcPr>
          <w:p w:rsidR="007056F1" w:rsidRPr="005970A0" w:rsidRDefault="007056F1" w:rsidP="007056F1">
            <w:pPr>
              <w:pStyle w:val="TableBodyText"/>
              <w:jc w:val="both"/>
              <w:rPr>
                <w:b/>
              </w:rPr>
            </w:pPr>
            <w:r w:rsidRPr="005970A0">
              <w:rPr>
                <w:b/>
              </w:rPr>
              <w:t>Indicator</w:t>
            </w:r>
          </w:p>
        </w:tc>
        <w:tc>
          <w:tcPr>
            <w:tcW w:w="4113" w:type="pct"/>
          </w:tcPr>
          <w:p w:rsidR="007056F1" w:rsidRPr="005970A0" w:rsidRDefault="007056F1" w:rsidP="00A239BB">
            <w:pPr>
              <w:pStyle w:val="TableBodyText"/>
              <w:keepNext w:val="0"/>
              <w:keepLines w:val="0"/>
              <w:spacing w:after="120" w:line="240" w:lineRule="auto"/>
              <w:ind w:left="0" w:right="0"/>
              <w:jc w:val="both"/>
            </w:pPr>
            <w:r w:rsidRPr="005970A0">
              <w:t>Student achieveme</w:t>
            </w:r>
            <w:r w:rsidR="00C30F95" w:rsidRPr="005970A0">
              <w:t>nt in VET</w:t>
            </w:r>
          </w:p>
        </w:tc>
      </w:tr>
      <w:tr w:rsidR="005970A0" w:rsidRPr="005970A0" w:rsidTr="00504F21">
        <w:tc>
          <w:tcPr>
            <w:tcW w:w="887" w:type="pct"/>
          </w:tcPr>
          <w:p w:rsidR="007056F1" w:rsidRPr="005970A0" w:rsidRDefault="007056F1" w:rsidP="007056F1">
            <w:pPr>
              <w:pStyle w:val="TableBodyText"/>
              <w:jc w:val="both"/>
              <w:rPr>
                <w:b/>
              </w:rPr>
            </w:pPr>
            <w:r w:rsidRPr="005970A0">
              <w:rPr>
                <w:b/>
              </w:rPr>
              <w:t>Measure (computation)</w:t>
            </w:r>
          </w:p>
        </w:tc>
        <w:tc>
          <w:tcPr>
            <w:tcW w:w="4113" w:type="pct"/>
          </w:tcPr>
          <w:p w:rsidR="007056F1" w:rsidRPr="005970A0" w:rsidRDefault="007056F1" w:rsidP="007056F1">
            <w:pPr>
              <w:pStyle w:val="TableBodyText"/>
              <w:jc w:val="both"/>
            </w:pPr>
            <w:r w:rsidRPr="005970A0">
              <w:t>Definition</w:t>
            </w:r>
          </w:p>
          <w:p w:rsidR="007056F1" w:rsidRPr="005970A0" w:rsidRDefault="00A200CD" w:rsidP="007056F1">
            <w:pPr>
              <w:pStyle w:val="TableBodyText"/>
              <w:keepNext w:val="0"/>
              <w:keepLines w:val="0"/>
              <w:spacing w:after="120" w:line="240" w:lineRule="auto"/>
              <w:ind w:left="0" w:right="0"/>
              <w:jc w:val="both"/>
            </w:pPr>
            <w:r w:rsidRPr="005970A0">
              <w:t xml:space="preserve">The number of VET qualifications completed by students who have completed a course at a higher education level than their previous highest education level achieved (based on </w:t>
            </w:r>
            <w:proofErr w:type="spellStart"/>
            <w:r w:rsidRPr="005970A0">
              <w:t>AQF</w:t>
            </w:r>
            <w:proofErr w:type="spellEnd"/>
            <w:r w:rsidRPr="005970A0">
              <w:t>), as a proportion of the number of VET course enrolments.</w:t>
            </w:r>
          </w:p>
          <w:p w:rsidR="007056F1" w:rsidRPr="005970A0" w:rsidRDefault="007056F1" w:rsidP="007056F1">
            <w:pPr>
              <w:pStyle w:val="TableBodyText"/>
              <w:jc w:val="both"/>
            </w:pPr>
            <w:r w:rsidRPr="005970A0">
              <w:t>Numerator/s</w:t>
            </w:r>
          </w:p>
          <w:p w:rsidR="007056F1" w:rsidRPr="005970A0" w:rsidRDefault="006820B5" w:rsidP="007056F1">
            <w:pPr>
              <w:pStyle w:val="TableBodyText"/>
              <w:keepNext w:val="0"/>
              <w:keepLines w:val="0"/>
              <w:spacing w:after="120" w:line="240" w:lineRule="auto"/>
              <w:ind w:left="0" w:right="0"/>
              <w:jc w:val="both"/>
            </w:pPr>
            <w:r w:rsidRPr="005970A0">
              <w:t xml:space="preserve">The number of VET </w:t>
            </w:r>
            <w:proofErr w:type="spellStart"/>
            <w:r w:rsidRPr="005970A0">
              <w:t>AQF</w:t>
            </w:r>
            <w:proofErr w:type="spellEnd"/>
            <w:r w:rsidRPr="005970A0">
              <w:t xml:space="preserve"> qualification completions by students who have completed a course at a higher education level than their previous highest education level</w:t>
            </w:r>
          </w:p>
          <w:p w:rsidR="007056F1" w:rsidRPr="005970A0" w:rsidRDefault="007056F1" w:rsidP="007056F1">
            <w:pPr>
              <w:pStyle w:val="TableBodyText"/>
              <w:jc w:val="both"/>
            </w:pPr>
            <w:r w:rsidRPr="005970A0">
              <w:t>Denominator/s</w:t>
            </w:r>
          </w:p>
          <w:p w:rsidR="007056F1" w:rsidRPr="005970A0" w:rsidRDefault="006820B5" w:rsidP="007056F1">
            <w:pPr>
              <w:pStyle w:val="TableBodyText"/>
              <w:keepNext w:val="0"/>
              <w:keepLines w:val="0"/>
              <w:spacing w:after="120" w:line="240" w:lineRule="auto"/>
              <w:ind w:left="0" w:right="0"/>
              <w:jc w:val="both"/>
            </w:pPr>
            <w:r w:rsidRPr="005970A0">
              <w:t xml:space="preserve">The number of VET </w:t>
            </w:r>
            <w:proofErr w:type="spellStart"/>
            <w:r w:rsidRPr="005970A0">
              <w:t>AQF</w:t>
            </w:r>
            <w:proofErr w:type="spellEnd"/>
            <w:r w:rsidRPr="005970A0">
              <w:t xml:space="preserve"> course enrolments.</w:t>
            </w:r>
          </w:p>
          <w:p w:rsidR="007056F1" w:rsidRPr="005970A0" w:rsidRDefault="007056F1" w:rsidP="007056F1">
            <w:pPr>
              <w:pStyle w:val="TableBodyText"/>
              <w:jc w:val="both"/>
            </w:pPr>
            <w:r w:rsidRPr="005970A0">
              <w:t>Computation/s:</w:t>
            </w:r>
          </w:p>
          <w:p w:rsidR="007056F1" w:rsidRPr="005970A0" w:rsidRDefault="007056F1" w:rsidP="005A1D61">
            <w:pPr>
              <w:pStyle w:val="TableBodyText"/>
              <w:keepNext w:val="0"/>
              <w:keepLines w:val="0"/>
              <w:spacing w:after="60" w:line="240" w:lineRule="auto"/>
              <w:ind w:left="0" w:right="0"/>
              <w:jc w:val="both"/>
            </w:pPr>
            <w:r w:rsidRPr="005970A0">
              <w:t>Numerator (above) divided by denominator (above), calculated separately for all VET students and:</w:t>
            </w:r>
          </w:p>
          <w:p w:rsidR="007056F1" w:rsidRPr="005970A0" w:rsidRDefault="007056F1" w:rsidP="00FF7E62">
            <w:pPr>
              <w:pStyle w:val="TableBodyText"/>
              <w:numPr>
                <w:ilvl w:val="0"/>
                <w:numId w:val="15"/>
              </w:numPr>
              <w:tabs>
                <w:tab w:val="left" w:pos="222"/>
              </w:tabs>
              <w:spacing w:after="60"/>
              <w:ind w:left="222" w:hanging="222"/>
              <w:jc w:val="both"/>
            </w:pPr>
            <w:r w:rsidRPr="005970A0">
              <w:t xml:space="preserve">students </w:t>
            </w:r>
            <w:r w:rsidR="006820B5" w:rsidRPr="005970A0">
              <w:t>aged 20-64 years</w:t>
            </w:r>
          </w:p>
          <w:p w:rsidR="006820B5" w:rsidRPr="005970A0" w:rsidRDefault="006820B5" w:rsidP="00FF7E62">
            <w:pPr>
              <w:pStyle w:val="TableBodyText"/>
              <w:numPr>
                <w:ilvl w:val="0"/>
                <w:numId w:val="15"/>
              </w:numPr>
              <w:tabs>
                <w:tab w:val="left" w:pos="222"/>
              </w:tabs>
              <w:spacing w:after="60"/>
              <w:ind w:left="222" w:hanging="222"/>
              <w:jc w:val="both"/>
            </w:pPr>
            <w:r w:rsidRPr="005970A0">
              <w:t>students by Indigenous status</w:t>
            </w:r>
          </w:p>
          <w:p w:rsidR="007056F1" w:rsidRPr="005970A0" w:rsidRDefault="007056F1" w:rsidP="00FF7E62">
            <w:pPr>
              <w:pStyle w:val="TableBodyText"/>
              <w:numPr>
                <w:ilvl w:val="0"/>
                <w:numId w:val="15"/>
              </w:numPr>
              <w:tabs>
                <w:tab w:val="left" w:pos="222"/>
              </w:tabs>
              <w:spacing w:after="60"/>
              <w:ind w:left="222" w:hanging="222"/>
              <w:jc w:val="both"/>
            </w:pPr>
            <w:r w:rsidRPr="005970A0">
              <w:t xml:space="preserve">students </w:t>
            </w:r>
            <w:r w:rsidR="007C43EC" w:rsidRPr="005970A0">
              <w:t>by remoteness (based on students’ home postcode)</w:t>
            </w:r>
            <w:r w:rsidR="006820B5" w:rsidRPr="005970A0">
              <w:t>.</w:t>
            </w:r>
          </w:p>
          <w:p w:rsidR="005A1D61" w:rsidRPr="005970A0" w:rsidRDefault="005A1D61" w:rsidP="005A1D61">
            <w:pPr>
              <w:pStyle w:val="TableBodyText"/>
              <w:keepNext w:val="0"/>
              <w:keepLines w:val="0"/>
              <w:spacing w:before="120" w:after="60" w:line="240" w:lineRule="auto"/>
              <w:ind w:left="0" w:right="0"/>
              <w:jc w:val="both"/>
            </w:pPr>
            <w:r w:rsidRPr="005970A0">
              <w:t>The hierarchy for highest level of education is as follows:</w:t>
            </w:r>
          </w:p>
          <w:p w:rsidR="005A1D61" w:rsidRPr="005970A0" w:rsidRDefault="005A1D61" w:rsidP="00FF7E62">
            <w:pPr>
              <w:pStyle w:val="TableBodyText"/>
              <w:numPr>
                <w:ilvl w:val="0"/>
                <w:numId w:val="15"/>
              </w:numPr>
              <w:tabs>
                <w:tab w:val="left" w:pos="222"/>
              </w:tabs>
              <w:spacing w:after="60"/>
              <w:ind w:left="222" w:hanging="222"/>
              <w:jc w:val="both"/>
            </w:pPr>
            <w:r w:rsidRPr="005970A0">
              <w:t>Advanced diploma or above</w:t>
            </w:r>
          </w:p>
          <w:p w:rsidR="005A1D61" w:rsidRPr="005970A0" w:rsidRDefault="005A1D61" w:rsidP="00FF7E62">
            <w:pPr>
              <w:pStyle w:val="TableBodyText"/>
              <w:numPr>
                <w:ilvl w:val="0"/>
                <w:numId w:val="15"/>
              </w:numPr>
              <w:tabs>
                <w:tab w:val="left" w:pos="222"/>
              </w:tabs>
              <w:spacing w:after="60"/>
              <w:ind w:left="222" w:hanging="222"/>
              <w:jc w:val="both"/>
            </w:pPr>
            <w:r w:rsidRPr="005970A0">
              <w:t>Diploma</w:t>
            </w:r>
          </w:p>
          <w:p w:rsidR="005A1D61" w:rsidRPr="005970A0" w:rsidRDefault="005A1D61" w:rsidP="00FF7E62">
            <w:pPr>
              <w:pStyle w:val="TableBodyText"/>
              <w:numPr>
                <w:ilvl w:val="0"/>
                <w:numId w:val="15"/>
              </w:numPr>
              <w:tabs>
                <w:tab w:val="left" w:pos="222"/>
              </w:tabs>
              <w:spacing w:after="60"/>
              <w:ind w:left="222" w:hanging="222"/>
              <w:jc w:val="both"/>
            </w:pPr>
            <w:r w:rsidRPr="005970A0">
              <w:t>Certificate IV</w:t>
            </w:r>
          </w:p>
          <w:p w:rsidR="005A1D61" w:rsidRPr="005970A0" w:rsidRDefault="005A1D61" w:rsidP="00FF7E62">
            <w:pPr>
              <w:pStyle w:val="TableBodyText"/>
              <w:numPr>
                <w:ilvl w:val="0"/>
                <w:numId w:val="15"/>
              </w:numPr>
              <w:tabs>
                <w:tab w:val="left" w:pos="222"/>
              </w:tabs>
              <w:spacing w:after="60"/>
              <w:ind w:left="222" w:hanging="222"/>
              <w:jc w:val="both"/>
            </w:pPr>
            <w:r w:rsidRPr="005970A0">
              <w:t>Certificate III</w:t>
            </w:r>
          </w:p>
          <w:p w:rsidR="005A1D61" w:rsidRPr="005970A0" w:rsidRDefault="005A1D61" w:rsidP="00FF7E62">
            <w:pPr>
              <w:pStyle w:val="TableBodyText"/>
              <w:numPr>
                <w:ilvl w:val="0"/>
                <w:numId w:val="15"/>
              </w:numPr>
              <w:tabs>
                <w:tab w:val="left" w:pos="222"/>
              </w:tabs>
              <w:spacing w:after="60"/>
              <w:ind w:left="222" w:hanging="222"/>
              <w:jc w:val="both"/>
            </w:pPr>
            <w:r w:rsidRPr="005970A0">
              <w:t>Certificate II/Year 12</w:t>
            </w:r>
          </w:p>
          <w:p w:rsidR="005A1D61" w:rsidRPr="005970A0" w:rsidRDefault="005A1D61" w:rsidP="00FF7E62">
            <w:pPr>
              <w:pStyle w:val="TableBodyText"/>
              <w:numPr>
                <w:ilvl w:val="0"/>
                <w:numId w:val="15"/>
              </w:numPr>
              <w:tabs>
                <w:tab w:val="left" w:pos="222"/>
              </w:tabs>
              <w:spacing w:after="60"/>
              <w:ind w:left="222" w:hanging="222"/>
              <w:jc w:val="both"/>
            </w:pPr>
            <w:r w:rsidRPr="005970A0">
              <w:t>Certificate I</w:t>
            </w:r>
          </w:p>
          <w:p w:rsidR="005A1D61" w:rsidRPr="005970A0" w:rsidRDefault="005A1D61" w:rsidP="00FF7E62">
            <w:pPr>
              <w:pStyle w:val="TableBodyText"/>
              <w:numPr>
                <w:ilvl w:val="0"/>
                <w:numId w:val="15"/>
              </w:numPr>
              <w:tabs>
                <w:tab w:val="left" w:pos="222"/>
              </w:tabs>
              <w:spacing w:after="60"/>
              <w:ind w:left="222" w:hanging="222"/>
              <w:jc w:val="both"/>
            </w:pPr>
            <w:r w:rsidRPr="005970A0">
              <w:t>Year 11</w:t>
            </w:r>
          </w:p>
          <w:p w:rsidR="005A1D61" w:rsidRPr="005970A0" w:rsidRDefault="005A1D61" w:rsidP="00FF7E62">
            <w:pPr>
              <w:pStyle w:val="TableBodyText"/>
              <w:numPr>
                <w:ilvl w:val="0"/>
                <w:numId w:val="15"/>
              </w:numPr>
              <w:tabs>
                <w:tab w:val="left" w:pos="222"/>
              </w:tabs>
              <w:spacing w:after="60"/>
              <w:ind w:left="222" w:hanging="222"/>
              <w:jc w:val="both"/>
            </w:pPr>
            <w:r w:rsidRPr="005970A0">
              <w:t>Year 10</w:t>
            </w:r>
          </w:p>
          <w:p w:rsidR="005A1D61" w:rsidRPr="005970A0" w:rsidRDefault="005A1D61" w:rsidP="00FF7E62">
            <w:pPr>
              <w:pStyle w:val="TableBodyText"/>
              <w:numPr>
                <w:ilvl w:val="0"/>
                <w:numId w:val="15"/>
              </w:numPr>
              <w:tabs>
                <w:tab w:val="left" w:pos="222"/>
              </w:tabs>
              <w:spacing w:after="60"/>
              <w:ind w:left="222" w:hanging="222"/>
              <w:jc w:val="both"/>
            </w:pPr>
            <w:r w:rsidRPr="005970A0">
              <w:t>Year 9 or below</w:t>
            </w:r>
          </w:p>
          <w:p w:rsidR="005A1D61" w:rsidRPr="005970A0" w:rsidRDefault="005A1D61" w:rsidP="00FF7E62">
            <w:pPr>
              <w:pStyle w:val="TableBodyText"/>
              <w:numPr>
                <w:ilvl w:val="0"/>
                <w:numId w:val="15"/>
              </w:numPr>
              <w:tabs>
                <w:tab w:val="left" w:pos="222"/>
              </w:tabs>
              <w:spacing w:after="60"/>
              <w:ind w:left="222" w:hanging="222"/>
              <w:jc w:val="both"/>
            </w:pPr>
            <w:r w:rsidRPr="005970A0">
              <w:t>Miscellaneous education</w:t>
            </w:r>
          </w:p>
          <w:p w:rsidR="005A1D61" w:rsidRPr="005970A0" w:rsidRDefault="005A1D61" w:rsidP="00FF7E62">
            <w:pPr>
              <w:pStyle w:val="TableBodyText"/>
              <w:numPr>
                <w:ilvl w:val="0"/>
                <w:numId w:val="15"/>
              </w:numPr>
              <w:tabs>
                <w:tab w:val="left" w:pos="222"/>
              </w:tabs>
              <w:spacing w:after="60"/>
              <w:ind w:left="222" w:hanging="222"/>
              <w:jc w:val="both"/>
            </w:pPr>
            <w:r w:rsidRPr="005970A0">
              <w:t>Did not go to school</w:t>
            </w:r>
          </w:p>
          <w:p w:rsidR="005A1D61" w:rsidRPr="005970A0" w:rsidRDefault="005A1D61" w:rsidP="005A1D61">
            <w:pPr>
              <w:spacing w:before="120" w:after="120"/>
              <w:jc w:val="both"/>
              <w:rPr>
                <w:rStyle w:val="DraftingNote"/>
                <w:rFonts w:ascii="Arial" w:hAnsi="Arial"/>
                <w:color w:val="auto"/>
                <w:sz w:val="20"/>
                <w:szCs w:val="20"/>
                <w:u w:val="none"/>
              </w:rPr>
            </w:pPr>
            <w:r w:rsidRPr="005970A0">
              <w:rPr>
                <w:rFonts w:ascii="Arial" w:hAnsi="Arial" w:cs="Arial"/>
                <w:sz w:val="20"/>
                <w:szCs w:val="20"/>
              </w:rPr>
              <w:t>‘Not stated’ responses have been excluded from the computation.</w:t>
            </w:r>
          </w:p>
        </w:tc>
      </w:tr>
      <w:tr w:rsidR="005970A0" w:rsidRPr="005970A0" w:rsidTr="00504F21">
        <w:tc>
          <w:tcPr>
            <w:tcW w:w="887" w:type="pct"/>
          </w:tcPr>
          <w:p w:rsidR="007056F1" w:rsidRPr="005970A0" w:rsidRDefault="007056F1" w:rsidP="007056F1">
            <w:pPr>
              <w:pStyle w:val="TableBodyText"/>
              <w:jc w:val="both"/>
              <w:rPr>
                <w:b/>
              </w:rPr>
            </w:pPr>
            <w:r w:rsidRPr="005970A0">
              <w:rPr>
                <w:b/>
              </w:rPr>
              <w:t>Data source/s</w:t>
            </w:r>
          </w:p>
        </w:tc>
        <w:tc>
          <w:tcPr>
            <w:tcW w:w="4113" w:type="pct"/>
          </w:tcPr>
          <w:p w:rsidR="007056F1" w:rsidRPr="005970A0" w:rsidRDefault="006820B5" w:rsidP="007056F1">
            <w:pPr>
              <w:pStyle w:val="TableBodyText"/>
              <w:keepNext w:val="0"/>
              <w:keepLines w:val="0"/>
              <w:spacing w:after="120" w:line="240" w:lineRule="auto"/>
              <w:ind w:left="0" w:right="0"/>
              <w:jc w:val="both"/>
            </w:pPr>
            <w:r w:rsidRPr="005970A0">
              <w:t>All data are derived from the National VET Provider Collection.</w:t>
            </w:r>
          </w:p>
        </w:tc>
      </w:tr>
      <w:tr w:rsidR="005970A0" w:rsidRPr="005970A0" w:rsidTr="00504F21">
        <w:tc>
          <w:tcPr>
            <w:tcW w:w="5000" w:type="pct"/>
            <w:gridSpan w:val="2"/>
          </w:tcPr>
          <w:p w:rsidR="007056F1" w:rsidRPr="005970A0" w:rsidRDefault="007056F1" w:rsidP="007056F1">
            <w:pPr>
              <w:pStyle w:val="TableBodyText"/>
              <w:jc w:val="both"/>
              <w:rPr>
                <w:b/>
                <w:u w:val="single"/>
              </w:rPr>
            </w:pPr>
          </w:p>
          <w:p w:rsidR="00560346" w:rsidRPr="005970A0" w:rsidRDefault="00560346" w:rsidP="007056F1">
            <w:pPr>
              <w:pStyle w:val="TableBodyText"/>
              <w:jc w:val="both"/>
              <w:rPr>
                <w:b/>
                <w:u w:val="single"/>
              </w:rPr>
            </w:pPr>
          </w:p>
          <w:p w:rsidR="00560346" w:rsidRPr="005970A0" w:rsidRDefault="00560346" w:rsidP="007056F1">
            <w:pPr>
              <w:pStyle w:val="TableBodyText"/>
              <w:jc w:val="both"/>
              <w:rPr>
                <w:b/>
                <w:u w:val="single"/>
              </w:rPr>
            </w:pPr>
          </w:p>
          <w:p w:rsidR="00560346" w:rsidRPr="005970A0" w:rsidRDefault="00560346" w:rsidP="007056F1">
            <w:pPr>
              <w:pStyle w:val="TableBodyText"/>
              <w:jc w:val="both"/>
              <w:rPr>
                <w:b/>
                <w:u w:val="single"/>
              </w:rPr>
            </w:pPr>
          </w:p>
          <w:p w:rsidR="007056F1" w:rsidRPr="005970A0" w:rsidRDefault="007056F1" w:rsidP="007056F1">
            <w:pPr>
              <w:pStyle w:val="TableBodyText"/>
              <w:jc w:val="both"/>
              <w:rPr>
                <w:b/>
                <w:u w:val="single"/>
              </w:rPr>
            </w:pPr>
            <w:r w:rsidRPr="005970A0">
              <w:rPr>
                <w:b/>
                <w:u w:val="single"/>
              </w:rPr>
              <w:lastRenderedPageBreak/>
              <w:t>Data Quality Framework Dimensions</w:t>
            </w:r>
          </w:p>
        </w:tc>
      </w:tr>
      <w:tr w:rsidR="005970A0" w:rsidRPr="005970A0" w:rsidTr="00504F21">
        <w:tc>
          <w:tcPr>
            <w:tcW w:w="887" w:type="pct"/>
          </w:tcPr>
          <w:p w:rsidR="007056F1" w:rsidRPr="005970A0" w:rsidRDefault="007056F1" w:rsidP="007056F1">
            <w:pPr>
              <w:pStyle w:val="TableBodyText"/>
              <w:jc w:val="both"/>
              <w:rPr>
                <w:b/>
              </w:rPr>
            </w:pPr>
            <w:r w:rsidRPr="005970A0">
              <w:rPr>
                <w:b/>
              </w:rPr>
              <w:lastRenderedPageBreak/>
              <w:t>Institutional environment</w:t>
            </w:r>
          </w:p>
        </w:tc>
        <w:tc>
          <w:tcPr>
            <w:tcW w:w="4113" w:type="pct"/>
          </w:tcPr>
          <w:p w:rsidR="005A1D61" w:rsidRPr="005970A0" w:rsidRDefault="005A1D61" w:rsidP="005A1D61">
            <w:pPr>
              <w:spacing w:after="120"/>
              <w:jc w:val="both"/>
              <w:rPr>
                <w:rFonts w:ascii="Arial" w:hAnsi="Arial"/>
                <w:sz w:val="20"/>
                <w:szCs w:val="20"/>
              </w:rPr>
            </w:pPr>
            <w:r w:rsidRPr="005970A0">
              <w:rPr>
                <w:rFonts w:ascii="Arial" w:hAnsi="Arial"/>
                <w:sz w:val="20"/>
                <w:szCs w:val="20"/>
              </w:rPr>
              <w:t>The National Centre for Vocational Education Research (</w:t>
            </w:r>
            <w:proofErr w:type="spellStart"/>
            <w:r w:rsidRPr="005970A0">
              <w:rPr>
                <w:rFonts w:ascii="Arial" w:hAnsi="Arial"/>
                <w:sz w:val="20"/>
                <w:szCs w:val="20"/>
              </w:rPr>
              <w:t>NCVER</w:t>
            </w:r>
            <w:proofErr w:type="spellEnd"/>
            <w:r w:rsidRPr="005970A0">
              <w:rPr>
                <w:rFonts w:ascii="Arial" w:hAnsi="Arial"/>
                <w:sz w:val="20"/>
                <w:szCs w:val="20"/>
              </w:rPr>
              <w:t>) is a not for-profit company owned by the federal, state and territory ministers responsible for training.</w:t>
            </w:r>
          </w:p>
          <w:p w:rsidR="005A1D61" w:rsidRPr="005970A0" w:rsidRDefault="005A1D61" w:rsidP="005A1D61">
            <w:pPr>
              <w:spacing w:after="120"/>
              <w:jc w:val="both"/>
              <w:rPr>
                <w:rFonts w:ascii="Arial" w:hAnsi="Arial"/>
                <w:sz w:val="20"/>
                <w:szCs w:val="20"/>
              </w:rPr>
            </w:pPr>
            <w:proofErr w:type="spellStart"/>
            <w:r w:rsidRPr="005970A0">
              <w:rPr>
                <w:rFonts w:ascii="Arial" w:hAnsi="Arial"/>
                <w:sz w:val="20"/>
                <w:szCs w:val="20"/>
              </w:rPr>
              <w:t>NCVER</w:t>
            </w:r>
            <w:proofErr w:type="spellEnd"/>
            <w:r w:rsidRPr="005970A0">
              <w:rPr>
                <w:rFonts w:ascii="Arial" w:hAnsi="Arial"/>
                <w:sz w:val="20"/>
                <w:szCs w:val="20"/>
              </w:rPr>
              <w:t xml:space="preserve">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7056F1" w:rsidRPr="005970A0" w:rsidRDefault="005A1D61" w:rsidP="005A1D61">
            <w:pPr>
              <w:pStyle w:val="TableBodyText"/>
              <w:keepNext w:val="0"/>
              <w:keepLines w:val="0"/>
              <w:spacing w:after="120" w:line="240" w:lineRule="auto"/>
              <w:ind w:left="0" w:right="0"/>
              <w:jc w:val="both"/>
            </w:pPr>
            <w:r w:rsidRPr="005970A0">
              <w:t xml:space="preserve">For further information on the </w:t>
            </w:r>
            <w:proofErr w:type="spellStart"/>
            <w:r w:rsidRPr="005970A0">
              <w:t>NCVER</w:t>
            </w:r>
            <w:proofErr w:type="spellEnd"/>
            <w:r w:rsidRPr="005970A0">
              <w:t>, see [</w:t>
            </w:r>
            <w:proofErr w:type="spellStart"/>
            <w:r w:rsidRPr="005970A0">
              <w:t>www.ncver.edu.au</w:t>
            </w:r>
            <w:proofErr w:type="spellEnd"/>
            <w:r w:rsidRPr="005970A0">
              <w:t xml:space="preserve">/about </w:t>
            </w:r>
            <w:proofErr w:type="spellStart"/>
            <w:r w:rsidRPr="005970A0">
              <w:t>ncver</w:t>
            </w:r>
            <w:proofErr w:type="spellEnd"/>
            <w:r w:rsidRPr="005970A0">
              <w:t>/</w:t>
            </w:r>
            <w:proofErr w:type="spellStart"/>
            <w:r w:rsidRPr="005970A0">
              <w:t>who.html</w:t>
            </w:r>
            <w:proofErr w:type="spellEnd"/>
            <w:r w:rsidRPr="005970A0">
              <w:t>]</w:t>
            </w:r>
          </w:p>
        </w:tc>
      </w:tr>
    </w:tbl>
    <w:tbl>
      <w:tblPr>
        <w:tblStyle w:val="TableGrid"/>
        <w:tblW w:w="4880"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59"/>
        <w:gridCol w:w="7230"/>
      </w:tblGrid>
      <w:tr w:rsidR="005970A0" w:rsidRPr="005970A0" w:rsidTr="00504F21">
        <w:trPr>
          <w:trHeight w:val="748"/>
        </w:trPr>
        <w:tc>
          <w:tcPr>
            <w:tcW w:w="887" w:type="pct"/>
          </w:tcPr>
          <w:p w:rsidR="00504F21" w:rsidRPr="005970A0" w:rsidRDefault="00504F21" w:rsidP="00557414">
            <w:pPr>
              <w:pStyle w:val="TableBodyText"/>
              <w:jc w:val="both"/>
              <w:rPr>
                <w:b/>
              </w:rPr>
            </w:pPr>
            <w:r w:rsidRPr="005970A0">
              <w:rPr>
                <w:b/>
              </w:rPr>
              <w:t>Relevance</w:t>
            </w:r>
          </w:p>
        </w:tc>
        <w:tc>
          <w:tcPr>
            <w:tcW w:w="4113" w:type="pct"/>
          </w:tcPr>
          <w:p w:rsidR="00504F21" w:rsidRPr="005970A0" w:rsidRDefault="00504F21" w:rsidP="00557414">
            <w:pPr>
              <w:pStyle w:val="TableBodyText"/>
              <w:spacing w:after="120"/>
              <w:ind w:left="-107"/>
              <w:jc w:val="both"/>
            </w:pPr>
            <w:r w:rsidRPr="005970A0">
              <w:t>The National VET Provider Collection collects information relating to students, courses, qualifications, training providers and funding in Australia’s publicly funded vocational education and training (VET) system.</w:t>
            </w:r>
          </w:p>
          <w:p w:rsidR="00504F21" w:rsidRPr="005970A0" w:rsidRDefault="00504F21" w:rsidP="00557414">
            <w:pPr>
              <w:pStyle w:val="TableBodyText"/>
              <w:spacing w:after="120"/>
              <w:ind w:left="-107"/>
              <w:jc w:val="both"/>
            </w:pPr>
            <w:r w:rsidRPr="005970A0">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504F21" w:rsidRPr="005970A0" w:rsidRDefault="00504F21" w:rsidP="00557414">
            <w:pPr>
              <w:pStyle w:val="TableBodyText"/>
              <w:spacing w:after="120"/>
              <w:ind w:left="-107"/>
              <w:jc w:val="both"/>
            </w:pPr>
            <w:r w:rsidRPr="005970A0">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504F21" w:rsidRPr="005970A0" w:rsidRDefault="00504F21" w:rsidP="007C43EC">
            <w:pPr>
              <w:pStyle w:val="TableBodyText"/>
              <w:spacing w:after="60"/>
              <w:ind w:left="-107"/>
              <w:jc w:val="both"/>
            </w:pPr>
            <w:r w:rsidRPr="005970A0">
              <w:t>This collection does not report on the following types of training activity:</w:t>
            </w:r>
          </w:p>
          <w:p w:rsidR="00504F21" w:rsidRPr="005970A0" w:rsidRDefault="00504F21" w:rsidP="007C43EC">
            <w:pPr>
              <w:pStyle w:val="TableBodyText"/>
              <w:numPr>
                <w:ilvl w:val="0"/>
                <w:numId w:val="15"/>
              </w:numPr>
              <w:tabs>
                <w:tab w:val="left" w:pos="34"/>
              </w:tabs>
              <w:spacing w:after="60"/>
              <w:ind w:left="34" w:hanging="141"/>
              <w:jc w:val="both"/>
            </w:pPr>
            <w:r w:rsidRPr="005970A0">
              <w:t xml:space="preserve">recreation, leisure and personal enrichment </w:t>
            </w:r>
          </w:p>
          <w:p w:rsidR="00504F21" w:rsidRPr="005970A0" w:rsidRDefault="00504F21" w:rsidP="007C43EC">
            <w:pPr>
              <w:pStyle w:val="TableBodyText"/>
              <w:numPr>
                <w:ilvl w:val="0"/>
                <w:numId w:val="15"/>
              </w:numPr>
              <w:tabs>
                <w:tab w:val="left" w:pos="34"/>
              </w:tabs>
              <w:spacing w:after="60"/>
              <w:ind w:left="34" w:hanging="141"/>
              <w:jc w:val="both"/>
            </w:pPr>
            <w:r w:rsidRPr="005970A0">
              <w:t xml:space="preserve">fee-for-service VET by private providers </w:t>
            </w:r>
          </w:p>
          <w:p w:rsidR="00504F21" w:rsidRPr="005970A0" w:rsidRDefault="00504F21" w:rsidP="007C43EC">
            <w:pPr>
              <w:pStyle w:val="TableBodyText"/>
              <w:numPr>
                <w:ilvl w:val="0"/>
                <w:numId w:val="15"/>
              </w:numPr>
              <w:tabs>
                <w:tab w:val="left" w:pos="34"/>
              </w:tabs>
              <w:spacing w:after="60"/>
              <w:ind w:left="34" w:hanging="141"/>
              <w:jc w:val="both"/>
            </w:pPr>
            <w:r w:rsidRPr="005970A0">
              <w:t xml:space="preserve">delivery undertaken at overseas campuses of Australian VET institutions </w:t>
            </w:r>
          </w:p>
          <w:p w:rsidR="00504F21" w:rsidRPr="005970A0" w:rsidRDefault="00504F21" w:rsidP="007C43EC">
            <w:pPr>
              <w:pStyle w:val="TableBodyText"/>
              <w:numPr>
                <w:ilvl w:val="0"/>
                <w:numId w:val="15"/>
              </w:numPr>
              <w:tabs>
                <w:tab w:val="left" w:pos="34"/>
              </w:tabs>
              <w:spacing w:after="60"/>
              <w:ind w:left="34" w:hanging="141"/>
              <w:jc w:val="both"/>
            </w:pPr>
            <w:r w:rsidRPr="005970A0">
              <w:t xml:space="preserve">credit transfer </w:t>
            </w:r>
          </w:p>
          <w:p w:rsidR="00504F21" w:rsidRPr="005970A0" w:rsidRDefault="00504F21" w:rsidP="007C43EC">
            <w:pPr>
              <w:pStyle w:val="TableBodyText"/>
              <w:numPr>
                <w:ilvl w:val="0"/>
                <w:numId w:val="15"/>
              </w:numPr>
              <w:tabs>
                <w:tab w:val="left" w:pos="34"/>
              </w:tabs>
              <w:spacing w:after="60"/>
              <w:ind w:left="34" w:hanging="141"/>
              <w:jc w:val="both"/>
            </w:pPr>
            <w:r w:rsidRPr="005970A0">
              <w:t>VET delivered in schools, where the delivery has been undertaken by schools.</w:t>
            </w:r>
          </w:p>
        </w:tc>
      </w:tr>
    </w:tbl>
    <w:tbl>
      <w:tblPr>
        <w:tblW w:w="5000" w:type="pct"/>
        <w:tblCellMar>
          <w:left w:w="0" w:type="dxa"/>
          <w:right w:w="0" w:type="dxa"/>
        </w:tblCellMar>
        <w:tblLook w:val="0000" w:firstRow="0" w:lastRow="0" w:firstColumn="0" w:lastColumn="0" w:noHBand="0" w:noVBand="0"/>
      </w:tblPr>
      <w:tblGrid>
        <w:gridCol w:w="1559"/>
        <w:gridCol w:w="7230"/>
      </w:tblGrid>
      <w:tr w:rsidR="005970A0" w:rsidRPr="005970A0" w:rsidTr="00504F21">
        <w:tc>
          <w:tcPr>
            <w:tcW w:w="887" w:type="pct"/>
          </w:tcPr>
          <w:p w:rsidR="007056F1" w:rsidRPr="005970A0" w:rsidRDefault="007056F1" w:rsidP="007056F1">
            <w:pPr>
              <w:pStyle w:val="TableBodyText"/>
              <w:jc w:val="both"/>
              <w:rPr>
                <w:b/>
              </w:rPr>
            </w:pPr>
            <w:r w:rsidRPr="005970A0">
              <w:rPr>
                <w:b/>
              </w:rPr>
              <w:t>Timeliness</w:t>
            </w:r>
          </w:p>
        </w:tc>
        <w:tc>
          <w:tcPr>
            <w:tcW w:w="4113" w:type="pct"/>
          </w:tcPr>
          <w:p w:rsidR="007056F1" w:rsidRPr="005970A0" w:rsidRDefault="00504F21" w:rsidP="00557414">
            <w:pPr>
              <w:pStyle w:val="TableBodyText"/>
              <w:keepNext w:val="0"/>
              <w:keepLines w:val="0"/>
              <w:spacing w:after="120" w:line="240" w:lineRule="auto"/>
              <w:ind w:left="0" w:right="0"/>
              <w:jc w:val="both"/>
            </w:pPr>
            <w:r w:rsidRPr="005970A0">
              <w:t xml:space="preserve">The National VET Provider Collection is an annual collection of data. Data are submitted to </w:t>
            </w:r>
            <w:proofErr w:type="spellStart"/>
            <w:r w:rsidRPr="005970A0">
              <w:t>NCVER</w:t>
            </w:r>
            <w:proofErr w:type="spellEnd"/>
            <w:r w:rsidRPr="005970A0">
              <w:t xml:space="preserve"> (via state training authorities) by 31 March in the year following activity. A summary of </w:t>
            </w:r>
            <w:r w:rsidR="00440520">
              <w:t>2012</w:t>
            </w:r>
            <w:r w:rsidR="00440520" w:rsidRPr="005970A0">
              <w:t xml:space="preserve"> </w:t>
            </w:r>
            <w:r w:rsidRPr="005970A0">
              <w:t xml:space="preserve">data is expected to be released in the first week of July </w:t>
            </w:r>
            <w:r w:rsidR="00440520">
              <w:t>2013</w:t>
            </w:r>
            <w:r w:rsidR="00440520" w:rsidRPr="005970A0">
              <w:t xml:space="preserve"> </w:t>
            </w:r>
            <w:r w:rsidRPr="005970A0">
              <w:t>in Students and Courses.</w:t>
            </w:r>
          </w:p>
          <w:p w:rsidR="003B7067" w:rsidRPr="005970A0" w:rsidRDefault="003B7067" w:rsidP="00557414">
            <w:pPr>
              <w:pStyle w:val="TableBodyText"/>
              <w:keepNext w:val="0"/>
              <w:keepLines w:val="0"/>
              <w:spacing w:after="120" w:line="240" w:lineRule="auto"/>
              <w:ind w:left="0" w:right="0"/>
              <w:jc w:val="both"/>
            </w:pPr>
            <w:r w:rsidRPr="005970A0">
              <w:t>A small proportion of qualification completions data are not reported as they are submitted by state and territories more than two years after the completion year. At the national level, it is estimated that 1.2</w:t>
            </w:r>
            <w:r w:rsidR="008C50BE">
              <w:t xml:space="preserve"> per cent</w:t>
            </w:r>
            <w:r w:rsidRPr="005970A0">
              <w:t xml:space="preserve"> of the data are not reported in the time frame.</w:t>
            </w:r>
          </w:p>
        </w:tc>
      </w:tr>
    </w:tbl>
    <w:tbl>
      <w:tblPr>
        <w:tblStyle w:val="TableGrid"/>
        <w:tblW w:w="4880"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7230"/>
      </w:tblGrid>
      <w:tr w:rsidR="005970A0" w:rsidRPr="005970A0" w:rsidTr="00557414">
        <w:tc>
          <w:tcPr>
            <w:tcW w:w="887" w:type="pct"/>
          </w:tcPr>
          <w:p w:rsidR="00504F21" w:rsidRPr="005970A0" w:rsidRDefault="00504F21" w:rsidP="00557414">
            <w:pPr>
              <w:pStyle w:val="TableBodyText"/>
              <w:jc w:val="both"/>
              <w:rPr>
                <w:b/>
              </w:rPr>
            </w:pPr>
            <w:r w:rsidRPr="005970A0">
              <w:rPr>
                <w:b/>
              </w:rPr>
              <w:t>Accuracy</w:t>
            </w:r>
          </w:p>
        </w:tc>
        <w:tc>
          <w:tcPr>
            <w:tcW w:w="4113" w:type="pct"/>
          </w:tcPr>
          <w:p w:rsidR="00504F21" w:rsidRPr="005970A0" w:rsidRDefault="00504F21" w:rsidP="00557414">
            <w:pPr>
              <w:pStyle w:val="TableBodyText"/>
              <w:spacing w:after="120"/>
              <w:ind w:left="-107"/>
              <w:jc w:val="both"/>
            </w:pPr>
            <w:r w:rsidRPr="005970A0">
              <w:t>The National VET Provider Collection is a collection of all publicly funded training activity in Australia in a particular year. It is an administrative collection.</w:t>
            </w:r>
          </w:p>
          <w:p w:rsidR="00504F21" w:rsidRPr="005970A0" w:rsidRDefault="00504F21" w:rsidP="00557414">
            <w:pPr>
              <w:pStyle w:val="TableBodyText"/>
              <w:spacing w:after="120"/>
              <w:ind w:left="-107"/>
              <w:jc w:val="both"/>
            </w:pPr>
            <w:r w:rsidRPr="005970A0">
              <w:t xml:space="preserve">Publicly funded registered training organisations submit unit record data directly to state/territory training authorities, who in turn submit the data to </w:t>
            </w:r>
            <w:proofErr w:type="spellStart"/>
            <w:r w:rsidRPr="005970A0">
              <w:t>NCVER</w:t>
            </w:r>
            <w:proofErr w:type="spellEnd"/>
            <w:r w:rsidRPr="005970A0">
              <w:t xml:space="preserve">. Prior to submissions to </w:t>
            </w:r>
            <w:proofErr w:type="spellStart"/>
            <w:r w:rsidRPr="005970A0">
              <w:t>NCVER</w:t>
            </w:r>
            <w:proofErr w:type="spellEnd"/>
            <w:r w:rsidRPr="005970A0">
              <w:t>, data must first pass a validation process to ensure that data conforms to the Australian vocational education and training management information statistical standard (</w:t>
            </w:r>
            <w:proofErr w:type="spellStart"/>
            <w:r w:rsidRPr="005970A0">
              <w:t>AVETMISS</w:t>
            </w:r>
            <w:proofErr w:type="spellEnd"/>
            <w:r w:rsidRPr="005970A0">
              <w:t>) (Refer to [</w:t>
            </w:r>
            <w:proofErr w:type="spellStart"/>
            <w:r w:rsidRPr="005970A0">
              <w:t>www.ncver.edu.au</w:t>
            </w:r>
            <w:proofErr w:type="spellEnd"/>
            <w:r w:rsidRPr="005970A0">
              <w:t>/</w:t>
            </w:r>
            <w:proofErr w:type="spellStart"/>
            <w:r w:rsidRPr="005970A0">
              <w:t>avetmiss</w:t>
            </w:r>
            <w:proofErr w:type="spellEnd"/>
            <w:r w:rsidRPr="005970A0">
              <w:t>/</w:t>
            </w:r>
            <w:proofErr w:type="spellStart"/>
            <w:r w:rsidRPr="005970A0">
              <w:t>21055.html</w:t>
            </w:r>
            <w:proofErr w:type="spellEnd"/>
            <w:r w:rsidRPr="005970A0">
              <w:t xml:space="preserve">]). </w:t>
            </w:r>
          </w:p>
          <w:p w:rsidR="00504F21" w:rsidRPr="005970A0" w:rsidRDefault="00504F21" w:rsidP="00557414">
            <w:pPr>
              <w:pStyle w:val="TableBodyText"/>
              <w:spacing w:after="120"/>
              <w:ind w:left="-107"/>
              <w:jc w:val="both"/>
            </w:pPr>
            <w:r w:rsidRPr="005970A0">
              <w:t xml:space="preserve">Once data submissions are received by </w:t>
            </w:r>
            <w:proofErr w:type="spellStart"/>
            <w:r w:rsidRPr="005970A0">
              <w:t>NCVER</w:t>
            </w:r>
            <w:proofErr w:type="spellEnd"/>
            <w:r w:rsidRPr="005970A0">
              <w:t xml:space="preserve"> they are subjected to a comprehensive data quality checking program to ensure accurate reporting against agreed Key Performance Measures (</w:t>
            </w:r>
            <w:proofErr w:type="spellStart"/>
            <w:r w:rsidRPr="005970A0">
              <w:t>KPMs</w:t>
            </w:r>
            <w:proofErr w:type="spellEnd"/>
            <w:r w:rsidRPr="005970A0">
              <w:t xml:space="preserve">). Some of the </w:t>
            </w:r>
            <w:proofErr w:type="spellStart"/>
            <w:r w:rsidRPr="005970A0">
              <w:t>KPMs</w:t>
            </w:r>
            <w:proofErr w:type="spellEnd"/>
            <w:r w:rsidRPr="005970A0">
              <w:t xml:space="preserve"> include:</w:t>
            </w:r>
          </w:p>
          <w:p w:rsidR="00504F21" w:rsidRPr="005970A0" w:rsidRDefault="00504F21" w:rsidP="007C43EC">
            <w:pPr>
              <w:pStyle w:val="TableBodyText"/>
              <w:numPr>
                <w:ilvl w:val="0"/>
                <w:numId w:val="15"/>
              </w:numPr>
              <w:tabs>
                <w:tab w:val="left" w:pos="34"/>
              </w:tabs>
              <w:spacing w:after="60"/>
              <w:ind w:left="34" w:hanging="141"/>
              <w:jc w:val="both"/>
            </w:pPr>
            <w:r w:rsidRPr="005970A0">
              <w:lastRenderedPageBreak/>
              <w:t>Percentage of unknown data</w:t>
            </w:r>
          </w:p>
          <w:p w:rsidR="00504F21" w:rsidRPr="005970A0" w:rsidRDefault="00504F21" w:rsidP="007C43EC">
            <w:pPr>
              <w:pStyle w:val="TableBodyText"/>
              <w:numPr>
                <w:ilvl w:val="0"/>
                <w:numId w:val="15"/>
              </w:numPr>
              <w:tabs>
                <w:tab w:val="left" w:pos="34"/>
              </w:tabs>
              <w:spacing w:after="60"/>
              <w:ind w:left="34" w:hanging="141"/>
              <w:jc w:val="both"/>
            </w:pPr>
            <w:r w:rsidRPr="005970A0">
              <w:t>The number of training organisation identifiers that do not match the National Training Information Service (</w:t>
            </w:r>
            <w:proofErr w:type="spellStart"/>
            <w:r w:rsidRPr="005970A0">
              <w:t>NTIS</w:t>
            </w:r>
            <w:proofErr w:type="spellEnd"/>
            <w:r w:rsidRPr="005970A0">
              <w:t>) listing</w:t>
            </w:r>
          </w:p>
          <w:p w:rsidR="00504F21" w:rsidRPr="005970A0" w:rsidRDefault="00504F21" w:rsidP="007C43EC">
            <w:pPr>
              <w:pStyle w:val="TableBodyText"/>
              <w:numPr>
                <w:ilvl w:val="0"/>
                <w:numId w:val="15"/>
              </w:numPr>
              <w:tabs>
                <w:tab w:val="left" w:pos="34"/>
              </w:tabs>
              <w:spacing w:after="60"/>
              <w:ind w:left="34" w:hanging="141"/>
              <w:jc w:val="both"/>
            </w:pPr>
            <w:r w:rsidRPr="005970A0">
              <w:t>Inappropriate training organisation delivery locations</w:t>
            </w:r>
          </w:p>
          <w:p w:rsidR="00504F21" w:rsidRPr="005970A0" w:rsidRDefault="00504F21" w:rsidP="007C43EC">
            <w:pPr>
              <w:pStyle w:val="TableBodyText"/>
              <w:numPr>
                <w:ilvl w:val="0"/>
                <w:numId w:val="15"/>
              </w:numPr>
              <w:tabs>
                <w:tab w:val="left" w:pos="34"/>
              </w:tabs>
              <w:spacing w:after="60"/>
              <w:ind w:left="34" w:hanging="141"/>
              <w:jc w:val="both"/>
            </w:pPr>
            <w:r w:rsidRPr="005970A0">
              <w:t xml:space="preserve">The number of qualifications/courses that do not match the </w:t>
            </w:r>
            <w:proofErr w:type="spellStart"/>
            <w:r w:rsidRPr="005970A0">
              <w:t>NTIS</w:t>
            </w:r>
            <w:proofErr w:type="spellEnd"/>
            <w:r w:rsidRPr="005970A0">
              <w:t xml:space="preserve"> listing</w:t>
            </w:r>
          </w:p>
          <w:p w:rsidR="00504F21" w:rsidRPr="005970A0" w:rsidRDefault="00504F21" w:rsidP="007C43EC">
            <w:pPr>
              <w:pStyle w:val="TableBodyText"/>
              <w:numPr>
                <w:ilvl w:val="0"/>
                <w:numId w:val="15"/>
              </w:numPr>
              <w:tabs>
                <w:tab w:val="left" w:pos="34"/>
              </w:tabs>
              <w:spacing w:after="60"/>
              <w:ind w:left="34" w:hanging="141"/>
              <w:jc w:val="both"/>
            </w:pPr>
            <w:r w:rsidRPr="005970A0">
              <w:t xml:space="preserve">The number of modules/units of competency that do not match the </w:t>
            </w:r>
            <w:proofErr w:type="spellStart"/>
            <w:r w:rsidRPr="005970A0">
              <w:t>NTIS</w:t>
            </w:r>
            <w:proofErr w:type="spellEnd"/>
            <w:r w:rsidRPr="005970A0">
              <w:t xml:space="preserve"> listing </w:t>
            </w:r>
          </w:p>
          <w:p w:rsidR="00504F21" w:rsidRPr="005970A0" w:rsidRDefault="00504F21" w:rsidP="007C43EC">
            <w:pPr>
              <w:pStyle w:val="TableBodyText"/>
              <w:numPr>
                <w:ilvl w:val="0"/>
                <w:numId w:val="15"/>
              </w:numPr>
              <w:tabs>
                <w:tab w:val="left" w:pos="34"/>
              </w:tabs>
              <w:spacing w:after="60"/>
              <w:ind w:left="34" w:hanging="141"/>
              <w:jc w:val="both"/>
            </w:pPr>
            <w:r w:rsidRPr="005970A0">
              <w:t>Duplicate client identification</w:t>
            </w:r>
          </w:p>
          <w:p w:rsidR="00504F21" w:rsidRPr="005970A0" w:rsidRDefault="00504F21" w:rsidP="007C43EC">
            <w:pPr>
              <w:pStyle w:val="TableBodyText"/>
              <w:numPr>
                <w:ilvl w:val="0"/>
                <w:numId w:val="15"/>
              </w:numPr>
              <w:tabs>
                <w:tab w:val="left" w:pos="34"/>
              </w:tabs>
              <w:spacing w:after="60"/>
              <w:ind w:left="34" w:hanging="141"/>
              <w:jc w:val="both"/>
            </w:pPr>
            <w:r w:rsidRPr="005970A0">
              <w:t>Duplicate qualifications completed</w:t>
            </w:r>
          </w:p>
          <w:p w:rsidR="00504F21" w:rsidRPr="005970A0" w:rsidRDefault="00504F21" w:rsidP="007C43EC">
            <w:pPr>
              <w:pStyle w:val="TableBodyText"/>
              <w:numPr>
                <w:ilvl w:val="0"/>
                <w:numId w:val="15"/>
              </w:numPr>
              <w:tabs>
                <w:tab w:val="left" w:pos="34"/>
              </w:tabs>
              <w:spacing w:after="60"/>
              <w:ind w:left="34" w:hanging="141"/>
              <w:jc w:val="both"/>
            </w:pPr>
            <w:r w:rsidRPr="005970A0">
              <w:t>Reporting scopes</w:t>
            </w:r>
          </w:p>
          <w:p w:rsidR="00504F21" w:rsidRPr="005970A0" w:rsidRDefault="00504F21" w:rsidP="007C43EC">
            <w:pPr>
              <w:pStyle w:val="TableBodyText"/>
              <w:numPr>
                <w:ilvl w:val="0"/>
                <w:numId w:val="15"/>
              </w:numPr>
              <w:tabs>
                <w:tab w:val="left" w:pos="34"/>
              </w:tabs>
              <w:spacing w:after="60"/>
              <w:ind w:left="34" w:hanging="141"/>
              <w:jc w:val="both"/>
            </w:pPr>
            <w:r w:rsidRPr="005970A0">
              <w:t>Funding sources</w:t>
            </w:r>
          </w:p>
          <w:p w:rsidR="00504F21" w:rsidRPr="005970A0" w:rsidRDefault="00504F21" w:rsidP="007C43EC">
            <w:pPr>
              <w:pStyle w:val="TableBodyText"/>
              <w:numPr>
                <w:ilvl w:val="0"/>
                <w:numId w:val="15"/>
              </w:numPr>
              <w:tabs>
                <w:tab w:val="left" w:pos="34"/>
              </w:tabs>
              <w:spacing w:after="60"/>
              <w:ind w:left="34" w:hanging="141"/>
              <w:jc w:val="both"/>
            </w:pPr>
            <w:r w:rsidRPr="005970A0">
              <w:t>Outcome identifiers</w:t>
            </w:r>
          </w:p>
        </w:tc>
      </w:tr>
    </w:tbl>
    <w:tbl>
      <w:tblPr>
        <w:tblW w:w="5000" w:type="pct"/>
        <w:tblCellMar>
          <w:left w:w="0" w:type="dxa"/>
          <w:right w:w="0" w:type="dxa"/>
        </w:tblCellMar>
        <w:tblLook w:val="0000" w:firstRow="0" w:lastRow="0" w:firstColumn="0" w:lastColumn="0" w:noHBand="0" w:noVBand="0"/>
      </w:tblPr>
      <w:tblGrid>
        <w:gridCol w:w="1559"/>
        <w:gridCol w:w="7230"/>
      </w:tblGrid>
      <w:tr w:rsidR="005970A0" w:rsidRPr="005970A0" w:rsidTr="00557414">
        <w:tc>
          <w:tcPr>
            <w:tcW w:w="887" w:type="pct"/>
          </w:tcPr>
          <w:p w:rsidR="007056F1" w:rsidRPr="005970A0" w:rsidRDefault="007056F1" w:rsidP="007056F1">
            <w:pPr>
              <w:pStyle w:val="TableBodyText"/>
              <w:jc w:val="both"/>
              <w:rPr>
                <w:b/>
              </w:rPr>
            </w:pPr>
            <w:r w:rsidRPr="005970A0">
              <w:rPr>
                <w:b/>
              </w:rPr>
              <w:lastRenderedPageBreak/>
              <w:t>Coherence</w:t>
            </w:r>
          </w:p>
        </w:tc>
        <w:tc>
          <w:tcPr>
            <w:tcW w:w="4113" w:type="pct"/>
          </w:tcPr>
          <w:p w:rsidR="007056F1" w:rsidRPr="005970A0" w:rsidRDefault="00557414" w:rsidP="00DF031A">
            <w:pPr>
              <w:pStyle w:val="TableBodyText"/>
              <w:keepNext w:val="0"/>
              <w:keepLines w:val="0"/>
              <w:spacing w:after="120" w:line="240" w:lineRule="auto"/>
              <w:ind w:left="0" w:right="0"/>
              <w:jc w:val="both"/>
            </w:pPr>
            <w:proofErr w:type="spellStart"/>
            <w:r w:rsidRPr="005970A0">
              <w:t>AVETMISS</w:t>
            </w:r>
            <w:proofErr w:type="spellEnd"/>
            <w:r w:rsidRPr="005970A0">
              <w:t xml:space="preserve"> provides the foundation for nationally comparable data and includes a range of data items relevant to the VET system. From 2007, data comply with release 6.0 of </w:t>
            </w:r>
            <w:proofErr w:type="spellStart"/>
            <w:r w:rsidRPr="005970A0">
              <w:t>AVETMISS</w:t>
            </w:r>
            <w:proofErr w:type="spellEnd"/>
            <w:r w:rsidRPr="005970A0">
              <w:t>, whereas previous collections complied with earlier releases. For details, see [</w:t>
            </w:r>
            <w:proofErr w:type="spellStart"/>
            <w:r w:rsidRPr="005970A0">
              <w:t>www.n</w:t>
            </w:r>
            <w:r w:rsidR="00DF031A">
              <w:t>cver.edu.au</w:t>
            </w:r>
            <w:proofErr w:type="spellEnd"/>
            <w:r w:rsidR="00DF031A" w:rsidRPr="00EC5E2C">
              <w:t>/</w:t>
            </w:r>
            <w:proofErr w:type="spellStart"/>
            <w:r w:rsidR="00DF031A" w:rsidRPr="00EC5E2C">
              <w:t>avetmiss</w:t>
            </w:r>
            <w:proofErr w:type="spellEnd"/>
            <w:r w:rsidR="00DF031A" w:rsidRPr="00EC5E2C">
              <w:t>/</w:t>
            </w:r>
            <w:proofErr w:type="spellStart"/>
            <w:r w:rsidR="00DF031A" w:rsidRPr="00EC5E2C">
              <w:t>21055.html</w:t>
            </w:r>
            <w:proofErr w:type="spellEnd"/>
            <w:r w:rsidR="00DF031A" w:rsidRPr="00EC5E2C">
              <w:t xml:space="preserve">. From 2012, data comply with release 6.1 of </w:t>
            </w:r>
            <w:proofErr w:type="spellStart"/>
            <w:r w:rsidR="00DF031A" w:rsidRPr="00EC5E2C">
              <w:t>AVETMISS</w:t>
            </w:r>
            <w:proofErr w:type="spellEnd"/>
            <w:r w:rsidR="00DF031A" w:rsidRPr="00EC5E2C">
              <w:t>, whereas previous collections complied with earlier releases. For details, see http://</w:t>
            </w:r>
            <w:proofErr w:type="spellStart"/>
            <w:r w:rsidR="00DF031A" w:rsidRPr="00EC5E2C">
              <w:t>www.ncver.edu.au</w:t>
            </w:r>
            <w:proofErr w:type="spellEnd"/>
            <w:r w:rsidR="00DF031A" w:rsidRPr="00EC5E2C">
              <w:t>/</w:t>
            </w:r>
            <w:proofErr w:type="spellStart"/>
            <w:r w:rsidR="00DF031A" w:rsidRPr="00EC5E2C">
              <w:t>avetmiss</w:t>
            </w:r>
            <w:proofErr w:type="spellEnd"/>
            <w:r w:rsidR="00DF031A" w:rsidRPr="00EC5E2C">
              <w:t>/</w:t>
            </w:r>
            <w:proofErr w:type="spellStart"/>
            <w:r w:rsidR="00DF031A" w:rsidRPr="00EC5E2C">
              <w:t>21055.html</w:t>
            </w:r>
            <w:proofErr w:type="spellEnd"/>
            <w:r w:rsidRPr="00EC5E2C">
              <w:t>.</w:t>
            </w:r>
          </w:p>
        </w:tc>
      </w:tr>
      <w:tr w:rsidR="005970A0" w:rsidRPr="005970A0" w:rsidTr="00557414">
        <w:tc>
          <w:tcPr>
            <w:tcW w:w="887" w:type="pct"/>
          </w:tcPr>
          <w:p w:rsidR="007056F1" w:rsidRPr="005970A0" w:rsidRDefault="007056F1" w:rsidP="007056F1">
            <w:pPr>
              <w:pStyle w:val="TableBodyText"/>
              <w:jc w:val="both"/>
              <w:rPr>
                <w:b/>
              </w:rPr>
            </w:pPr>
            <w:r w:rsidRPr="005970A0">
              <w:rPr>
                <w:b/>
              </w:rPr>
              <w:t>Accessibility</w:t>
            </w:r>
          </w:p>
        </w:tc>
        <w:tc>
          <w:tcPr>
            <w:tcW w:w="4113" w:type="pct"/>
          </w:tcPr>
          <w:p w:rsidR="00557414" w:rsidRPr="005970A0" w:rsidRDefault="00557414" w:rsidP="00557414">
            <w:pPr>
              <w:spacing w:after="120"/>
              <w:jc w:val="both"/>
              <w:rPr>
                <w:rFonts w:ascii="Arial" w:hAnsi="Arial"/>
                <w:sz w:val="20"/>
                <w:szCs w:val="20"/>
              </w:rPr>
            </w:pPr>
            <w:r w:rsidRPr="005970A0">
              <w:rPr>
                <w:rFonts w:ascii="Arial" w:hAnsi="Arial"/>
                <w:sz w:val="20"/>
                <w:szCs w:val="20"/>
              </w:rPr>
              <w:t xml:space="preserve">Summary information is available free of charge in Students and Courses on </w:t>
            </w:r>
            <w:proofErr w:type="spellStart"/>
            <w:r w:rsidRPr="005970A0">
              <w:rPr>
                <w:rFonts w:ascii="Arial" w:hAnsi="Arial"/>
                <w:sz w:val="20"/>
                <w:szCs w:val="20"/>
              </w:rPr>
              <w:t>NCVER’s</w:t>
            </w:r>
            <w:proofErr w:type="spellEnd"/>
            <w:r w:rsidRPr="005970A0">
              <w:rPr>
                <w:rFonts w:ascii="Arial" w:hAnsi="Arial"/>
                <w:sz w:val="20"/>
                <w:szCs w:val="20"/>
              </w:rPr>
              <w:t xml:space="preserve"> website at: [</w:t>
            </w:r>
            <w:proofErr w:type="spellStart"/>
            <w:r w:rsidRPr="005970A0">
              <w:rPr>
                <w:rFonts w:ascii="Arial" w:hAnsi="Arial"/>
                <w:sz w:val="20"/>
                <w:szCs w:val="20"/>
              </w:rPr>
              <w:t>www.ncver.edu.au</w:t>
            </w:r>
            <w:proofErr w:type="spellEnd"/>
            <w:r w:rsidRPr="005970A0">
              <w:rPr>
                <w:rFonts w:ascii="Arial" w:hAnsi="Arial"/>
                <w:sz w:val="20"/>
                <w:szCs w:val="20"/>
              </w:rPr>
              <w:t>/statistic/</w:t>
            </w:r>
            <w:proofErr w:type="spellStart"/>
            <w:r w:rsidRPr="005970A0">
              <w:rPr>
                <w:rFonts w:ascii="Arial" w:hAnsi="Arial"/>
                <w:sz w:val="20"/>
                <w:szCs w:val="20"/>
              </w:rPr>
              <w:t>21053.html</w:t>
            </w:r>
            <w:proofErr w:type="spellEnd"/>
            <w:r w:rsidRPr="005970A0">
              <w:rPr>
                <w:rFonts w:ascii="Arial" w:hAnsi="Arial"/>
                <w:sz w:val="20"/>
                <w:szCs w:val="20"/>
              </w:rPr>
              <w:t xml:space="preserve">]. Requests for more detailed statistical information can be made to: </w:t>
            </w:r>
            <w:proofErr w:type="spellStart"/>
            <w:r w:rsidRPr="005970A0">
              <w:rPr>
                <w:rFonts w:ascii="Arial" w:hAnsi="Arial"/>
                <w:sz w:val="20"/>
                <w:szCs w:val="20"/>
              </w:rPr>
              <w:t>NCVER</w:t>
            </w:r>
            <w:proofErr w:type="spellEnd"/>
            <w:r w:rsidRPr="005970A0">
              <w:rPr>
                <w:rFonts w:ascii="Arial" w:hAnsi="Arial"/>
                <w:sz w:val="20"/>
                <w:szCs w:val="20"/>
              </w:rPr>
              <w:t xml:space="preserve"> on (08) 8230 8400 or </w:t>
            </w:r>
            <w:proofErr w:type="spellStart"/>
            <w:r w:rsidRPr="005970A0">
              <w:rPr>
                <w:rFonts w:ascii="Arial" w:hAnsi="Arial"/>
                <w:sz w:val="20"/>
                <w:szCs w:val="20"/>
              </w:rPr>
              <w:t>vet_req@ncver.edu.au</w:t>
            </w:r>
            <w:proofErr w:type="spellEnd"/>
          </w:p>
          <w:p w:rsidR="007056F1" w:rsidRPr="005970A0" w:rsidRDefault="00557414" w:rsidP="00557414">
            <w:pPr>
              <w:pStyle w:val="TableBodyText"/>
              <w:keepNext w:val="0"/>
              <w:keepLines w:val="0"/>
              <w:spacing w:after="120" w:line="240" w:lineRule="auto"/>
              <w:ind w:left="0" w:right="0"/>
              <w:jc w:val="both"/>
            </w:pPr>
            <w:r w:rsidRPr="005970A0">
              <w:t xml:space="preserve">A charge will be generally made by the </w:t>
            </w:r>
            <w:proofErr w:type="spellStart"/>
            <w:r w:rsidRPr="005970A0">
              <w:t>NCVER</w:t>
            </w:r>
            <w:proofErr w:type="spellEnd"/>
            <w:r w:rsidRPr="005970A0">
              <w:t xml:space="preserve"> for more complex requests for information. See </w:t>
            </w:r>
            <w:proofErr w:type="spellStart"/>
            <w:r w:rsidRPr="005970A0">
              <w:t>NCVER’s</w:t>
            </w:r>
            <w:proofErr w:type="spellEnd"/>
            <w:r w:rsidRPr="005970A0">
              <w:t xml:space="preserve"> fees and charges policy at [</w:t>
            </w:r>
            <w:proofErr w:type="spellStart"/>
            <w:r w:rsidRPr="005970A0">
              <w:t>www.ncver.edu.au</w:t>
            </w:r>
            <w:proofErr w:type="spellEnd"/>
            <w:r w:rsidRPr="005970A0">
              <w:t>/statistic/</w:t>
            </w:r>
            <w:proofErr w:type="spellStart"/>
            <w:r w:rsidRPr="005970A0">
              <w:t>21075.html</w:t>
            </w:r>
            <w:proofErr w:type="spellEnd"/>
            <w:r w:rsidRPr="005970A0">
              <w:t>]</w:t>
            </w:r>
          </w:p>
        </w:tc>
      </w:tr>
      <w:tr w:rsidR="005970A0" w:rsidRPr="005970A0" w:rsidTr="00557414">
        <w:tc>
          <w:tcPr>
            <w:tcW w:w="887" w:type="pct"/>
          </w:tcPr>
          <w:p w:rsidR="007056F1" w:rsidRPr="005970A0" w:rsidRDefault="007056F1" w:rsidP="007056F1">
            <w:pPr>
              <w:pStyle w:val="TableBodyText"/>
              <w:jc w:val="both"/>
              <w:rPr>
                <w:b/>
              </w:rPr>
            </w:pPr>
            <w:r w:rsidRPr="005970A0">
              <w:rPr>
                <w:b/>
              </w:rPr>
              <w:t>Interpretability</w:t>
            </w:r>
          </w:p>
        </w:tc>
        <w:tc>
          <w:tcPr>
            <w:tcW w:w="4113" w:type="pct"/>
          </w:tcPr>
          <w:p w:rsidR="00557414" w:rsidRPr="005970A0" w:rsidRDefault="00557414" w:rsidP="00557414">
            <w:pPr>
              <w:spacing w:after="120"/>
              <w:jc w:val="both"/>
              <w:rPr>
                <w:rFonts w:ascii="Arial" w:hAnsi="Arial"/>
                <w:sz w:val="20"/>
                <w:szCs w:val="20"/>
              </w:rPr>
            </w:pPr>
            <w:r w:rsidRPr="005970A0">
              <w:rPr>
                <w:rFonts w:ascii="Arial" w:hAnsi="Arial"/>
                <w:sz w:val="20"/>
                <w:szCs w:val="20"/>
              </w:rPr>
              <w:t xml:space="preserve">To aid interpretation, information on the National VET Provider Collection, </w:t>
            </w:r>
            <w:proofErr w:type="spellStart"/>
            <w:r w:rsidRPr="005970A0">
              <w:rPr>
                <w:rFonts w:ascii="Arial" w:hAnsi="Arial"/>
                <w:sz w:val="20"/>
                <w:szCs w:val="20"/>
              </w:rPr>
              <w:t>AVETMISS</w:t>
            </w:r>
            <w:proofErr w:type="spellEnd"/>
            <w:r w:rsidRPr="005970A0">
              <w:rPr>
                <w:rFonts w:ascii="Arial" w:hAnsi="Arial"/>
                <w:sz w:val="20"/>
                <w:szCs w:val="20"/>
              </w:rPr>
              <w:t xml:space="preserve">, and Students and Courses is available on the </w:t>
            </w:r>
            <w:proofErr w:type="spellStart"/>
            <w:r w:rsidRPr="005970A0">
              <w:rPr>
                <w:rFonts w:ascii="Arial" w:hAnsi="Arial"/>
                <w:sz w:val="20"/>
                <w:szCs w:val="20"/>
              </w:rPr>
              <w:t>NCVER</w:t>
            </w:r>
            <w:proofErr w:type="spellEnd"/>
            <w:r w:rsidRPr="005970A0">
              <w:rPr>
                <w:rFonts w:ascii="Arial" w:hAnsi="Arial"/>
                <w:sz w:val="20"/>
                <w:szCs w:val="20"/>
              </w:rPr>
              <w:t xml:space="preserve"> website.</w:t>
            </w:r>
          </w:p>
          <w:p w:rsidR="00557414" w:rsidRPr="005970A0" w:rsidRDefault="00557414" w:rsidP="00557414">
            <w:pPr>
              <w:spacing w:after="120"/>
              <w:jc w:val="both"/>
              <w:rPr>
                <w:rFonts w:ascii="Arial" w:hAnsi="Arial"/>
                <w:sz w:val="20"/>
                <w:szCs w:val="20"/>
              </w:rPr>
            </w:pPr>
            <w:r w:rsidRPr="005970A0">
              <w:rPr>
                <w:rFonts w:ascii="Arial" w:hAnsi="Arial"/>
                <w:sz w:val="20"/>
                <w:szCs w:val="20"/>
              </w:rPr>
              <w:t xml:space="preserve">Among other standards detailed in </w:t>
            </w:r>
            <w:proofErr w:type="spellStart"/>
            <w:r w:rsidRPr="005970A0">
              <w:rPr>
                <w:rFonts w:ascii="Arial" w:hAnsi="Arial"/>
                <w:sz w:val="20"/>
                <w:szCs w:val="20"/>
              </w:rPr>
              <w:t>AVETMISS</w:t>
            </w:r>
            <w:proofErr w:type="spellEnd"/>
            <w:r w:rsidRPr="005970A0">
              <w:rPr>
                <w:rFonts w:ascii="Arial" w:hAnsi="Arial"/>
                <w:sz w:val="20"/>
                <w:szCs w:val="20"/>
              </w:rPr>
              <w:t>, the collection uses the:</w:t>
            </w:r>
          </w:p>
          <w:p w:rsidR="00557414" w:rsidRPr="005970A0" w:rsidRDefault="00557414" w:rsidP="00557414">
            <w:pPr>
              <w:spacing w:after="120"/>
              <w:jc w:val="both"/>
              <w:rPr>
                <w:rFonts w:ascii="Arial" w:hAnsi="Arial"/>
                <w:sz w:val="20"/>
                <w:szCs w:val="20"/>
              </w:rPr>
            </w:pPr>
            <w:r w:rsidRPr="005970A0">
              <w:rPr>
                <w:rFonts w:ascii="Arial" w:hAnsi="Arial"/>
                <w:sz w:val="20"/>
                <w:szCs w:val="20"/>
              </w:rPr>
              <w:t>Australian Classification of Education (</w:t>
            </w:r>
            <w:proofErr w:type="spellStart"/>
            <w:r w:rsidRPr="005970A0">
              <w:rPr>
                <w:rFonts w:ascii="Arial" w:hAnsi="Arial"/>
                <w:sz w:val="20"/>
                <w:szCs w:val="20"/>
              </w:rPr>
              <w:t>ASCED</w:t>
            </w:r>
            <w:proofErr w:type="spellEnd"/>
            <w:r w:rsidRPr="005970A0">
              <w:rPr>
                <w:rFonts w:ascii="Arial" w:hAnsi="Arial"/>
                <w:sz w:val="20"/>
                <w:szCs w:val="20"/>
              </w:rPr>
              <w:t>) (ABS Cat. no. 1272.0) to classify the level and field of education</w:t>
            </w:r>
          </w:p>
          <w:p w:rsidR="00557414" w:rsidRPr="005970A0" w:rsidRDefault="00557414" w:rsidP="00557414">
            <w:pPr>
              <w:spacing w:after="120"/>
              <w:jc w:val="both"/>
              <w:rPr>
                <w:rFonts w:ascii="Arial" w:hAnsi="Arial"/>
                <w:sz w:val="20"/>
                <w:szCs w:val="20"/>
              </w:rPr>
            </w:pPr>
            <w:r w:rsidRPr="005970A0">
              <w:rPr>
                <w:rFonts w:ascii="Arial" w:hAnsi="Arial"/>
                <w:sz w:val="20"/>
                <w:szCs w:val="20"/>
              </w:rPr>
              <w:t>Australian and New Zealand Standard Classification of Occupations (</w:t>
            </w:r>
            <w:proofErr w:type="spellStart"/>
            <w:r w:rsidRPr="005970A0">
              <w:rPr>
                <w:rFonts w:ascii="Arial" w:hAnsi="Arial"/>
                <w:sz w:val="20"/>
                <w:szCs w:val="20"/>
              </w:rPr>
              <w:t>ANZSCO</w:t>
            </w:r>
            <w:proofErr w:type="spellEnd"/>
            <w:r w:rsidRPr="005970A0">
              <w:rPr>
                <w:rFonts w:ascii="Arial" w:hAnsi="Arial"/>
                <w:sz w:val="20"/>
                <w:szCs w:val="20"/>
              </w:rPr>
              <w:t xml:space="preserve">, previously </w:t>
            </w:r>
            <w:proofErr w:type="spellStart"/>
            <w:r w:rsidRPr="005970A0">
              <w:rPr>
                <w:rFonts w:ascii="Arial" w:hAnsi="Arial"/>
                <w:sz w:val="20"/>
                <w:szCs w:val="20"/>
              </w:rPr>
              <w:t>ASCO</w:t>
            </w:r>
            <w:proofErr w:type="spellEnd"/>
            <w:r w:rsidRPr="005970A0">
              <w:rPr>
                <w:rFonts w:ascii="Arial" w:hAnsi="Arial"/>
                <w:sz w:val="20"/>
                <w:szCs w:val="20"/>
              </w:rPr>
              <w:t>) (ABS Cat. no. 1220.0) to classify occupation</w:t>
            </w:r>
          </w:p>
          <w:p w:rsidR="007056F1" w:rsidRDefault="00557414" w:rsidP="00EC5E2C">
            <w:pPr>
              <w:spacing w:after="120"/>
              <w:jc w:val="both"/>
              <w:rPr>
                <w:rFonts w:ascii="Arial" w:hAnsi="Arial"/>
                <w:sz w:val="20"/>
                <w:szCs w:val="20"/>
              </w:rPr>
            </w:pPr>
            <w:r w:rsidRPr="005970A0">
              <w:rPr>
                <w:rFonts w:ascii="Arial" w:hAnsi="Arial"/>
                <w:sz w:val="20"/>
                <w:szCs w:val="20"/>
              </w:rPr>
              <w:t>Access/Remoteness Index of Australia (ARIA+) to classify remoteness. It was developed by the National Centre for Applications of Geographic Information Systems (</w:t>
            </w:r>
            <w:proofErr w:type="spellStart"/>
            <w:r w:rsidRPr="005970A0">
              <w:rPr>
                <w:rFonts w:ascii="Arial" w:hAnsi="Arial"/>
                <w:sz w:val="20"/>
                <w:szCs w:val="20"/>
              </w:rPr>
              <w:t>GISCA</w:t>
            </w:r>
            <w:proofErr w:type="spellEnd"/>
            <w:r w:rsidRPr="005970A0">
              <w:rPr>
                <w:rFonts w:ascii="Arial" w:hAnsi="Arial"/>
                <w:sz w:val="20"/>
                <w:szCs w:val="20"/>
              </w:rPr>
              <w:t>) and is the standard ABS endorsed measure of remoteness.</w:t>
            </w:r>
          </w:p>
          <w:p w:rsidR="00991FB8" w:rsidRPr="004A75E6" w:rsidRDefault="00991FB8" w:rsidP="00EC5E2C">
            <w:pPr>
              <w:spacing w:after="120"/>
              <w:jc w:val="both"/>
              <w:rPr>
                <w:rFonts w:ascii="Arial" w:hAnsi="Arial" w:cs="Arial"/>
                <w:sz w:val="20"/>
                <w:szCs w:val="20"/>
              </w:rPr>
            </w:pPr>
            <w:r w:rsidRPr="004A75E6">
              <w:rPr>
                <w:rFonts w:ascii="Arial" w:hAnsi="Arial" w:cs="Arial"/>
                <w:sz w:val="20"/>
                <w:szCs w:val="20"/>
              </w:rPr>
              <w:t>Student remoteness is based on the Access/Remoteness Index of Australia (ARIA+), which was developed by the National Centre for Social Applications of Geographic Information Systems (</w:t>
            </w:r>
            <w:proofErr w:type="spellStart"/>
            <w:r w:rsidRPr="004A75E6">
              <w:rPr>
                <w:rFonts w:ascii="Arial" w:hAnsi="Arial" w:cs="Arial"/>
                <w:sz w:val="20"/>
                <w:szCs w:val="20"/>
              </w:rPr>
              <w:t>GISCA</w:t>
            </w:r>
            <w:proofErr w:type="spellEnd"/>
            <w:r w:rsidRPr="004A75E6">
              <w:rPr>
                <w:rFonts w:ascii="Arial" w:hAnsi="Arial" w:cs="Arial"/>
                <w:sz w:val="20"/>
                <w:szCs w:val="20"/>
              </w:rPr>
              <w:t xml:space="preserve">). ARIA+ is now the standard ABS-endorsed measure of remoteness. From 2011, Student remoteness (ARIA+) is determined from ARIA+ remoteness regions and ABS </w:t>
            </w:r>
            <w:proofErr w:type="spellStart"/>
            <w:r w:rsidRPr="004A75E6">
              <w:rPr>
                <w:rFonts w:ascii="Arial" w:hAnsi="Arial" w:cs="Arial"/>
                <w:sz w:val="20"/>
                <w:szCs w:val="20"/>
              </w:rPr>
              <w:t>SA2</w:t>
            </w:r>
            <w:proofErr w:type="spellEnd"/>
            <w:r w:rsidRPr="004A75E6">
              <w:rPr>
                <w:rFonts w:ascii="Arial" w:hAnsi="Arial" w:cs="Arial"/>
                <w:sz w:val="20"/>
                <w:szCs w:val="20"/>
              </w:rPr>
              <w:t xml:space="preserve"> regions. Data prior to 2011 is based on ABS postal areas and ARIA+. Student remoteness (ARIA+) regions use the same ARIA+ ranges as the ABS remoteness areas and are therefore an approximation of the ABS remoteness areas. For more details of ARIA+ refer to &lt;</w:t>
            </w:r>
            <w:r w:rsidRPr="00D86CD7">
              <w:rPr>
                <w:rFonts w:ascii="Arial" w:hAnsi="Arial" w:cs="Arial"/>
                <w:sz w:val="20"/>
                <w:szCs w:val="20"/>
              </w:rPr>
              <w:t>www.adelaide.edu.au/apmrc/research/projects/category/about_aria.html</w:t>
            </w:r>
            <w:r w:rsidRPr="004A75E6">
              <w:rPr>
                <w:rFonts w:ascii="Arial" w:hAnsi="Arial" w:cs="Arial"/>
                <w:sz w:val="20"/>
                <w:szCs w:val="20"/>
              </w:rPr>
              <w:t>&gt;</w:t>
            </w:r>
          </w:p>
          <w:p w:rsidR="00991FB8" w:rsidRDefault="00991FB8" w:rsidP="00557414">
            <w:pPr>
              <w:spacing w:after="120"/>
              <w:jc w:val="both"/>
              <w:rPr>
                <w:rFonts w:ascii="Arial" w:hAnsi="Arial"/>
                <w:sz w:val="20"/>
                <w:szCs w:val="20"/>
              </w:rPr>
            </w:pPr>
          </w:p>
          <w:p w:rsidR="00991FB8" w:rsidRPr="005970A0" w:rsidRDefault="00991FB8" w:rsidP="00557414">
            <w:pPr>
              <w:spacing w:after="120"/>
              <w:jc w:val="both"/>
              <w:rPr>
                <w:rFonts w:ascii="Arial" w:hAnsi="Arial"/>
                <w:sz w:val="20"/>
                <w:szCs w:val="20"/>
              </w:rPr>
            </w:pPr>
          </w:p>
        </w:tc>
      </w:tr>
      <w:tr w:rsidR="005970A0" w:rsidRPr="005970A0" w:rsidTr="007056F1">
        <w:tc>
          <w:tcPr>
            <w:tcW w:w="5000" w:type="pct"/>
            <w:gridSpan w:val="2"/>
            <w:shd w:val="clear" w:color="auto" w:fill="auto"/>
          </w:tcPr>
          <w:p w:rsidR="007056F1" w:rsidRPr="005970A0" w:rsidRDefault="007056F1" w:rsidP="007056F1">
            <w:pPr>
              <w:pStyle w:val="TableBodyText"/>
              <w:jc w:val="both"/>
              <w:rPr>
                <w:b/>
                <w:u w:val="single"/>
              </w:rPr>
            </w:pPr>
          </w:p>
          <w:p w:rsidR="007056F1" w:rsidRPr="005970A0" w:rsidRDefault="007056F1" w:rsidP="007056F1">
            <w:pPr>
              <w:pStyle w:val="TableBodyText"/>
              <w:jc w:val="both"/>
              <w:rPr>
                <w:b/>
                <w:u w:val="single"/>
              </w:rPr>
            </w:pPr>
            <w:r w:rsidRPr="005970A0">
              <w:rPr>
                <w:b/>
                <w:u w:val="single"/>
              </w:rPr>
              <w:t>Data Gaps/Issues Analysis</w:t>
            </w:r>
          </w:p>
        </w:tc>
      </w:tr>
      <w:tr w:rsidR="005970A0" w:rsidRPr="005970A0" w:rsidTr="00917109">
        <w:tc>
          <w:tcPr>
            <w:tcW w:w="887" w:type="pct"/>
            <w:shd w:val="clear" w:color="auto" w:fill="auto"/>
          </w:tcPr>
          <w:p w:rsidR="007056F1" w:rsidRPr="005970A0" w:rsidRDefault="007056F1" w:rsidP="007056F1">
            <w:pPr>
              <w:pStyle w:val="TableBodyText"/>
              <w:jc w:val="both"/>
              <w:rPr>
                <w:b/>
              </w:rPr>
            </w:pPr>
            <w:r w:rsidRPr="005970A0">
              <w:rPr>
                <w:b/>
              </w:rPr>
              <w:t>Key data gaps/ issues</w:t>
            </w:r>
          </w:p>
        </w:tc>
        <w:tc>
          <w:tcPr>
            <w:tcW w:w="4113" w:type="pct"/>
            <w:shd w:val="clear" w:color="auto" w:fill="auto"/>
          </w:tcPr>
          <w:p w:rsidR="007056F1" w:rsidRPr="005970A0" w:rsidRDefault="007056F1" w:rsidP="00A239BB">
            <w:pPr>
              <w:pStyle w:val="TableBodyText"/>
              <w:keepNext w:val="0"/>
              <w:keepLines w:val="0"/>
              <w:spacing w:after="120" w:line="240" w:lineRule="auto"/>
              <w:ind w:left="0" w:right="0"/>
              <w:jc w:val="both"/>
            </w:pPr>
            <w:r w:rsidRPr="005970A0">
              <w:t xml:space="preserve">The Steering Committee notes the following key data gaps/issues: </w:t>
            </w:r>
          </w:p>
          <w:p w:rsidR="007056F1" w:rsidRPr="005970A0" w:rsidRDefault="00636D68" w:rsidP="007C43EC">
            <w:pPr>
              <w:pStyle w:val="TableBullet"/>
              <w:tabs>
                <w:tab w:val="clear" w:pos="170"/>
                <w:tab w:val="num" w:pos="179"/>
              </w:tabs>
              <w:spacing w:after="120"/>
              <w:ind w:left="179" w:hanging="179"/>
              <w:jc w:val="both"/>
            </w:pPr>
            <w:r w:rsidRPr="005970A0">
              <w:t xml:space="preserve">Using enrolments as the denominator allows this indicator to assess the overall performance of the VET system, as it includes those people who started training but did not complete (and therefore did not improve their educational status). A supplementary measure using completions as the denominator is reported separately by the </w:t>
            </w:r>
            <w:proofErr w:type="spellStart"/>
            <w:r w:rsidRPr="005970A0">
              <w:t>COAG</w:t>
            </w:r>
            <w:proofErr w:type="spellEnd"/>
            <w:r w:rsidRPr="005970A0">
              <w:t xml:space="preserve"> Reform Council (CRC) for additional information, and is available in </w:t>
            </w:r>
            <w:r w:rsidRPr="005970A0">
              <w:rPr>
                <w:i/>
              </w:rPr>
              <w:t>Skills and Workforce Development 2011: Comparing performance across Australia</w:t>
            </w:r>
            <w:r w:rsidRPr="005970A0">
              <w:t xml:space="preserve"> (CRC 2012)</w:t>
            </w:r>
          </w:p>
          <w:p w:rsidR="007056F1" w:rsidRPr="005970A0" w:rsidRDefault="00A239BB" w:rsidP="007C43EC">
            <w:pPr>
              <w:pStyle w:val="TableBullet"/>
              <w:tabs>
                <w:tab w:val="clear" w:pos="170"/>
                <w:tab w:val="num" w:pos="179"/>
              </w:tabs>
              <w:spacing w:after="120"/>
              <w:ind w:hanging="179"/>
              <w:jc w:val="both"/>
            </w:pPr>
            <w:r w:rsidRPr="005970A0">
              <w:t>A VET student may be enrolled in more than one VET training program, and therefore there are more ‘course enrolments’ in the VET system than ‘students’. This distinction between student numbers and the number of course enrolments may be of importance if comparing VET data in this chapter with other VET data.</w:t>
            </w:r>
          </w:p>
          <w:p w:rsidR="00A239BB" w:rsidRPr="005970A0" w:rsidRDefault="00A239BB" w:rsidP="007C43EC">
            <w:pPr>
              <w:pStyle w:val="TableBullet"/>
              <w:tabs>
                <w:tab w:val="clear" w:pos="170"/>
                <w:tab w:val="num" w:pos="179"/>
              </w:tabs>
              <w:ind w:hanging="179"/>
              <w:jc w:val="both"/>
            </w:pPr>
            <w:r w:rsidRPr="005970A0">
              <w:t>Qualification completions data include both government and non-government funded VET students attending TAFE, and only government funded students from private providers. This differs to other completions data reported in the VET chapter (i.e. completed modules and units of competency), which are reported for government-funded students only (in keeping with the scope of the VET chapter focusing on government-funded activity). This is due to a limitation of the data that does not enable correct disaggregation of completions by funding source.</w:t>
            </w:r>
          </w:p>
        </w:tc>
      </w:tr>
    </w:tbl>
    <w:p w:rsidR="0068457F" w:rsidRPr="005970A0" w:rsidRDefault="0068457F" w:rsidP="00772353">
      <w:pPr>
        <w:pStyle w:val="Heading3"/>
        <w:spacing w:before="120"/>
      </w:pPr>
      <w:r w:rsidRPr="005970A0">
        <w:br w:type="page"/>
      </w:r>
      <w:bookmarkStart w:id="30" w:name="_Toc370472627"/>
      <w:r w:rsidRPr="005970A0">
        <w:lastRenderedPageBreak/>
        <w:t>Student satisfaction with VET — proportion of students who achieve their main reason for doing a VET course</w:t>
      </w:r>
      <w:bookmarkEnd w:id="30"/>
    </w:p>
    <w:p w:rsidR="0068457F" w:rsidRPr="005970A0" w:rsidRDefault="0068457F" w:rsidP="006E0702">
      <w:pPr>
        <w:pStyle w:val="Box"/>
      </w:pPr>
      <w:r w:rsidRPr="005970A0">
        <w:t>Data quality information for this indicator has been drafted by the National Centre for Vocational Education Research (</w:t>
      </w:r>
      <w:proofErr w:type="spellStart"/>
      <w:r w:rsidRPr="005970A0">
        <w:t>NCVER</w:t>
      </w:r>
      <w:proofErr w:type="spellEnd"/>
      <w:r w:rsidRPr="005970A0">
        <w:t>)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395EF2">
        <w:tc>
          <w:tcPr>
            <w:tcW w:w="5000" w:type="pct"/>
            <w:gridSpan w:val="2"/>
          </w:tcPr>
          <w:p w:rsidR="0068457F" w:rsidRPr="005970A0" w:rsidRDefault="0068457F" w:rsidP="006E0702">
            <w:pPr>
              <w:pStyle w:val="TableBodyText"/>
              <w:jc w:val="both"/>
              <w:rPr>
                <w:b/>
                <w:u w:val="single"/>
              </w:rPr>
            </w:pPr>
          </w:p>
          <w:p w:rsidR="0068457F" w:rsidRPr="005970A0" w:rsidRDefault="0068457F" w:rsidP="006E0702">
            <w:pPr>
              <w:pStyle w:val="TableBodyText"/>
              <w:jc w:val="both"/>
            </w:pPr>
            <w:r w:rsidRPr="005970A0">
              <w:rPr>
                <w:b/>
                <w:u w:val="single"/>
              </w:rPr>
              <w:t>Indicator definition and description</w:t>
            </w:r>
            <w:r w:rsidRPr="005970A0">
              <w:rPr>
                <w:rFonts w:cs="Arial"/>
                <w:b/>
                <w:sz w:val="22"/>
                <w:szCs w:val="22"/>
                <w:u w:val="single"/>
              </w:rPr>
              <w:t xml:space="preserve"> </w:t>
            </w:r>
          </w:p>
        </w:tc>
      </w:tr>
      <w:tr w:rsidR="005970A0" w:rsidRPr="005970A0" w:rsidTr="00395EF2">
        <w:tc>
          <w:tcPr>
            <w:tcW w:w="922" w:type="pct"/>
          </w:tcPr>
          <w:p w:rsidR="0068457F" w:rsidRPr="005970A0" w:rsidRDefault="0068457F" w:rsidP="006E0702">
            <w:pPr>
              <w:pStyle w:val="TableBodyText"/>
              <w:jc w:val="both"/>
              <w:rPr>
                <w:b/>
              </w:rPr>
            </w:pPr>
            <w:r w:rsidRPr="005970A0">
              <w:rPr>
                <w:b/>
              </w:rPr>
              <w:t>Element</w:t>
            </w:r>
          </w:p>
        </w:tc>
        <w:tc>
          <w:tcPr>
            <w:tcW w:w="4078" w:type="pct"/>
          </w:tcPr>
          <w:p w:rsidR="0068457F" w:rsidRPr="005970A0" w:rsidRDefault="0068457F" w:rsidP="006E0702">
            <w:pPr>
              <w:pStyle w:val="TableBodyText"/>
              <w:keepNext w:val="0"/>
              <w:keepLines w:val="0"/>
              <w:spacing w:after="120" w:line="240" w:lineRule="auto"/>
              <w:ind w:left="0" w:right="0"/>
              <w:jc w:val="both"/>
            </w:pPr>
            <w:r w:rsidRPr="005970A0">
              <w:t>Outcomes.</w:t>
            </w:r>
          </w:p>
        </w:tc>
      </w:tr>
      <w:tr w:rsidR="005970A0" w:rsidRPr="005970A0" w:rsidTr="00395EF2">
        <w:tc>
          <w:tcPr>
            <w:tcW w:w="922" w:type="pct"/>
          </w:tcPr>
          <w:p w:rsidR="0068457F" w:rsidRPr="005970A0" w:rsidRDefault="0068457F" w:rsidP="006E0702">
            <w:pPr>
              <w:pStyle w:val="TableBodyText"/>
              <w:jc w:val="both"/>
              <w:rPr>
                <w:b/>
              </w:rPr>
            </w:pPr>
            <w:r w:rsidRPr="005970A0">
              <w:rPr>
                <w:b/>
              </w:rPr>
              <w:t>Indicator</w:t>
            </w:r>
          </w:p>
        </w:tc>
        <w:tc>
          <w:tcPr>
            <w:tcW w:w="4078" w:type="pct"/>
          </w:tcPr>
          <w:p w:rsidR="0068457F" w:rsidRPr="005970A0" w:rsidRDefault="0068457F" w:rsidP="006E0702">
            <w:pPr>
              <w:pStyle w:val="TableBodyText"/>
              <w:keepNext w:val="0"/>
              <w:keepLines w:val="0"/>
              <w:spacing w:after="120" w:line="240" w:lineRule="auto"/>
              <w:ind w:left="0" w:right="0"/>
              <w:jc w:val="both"/>
            </w:pPr>
            <w:r w:rsidRPr="005970A0">
              <w:t>Student satisfaction with VET</w:t>
            </w:r>
          </w:p>
        </w:tc>
      </w:tr>
      <w:tr w:rsidR="005970A0" w:rsidRPr="005970A0" w:rsidTr="00395EF2">
        <w:tc>
          <w:tcPr>
            <w:tcW w:w="922" w:type="pct"/>
          </w:tcPr>
          <w:p w:rsidR="0068457F" w:rsidRPr="005970A0" w:rsidRDefault="0068457F" w:rsidP="006E0702">
            <w:pPr>
              <w:pStyle w:val="TableBodyText"/>
              <w:jc w:val="both"/>
              <w:rPr>
                <w:b/>
              </w:rPr>
            </w:pPr>
            <w:r w:rsidRPr="005970A0">
              <w:rPr>
                <w:b/>
              </w:rPr>
              <w:t>Measure (computation)</w:t>
            </w:r>
          </w:p>
        </w:tc>
        <w:tc>
          <w:tcPr>
            <w:tcW w:w="4078" w:type="pct"/>
          </w:tcPr>
          <w:p w:rsidR="0068457F" w:rsidRPr="005970A0" w:rsidRDefault="0068457F" w:rsidP="006E0702">
            <w:pPr>
              <w:pStyle w:val="TableBodyText"/>
              <w:jc w:val="both"/>
              <w:rPr>
                <w:u w:val="single"/>
              </w:rPr>
            </w:pPr>
            <w:r w:rsidRPr="005970A0">
              <w:rPr>
                <w:u w:val="single"/>
              </w:rPr>
              <w:t>Definition</w:t>
            </w:r>
          </w:p>
          <w:p w:rsidR="0068457F" w:rsidRPr="005970A0" w:rsidRDefault="0068457F" w:rsidP="006E0702">
            <w:pPr>
              <w:pStyle w:val="TableBodyText"/>
              <w:keepNext w:val="0"/>
              <w:keepLines w:val="0"/>
              <w:spacing w:after="120" w:line="240" w:lineRule="auto"/>
              <w:ind w:left="0" w:right="0"/>
              <w:jc w:val="both"/>
            </w:pPr>
            <w:r w:rsidRPr="005970A0">
              <w:t>The proportion of students who achieve their main reason for doing a VET course.</w:t>
            </w:r>
          </w:p>
          <w:p w:rsidR="0068457F" w:rsidRPr="005970A0" w:rsidRDefault="0068457F" w:rsidP="006E0702">
            <w:pPr>
              <w:pStyle w:val="TableBodyText"/>
              <w:jc w:val="both"/>
              <w:rPr>
                <w:u w:val="single"/>
              </w:rPr>
            </w:pPr>
            <w:r w:rsidRPr="005970A0">
              <w:rPr>
                <w:u w:val="single"/>
              </w:rPr>
              <w:t>Numerator/s</w:t>
            </w:r>
          </w:p>
          <w:p w:rsidR="0068457F" w:rsidRPr="005970A0" w:rsidRDefault="0068457F" w:rsidP="006E0702">
            <w:pPr>
              <w:pStyle w:val="TableBodyText"/>
              <w:keepNext w:val="0"/>
              <w:keepLines w:val="0"/>
              <w:spacing w:after="120" w:line="240" w:lineRule="auto"/>
              <w:ind w:left="0" w:right="0"/>
              <w:jc w:val="both"/>
            </w:pPr>
            <w:r w:rsidRPr="005970A0">
              <w:t>Number of graduates who completed their training during the year prior to the nominated year, and who reported that the training either helped or partially helped them achieve their main reason for undertaking that training.</w:t>
            </w:r>
          </w:p>
          <w:p w:rsidR="0068457F" w:rsidRPr="005970A0" w:rsidRDefault="0068457F" w:rsidP="006E0702">
            <w:pPr>
              <w:pStyle w:val="TableBodyText"/>
              <w:jc w:val="both"/>
              <w:rPr>
                <w:u w:val="single"/>
              </w:rPr>
            </w:pPr>
            <w:r w:rsidRPr="005970A0">
              <w:rPr>
                <w:u w:val="single"/>
              </w:rPr>
              <w:t>Denominator/s</w:t>
            </w:r>
          </w:p>
          <w:p w:rsidR="0068457F" w:rsidRPr="005970A0" w:rsidRDefault="0068457F" w:rsidP="006E0702">
            <w:pPr>
              <w:pStyle w:val="TableBodyText"/>
              <w:keepNext w:val="0"/>
              <w:keepLines w:val="0"/>
              <w:spacing w:after="120" w:line="240" w:lineRule="auto"/>
              <w:ind w:left="0" w:right="0"/>
              <w:jc w:val="both"/>
            </w:pPr>
            <w:r w:rsidRPr="005970A0">
              <w:t>Number of graduates who completed their training during the year prior to the nominated year (less those with the numerator variable not stated).</w:t>
            </w:r>
          </w:p>
          <w:p w:rsidR="0068457F" w:rsidRPr="005970A0" w:rsidRDefault="0068457F" w:rsidP="006E0702">
            <w:pPr>
              <w:pStyle w:val="TableBodyText"/>
              <w:jc w:val="both"/>
              <w:rPr>
                <w:u w:val="single"/>
              </w:rPr>
            </w:pPr>
            <w:r w:rsidRPr="005970A0">
              <w:rPr>
                <w:u w:val="single"/>
              </w:rPr>
              <w:t>Computation/s:</w:t>
            </w:r>
          </w:p>
          <w:p w:rsidR="0068457F" w:rsidRPr="005970A0" w:rsidRDefault="0068457F" w:rsidP="006E0702">
            <w:pPr>
              <w:pStyle w:val="TableBodyText"/>
              <w:keepNext w:val="0"/>
              <w:keepLines w:val="0"/>
              <w:spacing w:after="120" w:line="240" w:lineRule="auto"/>
              <w:ind w:left="0" w:right="0"/>
              <w:jc w:val="both"/>
            </w:pPr>
            <w:r w:rsidRPr="005970A0">
              <w:t>Numerator (above) divided by denominator (above)</w:t>
            </w:r>
            <w:r w:rsidR="003B11B3" w:rsidRPr="005970A0">
              <w:t>.</w:t>
            </w:r>
          </w:p>
          <w:p w:rsidR="0068457F" w:rsidRPr="005970A0" w:rsidRDefault="0068457F" w:rsidP="006E0702">
            <w:pPr>
              <w:pStyle w:val="TableBodyText"/>
              <w:keepNext w:val="0"/>
              <w:keepLines w:val="0"/>
              <w:spacing w:after="120" w:line="240" w:lineRule="auto"/>
              <w:ind w:left="0" w:right="0"/>
              <w:jc w:val="both"/>
              <w:rPr>
                <w:u w:val="single"/>
              </w:rPr>
            </w:pPr>
            <w:r w:rsidRPr="005970A0">
              <w:t>‘Graduate’ is defined as a past student who was awarded a qualification from a VET provider in Australia.</w:t>
            </w:r>
          </w:p>
        </w:tc>
      </w:tr>
      <w:tr w:rsidR="005970A0" w:rsidRPr="005970A0" w:rsidTr="00395EF2">
        <w:tc>
          <w:tcPr>
            <w:tcW w:w="922" w:type="pct"/>
          </w:tcPr>
          <w:p w:rsidR="0068457F" w:rsidRPr="005970A0" w:rsidRDefault="0068457F" w:rsidP="006E0702">
            <w:pPr>
              <w:pStyle w:val="TableBodyText"/>
              <w:jc w:val="both"/>
              <w:rPr>
                <w:b/>
              </w:rPr>
            </w:pPr>
            <w:r w:rsidRPr="005970A0">
              <w:rPr>
                <w:b/>
              </w:rPr>
              <w:t>Data source/s</w:t>
            </w:r>
          </w:p>
        </w:tc>
        <w:tc>
          <w:tcPr>
            <w:tcW w:w="4078" w:type="pct"/>
          </w:tcPr>
          <w:p w:rsidR="0068457F" w:rsidRPr="005970A0" w:rsidRDefault="0068457F" w:rsidP="006E0702">
            <w:pPr>
              <w:pStyle w:val="TableBodyText"/>
              <w:keepNext w:val="0"/>
              <w:keepLines w:val="0"/>
              <w:spacing w:after="120" w:line="240" w:lineRule="auto"/>
              <w:ind w:left="0" w:right="0"/>
              <w:jc w:val="both"/>
            </w:pPr>
            <w:r w:rsidRPr="005970A0">
              <w:t xml:space="preserve">All data are derived from the </w:t>
            </w:r>
            <w:r w:rsidRPr="005970A0">
              <w:rPr>
                <w:i/>
              </w:rPr>
              <w:t>Student Outcomes Survey</w:t>
            </w:r>
            <w:r w:rsidRPr="005970A0">
              <w:t xml:space="preserve"> (SOS), which is an annual survey of students who successfully complete VET in Australia. This survey is conducted by the </w:t>
            </w:r>
            <w:proofErr w:type="spellStart"/>
            <w:r w:rsidRPr="005970A0">
              <w:t>NCVER</w:t>
            </w:r>
            <w:proofErr w:type="spellEnd"/>
            <w:r w:rsidRPr="005970A0">
              <w:t>.</w:t>
            </w:r>
          </w:p>
          <w:p w:rsidR="0068457F" w:rsidRPr="005970A0" w:rsidRDefault="0068457F" w:rsidP="006E0702">
            <w:pPr>
              <w:pStyle w:val="TableBodyText"/>
              <w:keepNext w:val="0"/>
              <w:keepLines w:val="0"/>
              <w:spacing w:after="120" w:line="240" w:lineRule="auto"/>
              <w:ind w:left="0" w:right="0"/>
              <w:jc w:val="both"/>
            </w:pPr>
            <w:r w:rsidRPr="005970A0">
              <w:t>The sample for the survey is drawn from the National VET Provider Collection.</w:t>
            </w:r>
          </w:p>
        </w:tc>
      </w:tr>
      <w:tr w:rsidR="005970A0" w:rsidRPr="005970A0" w:rsidTr="00395EF2">
        <w:tc>
          <w:tcPr>
            <w:tcW w:w="5000" w:type="pct"/>
            <w:gridSpan w:val="2"/>
          </w:tcPr>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C736D5">
              <w:tc>
                <w:tcPr>
                  <w:tcW w:w="5000" w:type="pct"/>
                  <w:gridSpan w:val="2"/>
                </w:tcPr>
                <w:p w:rsidR="00C736D5" w:rsidRPr="005970A0" w:rsidRDefault="00C736D5" w:rsidP="00C736D5">
                  <w:pPr>
                    <w:pStyle w:val="TableBodyText"/>
                    <w:jc w:val="both"/>
                    <w:rPr>
                      <w:b/>
                      <w:u w:val="single"/>
                    </w:rPr>
                  </w:pPr>
                </w:p>
                <w:p w:rsidR="00C736D5" w:rsidRPr="005970A0" w:rsidRDefault="00C736D5" w:rsidP="00C736D5">
                  <w:pPr>
                    <w:pStyle w:val="TableBodyText"/>
                    <w:jc w:val="both"/>
                    <w:rPr>
                      <w:b/>
                      <w:u w:val="single"/>
                    </w:rPr>
                  </w:pPr>
                  <w:r w:rsidRPr="005970A0">
                    <w:rPr>
                      <w:b/>
                      <w:u w:val="single"/>
                    </w:rPr>
                    <w:t>Data Quality Framework Dimensions</w:t>
                  </w:r>
                </w:p>
              </w:tc>
            </w:tr>
            <w:tr w:rsidR="005970A0" w:rsidRPr="005970A0" w:rsidTr="00C736D5">
              <w:tc>
                <w:tcPr>
                  <w:tcW w:w="922" w:type="pct"/>
                </w:tcPr>
                <w:p w:rsidR="00C736D5" w:rsidRPr="005970A0" w:rsidRDefault="00C736D5" w:rsidP="00C736D5">
                  <w:pPr>
                    <w:pStyle w:val="TableBodyText"/>
                    <w:jc w:val="both"/>
                    <w:rPr>
                      <w:rFonts w:cs="Arial"/>
                      <w:b/>
                    </w:rPr>
                  </w:pPr>
                  <w:r w:rsidRPr="005970A0">
                    <w:rPr>
                      <w:rFonts w:cs="Arial"/>
                      <w:b/>
                    </w:rPr>
                    <w:t>Institutional environment</w:t>
                  </w:r>
                </w:p>
              </w:tc>
              <w:tc>
                <w:tcPr>
                  <w:tcW w:w="4078" w:type="pct"/>
                </w:tcPr>
                <w:p w:rsidR="00C736D5" w:rsidRPr="005970A0" w:rsidRDefault="00C736D5" w:rsidP="00C736D5">
                  <w:pPr>
                    <w:pStyle w:val="TableBodyText"/>
                    <w:keepNext w:val="0"/>
                    <w:keepLines w:val="0"/>
                    <w:autoSpaceDE w:val="0"/>
                    <w:autoSpaceDN w:val="0"/>
                    <w:adjustRightInd w:val="0"/>
                    <w:spacing w:after="120" w:line="240" w:lineRule="atLeast"/>
                    <w:ind w:left="0" w:right="0"/>
                    <w:jc w:val="left"/>
                  </w:pPr>
                  <w:r w:rsidRPr="005970A0">
                    <w:t>The National Centre for Vocational Education Research (</w:t>
                  </w:r>
                  <w:proofErr w:type="spellStart"/>
                  <w:r w:rsidRPr="005970A0">
                    <w:t>NCVER</w:t>
                  </w:r>
                  <w:proofErr w:type="spellEnd"/>
                  <w:r w:rsidRPr="005970A0">
                    <w:t>) is a not-for-profit company owned by the federal, state and territory ministers responsible for training.</w:t>
                  </w:r>
                </w:p>
                <w:p w:rsidR="00C736D5" w:rsidRPr="005970A0" w:rsidRDefault="00C736D5" w:rsidP="00C736D5">
                  <w:pPr>
                    <w:pStyle w:val="TableBodyText"/>
                    <w:keepNext w:val="0"/>
                    <w:keepLines w:val="0"/>
                    <w:autoSpaceDE w:val="0"/>
                    <w:autoSpaceDN w:val="0"/>
                    <w:adjustRightInd w:val="0"/>
                    <w:spacing w:after="120" w:line="240" w:lineRule="atLeast"/>
                    <w:ind w:left="0" w:right="0"/>
                    <w:jc w:val="left"/>
                  </w:pPr>
                  <w:proofErr w:type="spellStart"/>
                  <w:r w:rsidRPr="005970A0">
                    <w:t>NCVER</w:t>
                  </w:r>
                  <w:proofErr w:type="spellEnd"/>
                  <w:r w:rsidRPr="005970A0">
                    <w:t xml:space="preserve">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C736D5" w:rsidRPr="005970A0" w:rsidRDefault="00C736D5" w:rsidP="00C736D5">
                  <w:pPr>
                    <w:pStyle w:val="TableBodyText"/>
                    <w:keepNext w:val="0"/>
                    <w:keepLines w:val="0"/>
                    <w:autoSpaceDE w:val="0"/>
                    <w:autoSpaceDN w:val="0"/>
                    <w:adjustRightInd w:val="0"/>
                    <w:spacing w:after="120" w:line="240" w:lineRule="atLeast"/>
                    <w:ind w:left="0" w:right="0"/>
                    <w:jc w:val="left"/>
                  </w:pPr>
                  <w:r w:rsidRPr="005970A0">
                    <w:t xml:space="preserve">For further information on the </w:t>
                  </w:r>
                  <w:proofErr w:type="spellStart"/>
                  <w:r w:rsidRPr="005970A0">
                    <w:t>NCVER</w:t>
                  </w:r>
                  <w:proofErr w:type="spellEnd"/>
                  <w:r w:rsidRPr="005970A0">
                    <w:t xml:space="preserve">, see </w:t>
                  </w:r>
                  <w:r w:rsidRPr="00D86CD7">
                    <w:t>http://</w:t>
                  </w:r>
                  <w:proofErr w:type="spellStart"/>
                  <w:r w:rsidRPr="00D86CD7">
                    <w:t>www.ncver.edu.au</w:t>
                  </w:r>
                  <w:proofErr w:type="spellEnd"/>
                  <w:r w:rsidRPr="00D86CD7">
                    <w:t>/</w:t>
                  </w:r>
                  <w:proofErr w:type="spellStart"/>
                  <w:r w:rsidRPr="00D86CD7">
                    <w:t>aboutncver</w:t>
                  </w:r>
                  <w:proofErr w:type="spellEnd"/>
                  <w:r w:rsidRPr="00D86CD7">
                    <w:t>/</w:t>
                  </w:r>
                  <w:proofErr w:type="spellStart"/>
                  <w:r w:rsidRPr="00D86CD7">
                    <w:t>who.html</w:t>
                  </w:r>
                  <w:proofErr w:type="spellEnd"/>
                </w:p>
              </w:tc>
            </w:tr>
            <w:tr w:rsidR="005970A0" w:rsidRPr="005970A0" w:rsidTr="00C736D5">
              <w:tc>
                <w:tcPr>
                  <w:tcW w:w="922" w:type="pct"/>
                </w:tcPr>
                <w:p w:rsidR="00C736D5" w:rsidRPr="005970A0" w:rsidRDefault="00C736D5" w:rsidP="00C736D5">
                  <w:pPr>
                    <w:pStyle w:val="TableBodyText"/>
                    <w:jc w:val="both"/>
                    <w:rPr>
                      <w:rFonts w:cs="Arial"/>
                      <w:b/>
                    </w:rPr>
                  </w:pPr>
                  <w:r w:rsidRPr="005970A0">
                    <w:br w:type="page"/>
                  </w:r>
                  <w:r w:rsidRPr="005970A0">
                    <w:rPr>
                      <w:rFonts w:cs="Arial"/>
                      <w:b/>
                    </w:rPr>
                    <w:t>Relevance</w:t>
                  </w:r>
                </w:p>
              </w:tc>
              <w:tc>
                <w:tcPr>
                  <w:tcW w:w="4078" w:type="pct"/>
                </w:tcPr>
                <w:p w:rsidR="00C736D5" w:rsidRPr="005970A0" w:rsidRDefault="00C736D5" w:rsidP="00C736D5">
                  <w:pPr>
                    <w:pStyle w:val="TableBodyText"/>
                    <w:keepNext w:val="0"/>
                    <w:keepLines w:val="0"/>
                    <w:autoSpaceDE w:val="0"/>
                    <w:autoSpaceDN w:val="0"/>
                    <w:adjustRightInd w:val="0"/>
                    <w:spacing w:after="120" w:line="240" w:lineRule="atLeast"/>
                    <w:ind w:left="0" w:right="0"/>
                    <w:jc w:val="both"/>
                  </w:pPr>
                  <w:r w:rsidRPr="005970A0">
                    <w:t xml:space="preserve">The Student Outcomes Survey collects information on students’ employment outcomes and satisfaction with VET in Australia. Data are collected by mail-out survey with an option to complete the survey </w:t>
                  </w:r>
                  <w:proofErr w:type="spellStart"/>
                  <w:r w:rsidRPr="005970A0">
                    <w:t>on-line</w:t>
                  </w:r>
                  <w:proofErr w:type="spellEnd"/>
                  <w:r w:rsidRPr="005970A0">
                    <w:t>.</w:t>
                  </w:r>
                </w:p>
                <w:p w:rsidR="00C736D5" w:rsidRPr="005970A0" w:rsidRDefault="00C736D5" w:rsidP="00C736D5">
                  <w:pPr>
                    <w:pStyle w:val="TableBodyText"/>
                    <w:keepNext w:val="0"/>
                    <w:keepLines w:val="0"/>
                    <w:autoSpaceDE w:val="0"/>
                    <w:autoSpaceDN w:val="0"/>
                    <w:adjustRightInd w:val="0"/>
                    <w:spacing w:after="120" w:line="240" w:lineRule="atLeast"/>
                    <w:ind w:left="0" w:right="0"/>
                    <w:jc w:val="both"/>
                  </w:pPr>
                  <w:r w:rsidRPr="005970A0">
                    <w:t>Information about the level and type of training students undertake, further study patterns and reasons for not continuing with the training (where applicable) is also collected.</w:t>
                  </w:r>
                </w:p>
                <w:p w:rsidR="00AC25DC" w:rsidRDefault="00AC25DC" w:rsidP="00C736D5">
                  <w:pPr>
                    <w:pStyle w:val="TableBodyText"/>
                    <w:keepNext w:val="0"/>
                    <w:keepLines w:val="0"/>
                    <w:autoSpaceDE w:val="0"/>
                    <w:autoSpaceDN w:val="0"/>
                    <w:adjustRightInd w:val="0"/>
                    <w:spacing w:after="120" w:line="240" w:lineRule="atLeast"/>
                    <w:ind w:left="0" w:right="0"/>
                    <w:jc w:val="both"/>
                  </w:pPr>
                </w:p>
                <w:p w:rsidR="00C736D5" w:rsidRPr="005970A0" w:rsidRDefault="00C736D5" w:rsidP="00C736D5">
                  <w:pPr>
                    <w:pStyle w:val="TableBodyText"/>
                    <w:keepNext w:val="0"/>
                    <w:keepLines w:val="0"/>
                    <w:autoSpaceDE w:val="0"/>
                    <w:autoSpaceDN w:val="0"/>
                    <w:adjustRightInd w:val="0"/>
                    <w:spacing w:after="120" w:line="240" w:lineRule="atLeast"/>
                    <w:ind w:left="0" w:right="0"/>
                    <w:jc w:val="both"/>
                  </w:pPr>
                  <w:r w:rsidRPr="005970A0">
                    <w:lastRenderedPageBreak/>
                    <w:t xml:space="preserve">The scope of the survey is nationally recognised VET (Figure 1).  </w:t>
                  </w:r>
                </w:p>
                <w:p w:rsidR="00C736D5" w:rsidRPr="005970A0" w:rsidRDefault="00C736D5" w:rsidP="00C736D5">
                  <w:pPr>
                    <w:pStyle w:val="TableBodyText"/>
                    <w:keepNext w:val="0"/>
                    <w:keepLines w:val="0"/>
                    <w:autoSpaceDE w:val="0"/>
                    <w:autoSpaceDN w:val="0"/>
                    <w:adjustRightInd w:val="0"/>
                    <w:spacing w:after="120" w:line="240" w:lineRule="atLeast"/>
                    <w:ind w:left="0" w:right="0"/>
                    <w:jc w:val="both"/>
                  </w:pPr>
                  <w:r w:rsidRPr="005970A0">
                    <w:t>The survey includes:</w:t>
                  </w:r>
                </w:p>
                <w:p w:rsidR="00C736D5" w:rsidRPr="005970A0" w:rsidRDefault="00C736D5" w:rsidP="007C43EC">
                  <w:pPr>
                    <w:pStyle w:val="TableBodyText"/>
                    <w:numPr>
                      <w:ilvl w:val="0"/>
                      <w:numId w:val="15"/>
                    </w:numPr>
                    <w:tabs>
                      <w:tab w:val="left" w:pos="222"/>
                    </w:tabs>
                    <w:spacing w:after="60"/>
                    <w:ind w:left="222" w:hanging="222"/>
                    <w:jc w:val="both"/>
                  </w:pPr>
                  <w:r w:rsidRPr="005970A0">
                    <w:t>Publicly funded VET activity (all providers)</w:t>
                  </w:r>
                </w:p>
                <w:p w:rsidR="00C736D5" w:rsidRPr="005970A0" w:rsidRDefault="00C736D5" w:rsidP="007C43EC">
                  <w:pPr>
                    <w:pStyle w:val="TableBodyText"/>
                    <w:numPr>
                      <w:ilvl w:val="0"/>
                      <w:numId w:val="16"/>
                    </w:numPr>
                    <w:tabs>
                      <w:tab w:val="left" w:pos="222"/>
                    </w:tabs>
                    <w:ind w:left="222" w:hanging="222"/>
                    <w:jc w:val="both"/>
                  </w:pPr>
                  <w:r w:rsidRPr="005970A0">
                    <w:t xml:space="preserve">Privately funded VET activity delivered by TAFE institutions, ACE providers, and other government providers </w:t>
                  </w:r>
                </w:p>
                <w:p w:rsidR="00C736D5" w:rsidRPr="005970A0" w:rsidRDefault="00C736D5" w:rsidP="00C736D5">
                  <w:pPr>
                    <w:pStyle w:val="TableBodyText"/>
                    <w:spacing w:before="120"/>
                    <w:jc w:val="both"/>
                  </w:pPr>
                  <w:r w:rsidRPr="005970A0">
                    <w:t>The survey excludes:</w:t>
                  </w:r>
                </w:p>
                <w:p w:rsidR="00C736D5" w:rsidRPr="005970A0" w:rsidRDefault="00C736D5" w:rsidP="007C43EC">
                  <w:pPr>
                    <w:pStyle w:val="TableBodyText"/>
                    <w:numPr>
                      <w:ilvl w:val="0"/>
                      <w:numId w:val="15"/>
                    </w:numPr>
                    <w:tabs>
                      <w:tab w:val="left" w:pos="222"/>
                    </w:tabs>
                    <w:spacing w:after="60"/>
                    <w:ind w:left="222" w:hanging="222"/>
                    <w:jc w:val="both"/>
                  </w:pPr>
                  <w:r w:rsidRPr="005970A0">
                    <w:t>Recreation, leisure and personal enrichment (non-vocational programs)</w:t>
                  </w:r>
                </w:p>
                <w:p w:rsidR="00C736D5" w:rsidRPr="005970A0" w:rsidRDefault="00C736D5" w:rsidP="007C43EC">
                  <w:pPr>
                    <w:pStyle w:val="TableBodyText"/>
                    <w:numPr>
                      <w:ilvl w:val="0"/>
                      <w:numId w:val="15"/>
                    </w:numPr>
                    <w:tabs>
                      <w:tab w:val="left" w:pos="222"/>
                    </w:tabs>
                    <w:spacing w:after="60"/>
                    <w:ind w:left="222" w:hanging="222"/>
                    <w:jc w:val="both"/>
                  </w:pPr>
                  <w:r w:rsidRPr="005970A0">
                    <w:t>Privately funded VET activity delivered by private providers</w:t>
                  </w:r>
                </w:p>
                <w:p w:rsidR="00C736D5" w:rsidRPr="005970A0" w:rsidRDefault="00C736D5" w:rsidP="007C43EC">
                  <w:pPr>
                    <w:pStyle w:val="TableBodyText"/>
                    <w:numPr>
                      <w:ilvl w:val="0"/>
                      <w:numId w:val="15"/>
                    </w:numPr>
                    <w:tabs>
                      <w:tab w:val="left" w:pos="222"/>
                    </w:tabs>
                    <w:spacing w:after="60"/>
                    <w:ind w:left="222" w:hanging="222"/>
                    <w:jc w:val="both"/>
                  </w:pPr>
                  <w:r w:rsidRPr="005970A0">
                    <w:t>VET activity delivered at overseas campuses of Australian VET institutions</w:t>
                  </w:r>
                </w:p>
                <w:p w:rsidR="00C736D5" w:rsidRPr="005970A0" w:rsidRDefault="00C736D5" w:rsidP="007C43EC">
                  <w:pPr>
                    <w:pStyle w:val="TableBodyText"/>
                    <w:numPr>
                      <w:ilvl w:val="0"/>
                      <w:numId w:val="15"/>
                    </w:numPr>
                    <w:tabs>
                      <w:tab w:val="left" w:pos="222"/>
                    </w:tabs>
                    <w:ind w:left="222" w:hanging="222"/>
                    <w:jc w:val="both"/>
                  </w:pPr>
                  <w:r w:rsidRPr="005970A0">
                    <w:t>VET activity delivered in schools.</w:t>
                  </w:r>
                </w:p>
                <w:p w:rsidR="00C736D5" w:rsidRPr="005970A0" w:rsidRDefault="00C736D5" w:rsidP="00C736D5">
                  <w:pPr>
                    <w:pStyle w:val="TableBodyText"/>
                    <w:keepNext w:val="0"/>
                    <w:keepLines w:val="0"/>
                    <w:autoSpaceDE w:val="0"/>
                    <w:autoSpaceDN w:val="0"/>
                    <w:adjustRightInd w:val="0"/>
                    <w:spacing w:before="120" w:after="120" w:line="240" w:lineRule="atLeast"/>
                    <w:ind w:left="0" w:right="0"/>
                    <w:jc w:val="both"/>
                  </w:pPr>
                  <w:r w:rsidRPr="005970A0">
                    <w:t>This scope has been in place since 2005. Prior to 2005, information was only collected from students undertaking Commonwealth/State funded programs through TAFE.</w:t>
                  </w:r>
                </w:p>
                <w:p w:rsidR="00C736D5" w:rsidRPr="005970A0" w:rsidRDefault="00C736D5" w:rsidP="00C736D5">
                  <w:pPr>
                    <w:pStyle w:val="TableBodyText"/>
                    <w:jc w:val="both"/>
                    <w:rPr>
                      <w:b/>
                      <w:sz w:val="17"/>
                      <w:szCs w:val="17"/>
                    </w:rPr>
                  </w:pPr>
                  <w:r w:rsidRPr="005970A0">
                    <w:rPr>
                      <w:b/>
                      <w:sz w:val="17"/>
                      <w:szCs w:val="17"/>
                    </w:rPr>
                    <w:t>Figure 1: Scope of the 201</w:t>
                  </w:r>
                  <w:r w:rsidR="00063E84">
                    <w:rPr>
                      <w:b/>
                      <w:sz w:val="17"/>
                      <w:szCs w:val="17"/>
                    </w:rPr>
                    <w:t>2</w:t>
                  </w:r>
                  <w:r w:rsidRPr="005970A0">
                    <w:rPr>
                      <w:b/>
                      <w:sz w:val="17"/>
                      <w:szCs w:val="17"/>
                    </w:rPr>
                    <w:t xml:space="preserve"> Student Outcomes Survey</w:t>
                  </w:r>
                </w:p>
                <w:tbl>
                  <w:tblPr>
                    <w:tblW w:w="0" w:type="auto"/>
                    <w:tblLook w:val="01E0" w:firstRow="1" w:lastRow="1" w:firstColumn="1" w:lastColumn="1" w:noHBand="0" w:noVBand="0"/>
                  </w:tblPr>
                  <w:tblGrid>
                    <w:gridCol w:w="1691"/>
                    <w:gridCol w:w="1800"/>
                    <w:gridCol w:w="1656"/>
                    <w:gridCol w:w="1948"/>
                  </w:tblGrid>
                  <w:tr w:rsidR="005970A0" w:rsidRPr="005970A0" w:rsidTr="00C736D5">
                    <w:trPr>
                      <w:trHeight w:val="251"/>
                    </w:trPr>
                    <w:tc>
                      <w:tcPr>
                        <w:tcW w:w="1691" w:type="dxa"/>
                        <w:tcBorders>
                          <w:top w:val="single" w:sz="4" w:space="0" w:color="auto"/>
                          <w:left w:val="nil"/>
                          <w:bottom w:val="nil"/>
                          <w:right w:val="nil"/>
                        </w:tcBorders>
                      </w:tcPr>
                      <w:p w:rsidR="00C736D5" w:rsidRPr="005970A0" w:rsidRDefault="00C736D5" w:rsidP="00C736D5">
                        <w:pPr>
                          <w:pStyle w:val="TableBodyText"/>
                          <w:jc w:val="both"/>
                          <w:rPr>
                            <w:sz w:val="16"/>
                            <w:szCs w:val="16"/>
                          </w:rPr>
                        </w:pPr>
                      </w:p>
                    </w:tc>
                    <w:tc>
                      <w:tcPr>
                        <w:tcW w:w="5404" w:type="dxa"/>
                        <w:gridSpan w:val="3"/>
                        <w:tcBorders>
                          <w:top w:val="single" w:sz="4" w:space="0" w:color="auto"/>
                          <w:left w:val="nil"/>
                          <w:bottom w:val="nil"/>
                          <w:right w:val="nil"/>
                        </w:tcBorders>
                      </w:tcPr>
                      <w:p w:rsidR="00C736D5" w:rsidRPr="005970A0" w:rsidRDefault="00C736D5" w:rsidP="00C736D5">
                        <w:pPr>
                          <w:pStyle w:val="TableBodyText"/>
                          <w:jc w:val="both"/>
                          <w:rPr>
                            <w:b/>
                            <w:bCs/>
                            <w:sz w:val="16"/>
                            <w:szCs w:val="16"/>
                          </w:rPr>
                        </w:pPr>
                        <w:r w:rsidRPr="005970A0">
                          <w:rPr>
                            <w:b/>
                            <w:bCs/>
                            <w:sz w:val="16"/>
                            <w:szCs w:val="16"/>
                          </w:rPr>
                          <w:t>Provider Type</w:t>
                        </w:r>
                      </w:p>
                    </w:tc>
                  </w:tr>
                  <w:tr w:rsidR="005970A0" w:rsidRPr="005970A0" w:rsidTr="00C736D5">
                    <w:trPr>
                      <w:trHeight w:val="491"/>
                    </w:trPr>
                    <w:tc>
                      <w:tcPr>
                        <w:tcW w:w="1691" w:type="dxa"/>
                        <w:tcBorders>
                          <w:top w:val="nil"/>
                          <w:left w:val="nil"/>
                          <w:bottom w:val="single" w:sz="4" w:space="0" w:color="auto"/>
                          <w:right w:val="nil"/>
                        </w:tcBorders>
                      </w:tcPr>
                      <w:p w:rsidR="00C736D5" w:rsidRPr="005970A0" w:rsidRDefault="00C736D5" w:rsidP="00C736D5">
                        <w:pPr>
                          <w:pStyle w:val="TableBodyText"/>
                          <w:jc w:val="both"/>
                          <w:rPr>
                            <w:bCs/>
                            <w:sz w:val="16"/>
                            <w:szCs w:val="16"/>
                          </w:rPr>
                        </w:pPr>
                        <w:r w:rsidRPr="005970A0">
                          <w:rPr>
                            <w:bCs/>
                            <w:sz w:val="16"/>
                            <w:szCs w:val="16"/>
                          </w:rPr>
                          <w:t>Funding Type</w:t>
                        </w:r>
                      </w:p>
                    </w:tc>
                    <w:tc>
                      <w:tcPr>
                        <w:tcW w:w="1800" w:type="dxa"/>
                        <w:tcBorders>
                          <w:top w:val="nil"/>
                          <w:left w:val="nil"/>
                          <w:bottom w:val="single" w:sz="4" w:space="0" w:color="auto"/>
                          <w:right w:val="nil"/>
                        </w:tcBorders>
                      </w:tcPr>
                      <w:p w:rsidR="00C736D5" w:rsidRPr="005970A0" w:rsidRDefault="00C736D5" w:rsidP="00C736D5">
                        <w:pPr>
                          <w:pStyle w:val="TableBodyText"/>
                          <w:jc w:val="both"/>
                          <w:rPr>
                            <w:bCs/>
                            <w:sz w:val="16"/>
                            <w:szCs w:val="16"/>
                          </w:rPr>
                        </w:pPr>
                        <w:r w:rsidRPr="005970A0">
                          <w:rPr>
                            <w:bCs/>
                            <w:sz w:val="16"/>
                            <w:szCs w:val="16"/>
                          </w:rPr>
                          <w:t>TAFE and Other Government providers</w:t>
                        </w:r>
                      </w:p>
                    </w:tc>
                    <w:tc>
                      <w:tcPr>
                        <w:tcW w:w="1656" w:type="dxa"/>
                        <w:tcBorders>
                          <w:top w:val="nil"/>
                          <w:left w:val="nil"/>
                          <w:bottom w:val="single" w:sz="4" w:space="0" w:color="auto"/>
                          <w:right w:val="nil"/>
                        </w:tcBorders>
                      </w:tcPr>
                      <w:p w:rsidR="00C736D5" w:rsidRPr="005970A0" w:rsidRDefault="00C736D5" w:rsidP="00C736D5">
                        <w:pPr>
                          <w:pStyle w:val="TableBodyText"/>
                          <w:jc w:val="both"/>
                          <w:rPr>
                            <w:bCs/>
                            <w:sz w:val="16"/>
                            <w:szCs w:val="16"/>
                          </w:rPr>
                        </w:pPr>
                        <w:r w:rsidRPr="005970A0">
                          <w:rPr>
                            <w:bCs/>
                            <w:sz w:val="16"/>
                            <w:szCs w:val="16"/>
                          </w:rPr>
                          <w:t>Private Providers</w:t>
                        </w:r>
                      </w:p>
                    </w:tc>
                    <w:tc>
                      <w:tcPr>
                        <w:tcW w:w="1948" w:type="dxa"/>
                        <w:tcBorders>
                          <w:top w:val="nil"/>
                          <w:left w:val="nil"/>
                          <w:bottom w:val="single" w:sz="4" w:space="0" w:color="auto"/>
                          <w:right w:val="nil"/>
                        </w:tcBorders>
                      </w:tcPr>
                      <w:p w:rsidR="00C736D5" w:rsidRPr="005970A0" w:rsidRDefault="00C736D5" w:rsidP="00C736D5">
                        <w:pPr>
                          <w:pStyle w:val="TableBodyText"/>
                          <w:jc w:val="both"/>
                          <w:rPr>
                            <w:bCs/>
                            <w:sz w:val="16"/>
                            <w:szCs w:val="16"/>
                          </w:rPr>
                        </w:pPr>
                        <w:r w:rsidRPr="005970A0">
                          <w:rPr>
                            <w:bCs/>
                            <w:sz w:val="16"/>
                            <w:szCs w:val="16"/>
                          </w:rPr>
                          <w:t>Community Education Providers</w:t>
                        </w:r>
                        <w:r w:rsidRPr="009A19A9">
                          <w:rPr>
                            <w:bCs/>
                          </w:rPr>
                          <w:t xml:space="preserve"> </w:t>
                        </w:r>
                        <w:r w:rsidRPr="009A19A9">
                          <w:rPr>
                            <w:bCs/>
                            <w:vertAlign w:val="superscript"/>
                          </w:rPr>
                          <w:t>a</w:t>
                        </w:r>
                      </w:p>
                    </w:tc>
                  </w:tr>
                  <w:tr w:rsidR="005970A0" w:rsidRPr="005970A0" w:rsidTr="00C736D5">
                    <w:trPr>
                      <w:trHeight w:val="405"/>
                    </w:trPr>
                    <w:tc>
                      <w:tcPr>
                        <w:tcW w:w="1691" w:type="dxa"/>
                        <w:tcBorders>
                          <w:top w:val="single" w:sz="4" w:space="0" w:color="auto"/>
                          <w:left w:val="nil"/>
                          <w:bottom w:val="nil"/>
                          <w:right w:val="nil"/>
                        </w:tcBorders>
                      </w:tcPr>
                      <w:p w:rsidR="00C736D5" w:rsidRPr="005970A0" w:rsidRDefault="00C736D5" w:rsidP="00C736D5">
                        <w:pPr>
                          <w:pStyle w:val="TableBodyText"/>
                          <w:jc w:val="both"/>
                          <w:rPr>
                            <w:sz w:val="16"/>
                            <w:szCs w:val="16"/>
                          </w:rPr>
                        </w:pPr>
                        <w:r w:rsidRPr="005970A0">
                          <w:rPr>
                            <w:sz w:val="16"/>
                            <w:szCs w:val="16"/>
                          </w:rPr>
                          <w:t>Commonwealth and state funded</w:t>
                        </w:r>
                      </w:p>
                    </w:tc>
                    <w:tc>
                      <w:tcPr>
                        <w:tcW w:w="1800" w:type="dxa"/>
                        <w:tcBorders>
                          <w:top w:val="single" w:sz="4" w:space="0" w:color="auto"/>
                          <w:left w:val="nil"/>
                          <w:bottom w:val="nil"/>
                          <w:right w:val="nil"/>
                        </w:tcBorders>
                      </w:tcPr>
                      <w:p w:rsidR="00C736D5" w:rsidRPr="005970A0" w:rsidRDefault="00C736D5" w:rsidP="00C736D5">
                        <w:pPr>
                          <w:pStyle w:val="TableBodyText"/>
                          <w:jc w:val="center"/>
                          <w:rPr>
                            <w:sz w:val="16"/>
                            <w:szCs w:val="16"/>
                          </w:rPr>
                        </w:pPr>
                        <w:r w:rsidRPr="005970A0">
                          <w:rPr>
                            <w:noProof/>
                            <w:sz w:val="16"/>
                            <w:szCs w:val="16"/>
                          </w:rPr>
                          <w:drawing>
                            <wp:inline distT="0" distB="0" distL="0" distR="0" wp14:anchorId="7290B31E" wp14:editId="343484AE">
                              <wp:extent cx="201930" cy="127635"/>
                              <wp:effectExtent l="0" t="0" r="7620" b="5715"/>
                              <wp:docPr id="41" name="Picture 1"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c>
                      <w:tcPr>
                        <w:tcW w:w="1656" w:type="dxa"/>
                        <w:tcBorders>
                          <w:top w:val="single" w:sz="4" w:space="0" w:color="auto"/>
                          <w:left w:val="nil"/>
                          <w:bottom w:val="nil"/>
                          <w:right w:val="nil"/>
                        </w:tcBorders>
                      </w:tcPr>
                      <w:p w:rsidR="00C736D5" w:rsidRPr="005970A0" w:rsidRDefault="00C736D5" w:rsidP="00C736D5">
                        <w:pPr>
                          <w:pStyle w:val="TableBodyText"/>
                          <w:jc w:val="center"/>
                          <w:rPr>
                            <w:sz w:val="16"/>
                            <w:szCs w:val="16"/>
                          </w:rPr>
                        </w:pPr>
                        <w:r w:rsidRPr="005970A0">
                          <w:rPr>
                            <w:noProof/>
                            <w:sz w:val="16"/>
                            <w:szCs w:val="16"/>
                          </w:rPr>
                          <w:drawing>
                            <wp:inline distT="0" distB="0" distL="0" distR="0" wp14:anchorId="5DD2C793" wp14:editId="7A3F2D5D">
                              <wp:extent cx="201930" cy="127635"/>
                              <wp:effectExtent l="0" t="0" r="7620" b="5715"/>
                              <wp:docPr id="42" name="Picture 2"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c>
                      <w:tcPr>
                        <w:tcW w:w="1948" w:type="dxa"/>
                        <w:tcBorders>
                          <w:top w:val="single" w:sz="4" w:space="0" w:color="auto"/>
                          <w:left w:val="nil"/>
                          <w:bottom w:val="nil"/>
                          <w:right w:val="nil"/>
                        </w:tcBorders>
                      </w:tcPr>
                      <w:p w:rsidR="00C736D5" w:rsidRPr="005970A0" w:rsidRDefault="00C736D5" w:rsidP="00C736D5">
                        <w:pPr>
                          <w:pStyle w:val="TableBodyText"/>
                          <w:jc w:val="center"/>
                          <w:rPr>
                            <w:sz w:val="16"/>
                            <w:szCs w:val="16"/>
                          </w:rPr>
                        </w:pPr>
                        <w:r w:rsidRPr="005970A0">
                          <w:rPr>
                            <w:noProof/>
                            <w:sz w:val="16"/>
                            <w:szCs w:val="16"/>
                          </w:rPr>
                          <w:drawing>
                            <wp:inline distT="0" distB="0" distL="0" distR="0" wp14:anchorId="64BC3641" wp14:editId="237A43FE">
                              <wp:extent cx="201930" cy="127635"/>
                              <wp:effectExtent l="0" t="0" r="7620" b="5715"/>
                              <wp:docPr id="43" name="Picture 3"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r>
                  <w:tr w:rsidR="005970A0" w:rsidRPr="005970A0" w:rsidTr="00C736D5">
                    <w:trPr>
                      <w:trHeight w:val="355"/>
                    </w:trPr>
                    <w:tc>
                      <w:tcPr>
                        <w:tcW w:w="1691" w:type="dxa"/>
                        <w:tcBorders>
                          <w:top w:val="nil"/>
                          <w:left w:val="nil"/>
                          <w:bottom w:val="single" w:sz="4" w:space="0" w:color="auto"/>
                          <w:right w:val="nil"/>
                        </w:tcBorders>
                      </w:tcPr>
                      <w:p w:rsidR="00C736D5" w:rsidRPr="005970A0" w:rsidRDefault="00C736D5" w:rsidP="00C736D5">
                        <w:pPr>
                          <w:pStyle w:val="TableBodyText"/>
                          <w:jc w:val="both"/>
                          <w:rPr>
                            <w:sz w:val="16"/>
                            <w:szCs w:val="16"/>
                          </w:rPr>
                        </w:pPr>
                        <w:r w:rsidRPr="005970A0">
                          <w:rPr>
                            <w:sz w:val="16"/>
                            <w:szCs w:val="16"/>
                          </w:rPr>
                          <w:t>Fee-for-service</w:t>
                        </w:r>
                      </w:p>
                    </w:tc>
                    <w:tc>
                      <w:tcPr>
                        <w:tcW w:w="1800" w:type="dxa"/>
                        <w:tcBorders>
                          <w:top w:val="nil"/>
                          <w:left w:val="nil"/>
                          <w:bottom w:val="single" w:sz="4" w:space="0" w:color="auto"/>
                          <w:right w:val="nil"/>
                        </w:tcBorders>
                      </w:tcPr>
                      <w:p w:rsidR="00C736D5" w:rsidRPr="005970A0" w:rsidRDefault="00C736D5" w:rsidP="00C736D5">
                        <w:pPr>
                          <w:pStyle w:val="TableBodyText"/>
                          <w:jc w:val="center"/>
                          <w:rPr>
                            <w:sz w:val="16"/>
                            <w:szCs w:val="16"/>
                          </w:rPr>
                        </w:pPr>
                        <w:r w:rsidRPr="005970A0">
                          <w:rPr>
                            <w:noProof/>
                            <w:sz w:val="16"/>
                            <w:szCs w:val="16"/>
                          </w:rPr>
                          <w:drawing>
                            <wp:inline distT="0" distB="0" distL="0" distR="0" wp14:anchorId="248F1BBA" wp14:editId="212767BE">
                              <wp:extent cx="201930" cy="127635"/>
                              <wp:effectExtent l="0" t="0" r="7620" b="5715"/>
                              <wp:docPr id="44" name="Picture 4"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c>
                      <w:tcPr>
                        <w:tcW w:w="1656" w:type="dxa"/>
                        <w:tcBorders>
                          <w:top w:val="nil"/>
                          <w:left w:val="nil"/>
                          <w:bottom w:val="single" w:sz="4" w:space="0" w:color="auto"/>
                          <w:right w:val="nil"/>
                        </w:tcBorders>
                      </w:tcPr>
                      <w:p w:rsidR="00C736D5" w:rsidRPr="005970A0" w:rsidRDefault="00C736D5" w:rsidP="00C736D5">
                        <w:pPr>
                          <w:pStyle w:val="TableBodyText"/>
                          <w:jc w:val="center"/>
                          <w:rPr>
                            <w:sz w:val="16"/>
                            <w:szCs w:val="16"/>
                          </w:rPr>
                        </w:pPr>
                      </w:p>
                    </w:tc>
                    <w:tc>
                      <w:tcPr>
                        <w:tcW w:w="1948" w:type="dxa"/>
                        <w:tcBorders>
                          <w:top w:val="nil"/>
                          <w:left w:val="nil"/>
                          <w:bottom w:val="single" w:sz="4" w:space="0" w:color="auto"/>
                          <w:right w:val="nil"/>
                        </w:tcBorders>
                      </w:tcPr>
                      <w:p w:rsidR="00C736D5" w:rsidRPr="005970A0" w:rsidRDefault="00C736D5" w:rsidP="00C736D5">
                        <w:pPr>
                          <w:pStyle w:val="TableBodyText"/>
                          <w:jc w:val="center"/>
                          <w:rPr>
                            <w:sz w:val="16"/>
                            <w:szCs w:val="16"/>
                          </w:rPr>
                        </w:pPr>
                        <w:r w:rsidRPr="005970A0">
                          <w:rPr>
                            <w:noProof/>
                            <w:sz w:val="16"/>
                            <w:szCs w:val="16"/>
                          </w:rPr>
                          <w:drawing>
                            <wp:inline distT="0" distB="0" distL="0" distR="0" wp14:anchorId="7FC3AE33" wp14:editId="10FED3FD">
                              <wp:extent cx="201930" cy="127635"/>
                              <wp:effectExtent l="0" t="0" r="7620" b="5715"/>
                              <wp:docPr id="45" name="Picture 5"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r>
                </w:tbl>
                <w:p w:rsidR="00C736D5" w:rsidRPr="005970A0" w:rsidRDefault="009A19A9" w:rsidP="009A19A9">
                  <w:pPr>
                    <w:pStyle w:val="TableBodyText"/>
                    <w:spacing w:before="40" w:after="60"/>
                    <w:jc w:val="both"/>
                  </w:pPr>
                  <w:proofErr w:type="spellStart"/>
                  <w:r w:rsidRPr="009A19A9">
                    <w:rPr>
                      <w:bCs/>
                      <w:vertAlign w:val="superscript"/>
                    </w:rPr>
                    <w:t>a</w:t>
                  </w:r>
                  <w:proofErr w:type="spellEnd"/>
                  <w:r>
                    <w:t xml:space="preserve"> </w:t>
                  </w:r>
                  <w:r w:rsidRPr="005970A0">
                    <w:t>This information is only collected in New South Wales and Victoria.</w:t>
                  </w:r>
                </w:p>
              </w:tc>
            </w:tr>
            <w:tr w:rsidR="005970A0" w:rsidRPr="005970A0" w:rsidTr="00C736D5">
              <w:tc>
                <w:tcPr>
                  <w:tcW w:w="922" w:type="pct"/>
                </w:tcPr>
                <w:p w:rsidR="00C736D5" w:rsidRPr="005970A0" w:rsidRDefault="00C736D5" w:rsidP="00C736D5">
                  <w:pPr>
                    <w:spacing w:line="320" w:lineRule="exact"/>
                    <w:jc w:val="both"/>
                    <w:rPr>
                      <w:rFonts w:ascii="Arial" w:hAnsi="Arial" w:cs="Arial"/>
                      <w:b/>
                      <w:sz w:val="20"/>
                      <w:szCs w:val="20"/>
                    </w:rPr>
                  </w:pPr>
                  <w:r w:rsidRPr="005970A0">
                    <w:rPr>
                      <w:rFonts w:ascii="Arial" w:hAnsi="Arial" w:cs="Arial"/>
                      <w:b/>
                      <w:sz w:val="20"/>
                      <w:szCs w:val="20"/>
                    </w:rPr>
                    <w:lastRenderedPageBreak/>
                    <w:t>Timeliness</w:t>
                  </w:r>
                </w:p>
                <w:p w:rsidR="00C736D5" w:rsidRPr="005970A0" w:rsidRDefault="00C736D5" w:rsidP="00C736D5">
                  <w:pPr>
                    <w:spacing w:line="320" w:lineRule="exact"/>
                    <w:jc w:val="both"/>
                    <w:rPr>
                      <w:rFonts w:ascii="Arial" w:hAnsi="Arial" w:cs="Arial"/>
                      <w:b/>
                      <w:sz w:val="20"/>
                      <w:szCs w:val="20"/>
                    </w:rPr>
                  </w:pPr>
                </w:p>
              </w:tc>
              <w:tc>
                <w:tcPr>
                  <w:tcW w:w="4078" w:type="pct"/>
                </w:tcPr>
                <w:p w:rsidR="00C736D5" w:rsidRPr="005970A0" w:rsidRDefault="00C736D5" w:rsidP="00063E84">
                  <w:pPr>
                    <w:pStyle w:val="Default"/>
                    <w:spacing w:after="120" w:line="240" w:lineRule="atLeast"/>
                    <w:jc w:val="both"/>
                    <w:rPr>
                      <w:color w:val="auto"/>
                      <w:sz w:val="20"/>
                      <w:szCs w:val="20"/>
                    </w:rPr>
                  </w:pPr>
                  <w:r w:rsidRPr="005970A0">
                    <w:rPr>
                      <w:color w:val="auto"/>
                      <w:sz w:val="20"/>
                      <w:szCs w:val="20"/>
                    </w:rPr>
                    <w:t xml:space="preserve">The </w:t>
                  </w:r>
                  <w:r w:rsidRPr="005970A0">
                    <w:rPr>
                      <w:i/>
                      <w:color w:val="auto"/>
                      <w:sz w:val="20"/>
                      <w:szCs w:val="20"/>
                    </w:rPr>
                    <w:t>Student Outcomes Survey</w:t>
                  </w:r>
                  <w:r w:rsidRPr="005970A0">
                    <w:rPr>
                      <w:color w:val="auto"/>
                      <w:sz w:val="20"/>
                      <w:szCs w:val="20"/>
                    </w:rPr>
                    <w:t xml:space="preserve"> </w:t>
                  </w:r>
                  <w:r w:rsidR="00DD55B0" w:rsidRPr="005970A0">
                    <w:rPr>
                      <w:color w:val="auto"/>
                      <w:sz w:val="20"/>
                      <w:szCs w:val="20"/>
                    </w:rPr>
                    <w:t xml:space="preserve">(SOS) </w:t>
                  </w:r>
                  <w:r w:rsidRPr="005970A0">
                    <w:rPr>
                      <w:color w:val="auto"/>
                      <w:sz w:val="20"/>
                      <w:szCs w:val="20"/>
                    </w:rPr>
                    <w:t>is conducted every year. The reference date is the last Friday in May of the year after the training was completed. Results from the 201</w:t>
                  </w:r>
                  <w:r w:rsidR="00063E84">
                    <w:rPr>
                      <w:color w:val="auto"/>
                      <w:sz w:val="20"/>
                      <w:szCs w:val="20"/>
                    </w:rPr>
                    <w:t>2</w:t>
                  </w:r>
                  <w:r w:rsidRPr="005970A0">
                    <w:rPr>
                      <w:color w:val="auto"/>
                      <w:sz w:val="20"/>
                      <w:szCs w:val="20"/>
                    </w:rPr>
                    <w:t xml:space="preserve"> survey (for students who completed their training in 201</w:t>
                  </w:r>
                  <w:r w:rsidR="00063E84">
                    <w:rPr>
                      <w:color w:val="auto"/>
                      <w:sz w:val="20"/>
                      <w:szCs w:val="20"/>
                    </w:rPr>
                    <w:t>1</w:t>
                  </w:r>
                  <w:r w:rsidRPr="005970A0">
                    <w:rPr>
                      <w:color w:val="auto"/>
                      <w:sz w:val="20"/>
                      <w:szCs w:val="20"/>
                    </w:rPr>
                    <w:t xml:space="preserve">) were released on the </w:t>
                  </w:r>
                  <w:proofErr w:type="spellStart"/>
                  <w:r w:rsidRPr="005970A0">
                    <w:rPr>
                      <w:color w:val="auto"/>
                      <w:sz w:val="20"/>
                      <w:szCs w:val="20"/>
                    </w:rPr>
                    <w:t>NCVER</w:t>
                  </w:r>
                  <w:proofErr w:type="spellEnd"/>
                  <w:r w:rsidRPr="005970A0">
                    <w:rPr>
                      <w:color w:val="auto"/>
                      <w:sz w:val="20"/>
                      <w:szCs w:val="20"/>
                    </w:rPr>
                    <w:t xml:space="preserve"> website in December 201</w:t>
                  </w:r>
                  <w:r w:rsidR="00063E84">
                    <w:rPr>
                      <w:color w:val="auto"/>
                      <w:sz w:val="20"/>
                      <w:szCs w:val="20"/>
                    </w:rPr>
                    <w:t>2</w:t>
                  </w:r>
                  <w:r w:rsidRPr="005970A0">
                    <w:rPr>
                      <w:color w:val="auto"/>
                      <w:sz w:val="20"/>
                      <w:szCs w:val="20"/>
                    </w:rPr>
                    <w:t>.</w:t>
                  </w:r>
                </w:p>
              </w:tc>
            </w:tr>
            <w:tr w:rsidR="005970A0" w:rsidRPr="005970A0" w:rsidTr="00C736D5">
              <w:tc>
                <w:tcPr>
                  <w:tcW w:w="922" w:type="pct"/>
                </w:tcPr>
                <w:p w:rsidR="00C736D5" w:rsidRPr="005970A0" w:rsidRDefault="00C736D5" w:rsidP="00C736D5">
                  <w:pPr>
                    <w:spacing w:line="320" w:lineRule="exact"/>
                    <w:jc w:val="both"/>
                    <w:rPr>
                      <w:rFonts w:ascii="Arial" w:hAnsi="Arial" w:cs="Arial"/>
                      <w:b/>
                      <w:sz w:val="20"/>
                      <w:szCs w:val="20"/>
                    </w:rPr>
                  </w:pPr>
                  <w:r w:rsidRPr="005970A0">
                    <w:rPr>
                      <w:rFonts w:ascii="Arial" w:hAnsi="Arial" w:cs="Arial"/>
                      <w:b/>
                      <w:sz w:val="20"/>
                      <w:szCs w:val="20"/>
                    </w:rPr>
                    <w:t>Accuracy</w:t>
                  </w:r>
                </w:p>
                <w:p w:rsidR="00C736D5" w:rsidRPr="005970A0" w:rsidRDefault="00C736D5" w:rsidP="00C736D5">
                  <w:pPr>
                    <w:spacing w:line="320" w:lineRule="exact"/>
                    <w:jc w:val="both"/>
                    <w:rPr>
                      <w:rFonts w:ascii="Arial" w:hAnsi="Arial" w:cs="Arial"/>
                      <w:b/>
                      <w:sz w:val="20"/>
                      <w:szCs w:val="20"/>
                    </w:rPr>
                  </w:pPr>
                </w:p>
              </w:tc>
              <w:tc>
                <w:tcPr>
                  <w:tcW w:w="4078" w:type="pct"/>
                </w:tcPr>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In odd years, the sample is designed for reporting at the national, state/territory and institute level.  In even years, a smaller sample is used for reporting at the national and state/territory level only. The survey is undertaken as a stratified, randomly selected sample, with survey responses weighted to population benchmarks from the National VET Provider Collection.</w:t>
                  </w:r>
                </w:p>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 xml:space="preserve">Potential sources of error in survey data include failure to complete the survey or failure to answer every applicable question. Neither of these sources of error is considered, by </w:t>
                  </w:r>
                  <w:proofErr w:type="spellStart"/>
                  <w:r w:rsidRPr="005970A0">
                    <w:rPr>
                      <w:rFonts w:ascii="Arial" w:hAnsi="Arial" w:cs="Arial"/>
                      <w:sz w:val="20"/>
                      <w:szCs w:val="20"/>
                    </w:rPr>
                    <w:t>NCVER</w:t>
                  </w:r>
                  <w:proofErr w:type="spellEnd"/>
                  <w:r w:rsidRPr="005970A0">
                    <w:rPr>
                      <w:rFonts w:ascii="Arial" w:hAnsi="Arial" w:cs="Arial"/>
                      <w:sz w:val="20"/>
                      <w:szCs w:val="20"/>
                    </w:rPr>
                    <w:t>, to have affected the quality of data. Three analyses are conducted to determine the impact of non-response and mode bias. They are performed on weighted and unweighted data and include:</w:t>
                  </w:r>
                </w:p>
                <w:p w:rsidR="00C736D5" w:rsidRPr="005970A0" w:rsidRDefault="00C736D5" w:rsidP="007C43EC">
                  <w:pPr>
                    <w:numPr>
                      <w:ilvl w:val="0"/>
                      <w:numId w:val="17"/>
                    </w:numPr>
                    <w:tabs>
                      <w:tab w:val="clear" w:pos="720"/>
                      <w:tab w:val="num" w:pos="222"/>
                    </w:tabs>
                    <w:spacing w:after="60"/>
                    <w:ind w:left="222" w:hanging="222"/>
                    <w:jc w:val="both"/>
                    <w:rPr>
                      <w:rFonts w:ascii="Arial" w:hAnsi="Arial" w:cs="Arial"/>
                      <w:sz w:val="20"/>
                      <w:szCs w:val="20"/>
                    </w:rPr>
                  </w:pPr>
                  <w:r w:rsidRPr="005970A0">
                    <w:rPr>
                      <w:rFonts w:ascii="Arial" w:hAnsi="Arial" w:cs="Arial"/>
                      <w:sz w:val="20"/>
                      <w:szCs w:val="20"/>
                    </w:rPr>
                    <w:t>a comparison of the responding sample with the mailing list sample</w:t>
                  </w:r>
                </w:p>
                <w:p w:rsidR="00C736D5" w:rsidRPr="005970A0" w:rsidRDefault="00C736D5" w:rsidP="007C43EC">
                  <w:pPr>
                    <w:numPr>
                      <w:ilvl w:val="0"/>
                      <w:numId w:val="17"/>
                    </w:numPr>
                    <w:tabs>
                      <w:tab w:val="clear" w:pos="720"/>
                      <w:tab w:val="num" w:pos="222"/>
                    </w:tabs>
                    <w:spacing w:after="60"/>
                    <w:ind w:left="222" w:hanging="222"/>
                    <w:jc w:val="both"/>
                    <w:rPr>
                      <w:rFonts w:ascii="Arial" w:hAnsi="Arial" w:cs="Arial"/>
                      <w:sz w:val="20"/>
                      <w:szCs w:val="20"/>
                    </w:rPr>
                  </w:pPr>
                  <w:r w:rsidRPr="005970A0">
                    <w:rPr>
                      <w:rFonts w:ascii="Arial" w:hAnsi="Arial" w:cs="Arial"/>
                      <w:sz w:val="20"/>
                      <w:szCs w:val="20"/>
                    </w:rPr>
                    <w:t>a comparison of the characteristics of the responding sample with non-respondents. Information on a sample of non-respondents is collected via telephone interview</w:t>
                  </w:r>
                </w:p>
                <w:p w:rsidR="00C736D5" w:rsidRPr="005970A0" w:rsidRDefault="00C736D5" w:rsidP="007C43EC">
                  <w:pPr>
                    <w:numPr>
                      <w:ilvl w:val="0"/>
                      <w:numId w:val="17"/>
                    </w:numPr>
                    <w:tabs>
                      <w:tab w:val="clear" w:pos="720"/>
                      <w:tab w:val="num" w:pos="222"/>
                    </w:tabs>
                    <w:spacing w:after="80"/>
                    <w:ind w:left="222" w:hanging="222"/>
                    <w:jc w:val="both"/>
                    <w:rPr>
                      <w:rFonts w:ascii="Arial" w:hAnsi="Arial" w:cs="Arial"/>
                      <w:sz w:val="20"/>
                      <w:szCs w:val="20"/>
                    </w:rPr>
                  </w:pPr>
                  <w:r w:rsidRPr="005970A0">
                    <w:rPr>
                      <w:rFonts w:ascii="Arial" w:hAnsi="Arial" w:cs="Arial"/>
                      <w:sz w:val="20"/>
                      <w:szCs w:val="20"/>
                    </w:rPr>
                    <w:t>a comparison of the results obtained from mail and online completion.</w:t>
                  </w:r>
                </w:p>
                <w:p w:rsidR="00560346" w:rsidRPr="005970A0" w:rsidRDefault="00560346" w:rsidP="00C736D5">
                  <w:pPr>
                    <w:autoSpaceDE w:val="0"/>
                    <w:autoSpaceDN w:val="0"/>
                    <w:adjustRightInd w:val="0"/>
                    <w:spacing w:after="120" w:line="240" w:lineRule="atLeast"/>
                    <w:jc w:val="both"/>
                    <w:rPr>
                      <w:rFonts w:ascii="Arial" w:hAnsi="Arial" w:cs="Arial"/>
                      <w:sz w:val="20"/>
                      <w:szCs w:val="20"/>
                    </w:rPr>
                  </w:pPr>
                </w:p>
                <w:p w:rsidR="00560346" w:rsidRPr="005970A0" w:rsidRDefault="00560346" w:rsidP="00C736D5">
                  <w:pPr>
                    <w:autoSpaceDE w:val="0"/>
                    <w:autoSpaceDN w:val="0"/>
                    <w:adjustRightInd w:val="0"/>
                    <w:spacing w:after="120" w:line="240" w:lineRule="atLeast"/>
                    <w:jc w:val="both"/>
                    <w:rPr>
                      <w:rFonts w:ascii="Arial" w:hAnsi="Arial" w:cs="Arial"/>
                      <w:sz w:val="20"/>
                      <w:szCs w:val="20"/>
                    </w:rPr>
                  </w:pPr>
                </w:p>
                <w:p w:rsidR="00560346" w:rsidRPr="005970A0" w:rsidRDefault="00560346" w:rsidP="00C736D5">
                  <w:pPr>
                    <w:autoSpaceDE w:val="0"/>
                    <w:autoSpaceDN w:val="0"/>
                    <w:adjustRightInd w:val="0"/>
                    <w:spacing w:after="120" w:line="240" w:lineRule="atLeast"/>
                    <w:jc w:val="both"/>
                    <w:rPr>
                      <w:rFonts w:ascii="Arial" w:hAnsi="Arial" w:cs="Arial"/>
                      <w:sz w:val="20"/>
                      <w:szCs w:val="20"/>
                    </w:rPr>
                  </w:pPr>
                </w:p>
                <w:p w:rsidR="00560346" w:rsidRPr="005970A0" w:rsidRDefault="00560346" w:rsidP="00C736D5">
                  <w:pPr>
                    <w:autoSpaceDE w:val="0"/>
                    <w:autoSpaceDN w:val="0"/>
                    <w:adjustRightInd w:val="0"/>
                    <w:spacing w:after="120" w:line="240" w:lineRule="atLeast"/>
                    <w:jc w:val="both"/>
                    <w:rPr>
                      <w:rFonts w:ascii="Arial" w:hAnsi="Arial" w:cs="Arial"/>
                      <w:sz w:val="20"/>
                      <w:szCs w:val="20"/>
                    </w:rPr>
                  </w:pPr>
                </w:p>
                <w:p w:rsidR="00645C35" w:rsidRDefault="00645C35" w:rsidP="00C736D5">
                  <w:pPr>
                    <w:autoSpaceDE w:val="0"/>
                    <w:autoSpaceDN w:val="0"/>
                    <w:adjustRightInd w:val="0"/>
                    <w:spacing w:after="120" w:line="240" w:lineRule="atLeast"/>
                    <w:jc w:val="both"/>
                    <w:rPr>
                      <w:rFonts w:ascii="Arial" w:hAnsi="Arial" w:cs="Arial"/>
                      <w:sz w:val="20"/>
                      <w:szCs w:val="20"/>
                    </w:rPr>
                  </w:pPr>
                </w:p>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lastRenderedPageBreak/>
                    <w:t>Response rates to the 201</w:t>
                  </w:r>
                  <w:r w:rsidR="00063E84">
                    <w:rPr>
                      <w:rFonts w:ascii="Arial" w:hAnsi="Arial" w:cs="Arial"/>
                      <w:sz w:val="20"/>
                      <w:szCs w:val="20"/>
                    </w:rPr>
                    <w:t>2</w:t>
                  </w:r>
                  <w:r w:rsidRPr="005970A0">
                    <w:rPr>
                      <w:rFonts w:ascii="Arial" w:hAnsi="Arial" w:cs="Arial"/>
                      <w:sz w:val="20"/>
                      <w:szCs w:val="20"/>
                    </w:rPr>
                    <w:t xml:space="preserve"> survey are shown in table 1.</w:t>
                  </w:r>
                </w:p>
                <w:p w:rsidR="00C736D5" w:rsidRPr="005970A0" w:rsidRDefault="00C736D5" w:rsidP="00C736D5">
                  <w:pPr>
                    <w:autoSpaceDE w:val="0"/>
                    <w:autoSpaceDN w:val="0"/>
                    <w:adjustRightInd w:val="0"/>
                    <w:spacing w:before="120" w:after="40" w:line="240" w:lineRule="atLeast"/>
                    <w:jc w:val="both"/>
                    <w:rPr>
                      <w:rFonts w:ascii="Arial" w:hAnsi="Arial" w:cs="Arial"/>
                      <w:b/>
                      <w:sz w:val="17"/>
                      <w:szCs w:val="17"/>
                    </w:rPr>
                  </w:pPr>
                  <w:r w:rsidRPr="005970A0">
                    <w:rPr>
                      <w:rFonts w:ascii="Arial" w:hAnsi="Arial" w:cs="Arial"/>
                      <w:b/>
                      <w:sz w:val="17"/>
                      <w:szCs w:val="17"/>
                    </w:rPr>
                    <w:t>Table 1: Response rates for graduates to the 201</w:t>
                  </w:r>
                  <w:r w:rsidR="00063E84">
                    <w:rPr>
                      <w:rFonts w:ascii="Arial" w:hAnsi="Arial" w:cs="Arial"/>
                      <w:b/>
                      <w:sz w:val="17"/>
                      <w:szCs w:val="17"/>
                    </w:rPr>
                    <w:t>2</w:t>
                  </w:r>
                  <w:r w:rsidRPr="005970A0">
                    <w:rPr>
                      <w:rFonts w:ascii="Arial" w:hAnsi="Arial" w:cs="Arial"/>
                      <w:b/>
                      <w:sz w:val="17"/>
                      <w:szCs w:val="17"/>
                    </w:rPr>
                    <w:t xml:space="preserve"> Student Outcomes Survey by state</w:t>
                  </w:r>
                </w:p>
                <w:tbl>
                  <w:tblPr>
                    <w:tblW w:w="2901" w:type="pct"/>
                    <w:tblBorders>
                      <w:top w:val="single" w:sz="4" w:space="0" w:color="auto"/>
                      <w:bottom w:val="single" w:sz="4" w:space="0" w:color="auto"/>
                    </w:tblBorders>
                    <w:tblLook w:val="01E0" w:firstRow="1" w:lastRow="1" w:firstColumn="1" w:lastColumn="1" w:noHBand="0" w:noVBand="0"/>
                  </w:tblPr>
                  <w:tblGrid>
                    <w:gridCol w:w="2411"/>
                    <w:gridCol w:w="1748"/>
                  </w:tblGrid>
                  <w:tr w:rsidR="005970A0" w:rsidRPr="005970A0" w:rsidTr="00C736D5">
                    <w:tc>
                      <w:tcPr>
                        <w:tcW w:w="2898" w:type="pct"/>
                        <w:tcBorders>
                          <w:top w:val="single" w:sz="4" w:space="0" w:color="auto"/>
                          <w:left w:val="nil"/>
                          <w:bottom w:val="single" w:sz="4" w:space="0" w:color="auto"/>
                          <w:right w:val="nil"/>
                        </w:tcBorders>
                      </w:tcPr>
                      <w:p w:rsidR="00C736D5" w:rsidRPr="005970A0" w:rsidRDefault="00C736D5" w:rsidP="00C736D5">
                        <w:pPr>
                          <w:autoSpaceDE w:val="0"/>
                          <w:autoSpaceDN w:val="0"/>
                          <w:adjustRightInd w:val="0"/>
                          <w:spacing w:before="80"/>
                          <w:jc w:val="both"/>
                          <w:rPr>
                            <w:rFonts w:ascii="Arial" w:hAnsi="Arial" w:cs="Arial"/>
                            <w:b/>
                            <w:sz w:val="16"/>
                            <w:szCs w:val="16"/>
                          </w:rPr>
                        </w:pPr>
                        <w:r w:rsidRPr="005970A0">
                          <w:rPr>
                            <w:rFonts w:ascii="Arial" w:hAnsi="Arial" w:cs="Arial"/>
                            <w:b/>
                            <w:sz w:val="16"/>
                            <w:szCs w:val="16"/>
                          </w:rPr>
                          <w:t>State/Territory</w:t>
                        </w:r>
                      </w:p>
                    </w:tc>
                    <w:tc>
                      <w:tcPr>
                        <w:tcW w:w="2102" w:type="pct"/>
                        <w:tcBorders>
                          <w:top w:val="single" w:sz="4" w:space="0" w:color="auto"/>
                          <w:left w:val="nil"/>
                          <w:bottom w:val="single" w:sz="4" w:space="0" w:color="auto"/>
                          <w:right w:val="nil"/>
                        </w:tcBorders>
                      </w:tcPr>
                      <w:p w:rsidR="00C736D5" w:rsidRPr="005970A0" w:rsidRDefault="00C736D5" w:rsidP="00C736D5">
                        <w:pPr>
                          <w:autoSpaceDE w:val="0"/>
                          <w:autoSpaceDN w:val="0"/>
                          <w:adjustRightInd w:val="0"/>
                          <w:spacing w:before="80"/>
                          <w:jc w:val="center"/>
                          <w:rPr>
                            <w:rFonts w:ascii="Arial" w:hAnsi="Arial" w:cs="Arial"/>
                            <w:b/>
                            <w:sz w:val="16"/>
                            <w:szCs w:val="16"/>
                          </w:rPr>
                        </w:pPr>
                        <w:r w:rsidRPr="005970A0">
                          <w:rPr>
                            <w:rFonts w:ascii="Arial" w:hAnsi="Arial" w:cs="Arial"/>
                            <w:b/>
                            <w:sz w:val="16"/>
                            <w:szCs w:val="16"/>
                          </w:rPr>
                          <w:t>Response rate (%)</w:t>
                        </w:r>
                      </w:p>
                    </w:tc>
                  </w:tr>
                  <w:tr w:rsidR="005970A0" w:rsidRPr="005970A0" w:rsidTr="00C736D5">
                    <w:trPr>
                      <w:trHeight w:val="227"/>
                    </w:trPr>
                    <w:tc>
                      <w:tcPr>
                        <w:tcW w:w="2898" w:type="pct"/>
                        <w:tcBorders>
                          <w:top w:val="single" w:sz="4" w:space="0" w:color="auto"/>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New South Wales</w:t>
                        </w:r>
                      </w:p>
                    </w:tc>
                    <w:tc>
                      <w:tcPr>
                        <w:tcW w:w="2102" w:type="pct"/>
                        <w:tcBorders>
                          <w:top w:val="single" w:sz="4" w:space="0" w:color="auto"/>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47.7</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Victoria</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46.5</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Queensland</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47.1</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South Australia</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47.7</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Western Australia</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45.9</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Tasmania</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50.8</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Northern Territory</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45.4</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Australian Capital Territory</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45.2</w:t>
                        </w:r>
                      </w:p>
                    </w:tc>
                  </w:tr>
                  <w:tr w:rsidR="005970A0" w:rsidRPr="005970A0" w:rsidTr="00C736D5">
                    <w:trPr>
                      <w:trHeight w:val="227"/>
                    </w:trPr>
                    <w:tc>
                      <w:tcPr>
                        <w:tcW w:w="2898" w:type="pct"/>
                        <w:tcBorders>
                          <w:top w:val="nil"/>
                          <w:left w:val="nil"/>
                          <w:bottom w:val="single" w:sz="4" w:space="0" w:color="auto"/>
                          <w:right w:val="nil"/>
                        </w:tcBorders>
                        <w:vAlign w:val="center"/>
                      </w:tcPr>
                      <w:p w:rsidR="00C736D5" w:rsidRPr="005970A0" w:rsidRDefault="00C736D5" w:rsidP="00C736D5">
                        <w:pPr>
                          <w:pStyle w:val="Tabletext"/>
                          <w:spacing w:before="0"/>
                          <w:jc w:val="center"/>
                          <w:rPr>
                            <w:rFonts w:cs="Arial"/>
                            <w:b/>
                            <w:szCs w:val="16"/>
                          </w:rPr>
                        </w:pPr>
                        <w:r w:rsidRPr="005970A0">
                          <w:rPr>
                            <w:rFonts w:cs="Arial"/>
                            <w:b/>
                            <w:szCs w:val="16"/>
                          </w:rPr>
                          <w:t>Australia</w:t>
                        </w:r>
                      </w:p>
                    </w:tc>
                    <w:tc>
                      <w:tcPr>
                        <w:tcW w:w="2102" w:type="pct"/>
                        <w:tcBorders>
                          <w:top w:val="nil"/>
                          <w:left w:val="nil"/>
                          <w:bottom w:val="single" w:sz="4" w:space="0" w:color="auto"/>
                          <w:right w:val="nil"/>
                        </w:tcBorders>
                        <w:vAlign w:val="center"/>
                      </w:tcPr>
                      <w:p w:rsidR="00C736D5" w:rsidRPr="005970A0" w:rsidRDefault="003B6FF3" w:rsidP="00C736D5">
                        <w:pPr>
                          <w:pStyle w:val="Tabletext"/>
                          <w:spacing w:before="0"/>
                          <w:jc w:val="center"/>
                          <w:rPr>
                            <w:rFonts w:cs="Arial"/>
                            <w:b/>
                            <w:szCs w:val="16"/>
                          </w:rPr>
                        </w:pPr>
                        <w:r>
                          <w:rPr>
                            <w:rFonts w:cs="Arial"/>
                            <w:b/>
                            <w:szCs w:val="16"/>
                          </w:rPr>
                          <w:t>47.0</w:t>
                        </w:r>
                      </w:p>
                    </w:tc>
                  </w:tr>
                </w:tbl>
                <w:p w:rsidR="00C736D5" w:rsidRPr="005970A0" w:rsidRDefault="00C736D5" w:rsidP="00063E84">
                  <w:pPr>
                    <w:keepNext/>
                    <w:keepLines/>
                    <w:spacing w:before="120" w:after="120" w:line="220" w:lineRule="atLeast"/>
                    <w:jc w:val="both"/>
                    <w:rPr>
                      <w:rFonts w:ascii="Arial" w:hAnsi="Arial" w:cs="Arial"/>
                      <w:sz w:val="20"/>
                      <w:szCs w:val="20"/>
                    </w:rPr>
                  </w:pPr>
                  <w:r w:rsidRPr="005970A0">
                    <w:rPr>
                      <w:rFonts w:ascii="Arial" w:hAnsi="Arial" w:cs="Arial"/>
                      <w:sz w:val="20"/>
                      <w:szCs w:val="20"/>
                    </w:rPr>
                    <w:t>For 201</w:t>
                  </w:r>
                  <w:r w:rsidR="00063E84">
                    <w:rPr>
                      <w:rFonts w:ascii="Arial" w:hAnsi="Arial" w:cs="Arial"/>
                      <w:sz w:val="20"/>
                      <w:szCs w:val="20"/>
                    </w:rPr>
                    <w:t>2</w:t>
                  </w:r>
                  <w:r w:rsidRPr="005970A0">
                    <w:rPr>
                      <w:rFonts w:ascii="Arial" w:hAnsi="Arial" w:cs="Arial"/>
                      <w:sz w:val="20"/>
                      <w:szCs w:val="20"/>
                    </w:rPr>
                    <w:t>, the indicator has acceptable (less than 25</w:t>
                  </w:r>
                  <w:r w:rsidR="008C50BE">
                    <w:rPr>
                      <w:rFonts w:ascii="Arial" w:hAnsi="Arial" w:cs="Arial"/>
                      <w:sz w:val="20"/>
                      <w:szCs w:val="20"/>
                    </w:rPr>
                    <w:t xml:space="preserve"> per cent</w:t>
                  </w:r>
                  <w:r w:rsidRPr="005970A0">
                    <w:rPr>
                      <w:rFonts w:ascii="Arial" w:hAnsi="Arial" w:cs="Arial"/>
                      <w:sz w:val="20"/>
                      <w:szCs w:val="20"/>
                    </w:rPr>
                    <w:t>) relative standard errors (</w:t>
                  </w:r>
                  <w:proofErr w:type="spellStart"/>
                  <w:r w:rsidRPr="005970A0">
                    <w:rPr>
                      <w:rFonts w:ascii="Arial" w:hAnsi="Arial" w:cs="Arial"/>
                      <w:sz w:val="20"/>
                      <w:szCs w:val="20"/>
                    </w:rPr>
                    <w:t>RSEs</w:t>
                  </w:r>
                  <w:proofErr w:type="spellEnd"/>
                  <w:r w:rsidRPr="005970A0">
                    <w:rPr>
                      <w:rFonts w:ascii="Arial" w:hAnsi="Arial" w:cs="Arial"/>
                      <w:sz w:val="20"/>
                      <w:szCs w:val="20"/>
                    </w:rPr>
                    <w:t>) for all VET graduates at the national</w:t>
                  </w:r>
                  <w:r w:rsidR="00063E84">
                    <w:rPr>
                      <w:rFonts w:ascii="Arial" w:hAnsi="Arial" w:cs="Arial"/>
                      <w:sz w:val="20"/>
                      <w:szCs w:val="20"/>
                    </w:rPr>
                    <w:t xml:space="preserve"> and</w:t>
                  </w:r>
                  <w:r w:rsidRPr="005970A0">
                    <w:rPr>
                      <w:rFonts w:ascii="Arial" w:hAnsi="Arial" w:cs="Arial"/>
                      <w:sz w:val="20"/>
                      <w:szCs w:val="20"/>
                    </w:rPr>
                    <w:t xml:space="preserve"> state/territory level. </w:t>
                  </w:r>
                </w:p>
              </w:tc>
            </w:tr>
            <w:tr w:rsidR="005970A0" w:rsidRPr="005970A0" w:rsidTr="00C736D5">
              <w:tc>
                <w:tcPr>
                  <w:tcW w:w="922" w:type="pct"/>
                </w:tcPr>
                <w:p w:rsidR="00C736D5" w:rsidRPr="005970A0" w:rsidRDefault="00C736D5" w:rsidP="00C736D5">
                  <w:pPr>
                    <w:spacing w:line="320" w:lineRule="exact"/>
                    <w:jc w:val="both"/>
                    <w:rPr>
                      <w:rFonts w:ascii="Arial" w:hAnsi="Arial" w:cs="Arial"/>
                      <w:b/>
                      <w:sz w:val="20"/>
                      <w:szCs w:val="20"/>
                    </w:rPr>
                  </w:pPr>
                  <w:r w:rsidRPr="005970A0">
                    <w:rPr>
                      <w:rFonts w:ascii="Arial" w:hAnsi="Arial" w:cs="Arial"/>
                      <w:b/>
                      <w:sz w:val="20"/>
                      <w:szCs w:val="20"/>
                    </w:rPr>
                    <w:lastRenderedPageBreak/>
                    <w:t>Coherence</w:t>
                  </w:r>
                </w:p>
                <w:p w:rsidR="00C736D5" w:rsidRPr="005970A0" w:rsidRDefault="00C736D5" w:rsidP="00C736D5">
                  <w:pPr>
                    <w:spacing w:line="320" w:lineRule="exact"/>
                    <w:jc w:val="both"/>
                    <w:rPr>
                      <w:rFonts w:ascii="Arial" w:hAnsi="Arial" w:cs="Arial"/>
                      <w:b/>
                      <w:sz w:val="20"/>
                      <w:szCs w:val="20"/>
                    </w:rPr>
                  </w:pPr>
                </w:p>
              </w:tc>
              <w:tc>
                <w:tcPr>
                  <w:tcW w:w="4078" w:type="pct"/>
                </w:tcPr>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 xml:space="preserve">The majority of data items have not changed since the survey was first conducted in 1997. The scope of the survey has increased over time. Until 2000, the survey was restricted to TAFE students. From 2000, it was expanded to include students from Adult and Community Education, private and other government providers. </w:t>
                  </w:r>
                </w:p>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Two questionnaires are used to collect the data. The main questionnaire is sent to students from TAFE, other Government and private providers. A separate shorter questionnaire is sent to students from Adult and Community Education (ACE) providers.</w:t>
                  </w:r>
                </w:p>
              </w:tc>
            </w:tr>
            <w:tr w:rsidR="005970A0" w:rsidRPr="005970A0" w:rsidTr="00C736D5">
              <w:tc>
                <w:tcPr>
                  <w:tcW w:w="922" w:type="pct"/>
                </w:tcPr>
                <w:p w:rsidR="00C736D5" w:rsidRPr="005970A0" w:rsidRDefault="00C736D5" w:rsidP="00C736D5">
                  <w:pPr>
                    <w:spacing w:line="320" w:lineRule="exact"/>
                    <w:jc w:val="both"/>
                    <w:rPr>
                      <w:rFonts w:ascii="Arial" w:hAnsi="Arial" w:cs="Arial"/>
                      <w:b/>
                      <w:sz w:val="20"/>
                      <w:szCs w:val="20"/>
                    </w:rPr>
                  </w:pPr>
                  <w:r w:rsidRPr="005970A0">
                    <w:rPr>
                      <w:rFonts w:ascii="Arial" w:hAnsi="Arial" w:cs="Arial"/>
                      <w:b/>
                      <w:sz w:val="20"/>
                      <w:szCs w:val="20"/>
                    </w:rPr>
                    <w:t>Accessibility</w:t>
                  </w:r>
                </w:p>
                <w:p w:rsidR="00C736D5" w:rsidRPr="005970A0" w:rsidRDefault="00C736D5" w:rsidP="00C736D5">
                  <w:pPr>
                    <w:spacing w:line="320" w:lineRule="exact"/>
                    <w:jc w:val="both"/>
                    <w:rPr>
                      <w:rFonts w:ascii="Arial" w:hAnsi="Arial" w:cs="Arial"/>
                      <w:b/>
                      <w:sz w:val="20"/>
                      <w:szCs w:val="20"/>
                    </w:rPr>
                  </w:pPr>
                </w:p>
              </w:tc>
              <w:tc>
                <w:tcPr>
                  <w:tcW w:w="4078" w:type="pct"/>
                </w:tcPr>
                <w:p w:rsidR="00C736D5" w:rsidRPr="005970A0" w:rsidRDefault="00C736D5" w:rsidP="00C736D5">
                  <w:pPr>
                    <w:autoSpaceDE w:val="0"/>
                    <w:autoSpaceDN w:val="0"/>
                    <w:adjustRightInd w:val="0"/>
                    <w:spacing w:after="120" w:line="240" w:lineRule="atLeast"/>
                    <w:jc w:val="both"/>
                    <w:rPr>
                      <w:rFonts w:ascii="Arial" w:hAnsi="Arial" w:cs="Arial"/>
                      <w:sz w:val="20"/>
                      <w:szCs w:val="20"/>
                      <w:u w:val="single"/>
                    </w:rPr>
                  </w:pPr>
                  <w:r w:rsidRPr="005970A0">
                    <w:rPr>
                      <w:rFonts w:ascii="Arial" w:hAnsi="Arial" w:cs="Arial"/>
                      <w:sz w:val="20"/>
                      <w:szCs w:val="20"/>
                    </w:rPr>
                    <w:t xml:space="preserve">Results of the survey are available free of charge on </w:t>
                  </w:r>
                  <w:proofErr w:type="spellStart"/>
                  <w:r w:rsidRPr="005970A0">
                    <w:rPr>
                      <w:rFonts w:ascii="Arial" w:hAnsi="Arial" w:cs="Arial"/>
                      <w:sz w:val="20"/>
                      <w:szCs w:val="20"/>
                    </w:rPr>
                    <w:t>NCVER’s</w:t>
                  </w:r>
                  <w:proofErr w:type="spellEnd"/>
                  <w:r w:rsidRPr="005970A0">
                    <w:rPr>
                      <w:rFonts w:ascii="Arial" w:hAnsi="Arial" w:cs="Arial"/>
                      <w:sz w:val="20"/>
                      <w:szCs w:val="20"/>
                    </w:rPr>
                    <w:t xml:space="preserve"> website at: </w:t>
                  </w:r>
                  <w:r w:rsidRPr="00D86CD7">
                    <w:rPr>
                      <w:rFonts w:ascii="Arial" w:hAnsi="Arial" w:cs="Arial"/>
                      <w:sz w:val="20"/>
                      <w:szCs w:val="20"/>
                    </w:rPr>
                    <w:t>http://</w:t>
                  </w:r>
                  <w:proofErr w:type="spellStart"/>
                  <w:r w:rsidRPr="00D86CD7">
                    <w:rPr>
                      <w:rFonts w:ascii="Arial" w:hAnsi="Arial" w:cs="Arial"/>
                      <w:sz w:val="20"/>
                      <w:szCs w:val="20"/>
                    </w:rPr>
                    <w:t>www.ncver.edu.au</w:t>
                  </w:r>
                  <w:proofErr w:type="spellEnd"/>
                  <w:r w:rsidRPr="00D86CD7">
                    <w:rPr>
                      <w:rFonts w:ascii="Arial" w:hAnsi="Arial" w:cs="Arial"/>
                      <w:sz w:val="20"/>
                      <w:szCs w:val="20"/>
                    </w:rPr>
                    <w:t>/statistic/</w:t>
                  </w:r>
                  <w:proofErr w:type="spellStart"/>
                  <w:r w:rsidRPr="00D86CD7">
                    <w:rPr>
                      <w:rFonts w:ascii="Arial" w:hAnsi="Arial" w:cs="Arial"/>
                      <w:sz w:val="20"/>
                      <w:szCs w:val="20"/>
                    </w:rPr>
                    <w:t>21065.html</w:t>
                  </w:r>
                  <w:proofErr w:type="spellEnd"/>
                  <w:r w:rsidRPr="005970A0">
                    <w:rPr>
                      <w:rFonts w:ascii="Arial" w:hAnsi="Arial" w:cs="Arial"/>
                      <w:sz w:val="20"/>
                      <w:szCs w:val="20"/>
                    </w:rPr>
                    <w:t xml:space="preserve">. Requests for more detailed statistical information or further information about the Student Outcomes Survey can be made to </w:t>
                  </w:r>
                  <w:proofErr w:type="spellStart"/>
                  <w:r w:rsidRPr="005970A0">
                    <w:rPr>
                      <w:rFonts w:ascii="Arial" w:hAnsi="Arial" w:cs="Arial"/>
                      <w:bCs/>
                      <w:sz w:val="20"/>
                      <w:szCs w:val="20"/>
                    </w:rPr>
                    <w:t>NCVER</w:t>
                  </w:r>
                  <w:proofErr w:type="spellEnd"/>
                  <w:r w:rsidRPr="005970A0">
                    <w:rPr>
                      <w:rFonts w:ascii="Arial" w:hAnsi="Arial" w:cs="Arial"/>
                      <w:bCs/>
                      <w:sz w:val="20"/>
                      <w:szCs w:val="20"/>
                    </w:rPr>
                    <w:t xml:space="preserve"> on</w:t>
                  </w:r>
                  <w:r w:rsidRPr="005970A0">
                    <w:rPr>
                      <w:rFonts w:ascii="Arial" w:hAnsi="Arial" w:cs="Arial"/>
                      <w:sz w:val="20"/>
                      <w:szCs w:val="20"/>
                    </w:rPr>
                    <w:t xml:space="preserve"> (08) 8230 8400 or </w:t>
                  </w:r>
                  <w:proofErr w:type="spellStart"/>
                  <w:r w:rsidRPr="00D86CD7">
                    <w:rPr>
                      <w:rFonts w:ascii="Arial" w:hAnsi="Arial" w:cs="Arial"/>
                      <w:sz w:val="20"/>
                      <w:szCs w:val="20"/>
                    </w:rPr>
                    <w:t>surveys_req@ncver.edu.au</w:t>
                  </w:r>
                  <w:proofErr w:type="spellEnd"/>
                </w:p>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 xml:space="preserve">A charge will be generally made by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for more complex requests for information. See </w:t>
                  </w:r>
                  <w:proofErr w:type="spellStart"/>
                  <w:r w:rsidRPr="005970A0">
                    <w:rPr>
                      <w:rFonts w:ascii="Arial" w:hAnsi="Arial" w:cs="Arial"/>
                      <w:sz w:val="20"/>
                      <w:szCs w:val="20"/>
                    </w:rPr>
                    <w:t>NCVER’s</w:t>
                  </w:r>
                  <w:proofErr w:type="spellEnd"/>
                  <w:r w:rsidRPr="005970A0">
                    <w:rPr>
                      <w:rFonts w:ascii="Arial" w:hAnsi="Arial" w:cs="Arial"/>
                      <w:sz w:val="20"/>
                      <w:szCs w:val="20"/>
                    </w:rPr>
                    <w:t xml:space="preserve"> fees and charges policy at </w:t>
                  </w:r>
                  <w:r w:rsidRPr="00D86CD7">
                    <w:rPr>
                      <w:rFonts w:ascii="Arial" w:hAnsi="Arial" w:cs="Arial"/>
                      <w:sz w:val="20"/>
                      <w:szCs w:val="20"/>
                    </w:rPr>
                    <w:t>http://</w:t>
                  </w:r>
                  <w:proofErr w:type="spellStart"/>
                  <w:r w:rsidRPr="00D86CD7">
                    <w:rPr>
                      <w:rFonts w:ascii="Arial" w:hAnsi="Arial" w:cs="Arial"/>
                      <w:sz w:val="20"/>
                      <w:szCs w:val="20"/>
                    </w:rPr>
                    <w:t>www.ncver.edu.au</w:t>
                  </w:r>
                  <w:proofErr w:type="spellEnd"/>
                  <w:r w:rsidRPr="00D86CD7">
                    <w:rPr>
                      <w:rFonts w:ascii="Arial" w:hAnsi="Arial" w:cs="Arial"/>
                      <w:sz w:val="20"/>
                      <w:szCs w:val="20"/>
                    </w:rPr>
                    <w:t>/statistic/</w:t>
                  </w:r>
                  <w:proofErr w:type="spellStart"/>
                  <w:r w:rsidRPr="00D86CD7">
                    <w:rPr>
                      <w:rFonts w:ascii="Arial" w:hAnsi="Arial" w:cs="Arial"/>
                      <w:sz w:val="20"/>
                      <w:szCs w:val="20"/>
                    </w:rPr>
                    <w:t>21075.html</w:t>
                  </w:r>
                  <w:proofErr w:type="spellEnd"/>
                </w:p>
              </w:tc>
            </w:tr>
            <w:tr w:rsidR="005970A0" w:rsidRPr="005970A0" w:rsidTr="00C736D5">
              <w:tc>
                <w:tcPr>
                  <w:tcW w:w="922" w:type="pct"/>
                </w:tcPr>
                <w:p w:rsidR="00C736D5" w:rsidRPr="005970A0" w:rsidRDefault="00C736D5" w:rsidP="00C736D5">
                  <w:pPr>
                    <w:spacing w:line="320" w:lineRule="exact"/>
                    <w:jc w:val="both"/>
                    <w:rPr>
                      <w:rFonts w:ascii="Arial" w:hAnsi="Arial" w:cs="Arial"/>
                      <w:b/>
                      <w:sz w:val="20"/>
                      <w:szCs w:val="20"/>
                    </w:rPr>
                  </w:pPr>
                  <w:r w:rsidRPr="005970A0">
                    <w:rPr>
                      <w:rFonts w:ascii="Arial" w:hAnsi="Arial" w:cs="Arial"/>
                      <w:b/>
                      <w:sz w:val="20"/>
                      <w:szCs w:val="20"/>
                    </w:rPr>
                    <w:t>Interpretability</w:t>
                  </w:r>
                </w:p>
                <w:p w:rsidR="00C736D5" w:rsidRPr="005970A0" w:rsidRDefault="00C736D5" w:rsidP="00C736D5">
                  <w:pPr>
                    <w:spacing w:line="320" w:lineRule="exact"/>
                    <w:jc w:val="both"/>
                    <w:rPr>
                      <w:rFonts w:ascii="Arial" w:hAnsi="Arial" w:cs="Arial"/>
                      <w:b/>
                      <w:sz w:val="20"/>
                      <w:szCs w:val="20"/>
                    </w:rPr>
                  </w:pPr>
                </w:p>
              </w:tc>
              <w:tc>
                <w:tcPr>
                  <w:tcW w:w="4078" w:type="pct"/>
                </w:tcPr>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 xml:space="preserve">To aid interpretation of the data, information on the Student Outcomes Survey is available on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website.</w:t>
                  </w:r>
                </w:p>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The survey uses the:</w:t>
                  </w:r>
                </w:p>
                <w:p w:rsidR="00E01646" w:rsidRPr="00E01646" w:rsidRDefault="00E01646" w:rsidP="00E01646">
                  <w:pPr>
                    <w:numPr>
                      <w:ilvl w:val="0"/>
                      <w:numId w:val="36"/>
                    </w:numPr>
                    <w:ind w:left="340" w:hanging="340"/>
                    <w:rPr>
                      <w:rFonts w:ascii="Arial" w:hAnsi="Arial" w:cs="Arial"/>
                      <w:sz w:val="20"/>
                      <w:szCs w:val="20"/>
                    </w:rPr>
                  </w:pPr>
                  <w:r w:rsidRPr="00E01646">
                    <w:rPr>
                      <w:rFonts w:ascii="Arial" w:hAnsi="Arial" w:cs="Arial"/>
                      <w:sz w:val="20"/>
                      <w:szCs w:val="20"/>
                    </w:rPr>
                    <w:t>Australian Classification of Education (</w:t>
                  </w:r>
                  <w:proofErr w:type="spellStart"/>
                  <w:r w:rsidRPr="00E01646">
                    <w:rPr>
                      <w:rFonts w:ascii="Arial" w:hAnsi="Arial" w:cs="Arial"/>
                      <w:sz w:val="20"/>
                      <w:szCs w:val="20"/>
                    </w:rPr>
                    <w:t>ASCED</w:t>
                  </w:r>
                  <w:proofErr w:type="spellEnd"/>
                  <w:r w:rsidRPr="00E01646">
                    <w:rPr>
                      <w:rFonts w:ascii="Arial" w:hAnsi="Arial" w:cs="Arial"/>
                      <w:sz w:val="20"/>
                      <w:szCs w:val="20"/>
                    </w:rPr>
                    <w:t>) (ABS cat. no. 1272.0) to classify the level and field of education</w:t>
                  </w:r>
                </w:p>
                <w:p w:rsidR="00E01646" w:rsidRPr="00E01646" w:rsidRDefault="00E01646" w:rsidP="00E01646">
                  <w:pPr>
                    <w:numPr>
                      <w:ilvl w:val="0"/>
                      <w:numId w:val="36"/>
                    </w:numPr>
                    <w:ind w:left="340" w:hanging="340"/>
                    <w:rPr>
                      <w:rFonts w:ascii="Arial" w:hAnsi="Arial" w:cs="Arial"/>
                      <w:sz w:val="20"/>
                      <w:szCs w:val="20"/>
                    </w:rPr>
                  </w:pPr>
                  <w:r w:rsidRPr="00E01646">
                    <w:rPr>
                      <w:rFonts w:ascii="Arial" w:hAnsi="Arial" w:cs="Arial"/>
                      <w:sz w:val="20"/>
                      <w:szCs w:val="20"/>
                    </w:rPr>
                    <w:t>Australian and New Zealand Standard Industry Classification (</w:t>
                  </w:r>
                  <w:proofErr w:type="spellStart"/>
                  <w:r w:rsidRPr="00E01646">
                    <w:rPr>
                      <w:rFonts w:ascii="Arial" w:hAnsi="Arial" w:cs="Arial"/>
                      <w:sz w:val="20"/>
                      <w:szCs w:val="20"/>
                    </w:rPr>
                    <w:t>ANZSIC</w:t>
                  </w:r>
                  <w:proofErr w:type="spellEnd"/>
                  <w:r w:rsidRPr="00E01646">
                    <w:rPr>
                      <w:rFonts w:ascii="Arial" w:hAnsi="Arial" w:cs="Arial"/>
                      <w:sz w:val="20"/>
                      <w:szCs w:val="20"/>
                    </w:rPr>
                    <w:t>) (ABS cat. no. 1292.0) to classify industry</w:t>
                  </w:r>
                </w:p>
                <w:p w:rsidR="00E01646" w:rsidRPr="00E01646" w:rsidRDefault="00E01646" w:rsidP="00E01646">
                  <w:pPr>
                    <w:numPr>
                      <w:ilvl w:val="0"/>
                      <w:numId w:val="36"/>
                    </w:numPr>
                    <w:ind w:left="340" w:hanging="340"/>
                    <w:rPr>
                      <w:rFonts w:ascii="Arial" w:hAnsi="Arial" w:cs="Arial"/>
                      <w:sz w:val="20"/>
                      <w:szCs w:val="20"/>
                    </w:rPr>
                  </w:pPr>
                  <w:r w:rsidRPr="00E01646">
                    <w:rPr>
                      <w:rFonts w:ascii="Arial" w:hAnsi="Arial" w:cs="Arial"/>
                      <w:sz w:val="20"/>
                      <w:szCs w:val="20"/>
                    </w:rPr>
                    <w:t>Australian and New Zealand Standard Classification of Occupations (</w:t>
                  </w:r>
                  <w:proofErr w:type="spellStart"/>
                  <w:r w:rsidRPr="00E01646">
                    <w:rPr>
                      <w:rFonts w:ascii="Arial" w:hAnsi="Arial" w:cs="Arial"/>
                      <w:sz w:val="20"/>
                      <w:szCs w:val="20"/>
                    </w:rPr>
                    <w:t>ANZSCO</w:t>
                  </w:r>
                  <w:proofErr w:type="spellEnd"/>
                  <w:r w:rsidRPr="00E01646">
                    <w:rPr>
                      <w:rFonts w:ascii="Arial" w:hAnsi="Arial" w:cs="Arial"/>
                      <w:sz w:val="20"/>
                      <w:szCs w:val="20"/>
                    </w:rPr>
                    <w:t xml:space="preserve">, previously </w:t>
                  </w:r>
                  <w:proofErr w:type="spellStart"/>
                  <w:r w:rsidRPr="00E01646">
                    <w:rPr>
                      <w:rFonts w:ascii="Arial" w:hAnsi="Arial" w:cs="Arial"/>
                      <w:sz w:val="20"/>
                      <w:szCs w:val="20"/>
                    </w:rPr>
                    <w:t>ASCO</w:t>
                  </w:r>
                  <w:proofErr w:type="spellEnd"/>
                  <w:r w:rsidRPr="00E01646">
                    <w:rPr>
                      <w:rFonts w:ascii="Arial" w:hAnsi="Arial" w:cs="Arial"/>
                      <w:sz w:val="20"/>
                      <w:szCs w:val="20"/>
                    </w:rPr>
                    <w:t>) (ABS cat. no. 1220.0) to classify occupation</w:t>
                  </w:r>
                </w:p>
                <w:p w:rsidR="00E01646" w:rsidRPr="00E01646" w:rsidRDefault="00E01646" w:rsidP="00E01646">
                  <w:pPr>
                    <w:numPr>
                      <w:ilvl w:val="0"/>
                      <w:numId w:val="37"/>
                    </w:numPr>
                    <w:ind w:left="340" w:hanging="340"/>
                    <w:rPr>
                      <w:rFonts w:ascii="Arial" w:hAnsi="Arial" w:cs="Arial"/>
                      <w:sz w:val="20"/>
                      <w:szCs w:val="20"/>
                    </w:rPr>
                  </w:pPr>
                  <w:r w:rsidRPr="00E01646">
                    <w:rPr>
                      <w:rFonts w:ascii="Arial" w:hAnsi="Arial" w:cs="Arial"/>
                      <w:sz w:val="20"/>
                      <w:szCs w:val="20"/>
                    </w:rPr>
                    <w:t>Australian Statistical Geography Standard (</w:t>
                  </w:r>
                  <w:proofErr w:type="spellStart"/>
                  <w:r w:rsidRPr="00E01646">
                    <w:rPr>
                      <w:rFonts w:ascii="Arial" w:hAnsi="Arial" w:cs="Arial"/>
                      <w:sz w:val="20"/>
                      <w:szCs w:val="20"/>
                    </w:rPr>
                    <w:t>ASGS</w:t>
                  </w:r>
                  <w:proofErr w:type="spellEnd"/>
                  <w:r w:rsidRPr="00E01646">
                    <w:rPr>
                      <w:rFonts w:ascii="Arial" w:hAnsi="Arial" w:cs="Arial"/>
                      <w:sz w:val="20"/>
                      <w:szCs w:val="20"/>
                    </w:rPr>
                    <w:t xml:space="preserve">): Volume 5 - Remoteness Structure (ABS cat. </w:t>
                  </w:r>
                  <w:proofErr w:type="spellStart"/>
                  <w:r w:rsidRPr="00E01646">
                    <w:rPr>
                      <w:rFonts w:ascii="Arial" w:hAnsi="Arial" w:cs="Arial"/>
                      <w:sz w:val="20"/>
                      <w:szCs w:val="20"/>
                    </w:rPr>
                    <w:t>no.1270.0.55.005</w:t>
                  </w:r>
                  <w:proofErr w:type="spellEnd"/>
                  <w:r w:rsidRPr="00E01646">
                    <w:rPr>
                      <w:rFonts w:ascii="Arial" w:hAnsi="Arial" w:cs="Arial"/>
                      <w:sz w:val="20"/>
                      <w:szCs w:val="20"/>
                    </w:rPr>
                    <w:t>) together with the Accessibility/Remoteness Index of Australia (ARIA) to classify remoteness.</w:t>
                  </w:r>
                </w:p>
                <w:p w:rsidR="00C736D5" w:rsidRPr="005970A0" w:rsidRDefault="00C736D5" w:rsidP="007C43EC">
                  <w:pPr>
                    <w:autoSpaceDE w:val="0"/>
                    <w:autoSpaceDN w:val="0"/>
                    <w:adjustRightInd w:val="0"/>
                    <w:spacing w:before="120" w:after="120" w:line="240" w:lineRule="atLeast"/>
                    <w:jc w:val="both"/>
                    <w:rPr>
                      <w:rFonts w:ascii="Arial" w:hAnsi="Arial" w:cs="Arial"/>
                      <w:sz w:val="20"/>
                      <w:szCs w:val="20"/>
                    </w:rPr>
                  </w:pPr>
                  <w:r w:rsidRPr="005970A0">
                    <w:rPr>
                      <w:rFonts w:ascii="Arial" w:hAnsi="Arial" w:cs="Arial"/>
                      <w:sz w:val="20"/>
                      <w:szCs w:val="20"/>
                    </w:rPr>
                    <w:t>Other standards used include the ABS standard question on:</w:t>
                  </w:r>
                </w:p>
                <w:p w:rsidR="00C736D5" w:rsidRPr="005970A0" w:rsidRDefault="00C736D5" w:rsidP="007C43EC">
                  <w:pPr>
                    <w:numPr>
                      <w:ilvl w:val="0"/>
                      <w:numId w:val="18"/>
                    </w:numPr>
                    <w:tabs>
                      <w:tab w:val="left" w:pos="222"/>
                    </w:tabs>
                    <w:spacing w:after="60"/>
                    <w:ind w:left="222" w:hanging="223"/>
                    <w:jc w:val="both"/>
                    <w:rPr>
                      <w:rFonts w:ascii="Arial" w:hAnsi="Arial" w:cs="Arial"/>
                      <w:sz w:val="20"/>
                      <w:szCs w:val="20"/>
                    </w:rPr>
                  </w:pPr>
                  <w:r w:rsidRPr="005970A0">
                    <w:rPr>
                      <w:rFonts w:ascii="Arial" w:hAnsi="Arial" w:cs="Arial"/>
                      <w:sz w:val="20"/>
                      <w:szCs w:val="20"/>
                    </w:rPr>
                    <w:t>Indigenous status</w:t>
                  </w:r>
                </w:p>
                <w:p w:rsidR="00C736D5" w:rsidRPr="005970A0" w:rsidRDefault="00C736D5" w:rsidP="007C43EC">
                  <w:pPr>
                    <w:numPr>
                      <w:ilvl w:val="0"/>
                      <w:numId w:val="18"/>
                    </w:numPr>
                    <w:tabs>
                      <w:tab w:val="left" w:pos="222"/>
                    </w:tabs>
                    <w:spacing w:after="60"/>
                    <w:ind w:left="222" w:hanging="223"/>
                    <w:jc w:val="both"/>
                    <w:rPr>
                      <w:rFonts w:ascii="Arial" w:hAnsi="Arial" w:cs="Arial"/>
                      <w:sz w:val="20"/>
                      <w:szCs w:val="20"/>
                    </w:rPr>
                  </w:pPr>
                  <w:r w:rsidRPr="005970A0">
                    <w:rPr>
                      <w:rFonts w:ascii="Arial" w:hAnsi="Arial" w:cs="Arial"/>
                      <w:sz w:val="20"/>
                      <w:szCs w:val="20"/>
                    </w:rPr>
                    <w:t>Country of birth</w:t>
                  </w:r>
                </w:p>
                <w:p w:rsidR="00C736D5" w:rsidRPr="005970A0" w:rsidRDefault="00C736D5" w:rsidP="007C43EC">
                  <w:pPr>
                    <w:numPr>
                      <w:ilvl w:val="0"/>
                      <w:numId w:val="18"/>
                    </w:numPr>
                    <w:tabs>
                      <w:tab w:val="left" w:pos="222"/>
                    </w:tabs>
                    <w:spacing w:after="60"/>
                    <w:ind w:left="222" w:hanging="223"/>
                    <w:jc w:val="both"/>
                    <w:rPr>
                      <w:rFonts w:ascii="Arial" w:hAnsi="Arial" w:cs="Arial"/>
                      <w:sz w:val="20"/>
                      <w:szCs w:val="20"/>
                    </w:rPr>
                  </w:pPr>
                  <w:r w:rsidRPr="005970A0">
                    <w:rPr>
                      <w:rFonts w:ascii="Arial" w:hAnsi="Arial" w:cs="Arial"/>
                      <w:sz w:val="20"/>
                      <w:szCs w:val="20"/>
                    </w:rPr>
                    <w:t>Main Language Other than English Spoken at Home</w:t>
                  </w:r>
                </w:p>
                <w:p w:rsidR="00C736D5" w:rsidRPr="00582952" w:rsidRDefault="00C736D5" w:rsidP="007C43EC">
                  <w:pPr>
                    <w:numPr>
                      <w:ilvl w:val="0"/>
                      <w:numId w:val="18"/>
                    </w:numPr>
                    <w:tabs>
                      <w:tab w:val="left" w:pos="222"/>
                    </w:tabs>
                    <w:spacing w:after="60"/>
                    <w:ind w:left="222" w:hanging="223"/>
                    <w:jc w:val="both"/>
                    <w:rPr>
                      <w:rFonts w:ascii="Arial" w:hAnsi="Arial" w:cs="Arial"/>
                      <w:sz w:val="20"/>
                      <w:szCs w:val="20"/>
                      <w:u w:val="single"/>
                    </w:rPr>
                  </w:pPr>
                  <w:r w:rsidRPr="005970A0">
                    <w:rPr>
                      <w:rFonts w:ascii="Arial" w:hAnsi="Arial" w:cs="Arial"/>
                      <w:sz w:val="20"/>
                      <w:szCs w:val="20"/>
                    </w:rPr>
                    <w:t>Labour force status</w:t>
                  </w:r>
                </w:p>
                <w:p w:rsidR="00582952" w:rsidRPr="00582952" w:rsidRDefault="00582952" w:rsidP="00EC5E2C">
                  <w:pPr>
                    <w:tabs>
                      <w:tab w:val="left" w:pos="222"/>
                    </w:tabs>
                    <w:spacing w:before="120"/>
                    <w:jc w:val="both"/>
                    <w:rPr>
                      <w:rFonts w:ascii="Arial" w:hAnsi="Arial" w:cs="Arial"/>
                      <w:sz w:val="20"/>
                      <w:szCs w:val="20"/>
                    </w:rPr>
                  </w:pPr>
                  <w:r w:rsidRPr="00582952">
                    <w:rPr>
                      <w:rFonts w:ascii="Arial" w:hAnsi="Arial" w:cs="Arial"/>
                      <w:sz w:val="20"/>
                      <w:szCs w:val="20"/>
                    </w:rPr>
                    <w:t xml:space="preserve">Student remoteness is based on the Access/Remoteness Index of Australia (ARIA+), which was developed by the National Centre for Social Applications of </w:t>
                  </w:r>
                  <w:r w:rsidRPr="00582952">
                    <w:rPr>
                      <w:rFonts w:ascii="Arial" w:hAnsi="Arial" w:cs="Arial"/>
                      <w:sz w:val="20"/>
                      <w:szCs w:val="20"/>
                    </w:rPr>
                    <w:lastRenderedPageBreak/>
                    <w:t>Geographic Information Systems (</w:t>
                  </w:r>
                  <w:proofErr w:type="spellStart"/>
                  <w:r w:rsidRPr="00582952">
                    <w:rPr>
                      <w:rFonts w:ascii="Arial" w:hAnsi="Arial" w:cs="Arial"/>
                      <w:sz w:val="20"/>
                      <w:szCs w:val="20"/>
                    </w:rPr>
                    <w:t>GISCA</w:t>
                  </w:r>
                  <w:proofErr w:type="spellEnd"/>
                  <w:r w:rsidRPr="00582952">
                    <w:rPr>
                      <w:rFonts w:ascii="Arial" w:hAnsi="Arial" w:cs="Arial"/>
                      <w:sz w:val="20"/>
                      <w:szCs w:val="20"/>
                    </w:rPr>
                    <w:t xml:space="preserve">). ARIA+ is now the standard ABS-endorsed measure of remoteness. From 2012, Student remoteness (ARIA+) is determined from ARIA+ remoteness regions and ABS </w:t>
                  </w:r>
                  <w:proofErr w:type="spellStart"/>
                  <w:r w:rsidRPr="00582952">
                    <w:rPr>
                      <w:rFonts w:ascii="Arial" w:hAnsi="Arial" w:cs="Arial"/>
                      <w:sz w:val="20"/>
                      <w:szCs w:val="20"/>
                    </w:rPr>
                    <w:t>SA2</w:t>
                  </w:r>
                  <w:proofErr w:type="spellEnd"/>
                  <w:r w:rsidRPr="00582952">
                    <w:rPr>
                      <w:rFonts w:ascii="Arial" w:hAnsi="Arial" w:cs="Arial"/>
                      <w:sz w:val="20"/>
                      <w:szCs w:val="20"/>
                    </w:rPr>
                    <w:t xml:space="preserve"> regions. Data prior to 2012 is based on ABS postal areas and ARIA+. Student remoteness (ARIA+) regions use the same ARIA+ ranges as the ABS remoteness areas and are therefore an approximation of the ABS remoteness areas. For more details of ARIA+ refer to &lt;</w:t>
                  </w:r>
                  <w:r w:rsidRPr="00D86CD7">
                    <w:rPr>
                      <w:rFonts w:ascii="Arial" w:hAnsi="Arial" w:cs="Arial"/>
                      <w:sz w:val="20"/>
                      <w:szCs w:val="20"/>
                    </w:rPr>
                    <w:t>www.adelaide.edu.au/apmrc/research/projects/category/about_aria.html</w:t>
                  </w:r>
                  <w:r w:rsidRPr="00582952">
                    <w:rPr>
                      <w:rFonts w:ascii="Arial" w:hAnsi="Arial" w:cs="Arial"/>
                      <w:sz w:val="20"/>
                      <w:szCs w:val="20"/>
                    </w:rPr>
                    <w:t>&gt;</w:t>
                  </w:r>
                </w:p>
                <w:p w:rsidR="00582952" w:rsidRPr="005970A0" w:rsidRDefault="00582952" w:rsidP="00582952">
                  <w:pPr>
                    <w:tabs>
                      <w:tab w:val="left" w:pos="222"/>
                    </w:tabs>
                    <w:spacing w:after="60"/>
                    <w:ind w:left="-1"/>
                    <w:jc w:val="both"/>
                    <w:rPr>
                      <w:rFonts w:ascii="Arial" w:hAnsi="Arial" w:cs="Arial"/>
                      <w:sz w:val="20"/>
                      <w:szCs w:val="20"/>
                      <w:u w:val="single"/>
                    </w:rPr>
                  </w:pPr>
                </w:p>
              </w:tc>
            </w:tr>
            <w:tr w:rsidR="005970A0" w:rsidRPr="005970A0" w:rsidTr="00C736D5">
              <w:tc>
                <w:tcPr>
                  <w:tcW w:w="5000" w:type="pct"/>
                  <w:gridSpan w:val="2"/>
                  <w:shd w:val="clear" w:color="auto" w:fill="auto"/>
                </w:tcPr>
                <w:p w:rsidR="00C736D5" w:rsidRPr="005970A0" w:rsidRDefault="00C736D5" w:rsidP="00C736D5">
                  <w:pPr>
                    <w:pStyle w:val="TableBodyText"/>
                    <w:jc w:val="both"/>
                    <w:rPr>
                      <w:rFonts w:cs="Arial"/>
                      <w:b/>
                      <w:u w:val="single"/>
                    </w:rPr>
                  </w:pPr>
                  <w:r w:rsidRPr="005970A0">
                    <w:rPr>
                      <w:rFonts w:cs="Arial"/>
                      <w:b/>
                      <w:u w:val="single"/>
                    </w:rPr>
                    <w:lastRenderedPageBreak/>
                    <w:t>Data Gaps/Issues Analysis</w:t>
                  </w:r>
                </w:p>
              </w:tc>
            </w:tr>
          </w:tbl>
          <w:p w:rsidR="0068457F" w:rsidRPr="005970A0" w:rsidRDefault="0068457F" w:rsidP="006E0702">
            <w:pPr>
              <w:pStyle w:val="TableBodyText"/>
              <w:jc w:val="both"/>
              <w:rPr>
                <w:b/>
                <w:u w:val="single"/>
              </w:rPr>
            </w:pPr>
          </w:p>
        </w:tc>
      </w:tr>
      <w:tr w:rsidR="00D37ACC" w:rsidRPr="005970A0" w:rsidTr="007C0724">
        <w:tc>
          <w:tcPr>
            <w:tcW w:w="922" w:type="pct"/>
            <w:shd w:val="clear" w:color="auto" w:fill="auto"/>
          </w:tcPr>
          <w:p w:rsidR="00DD55B0" w:rsidRPr="005970A0" w:rsidRDefault="00DD55B0" w:rsidP="007C0724">
            <w:pPr>
              <w:pStyle w:val="TableBodyText"/>
              <w:jc w:val="both"/>
              <w:rPr>
                <w:b/>
              </w:rPr>
            </w:pPr>
            <w:r w:rsidRPr="005970A0">
              <w:rPr>
                <w:b/>
              </w:rPr>
              <w:lastRenderedPageBreak/>
              <w:t>Key data gaps/ issues</w:t>
            </w:r>
          </w:p>
        </w:tc>
        <w:tc>
          <w:tcPr>
            <w:tcW w:w="4078" w:type="pct"/>
            <w:shd w:val="clear" w:color="auto" w:fill="auto"/>
          </w:tcPr>
          <w:p w:rsidR="00DD55B0" w:rsidRPr="005970A0" w:rsidRDefault="00DD55B0" w:rsidP="007C0724">
            <w:pPr>
              <w:pStyle w:val="TableBodyText"/>
              <w:spacing w:after="120"/>
              <w:jc w:val="both"/>
              <w:rPr>
                <w:rFonts w:cs="Arial"/>
              </w:rPr>
            </w:pPr>
            <w:r w:rsidRPr="005970A0">
              <w:rPr>
                <w:rFonts w:cs="Arial"/>
              </w:rPr>
              <w:t xml:space="preserve">The Steering Committee notes the following key data gaps/issues: </w:t>
            </w:r>
          </w:p>
          <w:p w:rsidR="00DD55B0" w:rsidRPr="005970A0" w:rsidRDefault="00DD55B0" w:rsidP="00F664AB">
            <w:pPr>
              <w:pStyle w:val="TableBullet"/>
              <w:tabs>
                <w:tab w:val="clear" w:pos="170"/>
                <w:tab w:val="num" w:pos="222"/>
              </w:tabs>
              <w:spacing w:after="60"/>
              <w:ind w:left="222" w:hanging="222"/>
              <w:jc w:val="both"/>
              <w:rPr>
                <w:rFonts w:cs="Arial"/>
              </w:rPr>
            </w:pPr>
            <w:r w:rsidRPr="005970A0">
              <w:rPr>
                <w:rFonts w:cs="Arial"/>
              </w:rPr>
              <w:t xml:space="preserve">Annual data are available from the </w:t>
            </w:r>
            <w:r w:rsidRPr="005970A0">
              <w:rPr>
                <w:rFonts w:cs="Arial"/>
                <w:i/>
              </w:rPr>
              <w:t>Student Outcomes Survey</w:t>
            </w:r>
            <w:r w:rsidRPr="005970A0">
              <w:rPr>
                <w:rFonts w:cs="Arial"/>
              </w:rPr>
              <w:t>. The most recent available data are for 201</w:t>
            </w:r>
            <w:r w:rsidR="00063E84">
              <w:rPr>
                <w:rFonts w:cs="Arial"/>
              </w:rPr>
              <w:t>2</w:t>
            </w:r>
            <w:r w:rsidRPr="005970A0">
              <w:rPr>
                <w:rFonts w:cs="Arial"/>
              </w:rPr>
              <w:t xml:space="preserve"> (outcomes of students in 201</w:t>
            </w:r>
            <w:r w:rsidR="00063E84">
              <w:rPr>
                <w:rFonts w:cs="Arial"/>
              </w:rPr>
              <w:t>2</w:t>
            </w:r>
            <w:r w:rsidRPr="005970A0">
              <w:rPr>
                <w:rFonts w:cs="Arial"/>
              </w:rPr>
              <w:t xml:space="preserve"> who completed qualifications in 201</w:t>
            </w:r>
            <w:r w:rsidR="00063E84">
              <w:rPr>
                <w:rFonts w:cs="Arial"/>
              </w:rPr>
              <w:t>1</w:t>
            </w:r>
            <w:r w:rsidRPr="005970A0">
              <w:rPr>
                <w:rFonts w:cs="Arial"/>
              </w:rPr>
              <w:t>)</w:t>
            </w:r>
          </w:p>
          <w:p w:rsidR="00DD55B0" w:rsidRPr="005970A0" w:rsidRDefault="00DD55B0" w:rsidP="00F664AB">
            <w:pPr>
              <w:pStyle w:val="TableBullet"/>
              <w:tabs>
                <w:tab w:val="clear" w:pos="170"/>
                <w:tab w:val="num" w:pos="222"/>
              </w:tabs>
              <w:spacing w:after="60"/>
              <w:ind w:left="222" w:hanging="222"/>
              <w:jc w:val="both"/>
              <w:rPr>
                <w:rFonts w:cs="Arial"/>
              </w:rPr>
            </w:pPr>
            <w:r w:rsidRPr="005970A0">
              <w:rPr>
                <w:rFonts w:cs="Arial"/>
              </w:rPr>
              <w:t xml:space="preserve">The response rate to this survey was </w:t>
            </w:r>
            <w:r w:rsidR="003B6FF3">
              <w:rPr>
                <w:rFonts w:cs="Arial"/>
              </w:rPr>
              <w:t>47.0</w:t>
            </w:r>
            <w:r w:rsidRPr="005970A0">
              <w:rPr>
                <w:rFonts w:cs="Arial"/>
              </w:rPr>
              <w:t xml:space="preserve"> per cent in 201</w:t>
            </w:r>
            <w:r w:rsidR="00063E84">
              <w:rPr>
                <w:rFonts w:cs="Arial"/>
              </w:rPr>
              <w:t>2</w:t>
            </w:r>
            <w:r w:rsidRPr="005970A0">
              <w:rPr>
                <w:rFonts w:cs="Arial"/>
              </w:rPr>
              <w:t xml:space="preserve">. </w:t>
            </w:r>
            <w:proofErr w:type="spellStart"/>
            <w:r w:rsidRPr="005970A0">
              <w:rPr>
                <w:rFonts w:cs="Arial"/>
              </w:rPr>
              <w:t>NCVER</w:t>
            </w:r>
            <w:proofErr w:type="spellEnd"/>
            <w:r w:rsidRPr="005970A0">
              <w:rPr>
                <w:rFonts w:cs="Arial"/>
              </w:rPr>
              <w:t xml:space="preserve"> analysis found that the non-response was not likely to have affected the quality of the results.</w:t>
            </w:r>
          </w:p>
          <w:p w:rsidR="00DD55B0" w:rsidRPr="005970A0" w:rsidRDefault="00DD55B0" w:rsidP="00F664AB">
            <w:pPr>
              <w:pStyle w:val="TableBullet"/>
              <w:tabs>
                <w:tab w:val="clear" w:pos="170"/>
                <w:tab w:val="num" w:pos="222"/>
              </w:tabs>
              <w:spacing w:after="60"/>
              <w:ind w:left="222" w:hanging="222"/>
              <w:jc w:val="both"/>
              <w:rPr>
                <w:rFonts w:cs="Arial"/>
              </w:rPr>
            </w:pPr>
            <w:r w:rsidRPr="005970A0">
              <w:rPr>
                <w:rFonts w:cs="Arial"/>
              </w:rPr>
              <w:t xml:space="preserve">Data are of acceptable accuracy at the national level, but some data disaggregated by Indigenous status by State and Territory have relative standard errors greater than 25 per cent and should be used with caution. </w:t>
            </w:r>
          </w:p>
          <w:p w:rsidR="00DD55B0" w:rsidRPr="005970A0" w:rsidRDefault="00DD55B0" w:rsidP="00F664AB">
            <w:pPr>
              <w:pStyle w:val="TableBullet"/>
              <w:keepNext w:val="0"/>
              <w:keepLines w:val="0"/>
              <w:tabs>
                <w:tab w:val="clear" w:pos="170"/>
                <w:tab w:val="num" w:pos="222"/>
              </w:tabs>
              <w:spacing w:after="60" w:line="240" w:lineRule="auto"/>
              <w:ind w:left="222" w:right="0" w:hanging="222"/>
              <w:jc w:val="both"/>
              <w:rPr>
                <w:rFonts w:cs="Arial"/>
              </w:rPr>
            </w:pPr>
            <w:r w:rsidRPr="005970A0">
              <w:rPr>
                <w:rFonts w:cs="Arial"/>
              </w:rPr>
              <w:t>Percentages in tables are rounded and may not sum to 100.</w:t>
            </w:r>
          </w:p>
          <w:p w:rsidR="00DD55B0" w:rsidRPr="005970A0" w:rsidRDefault="00DD55B0" w:rsidP="00F664AB">
            <w:pPr>
              <w:pStyle w:val="TableBullet"/>
              <w:tabs>
                <w:tab w:val="clear" w:pos="170"/>
                <w:tab w:val="num" w:pos="222"/>
              </w:tabs>
              <w:spacing w:after="60"/>
              <w:ind w:left="222" w:hanging="222"/>
              <w:jc w:val="both"/>
            </w:pPr>
            <w:r w:rsidRPr="005970A0">
              <w:t xml:space="preserve">The size of the </w:t>
            </w:r>
            <w:proofErr w:type="spellStart"/>
            <w:r w:rsidRPr="005970A0">
              <w:t>RSEs</w:t>
            </w:r>
            <w:proofErr w:type="spellEnd"/>
            <w:r w:rsidRPr="005970A0">
              <w:t xml:space="preserve"> affects the ability to identify small year to year movements in some disaggregated measures for this indicator for some jurisdictions.</w:t>
            </w:r>
          </w:p>
        </w:tc>
      </w:tr>
    </w:tbl>
    <w:p w:rsidR="00DD55B0" w:rsidRPr="005970A0" w:rsidRDefault="00DD55B0" w:rsidP="000D4A50">
      <w:pPr>
        <w:pStyle w:val="Heading3"/>
        <w:spacing w:before="240"/>
      </w:pPr>
    </w:p>
    <w:p w:rsidR="0068457F" w:rsidRPr="005970A0" w:rsidRDefault="0068457F" w:rsidP="00D21520">
      <w:pPr>
        <w:pStyle w:val="Heading3"/>
        <w:spacing w:before="120"/>
      </w:pPr>
      <w:r w:rsidRPr="005970A0">
        <w:br w:type="page"/>
      </w:r>
      <w:bookmarkStart w:id="31" w:name="_Toc370472628"/>
      <w:r w:rsidRPr="005970A0">
        <w:lastRenderedPageBreak/>
        <w:t>Student satisfaction with VET — proportion of students who were satisfied with the quality of their completed VET course</w:t>
      </w:r>
      <w:bookmarkEnd w:id="31"/>
    </w:p>
    <w:p w:rsidR="0068457F" w:rsidRPr="005970A0" w:rsidRDefault="0068457F" w:rsidP="006E0702">
      <w:pPr>
        <w:pStyle w:val="Box"/>
      </w:pPr>
      <w:r w:rsidRPr="005970A0">
        <w:t>Data quality information for this indicator has been drafted by the National Centre for Vocational Education Research (</w:t>
      </w:r>
      <w:proofErr w:type="spellStart"/>
      <w:r w:rsidRPr="005970A0">
        <w:t>NCVER</w:t>
      </w:r>
      <w:proofErr w:type="spellEnd"/>
      <w:r w:rsidRPr="005970A0">
        <w:t>)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395EF2">
        <w:tc>
          <w:tcPr>
            <w:tcW w:w="5000" w:type="pct"/>
            <w:gridSpan w:val="2"/>
          </w:tcPr>
          <w:p w:rsidR="0068457F" w:rsidRPr="005970A0" w:rsidRDefault="0068457F" w:rsidP="006E0702">
            <w:pPr>
              <w:pStyle w:val="TableBodyText"/>
              <w:jc w:val="both"/>
              <w:rPr>
                <w:b/>
                <w:u w:val="single"/>
              </w:rPr>
            </w:pPr>
          </w:p>
          <w:p w:rsidR="0068457F" w:rsidRPr="005970A0" w:rsidRDefault="0068457F" w:rsidP="006E0702">
            <w:pPr>
              <w:pStyle w:val="TableBodyText"/>
              <w:jc w:val="both"/>
            </w:pPr>
            <w:r w:rsidRPr="005970A0">
              <w:rPr>
                <w:b/>
                <w:u w:val="single"/>
              </w:rPr>
              <w:t>Indicator definition and description</w:t>
            </w:r>
            <w:r w:rsidRPr="005970A0">
              <w:rPr>
                <w:rFonts w:cs="Arial"/>
                <w:b/>
                <w:sz w:val="22"/>
                <w:szCs w:val="22"/>
                <w:u w:val="single"/>
              </w:rPr>
              <w:t xml:space="preserve"> </w:t>
            </w:r>
          </w:p>
        </w:tc>
      </w:tr>
      <w:tr w:rsidR="005970A0" w:rsidRPr="005970A0" w:rsidTr="00395EF2">
        <w:tc>
          <w:tcPr>
            <w:tcW w:w="922" w:type="pct"/>
          </w:tcPr>
          <w:p w:rsidR="0068457F" w:rsidRPr="005970A0" w:rsidRDefault="0068457F" w:rsidP="006E0702">
            <w:pPr>
              <w:pStyle w:val="TableBodyText"/>
              <w:jc w:val="both"/>
              <w:rPr>
                <w:b/>
              </w:rPr>
            </w:pPr>
            <w:r w:rsidRPr="005970A0">
              <w:rPr>
                <w:b/>
              </w:rPr>
              <w:t>Element</w:t>
            </w:r>
          </w:p>
        </w:tc>
        <w:tc>
          <w:tcPr>
            <w:tcW w:w="4078" w:type="pct"/>
          </w:tcPr>
          <w:p w:rsidR="0068457F" w:rsidRPr="005970A0" w:rsidRDefault="0068457F" w:rsidP="006E0702">
            <w:pPr>
              <w:pStyle w:val="TableBodyText"/>
              <w:keepNext w:val="0"/>
              <w:keepLines w:val="0"/>
              <w:spacing w:after="120" w:line="240" w:lineRule="auto"/>
              <w:ind w:left="0" w:right="0"/>
              <w:jc w:val="both"/>
            </w:pPr>
            <w:r w:rsidRPr="005970A0">
              <w:t>Outcomes.</w:t>
            </w:r>
          </w:p>
        </w:tc>
      </w:tr>
      <w:tr w:rsidR="005970A0" w:rsidRPr="005970A0" w:rsidTr="00395EF2">
        <w:tc>
          <w:tcPr>
            <w:tcW w:w="922" w:type="pct"/>
          </w:tcPr>
          <w:p w:rsidR="0068457F" w:rsidRPr="005970A0" w:rsidRDefault="0068457F" w:rsidP="006E0702">
            <w:pPr>
              <w:pStyle w:val="TableBodyText"/>
              <w:jc w:val="both"/>
              <w:rPr>
                <w:b/>
              </w:rPr>
            </w:pPr>
            <w:r w:rsidRPr="005970A0">
              <w:rPr>
                <w:b/>
              </w:rPr>
              <w:t>Indicator</w:t>
            </w:r>
          </w:p>
        </w:tc>
        <w:tc>
          <w:tcPr>
            <w:tcW w:w="4078" w:type="pct"/>
          </w:tcPr>
          <w:p w:rsidR="0068457F" w:rsidRPr="005970A0" w:rsidRDefault="0068457F" w:rsidP="006E0702">
            <w:pPr>
              <w:pStyle w:val="TableBodyText"/>
              <w:keepNext w:val="0"/>
              <w:keepLines w:val="0"/>
              <w:spacing w:after="120" w:line="240" w:lineRule="auto"/>
              <w:ind w:left="0" w:right="0"/>
              <w:jc w:val="both"/>
            </w:pPr>
            <w:r w:rsidRPr="005970A0">
              <w:t>Student satisfaction with VET</w:t>
            </w:r>
          </w:p>
        </w:tc>
      </w:tr>
      <w:tr w:rsidR="005970A0" w:rsidRPr="005970A0" w:rsidTr="00395EF2">
        <w:tc>
          <w:tcPr>
            <w:tcW w:w="922" w:type="pct"/>
          </w:tcPr>
          <w:p w:rsidR="0068457F" w:rsidRPr="005970A0" w:rsidRDefault="0068457F" w:rsidP="006E0702">
            <w:pPr>
              <w:pStyle w:val="TableBodyText"/>
              <w:jc w:val="both"/>
              <w:rPr>
                <w:b/>
              </w:rPr>
            </w:pPr>
            <w:r w:rsidRPr="005970A0">
              <w:rPr>
                <w:b/>
              </w:rPr>
              <w:t>Measure (computation)</w:t>
            </w:r>
          </w:p>
        </w:tc>
        <w:tc>
          <w:tcPr>
            <w:tcW w:w="4078" w:type="pct"/>
          </w:tcPr>
          <w:p w:rsidR="0068457F" w:rsidRPr="005970A0" w:rsidRDefault="0068457F" w:rsidP="006E0702">
            <w:pPr>
              <w:pStyle w:val="TableBodyText"/>
              <w:jc w:val="both"/>
              <w:rPr>
                <w:u w:val="single"/>
              </w:rPr>
            </w:pPr>
            <w:r w:rsidRPr="005970A0">
              <w:rPr>
                <w:u w:val="single"/>
              </w:rPr>
              <w:t>Definition</w:t>
            </w:r>
          </w:p>
          <w:p w:rsidR="0068457F" w:rsidRPr="005970A0" w:rsidRDefault="0068457F" w:rsidP="006E0702">
            <w:pPr>
              <w:pStyle w:val="TableBodyText"/>
              <w:keepNext w:val="0"/>
              <w:keepLines w:val="0"/>
              <w:spacing w:after="120" w:line="240" w:lineRule="auto"/>
              <w:ind w:left="0" w:right="0"/>
              <w:jc w:val="both"/>
            </w:pPr>
            <w:r w:rsidRPr="005970A0">
              <w:t>The proportion of students who were satisfied with the quality of their completed VET course.</w:t>
            </w:r>
          </w:p>
          <w:p w:rsidR="0068457F" w:rsidRPr="005970A0" w:rsidRDefault="0068457F" w:rsidP="006E0702">
            <w:pPr>
              <w:pStyle w:val="TableBodyText"/>
              <w:jc w:val="both"/>
              <w:rPr>
                <w:u w:val="single"/>
              </w:rPr>
            </w:pPr>
            <w:r w:rsidRPr="005970A0">
              <w:rPr>
                <w:u w:val="single"/>
              </w:rPr>
              <w:t>Numerator/s</w:t>
            </w:r>
          </w:p>
          <w:p w:rsidR="0068457F" w:rsidRPr="005970A0" w:rsidRDefault="0068457F" w:rsidP="006E0702">
            <w:pPr>
              <w:pStyle w:val="TableBodyText"/>
              <w:keepNext w:val="0"/>
              <w:keepLines w:val="0"/>
              <w:spacing w:after="120" w:line="240" w:lineRule="auto"/>
              <w:ind w:left="0" w:right="0"/>
              <w:jc w:val="both"/>
            </w:pPr>
            <w:r w:rsidRPr="005970A0">
              <w:t>Number of graduates who completed their training during the year prior to the nominated year, and who reported that they were ‘satisfied’ or ‘very satisfied’ with their training program.</w:t>
            </w:r>
          </w:p>
          <w:p w:rsidR="0068457F" w:rsidRPr="005970A0" w:rsidRDefault="0068457F" w:rsidP="006E0702">
            <w:pPr>
              <w:pStyle w:val="TableBodyText"/>
              <w:jc w:val="both"/>
              <w:rPr>
                <w:u w:val="single"/>
              </w:rPr>
            </w:pPr>
            <w:r w:rsidRPr="005970A0">
              <w:rPr>
                <w:u w:val="single"/>
              </w:rPr>
              <w:t>Denominator/s</w:t>
            </w:r>
          </w:p>
          <w:p w:rsidR="0068457F" w:rsidRPr="005970A0" w:rsidRDefault="0068457F" w:rsidP="006E0702">
            <w:pPr>
              <w:pStyle w:val="TableBodyText"/>
              <w:keepNext w:val="0"/>
              <w:keepLines w:val="0"/>
              <w:spacing w:after="120" w:line="240" w:lineRule="auto"/>
              <w:ind w:left="0" w:right="0"/>
              <w:jc w:val="both"/>
            </w:pPr>
            <w:r w:rsidRPr="005970A0">
              <w:t>Number of graduates who completed their training during the year prior to the nominated year (less those with the numerator variable not stated).</w:t>
            </w:r>
          </w:p>
          <w:p w:rsidR="0068457F" w:rsidRPr="005970A0" w:rsidRDefault="0068457F" w:rsidP="006E0702">
            <w:pPr>
              <w:pStyle w:val="TableBodyText"/>
              <w:jc w:val="both"/>
              <w:rPr>
                <w:u w:val="single"/>
              </w:rPr>
            </w:pPr>
            <w:r w:rsidRPr="005970A0">
              <w:rPr>
                <w:u w:val="single"/>
              </w:rPr>
              <w:t>Computation/s:</w:t>
            </w:r>
          </w:p>
          <w:p w:rsidR="0068457F" w:rsidRPr="005970A0" w:rsidRDefault="0068457F" w:rsidP="006E0702">
            <w:pPr>
              <w:pStyle w:val="TableBodyText"/>
              <w:keepNext w:val="0"/>
              <w:keepLines w:val="0"/>
              <w:spacing w:after="120" w:line="240" w:lineRule="auto"/>
              <w:ind w:left="0" w:right="0"/>
              <w:jc w:val="both"/>
            </w:pPr>
            <w:r w:rsidRPr="005970A0">
              <w:t>Numerator (above) divided by denominator (above)</w:t>
            </w:r>
            <w:r w:rsidR="003B11B3" w:rsidRPr="005970A0">
              <w:t>.</w:t>
            </w:r>
          </w:p>
          <w:p w:rsidR="0068457F" w:rsidRPr="005970A0" w:rsidRDefault="0068457F" w:rsidP="006E0702">
            <w:pPr>
              <w:pStyle w:val="TableBodyText"/>
              <w:keepNext w:val="0"/>
              <w:keepLines w:val="0"/>
              <w:spacing w:after="120" w:line="240" w:lineRule="auto"/>
              <w:ind w:left="0" w:right="0"/>
              <w:jc w:val="both"/>
              <w:rPr>
                <w:u w:val="single"/>
              </w:rPr>
            </w:pPr>
            <w:r w:rsidRPr="005970A0">
              <w:t>‘Graduate’ is defined as a past student who was awarded a qualification from a VET provider in Australia.</w:t>
            </w:r>
          </w:p>
        </w:tc>
      </w:tr>
      <w:tr w:rsidR="005970A0" w:rsidRPr="005970A0" w:rsidTr="00395EF2">
        <w:tc>
          <w:tcPr>
            <w:tcW w:w="922" w:type="pct"/>
          </w:tcPr>
          <w:p w:rsidR="0068457F" w:rsidRPr="005970A0" w:rsidRDefault="0068457F" w:rsidP="006E0702">
            <w:pPr>
              <w:pStyle w:val="TableBodyText"/>
              <w:jc w:val="both"/>
              <w:rPr>
                <w:b/>
              </w:rPr>
            </w:pPr>
            <w:r w:rsidRPr="005970A0">
              <w:rPr>
                <w:b/>
              </w:rPr>
              <w:t>Data source/s</w:t>
            </w:r>
          </w:p>
        </w:tc>
        <w:tc>
          <w:tcPr>
            <w:tcW w:w="4078" w:type="pct"/>
          </w:tcPr>
          <w:p w:rsidR="0068457F" w:rsidRPr="005970A0" w:rsidRDefault="0068457F" w:rsidP="006E0702">
            <w:pPr>
              <w:pStyle w:val="TableBodyText"/>
              <w:keepNext w:val="0"/>
              <w:keepLines w:val="0"/>
              <w:spacing w:after="120" w:line="240" w:lineRule="auto"/>
              <w:ind w:left="0" w:right="0"/>
              <w:jc w:val="both"/>
            </w:pPr>
            <w:r w:rsidRPr="005970A0">
              <w:t xml:space="preserve">All data are derived from the </w:t>
            </w:r>
            <w:r w:rsidRPr="005970A0">
              <w:rPr>
                <w:i/>
              </w:rPr>
              <w:t>Student Outcomes Survey</w:t>
            </w:r>
            <w:r w:rsidRPr="005970A0">
              <w:t xml:space="preserve"> (SOS), which is an annual survey of students who successfully complete VET in Australia. This survey is conducted by the </w:t>
            </w:r>
            <w:proofErr w:type="spellStart"/>
            <w:r w:rsidRPr="005970A0">
              <w:t>NCVER</w:t>
            </w:r>
            <w:proofErr w:type="spellEnd"/>
            <w:r w:rsidRPr="005970A0">
              <w:t>.</w:t>
            </w:r>
          </w:p>
          <w:p w:rsidR="0068457F" w:rsidRPr="005970A0" w:rsidRDefault="0068457F" w:rsidP="006E0702">
            <w:pPr>
              <w:pStyle w:val="TableBodyText"/>
              <w:keepNext w:val="0"/>
              <w:keepLines w:val="0"/>
              <w:spacing w:after="120" w:line="240" w:lineRule="auto"/>
              <w:ind w:left="0" w:right="0"/>
              <w:jc w:val="both"/>
            </w:pPr>
            <w:r w:rsidRPr="005970A0">
              <w:t>The sample for the survey is drawn from the National VET Provider Collection.</w:t>
            </w:r>
          </w:p>
        </w:tc>
      </w:tr>
      <w:tr w:rsidR="005970A0" w:rsidRPr="005970A0" w:rsidTr="00395EF2">
        <w:tc>
          <w:tcPr>
            <w:tcW w:w="5000" w:type="pct"/>
            <w:gridSpan w:val="2"/>
          </w:tcPr>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C736D5">
              <w:tc>
                <w:tcPr>
                  <w:tcW w:w="5000" w:type="pct"/>
                  <w:gridSpan w:val="2"/>
                </w:tcPr>
                <w:p w:rsidR="00C736D5" w:rsidRPr="005970A0" w:rsidRDefault="00C736D5" w:rsidP="00C736D5">
                  <w:pPr>
                    <w:pStyle w:val="TableBodyText"/>
                    <w:jc w:val="both"/>
                    <w:rPr>
                      <w:b/>
                      <w:u w:val="single"/>
                    </w:rPr>
                  </w:pPr>
                </w:p>
                <w:p w:rsidR="00C736D5" w:rsidRPr="005970A0" w:rsidRDefault="00C736D5" w:rsidP="00C736D5">
                  <w:pPr>
                    <w:pStyle w:val="TableBodyText"/>
                    <w:jc w:val="both"/>
                    <w:rPr>
                      <w:b/>
                      <w:u w:val="single"/>
                    </w:rPr>
                  </w:pPr>
                  <w:r w:rsidRPr="005970A0">
                    <w:rPr>
                      <w:b/>
                      <w:u w:val="single"/>
                    </w:rPr>
                    <w:t>Data Quality Framework Dimensions</w:t>
                  </w:r>
                </w:p>
              </w:tc>
            </w:tr>
            <w:tr w:rsidR="005970A0" w:rsidRPr="005970A0" w:rsidTr="00C736D5">
              <w:tc>
                <w:tcPr>
                  <w:tcW w:w="922" w:type="pct"/>
                </w:tcPr>
                <w:p w:rsidR="00C736D5" w:rsidRPr="005970A0" w:rsidRDefault="00C736D5" w:rsidP="00C736D5">
                  <w:pPr>
                    <w:pStyle w:val="TableBodyText"/>
                    <w:jc w:val="both"/>
                    <w:rPr>
                      <w:rFonts w:cs="Arial"/>
                      <w:b/>
                    </w:rPr>
                  </w:pPr>
                  <w:r w:rsidRPr="005970A0">
                    <w:rPr>
                      <w:rFonts w:cs="Arial"/>
                      <w:b/>
                    </w:rPr>
                    <w:t>Institutional environment</w:t>
                  </w:r>
                </w:p>
              </w:tc>
              <w:tc>
                <w:tcPr>
                  <w:tcW w:w="4078" w:type="pct"/>
                </w:tcPr>
                <w:p w:rsidR="00C736D5" w:rsidRPr="005970A0" w:rsidRDefault="00C736D5" w:rsidP="00C736D5">
                  <w:pPr>
                    <w:pStyle w:val="TableBodyText"/>
                    <w:keepNext w:val="0"/>
                    <w:keepLines w:val="0"/>
                    <w:autoSpaceDE w:val="0"/>
                    <w:autoSpaceDN w:val="0"/>
                    <w:adjustRightInd w:val="0"/>
                    <w:spacing w:after="120" w:line="240" w:lineRule="atLeast"/>
                    <w:ind w:left="0" w:right="0"/>
                    <w:jc w:val="left"/>
                  </w:pPr>
                  <w:r w:rsidRPr="005970A0">
                    <w:t>The National Centre for Vocational Education Research (</w:t>
                  </w:r>
                  <w:proofErr w:type="spellStart"/>
                  <w:r w:rsidRPr="005970A0">
                    <w:t>NCVER</w:t>
                  </w:r>
                  <w:proofErr w:type="spellEnd"/>
                  <w:r w:rsidRPr="005970A0">
                    <w:t>) is a not-for-profit company owned by the federal, state and territory ministers responsible for training.</w:t>
                  </w:r>
                </w:p>
                <w:p w:rsidR="00C736D5" w:rsidRPr="005970A0" w:rsidRDefault="00C736D5" w:rsidP="00C736D5">
                  <w:pPr>
                    <w:pStyle w:val="TableBodyText"/>
                    <w:keepNext w:val="0"/>
                    <w:keepLines w:val="0"/>
                    <w:autoSpaceDE w:val="0"/>
                    <w:autoSpaceDN w:val="0"/>
                    <w:adjustRightInd w:val="0"/>
                    <w:spacing w:after="120" w:line="240" w:lineRule="atLeast"/>
                    <w:ind w:left="0" w:right="0"/>
                    <w:jc w:val="left"/>
                  </w:pPr>
                  <w:proofErr w:type="spellStart"/>
                  <w:r w:rsidRPr="005970A0">
                    <w:t>NCVER</w:t>
                  </w:r>
                  <w:proofErr w:type="spellEnd"/>
                  <w:r w:rsidRPr="005970A0">
                    <w:t xml:space="preserve">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C736D5" w:rsidRPr="005970A0" w:rsidRDefault="00C736D5" w:rsidP="00C736D5">
                  <w:pPr>
                    <w:pStyle w:val="TableBodyText"/>
                    <w:keepNext w:val="0"/>
                    <w:keepLines w:val="0"/>
                    <w:autoSpaceDE w:val="0"/>
                    <w:autoSpaceDN w:val="0"/>
                    <w:adjustRightInd w:val="0"/>
                    <w:spacing w:after="120" w:line="240" w:lineRule="atLeast"/>
                    <w:ind w:left="0" w:right="0"/>
                    <w:jc w:val="left"/>
                  </w:pPr>
                  <w:r w:rsidRPr="005970A0">
                    <w:t xml:space="preserve">For further information on the </w:t>
                  </w:r>
                  <w:proofErr w:type="spellStart"/>
                  <w:r w:rsidRPr="005970A0">
                    <w:t>NCVER</w:t>
                  </w:r>
                  <w:proofErr w:type="spellEnd"/>
                  <w:r w:rsidRPr="005970A0">
                    <w:t xml:space="preserve">, see </w:t>
                  </w:r>
                  <w:r w:rsidRPr="00D86CD7">
                    <w:t>http://</w:t>
                  </w:r>
                  <w:proofErr w:type="spellStart"/>
                  <w:r w:rsidRPr="00D86CD7">
                    <w:t>www.ncver.edu.au</w:t>
                  </w:r>
                  <w:proofErr w:type="spellEnd"/>
                  <w:r w:rsidRPr="00D86CD7">
                    <w:t>/</w:t>
                  </w:r>
                  <w:proofErr w:type="spellStart"/>
                  <w:r w:rsidRPr="00D86CD7">
                    <w:t>aboutncver</w:t>
                  </w:r>
                  <w:proofErr w:type="spellEnd"/>
                  <w:r w:rsidRPr="00D86CD7">
                    <w:t>/</w:t>
                  </w:r>
                  <w:proofErr w:type="spellStart"/>
                  <w:r w:rsidRPr="00D86CD7">
                    <w:t>who.html</w:t>
                  </w:r>
                  <w:proofErr w:type="spellEnd"/>
                </w:p>
              </w:tc>
            </w:tr>
          </w:tbl>
          <w:p w:rsidR="00C736D5" w:rsidRPr="005970A0" w:rsidRDefault="00C736D5" w:rsidP="00C736D5">
            <w:r w:rsidRPr="005970A0">
              <w:br w:type="page"/>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C736D5">
              <w:tc>
                <w:tcPr>
                  <w:tcW w:w="922" w:type="pct"/>
                </w:tcPr>
                <w:p w:rsidR="00C736D5" w:rsidRPr="005970A0" w:rsidRDefault="00C736D5" w:rsidP="00C736D5">
                  <w:pPr>
                    <w:pStyle w:val="TableBodyText"/>
                    <w:jc w:val="both"/>
                    <w:rPr>
                      <w:rFonts w:cs="Arial"/>
                      <w:b/>
                    </w:rPr>
                  </w:pPr>
                  <w:r w:rsidRPr="005970A0">
                    <w:rPr>
                      <w:rFonts w:cs="Arial"/>
                      <w:b/>
                    </w:rPr>
                    <w:t>Relevance</w:t>
                  </w:r>
                </w:p>
              </w:tc>
              <w:tc>
                <w:tcPr>
                  <w:tcW w:w="4078" w:type="pct"/>
                </w:tcPr>
                <w:p w:rsidR="00C736D5" w:rsidRPr="005970A0" w:rsidRDefault="00C736D5" w:rsidP="00C736D5">
                  <w:pPr>
                    <w:pStyle w:val="TableBodyText"/>
                    <w:keepNext w:val="0"/>
                    <w:keepLines w:val="0"/>
                    <w:autoSpaceDE w:val="0"/>
                    <w:autoSpaceDN w:val="0"/>
                    <w:adjustRightInd w:val="0"/>
                    <w:spacing w:after="120" w:line="240" w:lineRule="atLeast"/>
                    <w:ind w:left="0" w:right="0"/>
                    <w:jc w:val="both"/>
                  </w:pPr>
                  <w:r w:rsidRPr="005970A0">
                    <w:t xml:space="preserve">The </w:t>
                  </w:r>
                  <w:r w:rsidRPr="005970A0">
                    <w:rPr>
                      <w:i/>
                    </w:rPr>
                    <w:t>Student Outcomes Survey</w:t>
                  </w:r>
                  <w:r w:rsidRPr="005970A0">
                    <w:t xml:space="preserve"> </w:t>
                  </w:r>
                  <w:r w:rsidR="00D37ACC" w:rsidRPr="005970A0">
                    <w:t xml:space="preserve">(SOS) </w:t>
                  </w:r>
                  <w:r w:rsidRPr="005970A0">
                    <w:t xml:space="preserve">collects information on students’ employment outcomes and satisfaction with VET in Australia. Data are collected by mail-out survey with an option to complete the survey </w:t>
                  </w:r>
                  <w:proofErr w:type="spellStart"/>
                  <w:r w:rsidRPr="005970A0">
                    <w:t>on-line</w:t>
                  </w:r>
                  <w:proofErr w:type="spellEnd"/>
                  <w:r w:rsidRPr="005970A0">
                    <w:t>.</w:t>
                  </w:r>
                </w:p>
                <w:p w:rsidR="00C736D5" w:rsidRPr="005970A0" w:rsidRDefault="00C736D5" w:rsidP="00C736D5">
                  <w:pPr>
                    <w:pStyle w:val="TableBodyText"/>
                    <w:keepNext w:val="0"/>
                    <w:keepLines w:val="0"/>
                    <w:autoSpaceDE w:val="0"/>
                    <w:autoSpaceDN w:val="0"/>
                    <w:adjustRightInd w:val="0"/>
                    <w:spacing w:after="120" w:line="240" w:lineRule="atLeast"/>
                    <w:ind w:left="0" w:right="0"/>
                    <w:jc w:val="both"/>
                  </w:pPr>
                  <w:r w:rsidRPr="005970A0">
                    <w:t>Information about the level and type of training students undertake, further study patterns and reasons for not continuing with the training (where applicable) is also collected.</w:t>
                  </w:r>
                </w:p>
                <w:p w:rsidR="00C736D5" w:rsidRPr="005970A0" w:rsidRDefault="00C736D5" w:rsidP="00C736D5">
                  <w:pPr>
                    <w:pStyle w:val="TableBodyText"/>
                    <w:keepNext w:val="0"/>
                    <w:keepLines w:val="0"/>
                    <w:autoSpaceDE w:val="0"/>
                    <w:autoSpaceDN w:val="0"/>
                    <w:adjustRightInd w:val="0"/>
                    <w:spacing w:after="120" w:line="240" w:lineRule="atLeast"/>
                    <w:ind w:left="0" w:right="0"/>
                    <w:jc w:val="both"/>
                  </w:pPr>
                  <w:r w:rsidRPr="005970A0">
                    <w:lastRenderedPageBreak/>
                    <w:t xml:space="preserve">The scope of the survey is nationally recognised VET (Figure 1).  </w:t>
                  </w:r>
                </w:p>
                <w:p w:rsidR="00C736D5" w:rsidRPr="005970A0" w:rsidRDefault="00C736D5" w:rsidP="00F664AB">
                  <w:pPr>
                    <w:pStyle w:val="TableBodyText"/>
                    <w:keepNext w:val="0"/>
                    <w:keepLines w:val="0"/>
                    <w:autoSpaceDE w:val="0"/>
                    <w:autoSpaceDN w:val="0"/>
                    <w:adjustRightInd w:val="0"/>
                    <w:spacing w:after="60" w:line="240" w:lineRule="atLeast"/>
                    <w:ind w:left="0" w:right="0"/>
                    <w:jc w:val="both"/>
                  </w:pPr>
                  <w:r w:rsidRPr="005970A0">
                    <w:t>The survey includes:</w:t>
                  </w:r>
                </w:p>
                <w:p w:rsidR="00C736D5" w:rsidRPr="005970A0" w:rsidRDefault="00C736D5" w:rsidP="00F664AB">
                  <w:pPr>
                    <w:pStyle w:val="TableBodyText"/>
                    <w:numPr>
                      <w:ilvl w:val="0"/>
                      <w:numId w:val="15"/>
                    </w:numPr>
                    <w:tabs>
                      <w:tab w:val="left" w:pos="222"/>
                    </w:tabs>
                    <w:ind w:left="222" w:hanging="222"/>
                    <w:jc w:val="both"/>
                  </w:pPr>
                  <w:r w:rsidRPr="005970A0">
                    <w:t>Publicly funded VET activity (all providers)</w:t>
                  </w:r>
                </w:p>
                <w:p w:rsidR="00C736D5" w:rsidRPr="005970A0" w:rsidRDefault="00C736D5" w:rsidP="00F664AB">
                  <w:pPr>
                    <w:pStyle w:val="TableBodyText"/>
                    <w:numPr>
                      <w:ilvl w:val="0"/>
                      <w:numId w:val="16"/>
                    </w:numPr>
                    <w:tabs>
                      <w:tab w:val="left" w:pos="222"/>
                    </w:tabs>
                    <w:ind w:left="222" w:hanging="222"/>
                    <w:jc w:val="both"/>
                  </w:pPr>
                  <w:r w:rsidRPr="005970A0">
                    <w:t xml:space="preserve">Privately funded VET activity delivered by TAFE institutions, ACE providers, and other government providers </w:t>
                  </w:r>
                </w:p>
                <w:p w:rsidR="00C736D5" w:rsidRPr="005970A0" w:rsidRDefault="00C736D5" w:rsidP="00C736D5">
                  <w:pPr>
                    <w:pStyle w:val="TableBodyText"/>
                    <w:spacing w:before="120"/>
                    <w:jc w:val="both"/>
                  </w:pPr>
                  <w:r w:rsidRPr="005970A0">
                    <w:t>The survey excludes:</w:t>
                  </w:r>
                </w:p>
                <w:p w:rsidR="00C736D5" w:rsidRPr="005970A0" w:rsidRDefault="00C736D5" w:rsidP="00F664AB">
                  <w:pPr>
                    <w:pStyle w:val="TableBodyText"/>
                    <w:numPr>
                      <w:ilvl w:val="0"/>
                      <w:numId w:val="15"/>
                    </w:numPr>
                    <w:tabs>
                      <w:tab w:val="left" w:pos="222"/>
                    </w:tabs>
                    <w:ind w:left="222" w:hanging="222"/>
                    <w:jc w:val="both"/>
                  </w:pPr>
                  <w:r w:rsidRPr="005970A0">
                    <w:t>Recreation, leisure and personal enrichment (non-vocational programs)</w:t>
                  </w:r>
                </w:p>
                <w:p w:rsidR="00C736D5" w:rsidRPr="005970A0" w:rsidRDefault="00C736D5" w:rsidP="00F664AB">
                  <w:pPr>
                    <w:pStyle w:val="TableBodyText"/>
                    <w:numPr>
                      <w:ilvl w:val="0"/>
                      <w:numId w:val="15"/>
                    </w:numPr>
                    <w:tabs>
                      <w:tab w:val="left" w:pos="222"/>
                    </w:tabs>
                    <w:ind w:left="222" w:hanging="222"/>
                    <w:jc w:val="both"/>
                  </w:pPr>
                  <w:r w:rsidRPr="005970A0">
                    <w:t>Privately funded VET activity delivered by private providers</w:t>
                  </w:r>
                </w:p>
                <w:p w:rsidR="00C736D5" w:rsidRPr="005970A0" w:rsidRDefault="00C736D5" w:rsidP="00F664AB">
                  <w:pPr>
                    <w:pStyle w:val="TableBodyText"/>
                    <w:numPr>
                      <w:ilvl w:val="0"/>
                      <w:numId w:val="15"/>
                    </w:numPr>
                    <w:tabs>
                      <w:tab w:val="left" w:pos="222"/>
                    </w:tabs>
                    <w:ind w:left="222" w:hanging="222"/>
                    <w:jc w:val="both"/>
                  </w:pPr>
                  <w:r w:rsidRPr="005970A0">
                    <w:t>VET activity delivered at overseas campuses of Australian VET institutions</w:t>
                  </w:r>
                </w:p>
                <w:p w:rsidR="00C736D5" w:rsidRPr="005970A0" w:rsidRDefault="00C736D5" w:rsidP="00F664AB">
                  <w:pPr>
                    <w:pStyle w:val="TableBodyText"/>
                    <w:numPr>
                      <w:ilvl w:val="0"/>
                      <w:numId w:val="15"/>
                    </w:numPr>
                    <w:tabs>
                      <w:tab w:val="left" w:pos="222"/>
                    </w:tabs>
                    <w:ind w:left="222" w:hanging="222"/>
                    <w:jc w:val="both"/>
                  </w:pPr>
                  <w:r w:rsidRPr="005970A0">
                    <w:t>VET activity delivered in schools.</w:t>
                  </w:r>
                </w:p>
                <w:p w:rsidR="00C736D5" w:rsidRPr="005970A0" w:rsidRDefault="00C736D5" w:rsidP="00C736D5">
                  <w:pPr>
                    <w:pStyle w:val="TableBodyText"/>
                    <w:keepNext w:val="0"/>
                    <w:keepLines w:val="0"/>
                    <w:autoSpaceDE w:val="0"/>
                    <w:autoSpaceDN w:val="0"/>
                    <w:adjustRightInd w:val="0"/>
                    <w:spacing w:before="120" w:after="120" w:line="240" w:lineRule="atLeast"/>
                    <w:ind w:left="0" w:right="0"/>
                    <w:jc w:val="both"/>
                  </w:pPr>
                  <w:r w:rsidRPr="005970A0">
                    <w:t>This scope has been in place since 2005. Prior to 2005, information was only collected from students undertaking Commonwealth/State funded programs through TAFE.</w:t>
                  </w:r>
                </w:p>
                <w:p w:rsidR="00C736D5" w:rsidRPr="005970A0" w:rsidRDefault="00C736D5" w:rsidP="00C736D5">
                  <w:pPr>
                    <w:pStyle w:val="TableBodyText"/>
                    <w:jc w:val="both"/>
                    <w:rPr>
                      <w:b/>
                      <w:sz w:val="17"/>
                      <w:szCs w:val="17"/>
                    </w:rPr>
                  </w:pPr>
                  <w:r w:rsidRPr="005970A0">
                    <w:rPr>
                      <w:b/>
                      <w:sz w:val="17"/>
                      <w:szCs w:val="17"/>
                    </w:rPr>
                    <w:t>Figure 1: Scope of the 201</w:t>
                  </w:r>
                  <w:r w:rsidR="00063E84">
                    <w:rPr>
                      <w:b/>
                      <w:sz w:val="17"/>
                      <w:szCs w:val="17"/>
                    </w:rPr>
                    <w:t>2</w:t>
                  </w:r>
                  <w:r w:rsidRPr="005970A0">
                    <w:rPr>
                      <w:b/>
                      <w:sz w:val="17"/>
                      <w:szCs w:val="17"/>
                    </w:rPr>
                    <w:t xml:space="preserve"> Student Outcomes Survey</w:t>
                  </w:r>
                </w:p>
                <w:tbl>
                  <w:tblPr>
                    <w:tblW w:w="0" w:type="auto"/>
                    <w:tblLook w:val="01E0" w:firstRow="1" w:lastRow="1" w:firstColumn="1" w:lastColumn="1" w:noHBand="0" w:noVBand="0"/>
                  </w:tblPr>
                  <w:tblGrid>
                    <w:gridCol w:w="1691"/>
                    <w:gridCol w:w="1800"/>
                    <w:gridCol w:w="1656"/>
                    <w:gridCol w:w="1948"/>
                  </w:tblGrid>
                  <w:tr w:rsidR="005970A0" w:rsidRPr="005970A0" w:rsidTr="00C736D5">
                    <w:trPr>
                      <w:trHeight w:val="251"/>
                    </w:trPr>
                    <w:tc>
                      <w:tcPr>
                        <w:tcW w:w="1691" w:type="dxa"/>
                        <w:tcBorders>
                          <w:top w:val="single" w:sz="4" w:space="0" w:color="auto"/>
                          <w:left w:val="nil"/>
                          <w:bottom w:val="nil"/>
                          <w:right w:val="nil"/>
                        </w:tcBorders>
                      </w:tcPr>
                      <w:p w:rsidR="00C736D5" w:rsidRPr="005970A0" w:rsidRDefault="00C736D5" w:rsidP="00C736D5">
                        <w:pPr>
                          <w:pStyle w:val="TableBodyText"/>
                          <w:jc w:val="both"/>
                          <w:rPr>
                            <w:sz w:val="16"/>
                            <w:szCs w:val="16"/>
                          </w:rPr>
                        </w:pPr>
                      </w:p>
                    </w:tc>
                    <w:tc>
                      <w:tcPr>
                        <w:tcW w:w="5404" w:type="dxa"/>
                        <w:gridSpan w:val="3"/>
                        <w:tcBorders>
                          <w:top w:val="single" w:sz="4" w:space="0" w:color="auto"/>
                          <w:left w:val="nil"/>
                          <w:bottom w:val="nil"/>
                          <w:right w:val="nil"/>
                        </w:tcBorders>
                      </w:tcPr>
                      <w:p w:rsidR="00C736D5" w:rsidRPr="005970A0" w:rsidRDefault="00C736D5" w:rsidP="00C736D5">
                        <w:pPr>
                          <w:pStyle w:val="TableBodyText"/>
                          <w:jc w:val="both"/>
                          <w:rPr>
                            <w:b/>
                            <w:bCs/>
                            <w:sz w:val="16"/>
                            <w:szCs w:val="16"/>
                          </w:rPr>
                        </w:pPr>
                        <w:r w:rsidRPr="005970A0">
                          <w:rPr>
                            <w:b/>
                            <w:bCs/>
                            <w:sz w:val="16"/>
                            <w:szCs w:val="16"/>
                          </w:rPr>
                          <w:t>Provider Type</w:t>
                        </w:r>
                      </w:p>
                    </w:tc>
                  </w:tr>
                  <w:tr w:rsidR="005970A0" w:rsidRPr="005970A0" w:rsidTr="00C736D5">
                    <w:trPr>
                      <w:trHeight w:val="491"/>
                    </w:trPr>
                    <w:tc>
                      <w:tcPr>
                        <w:tcW w:w="1691" w:type="dxa"/>
                        <w:tcBorders>
                          <w:top w:val="nil"/>
                          <w:left w:val="nil"/>
                          <w:bottom w:val="single" w:sz="4" w:space="0" w:color="auto"/>
                          <w:right w:val="nil"/>
                        </w:tcBorders>
                      </w:tcPr>
                      <w:p w:rsidR="00C736D5" w:rsidRPr="005970A0" w:rsidRDefault="00C736D5" w:rsidP="00C736D5">
                        <w:pPr>
                          <w:pStyle w:val="TableBodyText"/>
                          <w:jc w:val="both"/>
                          <w:rPr>
                            <w:bCs/>
                            <w:sz w:val="16"/>
                            <w:szCs w:val="16"/>
                          </w:rPr>
                        </w:pPr>
                        <w:r w:rsidRPr="005970A0">
                          <w:rPr>
                            <w:bCs/>
                            <w:sz w:val="16"/>
                            <w:szCs w:val="16"/>
                          </w:rPr>
                          <w:t>Funding Type</w:t>
                        </w:r>
                      </w:p>
                    </w:tc>
                    <w:tc>
                      <w:tcPr>
                        <w:tcW w:w="1800" w:type="dxa"/>
                        <w:tcBorders>
                          <w:top w:val="nil"/>
                          <w:left w:val="nil"/>
                          <w:bottom w:val="single" w:sz="4" w:space="0" w:color="auto"/>
                          <w:right w:val="nil"/>
                        </w:tcBorders>
                      </w:tcPr>
                      <w:p w:rsidR="00C736D5" w:rsidRPr="005970A0" w:rsidRDefault="00C736D5" w:rsidP="00C736D5">
                        <w:pPr>
                          <w:pStyle w:val="TableBodyText"/>
                          <w:jc w:val="both"/>
                          <w:rPr>
                            <w:bCs/>
                            <w:sz w:val="16"/>
                            <w:szCs w:val="16"/>
                          </w:rPr>
                        </w:pPr>
                        <w:r w:rsidRPr="005970A0">
                          <w:rPr>
                            <w:bCs/>
                            <w:sz w:val="16"/>
                            <w:szCs w:val="16"/>
                          </w:rPr>
                          <w:t>TAFE and Other Government providers</w:t>
                        </w:r>
                      </w:p>
                    </w:tc>
                    <w:tc>
                      <w:tcPr>
                        <w:tcW w:w="1656" w:type="dxa"/>
                        <w:tcBorders>
                          <w:top w:val="nil"/>
                          <w:left w:val="nil"/>
                          <w:bottom w:val="single" w:sz="4" w:space="0" w:color="auto"/>
                          <w:right w:val="nil"/>
                        </w:tcBorders>
                      </w:tcPr>
                      <w:p w:rsidR="00C736D5" w:rsidRPr="005970A0" w:rsidRDefault="00C736D5" w:rsidP="00C736D5">
                        <w:pPr>
                          <w:pStyle w:val="TableBodyText"/>
                          <w:jc w:val="both"/>
                          <w:rPr>
                            <w:bCs/>
                            <w:sz w:val="16"/>
                            <w:szCs w:val="16"/>
                          </w:rPr>
                        </w:pPr>
                        <w:r w:rsidRPr="005970A0">
                          <w:rPr>
                            <w:bCs/>
                            <w:sz w:val="16"/>
                            <w:szCs w:val="16"/>
                          </w:rPr>
                          <w:t>Private Providers</w:t>
                        </w:r>
                      </w:p>
                    </w:tc>
                    <w:tc>
                      <w:tcPr>
                        <w:tcW w:w="1948" w:type="dxa"/>
                        <w:tcBorders>
                          <w:top w:val="nil"/>
                          <w:left w:val="nil"/>
                          <w:bottom w:val="single" w:sz="4" w:space="0" w:color="auto"/>
                          <w:right w:val="nil"/>
                        </w:tcBorders>
                      </w:tcPr>
                      <w:p w:rsidR="00C736D5" w:rsidRPr="005970A0" w:rsidRDefault="00C736D5" w:rsidP="00C736D5">
                        <w:pPr>
                          <w:pStyle w:val="TableBodyText"/>
                          <w:jc w:val="both"/>
                          <w:rPr>
                            <w:bCs/>
                            <w:sz w:val="16"/>
                            <w:szCs w:val="16"/>
                          </w:rPr>
                        </w:pPr>
                        <w:r w:rsidRPr="005970A0">
                          <w:rPr>
                            <w:bCs/>
                            <w:sz w:val="16"/>
                            <w:szCs w:val="16"/>
                          </w:rPr>
                          <w:t xml:space="preserve">Community Education Providers </w:t>
                        </w:r>
                        <w:r w:rsidRPr="005970A0">
                          <w:rPr>
                            <w:bCs/>
                            <w:sz w:val="16"/>
                            <w:szCs w:val="16"/>
                            <w:vertAlign w:val="superscript"/>
                          </w:rPr>
                          <w:t>a</w:t>
                        </w:r>
                      </w:p>
                    </w:tc>
                  </w:tr>
                  <w:tr w:rsidR="005970A0" w:rsidRPr="005970A0" w:rsidTr="00C736D5">
                    <w:trPr>
                      <w:trHeight w:val="405"/>
                    </w:trPr>
                    <w:tc>
                      <w:tcPr>
                        <w:tcW w:w="1691" w:type="dxa"/>
                        <w:tcBorders>
                          <w:top w:val="single" w:sz="4" w:space="0" w:color="auto"/>
                          <w:left w:val="nil"/>
                          <w:bottom w:val="nil"/>
                          <w:right w:val="nil"/>
                        </w:tcBorders>
                      </w:tcPr>
                      <w:p w:rsidR="00C736D5" w:rsidRPr="005970A0" w:rsidRDefault="00C736D5" w:rsidP="00C736D5">
                        <w:pPr>
                          <w:pStyle w:val="TableBodyText"/>
                          <w:jc w:val="both"/>
                          <w:rPr>
                            <w:sz w:val="16"/>
                            <w:szCs w:val="16"/>
                          </w:rPr>
                        </w:pPr>
                        <w:r w:rsidRPr="005970A0">
                          <w:rPr>
                            <w:sz w:val="16"/>
                            <w:szCs w:val="16"/>
                          </w:rPr>
                          <w:t>Commonwealth and state funded</w:t>
                        </w:r>
                      </w:p>
                    </w:tc>
                    <w:tc>
                      <w:tcPr>
                        <w:tcW w:w="1800" w:type="dxa"/>
                        <w:tcBorders>
                          <w:top w:val="single" w:sz="4" w:space="0" w:color="auto"/>
                          <w:left w:val="nil"/>
                          <w:bottom w:val="nil"/>
                          <w:right w:val="nil"/>
                        </w:tcBorders>
                      </w:tcPr>
                      <w:p w:rsidR="00C736D5" w:rsidRPr="005970A0" w:rsidRDefault="00C736D5" w:rsidP="00C736D5">
                        <w:pPr>
                          <w:pStyle w:val="TableBodyText"/>
                          <w:jc w:val="center"/>
                          <w:rPr>
                            <w:sz w:val="16"/>
                            <w:szCs w:val="16"/>
                          </w:rPr>
                        </w:pPr>
                        <w:r w:rsidRPr="005970A0">
                          <w:rPr>
                            <w:noProof/>
                            <w:sz w:val="16"/>
                            <w:szCs w:val="16"/>
                          </w:rPr>
                          <w:drawing>
                            <wp:inline distT="0" distB="0" distL="0" distR="0" wp14:anchorId="1B175553" wp14:editId="6930FE68">
                              <wp:extent cx="201930" cy="127635"/>
                              <wp:effectExtent l="0" t="0" r="7620" b="5715"/>
                              <wp:docPr id="46" name="Picture 1"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c>
                      <w:tcPr>
                        <w:tcW w:w="1656" w:type="dxa"/>
                        <w:tcBorders>
                          <w:top w:val="single" w:sz="4" w:space="0" w:color="auto"/>
                          <w:left w:val="nil"/>
                          <w:bottom w:val="nil"/>
                          <w:right w:val="nil"/>
                        </w:tcBorders>
                      </w:tcPr>
                      <w:p w:rsidR="00C736D5" w:rsidRPr="005970A0" w:rsidRDefault="00C736D5" w:rsidP="00C736D5">
                        <w:pPr>
                          <w:pStyle w:val="TableBodyText"/>
                          <w:jc w:val="center"/>
                          <w:rPr>
                            <w:sz w:val="16"/>
                            <w:szCs w:val="16"/>
                          </w:rPr>
                        </w:pPr>
                        <w:r w:rsidRPr="005970A0">
                          <w:rPr>
                            <w:noProof/>
                            <w:sz w:val="16"/>
                            <w:szCs w:val="16"/>
                          </w:rPr>
                          <w:drawing>
                            <wp:inline distT="0" distB="0" distL="0" distR="0" wp14:anchorId="179CD0E6" wp14:editId="7606B75B">
                              <wp:extent cx="201930" cy="127635"/>
                              <wp:effectExtent l="0" t="0" r="7620" b="5715"/>
                              <wp:docPr id="47" name="Picture 2"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c>
                      <w:tcPr>
                        <w:tcW w:w="1948" w:type="dxa"/>
                        <w:tcBorders>
                          <w:top w:val="single" w:sz="4" w:space="0" w:color="auto"/>
                          <w:left w:val="nil"/>
                          <w:bottom w:val="nil"/>
                          <w:right w:val="nil"/>
                        </w:tcBorders>
                      </w:tcPr>
                      <w:p w:rsidR="00C736D5" w:rsidRPr="005970A0" w:rsidRDefault="00C736D5" w:rsidP="00C736D5">
                        <w:pPr>
                          <w:pStyle w:val="TableBodyText"/>
                          <w:jc w:val="center"/>
                          <w:rPr>
                            <w:sz w:val="16"/>
                            <w:szCs w:val="16"/>
                          </w:rPr>
                        </w:pPr>
                        <w:r w:rsidRPr="005970A0">
                          <w:rPr>
                            <w:noProof/>
                            <w:sz w:val="16"/>
                            <w:szCs w:val="16"/>
                          </w:rPr>
                          <w:drawing>
                            <wp:inline distT="0" distB="0" distL="0" distR="0" wp14:anchorId="7AB519E9" wp14:editId="10B00997">
                              <wp:extent cx="201930" cy="127635"/>
                              <wp:effectExtent l="0" t="0" r="7620" b="5715"/>
                              <wp:docPr id="48" name="Picture 3"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r>
                  <w:tr w:rsidR="005970A0" w:rsidRPr="005970A0" w:rsidTr="00C736D5">
                    <w:trPr>
                      <w:trHeight w:val="355"/>
                    </w:trPr>
                    <w:tc>
                      <w:tcPr>
                        <w:tcW w:w="1691" w:type="dxa"/>
                        <w:tcBorders>
                          <w:top w:val="nil"/>
                          <w:left w:val="nil"/>
                          <w:bottom w:val="single" w:sz="4" w:space="0" w:color="auto"/>
                          <w:right w:val="nil"/>
                        </w:tcBorders>
                      </w:tcPr>
                      <w:p w:rsidR="00C736D5" w:rsidRPr="005970A0" w:rsidRDefault="00C736D5" w:rsidP="00C736D5">
                        <w:pPr>
                          <w:pStyle w:val="TableBodyText"/>
                          <w:jc w:val="both"/>
                          <w:rPr>
                            <w:sz w:val="16"/>
                            <w:szCs w:val="16"/>
                          </w:rPr>
                        </w:pPr>
                        <w:r w:rsidRPr="005970A0">
                          <w:rPr>
                            <w:sz w:val="16"/>
                            <w:szCs w:val="16"/>
                          </w:rPr>
                          <w:t>Fee-for-service</w:t>
                        </w:r>
                      </w:p>
                    </w:tc>
                    <w:tc>
                      <w:tcPr>
                        <w:tcW w:w="1800" w:type="dxa"/>
                        <w:tcBorders>
                          <w:top w:val="nil"/>
                          <w:left w:val="nil"/>
                          <w:bottom w:val="single" w:sz="4" w:space="0" w:color="auto"/>
                          <w:right w:val="nil"/>
                        </w:tcBorders>
                      </w:tcPr>
                      <w:p w:rsidR="00C736D5" w:rsidRPr="005970A0" w:rsidRDefault="00C736D5" w:rsidP="00C736D5">
                        <w:pPr>
                          <w:pStyle w:val="TableBodyText"/>
                          <w:jc w:val="center"/>
                          <w:rPr>
                            <w:sz w:val="16"/>
                            <w:szCs w:val="16"/>
                          </w:rPr>
                        </w:pPr>
                        <w:r w:rsidRPr="005970A0">
                          <w:rPr>
                            <w:noProof/>
                            <w:sz w:val="16"/>
                            <w:szCs w:val="16"/>
                          </w:rPr>
                          <w:drawing>
                            <wp:inline distT="0" distB="0" distL="0" distR="0" wp14:anchorId="4C6CA8C4" wp14:editId="7F9348E8">
                              <wp:extent cx="201930" cy="127635"/>
                              <wp:effectExtent l="0" t="0" r="7620" b="5715"/>
                              <wp:docPr id="49" name="Picture 4"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c>
                      <w:tcPr>
                        <w:tcW w:w="1656" w:type="dxa"/>
                        <w:tcBorders>
                          <w:top w:val="nil"/>
                          <w:left w:val="nil"/>
                          <w:bottom w:val="single" w:sz="4" w:space="0" w:color="auto"/>
                          <w:right w:val="nil"/>
                        </w:tcBorders>
                      </w:tcPr>
                      <w:p w:rsidR="00C736D5" w:rsidRPr="005970A0" w:rsidRDefault="00C736D5" w:rsidP="00C736D5">
                        <w:pPr>
                          <w:pStyle w:val="TableBodyText"/>
                          <w:jc w:val="center"/>
                          <w:rPr>
                            <w:sz w:val="16"/>
                            <w:szCs w:val="16"/>
                          </w:rPr>
                        </w:pPr>
                      </w:p>
                    </w:tc>
                    <w:tc>
                      <w:tcPr>
                        <w:tcW w:w="1948" w:type="dxa"/>
                        <w:tcBorders>
                          <w:top w:val="nil"/>
                          <w:left w:val="nil"/>
                          <w:bottom w:val="single" w:sz="4" w:space="0" w:color="auto"/>
                          <w:right w:val="nil"/>
                        </w:tcBorders>
                      </w:tcPr>
                      <w:p w:rsidR="00C736D5" w:rsidRPr="005970A0" w:rsidRDefault="00C736D5" w:rsidP="00C736D5">
                        <w:pPr>
                          <w:pStyle w:val="TableBodyText"/>
                          <w:jc w:val="center"/>
                          <w:rPr>
                            <w:sz w:val="16"/>
                            <w:szCs w:val="16"/>
                          </w:rPr>
                        </w:pPr>
                        <w:r w:rsidRPr="005970A0">
                          <w:rPr>
                            <w:noProof/>
                            <w:sz w:val="16"/>
                            <w:szCs w:val="16"/>
                          </w:rPr>
                          <w:drawing>
                            <wp:inline distT="0" distB="0" distL="0" distR="0" wp14:anchorId="5060E717" wp14:editId="308E2C1B">
                              <wp:extent cx="201930" cy="127635"/>
                              <wp:effectExtent l="0" t="0" r="7620" b="5715"/>
                              <wp:docPr id="50" name="Picture 5"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j01855880000[1]"/>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127635"/>
                                      </a:xfrm>
                                      <a:prstGeom prst="rect">
                                        <a:avLst/>
                                      </a:prstGeom>
                                      <a:noFill/>
                                      <a:ln>
                                        <a:noFill/>
                                      </a:ln>
                                    </pic:spPr>
                                  </pic:pic>
                                </a:graphicData>
                              </a:graphic>
                            </wp:inline>
                          </w:drawing>
                        </w:r>
                      </w:p>
                    </w:tc>
                  </w:tr>
                </w:tbl>
                <w:p w:rsidR="00C736D5" w:rsidRPr="005970A0" w:rsidRDefault="009A19A9" w:rsidP="009A19A9">
                  <w:pPr>
                    <w:pStyle w:val="TableBodyText"/>
                    <w:spacing w:before="40" w:after="60"/>
                    <w:jc w:val="both"/>
                  </w:pPr>
                  <w:proofErr w:type="spellStart"/>
                  <w:r w:rsidRPr="009A19A9">
                    <w:rPr>
                      <w:bCs/>
                      <w:vertAlign w:val="superscript"/>
                    </w:rPr>
                    <w:t>a</w:t>
                  </w:r>
                  <w:proofErr w:type="spellEnd"/>
                  <w:r>
                    <w:t xml:space="preserve"> </w:t>
                  </w:r>
                  <w:r w:rsidRPr="005970A0">
                    <w:t>This information is only collected in New South Wales and Victoria.</w:t>
                  </w:r>
                </w:p>
              </w:tc>
            </w:tr>
            <w:tr w:rsidR="005970A0" w:rsidRPr="005970A0" w:rsidTr="00C736D5">
              <w:tc>
                <w:tcPr>
                  <w:tcW w:w="922" w:type="pct"/>
                </w:tcPr>
                <w:p w:rsidR="00C736D5" w:rsidRPr="005970A0" w:rsidRDefault="00C736D5" w:rsidP="00C736D5">
                  <w:pPr>
                    <w:spacing w:line="320" w:lineRule="exact"/>
                    <w:jc w:val="both"/>
                    <w:rPr>
                      <w:rFonts w:ascii="Arial" w:hAnsi="Arial" w:cs="Arial"/>
                      <w:b/>
                      <w:sz w:val="20"/>
                      <w:szCs w:val="20"/>
                    </w:rPr>
                  </w:pPr>
                  <w:r w:rsidRPr="005970A0">
                    <w:rPr>
                      <w:rFonts w:ascii="Arial" w:hAnsi="Arial" w:cs="Arial"/>
                      <w:b/>
                      <w:sz w:val="20"/>
                      <w:szCs w:val="20"/>
                    </w:rPr>
                    <w:lastRenderedPageBreak/>
                    <w:t>Timeliness</w:t>
                  </w:r>
                </w:p>
                <w:p w:rsidR="00C736D5" w:rsidRPr="005970A0" w:rsidRDefault="00C736D5" w:rsidP="00C736D5">
                  <w:pPr>
                    <w:spacing w:line="320" w:lineRule="exact"/>
                    <w:jc w:val="both"/>
                    <w:rPr>
                      <w:rFonts w:ascii="Arial" w:hAnsi="Arial" w:cs="Arial"/>
                      <w:b/>
                      <w:sz w:val="20"/>
                      <w:szCs w:val="20"/>
                    </w:rPr>
                  </w:pPr>
                </w:p>
              </w:tc>
              <w:tc>
                <w:tcPr>
                  <w:tcW w:w="4078" w:type="pct"/>
                </w:tcPr>
                <w:p w:rsidR="00C736D5" w:rsidRPr="005970A0" w:rsidRDefault="00C736D5" w:rsidP="00063E84">
                  <w:pPr>
                    <w:pStyle w:val="Default"/>
                    <w:spacing w:after="120" w:line="240" w:lineRule="atLeast"/>
                    <w:jc w:val="both"/>
                    <w:rPr>
                      <w:color w:val="auto"/>
                      <w:sz w:val="20"/>
                      <w:szCs w:val="20"/>
                    </w:rPr>
                  </w:pPr>
                  <w:r w:rsidRPr="005970A0">
                    <w:rPr>
                      <w:color w:val="auto"/>
                      <w:sz w:val="20"/>
                      <w:szCs w:val="20"/>
                    </w:rPr>
                    <w:t>The Student Outcomes Survey is conducted every year. The reference date is the last Friday in May of the year after the training was completed. Results from the 201</w:t>
                  </w:r>
                  <w:r w:rsidR="00063E84">
                    <w:rPr>
                      <w:color w:val="auto"/>
                      <w:sz w:val="20"/>
                      <w:szCs w:val="20"/>
                    </w:rPr>
                    <w:t>2</w:t>
                  </w:r>
                  <w:r w:rsidRPr="005970A0">
                    <w:rPr>
                      <w:color w:val="auto"/>
                      <w:sz w:val="20"/>
                      <w:szCs w:val="20"/>
                    </w:rPr>
                    <w:t xml:space="preserve"> survey (for students who completed their training in 201</w:t>
                  </w:r>
                  <w:r w:rsidR="00063E84">
                    <w:rPr>
                      <w:color w:val="auto"/>
                      <w:sz w:val="20"/>
                      <w:szCs w:val="20"/>
                    </w:rPr>
                    <w:t>1</w:t>
                  </w:r>
                  <w:r w:rsidRPr="005970A0">
                    <w:rPr>
                      <w:color w:val="auto"/>
                      <w:sz w:val="20"/>
                      <w:szCs w:val="20"/>
                    </w:rPr>
                    <w:t xml:space="preserve">) were released on the </w:t>
                  </w:r>
                  <w:proofErr w:type="spellStart"/>
                  <w:r w:rsidRPr="005970A0">
                    <w:rPr>
                      <w:color w:val="auto"/>
                      <w:sz w:val="20"/>
                      <w:szCs w:val="20"/>
                    </w:rPr>
                    <w:t>NCVER</w:t>
                  </w:r>
                  <w:proofErr w:type="spellEnd"/>
                  <w:r w:rsidRPr="005970A0">
                    <w:rPr>
                      <w:color w:val="auto"/>
                      <w:sz w:val="20"/>
                      <w:szCs w:val="20"/>
                    </w:rPr>
                    <w:t xml:space="preserve"> website in December 201</w:t>
                  </w:r>
                  <w:r w:rsidR="00063E84">
                    <w:rPr>
                      <w:color w:val="auto"/>
                      <w:sz w:val="20"/>
                      <w:szCs w:val="20"/>
                    </w:rPr>
                    <w:t>2</w:t>
                  </w:r>
                  <w:r w:rsidRPr="005970A0">
                    <w:rPr>
                      <w:color w:val="auto"/>
                      <w:sz w:val="20"/>
                      <w:szCs w:val="20"/>
                    </w:rPr>
                    <w:t>.</w:t>
                  </w:r>
                </w:p>
              </w:tc>
            </w:tr>
            <w:tr w:rsidR="005970A0" w:rsidRPr="005970A0" w:rsidTr="00C736D5">
              <w:tc>
                <w:tcPr>
                  <w:tcW w:w="922" w:type="pct"/>
                </w:tcPr>
                <w:p w:rsidR="00C736D5" w:rsidRPr="005970A0" w:rsidRDefault="00C736D5" w:rsidP="00C736D5">
                  <w:pPr>
                    <w:spacing w:line="320" w:lineRule="exact"/>
                    <w:jc w:val="both"/>
                    <w:rPr>
                      <w:rFonts w:ascii="Arial" w:hAnsi="Arial" w:cs="Arial"/>
                      <w:b/>
                      <w:sz w:val="20"/>
                      <w:szCs w:val="20"/>
                    </w:rPr>
                  </w:pPr>
                  <w:r w:rsidRPr="005970A0">
                    <w:rPr>
                      <w:rFonts w:ascii="Arial" w:hAnsi="Arial" w:cs="Arial"/>
                      <w:b/>
                      <w:sz w:val="20"/>
                      <w:szCs w:val="20"/>
                    </w:rPr>
                    <w:t>Accuracy</w:t>
                  </w:r>
                </w:p>
                <w:p w:rsidR="00C736D5" w:rsidRPr="005970A0" w:rsidRDefault="00C736D5" w:rsidP="00C736D5">
                  <w:pPr>
                    <w:spacing w:line="320" w:lineRule="exact"/>
                    <w:jc w:val="both"/>
                    <w:rPr>
                      <w:rFonts w:ascii="Arial" w:hAnsi="Arial" w:cs="Arial"/>
                      <w:b/>
                      <w:sz w:val="20"/>
                      <w:szCs w:val="20"/>
                    </w:rPr>
                  </w:pPr>
                </w:p>
              </w:tc>
              <w:tc>
                <w:tcPr>
                  <w:tcW w:w="4078" w:type="pct"/>
                </w:tcPr>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In odd years, the sample is designed for reporting at the national, state/territory and institute level.  In even years, a smaller sample is used for reporting at the national and state/territory level only. The survey is undertaken as a stratified, randomly selected sample, with survey responses weighted to population benchmarks from the National VET Provider Collection.</w:t>
                  </w:r>
                </w:p>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 xml:space="preserve">Potential sources of error in survey data include failure to complete the survey or failure to answer every applicable question. Neither of these sources of error is considered, by </w:t>
                  </w:r>
                  <w:proofErr w:type="spellStart"/>
                  <w:r w:rsidRPr="005970A0">
                    <w:rPr>
                      <w:rFonts w:ascii="Arial" w:hAnsi="Arial" w:cs="Arial"/>
                      <w:sz w:val="20"/>
                      <w:szCs w:val="20"/>
                    </w:rPr>
                    <w:t>NCVER</w:t>
                  </w:r>
                  <w:proofErr w:type="spellEnd"/>
                  <w:r w:rsidRPr="005970A0">
                    <w:rPr>
                      <w:rFonts w:ascii="Arial" w:hAnsi="Arial" w:cs="Arial"/>
                      <w:sz w:val="20"/>
                      <w:szCs w:val="20"/>
                    </w:rPr>
                    <w:t>, to have affected the quality of data. Three analyses are conducted to determine the impact of non-response and mode bias. They are performed on weighted and unweighted data and include:</w:t>
                  </w:r>
                </w:p>
                <w:p w:rsidR="00C736D5" w:rsidRPr="005970A0" w:rsidRDefault="00C736D5" w:rsidP="00F664AB">
                  <w:pPr>
                    <w:pStyle w:val="TableBodyText"/>
                    <w:numPr>
                      <w:ilvl w:val="0"/>
                      <w:numId w:val="15"/>
                    </w:numPr>
                    <w:tabs>
                      <w:tab w:val="left" w:pos="222"/>
                    </w:tabs>
                    <w:ind w:left="222" w:hanging="222"/>
                    <w:jc w:val="both"/>
                  </w:pPr>
                  <w:r w:rsidRPr="005970A0">
                    <w:t>a comparison of the responding sample with the mailing list sample</w:t>
                  </w:r>
                </w:p>
                <w:p w:rsidR="00C736D5" w:rsidRPr="005970A0" w:rsidRDefault="00C736D5" w:rsidP="00F664AB">
                  <w:pPr>
                    <w:pStyle w:val="TableBodyText"/>
                    <w:numPr>
                      <w:ilvl w:val="0"/>
                      <w:numId w:val="15"/>
                    </w:numPr>
                    <w:tabs>
                      <w:tab w:val="left" w:pos="222"/>
                    </w:tabs>
                    <w:ind w:left="222" w:hanging="222"/>
                    <w:jc w:val="both"/>
                  </w:pPr>
                  <w:r w:rsidRPr="005970A0">
                    <w:t>a comparison of the characteristics of the responding sample with non-respondents. Information on a sample of non-respondents is collected via telephone interview</w:t>
                  </w:r>
                </w:p>
                <w:p w:rsidR="00C736D5" w:rsidRPr="005970A0" w:rsidRDefault="00C736D5" w:rsidP="00F664AB">
                  <w:pPr>
                    <w:pStyle w:val="TableBodyText"/>
                    <w:numPr>
                      <w:ilvl w:val="0"/>
                      <w:numId w:val="15"/>
                    </w:numPr>
                    <w:tabs>
                      <w:tab w:val="left" w:pos="222"/>
                    </w:tabs>
                    <w:spacing w:after="120"/>
                    <w:ind w:left="222" w:hanging="222"/>
                    <w:jc w:val="both"/>
                  </w:pPr>
                  <w:r w:rsidRPr="005970A0">
                    <w:t>a comparison of the results obtained from mail and online completion.</w:t>
                  </w:r>
                </w:p>
                <w:p w:rsidR="00560346" w:rsidRPr="005970A0" w:rsidRDefault="00560346" w:rsidP="00C736D5">
                  <w:pPr>
                    <w:autoSpaceDE w:val="0"/>
                    <w:autoSpaceDN w:val="0"/>
                    <w:adjustRightInd w:val="0"/>
                    <w:spacing w:after="120" w:line="240" w:lineRule="atLeast"/>
                    <w:jc w:val="both"/>
                    <w:rPr>
                      <w:rFonts w:ascii="Arial" w:hAnsi="Arial" w:cs="Arial"/>
                      <w:sz w:val="20"/>
                      <w:szCs w:val="20"/>
                    </w:rPr>
                  </w:pPr>
                </w:p>
                <w:p w:rsidR="00560346" w:rsidRPr="005970A0" w:rsidRDefault="00560346" w:rsidP="00C736D5">
                  <w:pPr>
                    <w:autoSpaceDE w:val="0"/>
                    <w:autoSpaceDN w:val="0"/>
                    <w:adjustRightInd w:val="0"/>
                    <w:spacing w:after="120" w:line="240" w:lineRule="atLeast"/>
                    <w:jc w:val="both"/>
                    <w:rPr>
                      <w:rFonts w:ascii="Arial" w:hAnsi="Arial" w:cs="Arial"/>
                      <w:sz w:val="20"/>
                      <w:szCs w:val="20"/>
                    </w:rPr>
                  </w:pPr>
                </w:p>
                <w:p w:rsidR="00560346" w:rsidRPr="005970A0" w:rsidRDefault="00560346" w:rsidP="00C736D5">
                  <w:pPr>
                    <w:autoSpaceDE w:val="0"/>
                    <w:autoSpaceDN w:val="0"/>
                    <w:adjustRightInd w:val="0"/>
                    <w:spacing w:after="120" w:line="240" w:lineRule="atLeast"/>
                    <w:jc w:val="both"/>
                    <w:rPr>
                      <w:rFonts w:ascii="Arial" w:hAnsi="Arial" w:cs="Arial"/>
                      <w:sz w:val="20"/>
                      <w:szCs w:val="20"/>
                    </w:rPr>
                  </w:pPr>
                </w:p>
                <w:p w:rsidR="00560346" w:rsidRPr="005970A0" w:rsidRDefault="00560346" w:rsidP="00C736D5">
                  <w:pPr>
                    <w:autoSpaceDE w:val="0"/>
                    <w:autoSpaceDN w:val="0"/>
                    <w:adjustRightInd w:val="0"/>
                    <w:spacing w:after="120" w:line="240" w:lineRule="atLeast"/>
                    <w:jc w:val="both"/>
                    <w:rPr>
                      <w:rFonts w:ascii="Arial" w:hAnsi="Arial" w:cs="Arial"/>
                      <w:sz w:val="20"/>
                      <w:szCs w:val="20"/>
                    </w:rPr>
                  </w:pPr>
                </w:p>
                <w:p w:rsidR="00D21520" w:rsidRDefault="00D21520" w:rsidP="00C736D5">
                  <w:pPr>
                    <w:autoSpaceDE w:val="0"/>
                    <w:autoSpaceDN w:val="0"/>
                    <w:adjustRightInd w:val="0"/>
                    <w:spacing w:after="120" w:line="240" w:lineRule="atLeast"/>
                    <w:jc w:val="both"/>
                    <w:rPr>
                      <w:rFonts w:ascii="Arial" w:hAnsi="Arial" w:cs="Arial"/>
                      <w:sz w:val="20"/>
                      <w:szCs w:val="20"/>
                    </w:rPr>
                  </w:pPr>
                </w:p>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lastRenderedPageBreak/>
                    <w:t>Response rates to the 201</w:t>
                  </w:r>
                  <w:r w:rsidR="00063E84">
                    <w:rPr>
                      <w:rFonts w:ascii="Arial" w:hAnsi="Arial" w:cs="Arial"/>
                      <w:sz w:val="20"/>
                      <w:szCs w:val="20"/>
                    </w:rPr>
                    <w:t>2</w:t>
                  </w:r>
                  <w:r w:rsidRPr="005970A0">
                    <w:rPr>
                      <w:rFonts w:ascii="Arial" w:hAnsi="Arial" w:cs="Arial"/>
                      <w:sz w:val="20"/>
                      <w:szCs w:val="20"/>
                    </w:rPr>
                    <w:t xml:space="preserve"> survey are shown in table 1.</w:t>
                  </w:r>
                </w:p>
                <w:p w:rsidR="00C736D5" w:rsidRPr="005970A0" w:rsidRDefault="00C736D5" w:rsidP="00C736D5">
                  <w:pPr>
                    <w:autoSpaceDE w:val="0"/>
                    <w:autoSpaceDN w:val="0"/>
                    <w:adjustRightInd w:val="0"/>
                    <w:spacing w:before="120" w:after="40" w:line="240" w:lineRule="atLeast"/>
                    <w:jc w:val="both"/>
                    <w:rPr>
                      <w:rFonts w:ascii="Arial" w:hAnsi="Arial" w:cs="Arial"/>
                      <w:b/>
                      <w:sz w:val="17"/>
                      <w:szCs w:val="17"/>
                    </w:rPr>
                  </w:pPr>
                  <w:r w:rsidRPr="005970A0">
                    <w:rPr>
                      <w:rFonts w:ascii="Arial" w:hAnsi="Arial" w:cs="Arial"/>
                      <w:b/>
                      <w:sz w:val="17"/>
                      <w:szCs w:val="17"/>
                    </w:rPr>
                    <w:t>Table 1: Response rates for graduates to the 201</w:t>
                  </w:r>
                  <w:r w:rsidR="00063E84">
                    <w:rPr>
                      <w:rFonts w:ascii="Arial" w:hAnsi="Arial" w:cs="Arial"/>
                      <w:b/>
                      <w:sz w:val="17"/>
                      <w:szCs w:val="17"/>
                    </w:rPr>
                    <w:t>2</w:t>
                  </w:r>
                  <w:r w:rsidRPr="005970A0">
                    <w:rPr>
                      <w:rFonts w:ascii="Arial" w:hAnsi="Arial" w:cs="Arial"/>
                      <w:b/>
                      <w:sz w:val="17"/>
                      <w:szCs w:val="17"/>
                    </w:rPr>
                    <w:t xml:space="preserve"> Student Outcomes Survey by state</w:t>
                  </w:r>
                </w:p>
                <w:tbl>
                  <w:tblPr>
                    <w:tblW w:w="2901" w:type="pct"/>
                    <w:tblBorders>
                      <w:top w:val="single" w:sz="4" w:space="0" w:color="auto"/>
                      <w:bottom w:val="single" w:sz="4" w:space="0" w:color="auto"/>
                    </w:tblBorders>
                    <w:tblLook w:val="01E0" w:firstRow="1" w:lastRow="1" w:firstColumn="1" w:lastColumn="1" w:noHBand="0" w:noVBand="0"/>
                  </w:tblPr>
                  <w:tblGrid>
                    <w:gridCol w:w="2411"/>
                    <w:gridCol w:w="1748"/>
                  </w:tblGrid>
                  <w:tr w:rsidR="005970A0" w:rsidRPr="005970A0" w:rsidTr="00C736D5">
                    <w:tc>
                      <w:tcPr>
                        <w:tcW w:w="2898" w:type="pct"/>
                        <w:tcBorders>
                          <w:top w:val="single" w:sz="4" w:space="0" w:color="auto"/>
                          <w:left w:val="nil"/>
                          <w:bottom w:val="single" w:sz="4" w:space="0" w:color="auto"/>
                          <w:right w:val="nil"/>
                        </w:tcBorders>
                      </w:tcPr>
                      <w:p w:rsidR="00C736D5" w:rsidRPr="005970A0" w:rsidRDefault="00C736D5" w:rsidP="00C736D5">
                        <w:pPr>
                          <w:autoSpaceDE w:val="0"/>
                          <w:autoSpaceDN w:val="0"/>
                          <w:adjustRightInd w:val="0"/>
                          <w:spacing w:before="80"/>
                          <w:jc w:val="both"/>
                          <w:rPr>
                            <w:rFonts w:ascii="Arial" w:hAnsi="Arial" w:cs="Arial"/>
                            <w:b/>
                            <w:sz w:val="16"/>
                            <w:szCs w:val="16"/>
                          </w:rPr>
                        </w:pPr>
                        <w:r w:rsidRPr="005970A0">
                          <w:rPr>
                            <w:rFonts w:ascii="Arial" w:hAnsi="Arial" w:cs="Arial"/>
                            <w:b/>
                            <w:sz w:val="16"/>
                            <w:szCs w:val="16"/>
                          </w:rPr>
                          <w:t>State/Territory</w:t>
                        </w:r>
                      </w:p>
                    </w:tc>
                    <w:tc>
                      <w:tcPr>
                        <w:tcW w:w="2102" w:type="pct"/>
                        <w:tcBorders>
                          <w:top w:val="single" w:sz="4" w:space="0" w:color="auto"/>
                          <w:left w:val="nil"/>
                          <w:bottom w:val="single" w:sz="4" w:space="0" w:color="auto"/>
                          <w:right w:val="nil"/>
                        </w:tcBorders>
                      </w:tcPr>
                      <w:p w:rsidR="00C736D5" w:rsidRPr="005970A0" w:rsidRDefault="00C736D5" w:rsidP="00C736D5">
                        <w:pPr>
                          <w:autoSpaceDE w:val="0"/>
                          <w:autoSpaceDN w:val="0"/>
                          <w:adjustRightInd w:val="0"/>
                          <w:spacing w:before="80"/>
                          <w:jc w:val="center"/>
                          <w:rPr>
                            <w:rFonts w:ascii="Arial" w:hAnsi="Arial" w:cs="Arial"/>
                            <w:b/>
                            <w:sz w:val="16"/>
                            <w:szCs w:val="16"/>
                          </w:rPr>
                        </w:pPr>
                        <w:r w:rsidRPr="005970A0">
                          <w:rPr>
                            <w:rFonts w:ascii="Arial" w:hAnsi="Arial" w:cs="Arial"/>
                            <w:b/>
                            <w:sz w:val="16"/>
                            <w:szCs w:val="16"/>
                          </w:rPr>
                          <w:t>Response rate (%)</w:t>
                        </w:r>
                      </w:p>
                    </w:tc>
                  </w:tr>
                  <w:tr w:rsidR="005970A0" w:rsidRPr="005970A0" w:rsidTr="00C736D5">
                    <w:trPr>
                      <w:trHeight w:val="227"/>
                    </w:trPr>
                    <w:tc>
                      <w:tcPr>
                        <w:tcW w:w="2898" w:type="pct"/>
                        <w:tcBorders>
                          <w:top w:val="single" w:sz="4" w:space="0" w:color="auto"/>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New South Wales</w:t>
                        </w:r>
                      </w:p>
                    </w:tc>
                    <w:tc>
                      <w:tcPr>
                        <w:tcW w:w="2102" w:type="pct"/>
                        <w:tcBorders>
                          <w:top w:val="single" w:sz="4" w:space="0" w:color="auto"/>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47.7</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Victoria</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46.5</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Queensland</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47.1</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South Australia</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47.7</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Western Australia</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45.9</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Tasmania</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50.8</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Northern Territory</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45.4</w:t>
                        </w:r>
                      </w:p>
                    </w:tc>
                  </w:tr>
                  <w:tr w:rsidR="005970A0" w:rsidRPr="005970A0" w:rsidTr="00C736D5">
                    <w:trPr>
                      <w:trHeight w:val="227"/>
                    </w:trPr>
                    <w:tc>
                      <w:tcPr>
                        <w:tcW w:w="2898" w:type="pct"/>
                        <w:tcBorders>
                          <w:top w:val="nil"/>
                          <w:left w:val="nil"/>
                          <w:bottom w:val="nil"/>
                          <w:right w:val="nil"/>
                        </w:tcBorders>
                        <w:vAlign w:val="center"/>
                      </w:tcPr>
                      <w:p w:rsidR="00C736D5" w:rsidRPr="005970A0" w:rsidRDefault="00C736D5" w:rsidP="00C736D5">
                        <w:pPr>
                          <w:pStyle w:val="Tabletext"/>
                          <w:spacing w:before="0"/>
                          <w:jc w:val="center"/>
                          <w:rPr>
                            <w:rFonts w:cs="Arial"/>
                            <w:szCs w:val="16"/>
                          </w:rPr>
                        </w:pPr>
                        <w:r w:rsidRPr="005970A0">
                          <w:rPr>
                            <w:rFonts w:cs="Arial"/>
                            <w:szCs w:val="16"/>
                          </w:rPr>
                          <w:t>Australian Capital Territory</w:t>
                        </w:r>
                      </w:p>
                    </w:tc>
                    <w:tc>
                      <w:tcPr>
                        <w:tcW w:w="2102" w:type="pct"/>
                        <w:tcBorders>
                          <w:top w:val="nil"/>
                          <w:left w:val="nil"/>
                          <w:bottom w:val="nil"/>
                          <w:right w:val="nil"/>
                        </w:tcBorders>
                        <w:vAlign w:val="center"/>
                      </w:tcPr>
                      <w:p w:rsidR="00C736D5" w:rsidRPr="005970A0" w:rsidRDefault="003B6FF3" w:rsidP="00C736D5">
                        <w:pPr>
                          <w:pStyle w:val="Tabletext"/>
                          <w:spacing w:before="0"/>
                          <w:jc w:val="center"/>
                          <w:rPr>
                            <w:rFonts w:cs="Arial"/>
                            <w:szCs w:val="16"/>
                          </w:rPr>
                        </w:pPr>
                        <w:r>
                          <w:rPr>
                            <w:rFonts w:cs="Arial"/>
                            <w:szCs w:val="16"/>
                          </w:rPr>
                          <w:t>45.2</w:t>
                        </w:r>
                      </w:p>
                    </w:tc>
                  </w:tr>
                  <w:tr w:rsidR="005970A0" w:rsidRPr="005970A0" w:rsidTr="00C736D5">
                    <w:trPr>
                      <w:trHeight w:val="227"/>
                    </w:trPr>
                    <w:tc>
                      <w:tcPr>
                        <w:tcW w:w="2898" w:type="pct"/>
                        <w:tcBorders>
                          <w:top w:val="nil"/>
                          <w:left w:val="nil"/>
                          <w:bottom w:val="single" w:sz="4" w:space="0" w:color="auto"/>
                          <w:right w:val="nil"/>
                        </w:tcBorders>
                        <w:vAlign w:val="center"/>
                      </w:tcPr>
                      <w:p w:rsidR="00C736D5" w:rsidRPr="005970A0" w:rsidRDefault="00C736D5" w:rsidP="00C736D5">
                        <w:pPr>
                          <w:pStyle w:val="Tabletext"/>
                          <w:spacing w:before="0"/>
                          <w:jc w:val="center"/>
                          <w:rPr>
                            <w:rFonts w:cs="Arial"/>
                            <w:b/>
                            <w:szCs w:val="16"/>
                          </w:rPr>
                        </w:pPr>
                        <w:r w:rsidRPr="005970A0">
                          <w:rPr>
                            <w:rFonts w:cs="Arial"/>
                            <w:b/>
                            <w:szCs w:val="16"/>
                          </w:rPr>
                          <w:t>Australia</w:t>
                        </w:r>
                      </w:p>
                    </w:tc>
                    <w:tc>
                      <w:tcPr>
                        <w:tcW w:w="2102" w:type="pct"/>
                        <w:tcBorders>
                          <w:top w:val="nil"/>
                          <w:left w:val="nil"/>
                          <w:bottom w:val="single" w:sz="4" w:space="0" w:color="auto"/>
                          <w:right w:val="nil"/>
                        </w:tcBorders>
                        <w:vAlign w:val="center"/>
                      </w:tcPr>
                      <w:p w:rsidR="00C736D5" w:rsidRPr="005970A0" w:rsidRDefault="003B6FF3" w:rsidP="00C736D5">
                        <w:pPr>
                          <w:pStyle w:val="Tabletext"/>
                          <w:spacing w:before="0"/>
                          <w:jc w:val="center"/>
                          <w:rPr>
                            <w:rFonts w:cs="Arial"/>
                            <w:b/>
                            <w:szCs w:val="16"/>
                          </w:rPr>
                        </w:pPr>
                        <w:r>
                          <w:rPr>
                            <w:rFonts w:cs="Arial"/>
                            <w:b/>
                            <w:szCs w:val="16"/>
                          </w:rPr>
                          <w:t>47.0</w:t>
                        </w:r>
                      </w:p>
                    </w:tc>
                  </w:tr>
                </w:tbl>
                <w:p w:rsidR="00C736D5" w:rsidRPr="005970A0" w:rsidRDefault="00C736D5" w:rsidP="00063E84">
                  <w:pPr>
                    <w:keepNext/>
                    <w:keepLines/>
                    <w:spacing w:before="120" w:after="120" w:line="220" w:lineRule="atLeast"/>
                    <w:jc w:val="both"/>
                    <w:rPr>
                      <w:rFonts w:ascii="Arial" w:hAnsi="Arial" w:cs="Arial"/>
                      <w:sz w:val="20"/>
                      <w:szCs w:val="20"/>
                    </w:rPr>
                  </w:pPr>
                  <w:r w:rsidRPr="005970A0">
                    <w:rPr>
                      <w:rFonts w:ascii="Arial" w:hAnsi="Arial" w:cs="Arial"/>
                      <w:sz w:val="20"/>
                      <w:szCs w:val="20"/>
                    </w:rPr>
                    <w:t>For 201</w:t>
                  </w:r>
                  <w:r w:rsidR="00063E84">
                    <w:rPr>
                      <w:rFonts w:ascii="Arial" w:hAnsi="Arial" w:cs="Arial"/>
                      <w:sz w:val="20"/>
                      <w:szCs w:val="20"/>
                    </w:rPr>
                    <w:t>2</w:t>
                  </w:r>
                  <w:r w:rsidRPr="005970A0">
                    <w:rPr>
                      <w:rFonts w:ascii="Arial" w:hAnsi="Arial" w:cs="Arial"/>
                      <w:sz w:val="20"/>
                      <w:szCs w:val="20"/>
                    </w:rPr>
                    <w:t>, the indicator has acceptable (less than 25</w:t>
                  </w:r>
                  <w:r w:rsidR="008C50BE">
                    <w:rPr>
                      <w:rFonts w:ascii="Arial" w:hAnsi="Arial" w:cs="Arial"/>
                      <w:sz w:val="20"/>
                      <w:szCs w:val="20"/>
                    </w:rPr>
                    <w:t xml:space="preserve"> per cent</w:t>
                  </w:r>
                  <w:r w:rsidRPr="005970A0">
                    <w:rPr>
                      <w:rFonts w:ascii="Arial" w:hAnsi="Arial" w:cs="Arial"/>
                      <w:sz w:val="20"/>
                      <w:szCs w:val="20"/>
                    </w:rPr>
                    <w:t>) relative standard errors (</w:t>
                  </w:r>
                  <w:proofErr w:type="spellStart"/>
                  <w:r w:rsidRPr="005970A0">
                    <w:rPr>
                      <w:rFonts w:ascii="Arial" w:hAnsi="Arial" w:cs="Arial"/>
                      <w:sz w:val="20"/>
                      <w:szCs w:val="20"/>
                    </w:rPr>
                    <w:t>RSEs</w:t>
                  </w:r>
                  <w:proofErr w:type="spellEnd"/>
                  <w:r w:rsidRPr="005970A0">
                    <w:rPr>
                      <w:rFonts w:ascii="Arial" w:hAnsi="Arial" w:cs="Arial"/>
                      <w:sz w:val="20"/>
                      <w:szCs w:val="20"/>
                    </w:rPr>
                    <w:t>) for all VET graduates at the national</w:t>
                  </w:r>
                  <w:r w:rsidR="00063E84">
                    <w:rPr>
                      <w:rFonts w:ascii="Arial" w:hAnsi="Arial" w:cs="Arial"/>
                      <w:sz w:val="20"/>
                      <w:szCs w:val="20"/>
                    </w:rPr>
                    <w:t xml:space="preserve"> and</w:t>
                  </w:r>
                  <w:r w:rsidRPr="005970A0">
                    <w:rPr>
                      <w:rFonts w:ascii="Arial" w:hAnsi="Arial" w:cs="Arial"/>
                      <w:sz w:val="20"/>
                      <w:szCs w:val="20"/>
                    </w:rPr>
                    <w:t xml:space="preserve"> state/territory level.</w:t>
                  </w:r>
                </w:p>
              </w:tc>
            </w:tr>
            <w:tr w:rsidR="005970A0" w:rsidRPr="005970A0" w:rsidTr="00C736D5">
              <w:tc>
                <w:tcPr>
                  <w:tcW w:w="922" w:type="pct"/>
                </w:tcPr>
                <w:p w:rsidR="00C736D5" w:rsidRPr="005970A0" w:rsidRDefault="00C736D5" w:rsidP="00C736D5">
                  <w:pPr>
                    <w:spacing w:line="320" w:lineRule="exact"/>
                    <w:jc w:val="both"/>
                    <w:rPr>
                      <w:rFonts w:ascii="Arial" w:hAnsi="Arial" w:cs="Arial"/>
                      <w:b/>
                      <w:sz w:val="20"/>
                      <w:szCs w:val="20"/>
                    </w:rPr>
                  </w:pPr>
                  <w:r w:rsidRPr="005970A0">
                    <w:rPr>
                      <w:rFonts w:ascii="Arial" w:hAnsi="Arial" w:cs="Arial"/>
                      <w:b/>
                      <w:sz w:val="20"/>
                      <w:szCs w:val="20"/>
                    </w:rPr>
                    <w:lastRenderedPageBreak/>
                    <w:t>Coherence</w:t>
                  </w:r>
                </w:p>
                <w:p w:rsidR="00C736D5" w:rsidRPr="005970A0" w:rsidRDefault="00C736D5" w:rsidP="00C736D5">
                  <w:pPr>
                    <w:spacing w:line="320" w:lineRule="exact"/>
                    <w:jc w:val="both"/>
                    <w:rPr>
                      <w:rFonts w:ascii="Arial" w:hAnsi="Arial" w:cs="Arial"/>
                      <w:b/>
                      <w:sz w:val="20"/>
                      <w:szCs w:val="20"/>
                    </w:rPr>
                  </w:pPr>
                </w:p>
              </w:tc>
              <w:tc>
                <w:tcPr>
                  <w:tcW w:w="4078" w:type="pct"/>
                </w:tcPr>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 xml:space="preserve">The majority of data items have not changed since the survey was first conducted in 1997. The scope of the survey has increased over time. Until 2000, the survey was restricted to TAFE students. From 2000, it was expanded to include students from Adult and Community Education, private and other government providers. </w:t>
                  </w:r>
                </w:p>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Two questionnaires are used to collect the data. The main questionnaire is sent to students from TAFE, other Government and private providers. A separate shorter questionnaire is sent to students from Adult and Community Education (ACE) providers.</w:t>
                  </w:r>
                </w:p>
              </w:tc>
            </w:tr>
            <w:tr w:rsidR="005970A0" w:rsidRPr="005970A0" w:rsidTr="00C736D5">
              <w:tc>
                <w:tcPr>
                  <w:tcW w:w="922" w:type="pct"/>
                </w:tcPr>
                <w:p w:rsidR="00C736D5" w:rsidRPr="005970A0" w:rsidRDefault="00C736D5" w:rsidP="00C736D5">
                  <w:pPr>
                    <w:spacing w:line="320" w:lineRule="exact"/>
                    <w:jc w:val="both"/>
                    <w:rPr>
                      <w:rFonts w:ascii="Arial" w:hAnsi="Arial" w:cs="Arial"/>
                      <w:b/>
                      <w:sz w:val="20"/>
                      <w:szCs w:val="20"/>
                    </w:rPr>
                  </w:pPr>
                  <w:r w:rsidRPr="005970A0">
                    <w:rPr>
                      <w:rFonts w:ascii="Arial" w:hAnsi="Arial" w:cs="Arial"/>
                      <w:b/>
                      <w:sz w:val="20"/>
                      <w:szCs w:val="20"/>
                    </w:rPr>
                    <w:t>Accessibility</w:t>
                  </w:r>
                </w:p>
                <w:p w:rsidR="00C736D5" w:rsidRPr="005970A0" w:rsidRDefault="00C736D5" w:rsidP="00C736D5">
                  <w:pPr>
                    <w:spacing w:line="320" w:lineRule="exact"/>
                    <w:jc w:val="both"/>
                    <w:rPr>
                      <w:rFonts w:ascii="Arial" w:hAnsi="Arial" w:cs="Arial"/>
                      <w:b/>
                      <w:sz w:val="20"/>
                      <w:szCs w:val="20"/>
                    </w:rPr>
                  </w:pPr>
                </w:p>
              </w:tc>
              <w:tc>
                <w:tcPr>
                  <w:tcW w:w="4078" w:type="pct"/>
                </w:tcPr>
                <w:p w:rsidR="00C736D5" w:rsidRPr="005970A0" w:rsidRDefault="00C736D5" w:rsidP="00C736D5">
                  <w:pPr>
                    <w:autoSpaceDE w:val="0"/>
                    <w:autoSpaceDN w:val="0"/>
                    <w:adjustRightInd w:val="0"/>
                    <w:spacing w:after="120" w:line="240" w:lineRule="atLeast"/>
                    <w:jc w:val="both"/>
                    <w:rPr>
                      <w:rFonts w:ascii="Arial" w:hAnsi="Arial" w:cs="Arial"/>
                      <w:sz w:val="20"/>
                      <w:szCs w:val="20"/>
                      <w:u w:val="single"/>
                    </w:rPr>
                  </w:pPr>
                  <w:r w:rsidRPr="005970A0">
                    <w:rPr>
                      <w:rFonts w:ascii="Arial" w:hAnsi="Arial" w:cs="Arial"/>
                      <w:sz w:val="20"/>
                      <w:szCs w:val="20"/>
                    </w:rPr>
                    <w:t xml:space="preserve">Results of the survey are available free of charge on </w:t>
                  </w:r>
                  <w:proofErr w:type="spellStart"/>
                  <w:r w:rsidRPr="005970A0">
                    <w:rPr>
                      <w:rFonts w:ascii="Arial" w:hAnsi="Arial" w:cs="Arial"/>
                      <w:sz w:val="20"/>
                      <w:szCs w:val="20"/>
                    </w:rPr>
                    <w:t>NCVER’s</w:t>
                  </w:r>
                  <w:proofErr w:type="spellEnd"/>
                  <w:r w:rsidRPr="005970A0">
                    <w:rPr>
                      <w:rFonts w:ascii="Arial" w:hAnsi="Arial" w:cs="Arial"/>
                      <w:sz w:val="20"/>
                      <w:szCs w:val="20"/>
                    </w:rPr>
                    <w:t xml:space="preserve"> website at: </w:t>
                  </w:r>
                  <w:r w:rsidRPr="00D86CD7">
                    <w:rPr>
                      <w:rFonts w:ascii="Arial" w:hAnsi="Arial" w:cs="Arial"/>
                      <w:sz w:val="20"/>
                      <w:szCs w:val="20"/>
                    </w:rPr>
                    <w:t>http://</w:t>
                  </w:r>
                  <w:proofErr w:type="spellStart"/>
                  <w:r w:rsidRPr="00D86CD7">
                    <w:rPr>
                      <w:rFonts w:ascii="Arial" w:hAnsi="Arial" w:cs="Arial"/>
                      <w:sz w:val="20"/>
                      <w:szCs w:val="20"/>
                    </w:rPr>
                    <w:t>www.ncver.edu.au</w:t>
                  </w:r>
                  <w:proofErr w:type="spellEnd"/>
                  <w:r w:rsidRPr="00D86CD7">
                    <w:rPr>
                      <w:rFonts w:ascii="Arial" w:hAnsi="Arial" w:cs="Arial"/>
                      <w:sz w:val="20"/>
                      <w:szCs w:val="20"/>
                    </w:rPr>
                    <w:t>/statistic/</w:t>
                  </w:r>
                  <w:proofErr w:type="spellStart"/>
                  <w:r w:rsidRPr="00D86CD7">
                    <w:rPr>
                      <w:rFonts w:ascii="Arial" w:hAnsi="Arial" w:cs="Arial"/>
                      <w:sz w:val="20"/>
                      <w:szCs w:val="20"/>
                    </w:rPr>
                    <w:t>21065.html</w:t>
                  </w:r>
                  <w:proofErr w:type="spellEnd"/>
                  <w:r w:rsidRPr="005970A0">
                    <w:rPr>
                      <w:rFonts w:ascii="Arial" w:hAnsi="Arial" w:cs="Arial"/>
                      <w:sz w:val="20"/>
                      <w:szCs w:val="20"/>
                    </w:rPr>
                    <w:t xml:space="preserve">. Requests for more detailed statistical information or further information about the Student Outcomes Survey can be made to </w:t>
                  </w:r>
                  <w:proofErr w:type="spellStart"/>
                  <w:r w:rsidRPr="005970A0">
                    <w:rPr>
                      <w:rFonts w:ascii="Arial" w:hAnsi="Arial" w:cs="Arial"/>
                      <w:bCs/>
                      <w:sz w:val="20"/>
                      <w:szCs w:val="20"/>
                    </w:rPr>
                    <w:t>NCVER</w:t>
                  </w:r>
                  <w:proofErr w:type="spellEnd"/>
                  <w:r w:rsidRPr="005970A0">
                    <w:rPr>
                      <w:rFonts w:ascii="Arial" w:hAnsi="Arial" w:cs="Arial"/>
                      <w:bCs/>
                      <w:sz w:val="20"/>
                      <w:szCs w:val="20"/>
                    </w:rPr>
                    <w:t xml:space="preserve"> on</w:t>
                  </w:r>
                  <w:r w:rsidRPr="005970A0">
                    <w:rPr>
                      <w:rFonts w:ascii="Arial" w:hAnsi="Arial" w:cs="Arial"/>
                      <w:sz w:val="20"/>
                      <w:szCs w:val="20"/>
                    </w:rPr>
                    <w:t xml:space="preserve"> (08) 8230 8400 or </w:t>
                  </w:r>
                  <w:proofErr w:type="spellStart"/>
                  <w:r w:rsidRPr="00D86CD7">
                    <w:rPr>
                      <w:rFonts w:ascii="Arial" w:hAnsi="Arial" w:cs="Arial"/>
                      <w:sz w:val="20"/>
                      <w:szCs w:val="20"/>
                    </w:rPr>
                    <w:t>surveys_req@ncver.edu.au</w:t>
                  </w:r>
                  <w:proofErr w:type="spellEnd"/>
                </w:p>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 xml:space="preserve">A charge will be generally made by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for more complex requests for information. See </w:t>
                  </w:r>
                  <w:proofErr w:type="spellStart"/>
                  <w:r w:rsidRPr="005970A0">
                    <w:rPr>
                      <w:rFonts w:ascii="Arial" w:hAnsi="Arial" w:cs="Arial"/>
                      <w:sz w:val="20"/>
                      <w:szCs w:val="20"/>
                    </w:rPr>
                    <w:t>NCVER’s</w:t>
                  </w:r>
                  <w:proofErr w:type="spellEnd"/>
                  <w:r w:rsidRPr="005970A0">
                    <w:rPr>
                      <w:rFonts w:ascii="Arial" w:hAnsi="Arial" w:cs="Arial"/>
                      <w:sz w:val="20"/>
                      <w:szCs w:val="20"/>
                    </w:rPr>
                    <w:t xml:space="preserve"> fees and charges policy at </w:t>
                  </w:r>
                  <w:r w:rsidRPr="00D86CD7">
                    <w:rPr>
                      <w:rFonts w:ascii="Arial" w:hAnsi="Arial" w:cs="Arial"/>
                      <w:sz w:val="20"/>
                      <w:szCs w:val="20"/>
                    </w:rPr>
                    <w:t>http://</w:t>
                  </w:r>
                  <w:proofErr w:type="spellStart"/>
                  <w:r w:rsidRPr="00D86CD7">
                    <w:rPr>
                      <w:rFonts w:ascii="Arial" w:hAnsi="Arial" w:cs="Arial"/>
                      <w:sz w:val="20"/>
                      <w:szCs w:val="20"/>
                    </w:rPr>
                    <w:t>www.ncver.edu.au</w:t>
                  </w:r>
                  <w:proofErr w:type="spellEnd"/>
                  <w:r w:rsidRPr="00D86CD7">
                    <w:rPr>
                      <w:rFonts w:ascii="Arial" w:hAnsi="Arial" w:cs="Arial"/>
                      <w:sz w:val="20"/>
                      <w:szCs w:val="20"/>
                    </w:rPr>
                    <w:t>/statistic/</w:t>
                  </w:r>
                  <w:proofErr w:type="spellStart"/>
                  <w:r w:rsidRPr="00D86CD7">
                    <w:rPr>
                      <w:rFonts w:ascii="Arial" w:hAnsi="Arial" w:cs="Arial"/>
                      <w:sz w:val="20"/>
                      <w:szCs w:val="20"/>
                    </w:rPr>
                    <w:t>21075.html</w:t>
                  </w:r>
                  <w:proofErr w:type="spellEnd"/>
                </w:p>
              </w:tc>
            </w:tr>
            <w:tr w:rsidR="005970A0" w:rsidRPr="005970A0" w:rsidTr="00C736D5">
              <w:tc>
                <w:tcPr>
                  <w:tcW w:w="922" w:type="pct"/>
                </w:tcPr>
                <w:p w:rsidR="00C736D5" w:rsidRPr="005970A0" w:rsidRDefault="00C736D5" w:rsidP="00C736D5">
                  <w:pPr>
                    <w:spacing w:line="320" w:lineRule="exact"/>
                    <w:jc w:val="both"/>
                    <w:rPr>
                      <w:rFonts w:ascii="Arial" w:hAnsi="Arial" w:cs="Arial"/>
                      <w:b/>
                      <w:sz w:val="20"/>
                      <w:szCs w:val="20"/>
                    </w:rPr>
                  </w:pPr>
                  <w:r w:rsidRPr="005970A0">
                    <w:rPr>
                      <w:rFonts w:ascii="Arial" w:hAnsi="Arial" w:cs="Arial"/>
                      <w:b/>
                      <w:sz w:val="20"/>
                      <w:szCs w:val="20"/>
                    </w:rPr>
                    <w:t>Interpretability</w:t>
                  </w:r>
                </w:p>
                <w:p w:rsidR="00C736D5" w:rsidRPr="005970A0" w:rsidRDefault="00C736D5" w:rsidP="00C736D5">
                  <w:pPr>
                    <w:spacing w:line="320" w:lineRule="exact"/>
                    <w:jc w:val="both"/>
                    <w:rPr>
                      <w:rFonts w:ascii="Arial" w:hAnsi="Arial" w:cs="Arial"/>
                      <w:b/>
                      <w:sz w:val="20"/>
                      <w:szCs w:val="20"/>
                    </w:rPr>
                  </w:pPr>
                </w:p>
              </w:tc>
              <w:tc>
                <w:tcPr>
                  <w:tcW w:w="4078" w:type="pct"/>
                </w:tcPr>
                <w:p w:rsidR="00C736D5" w:rsidRPr="005970A0" w:rsidRDefault="00C736D5" w:rsidP="00C736D5">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 xml:space="preserve">To aid interpretation of the data, information on the Student Outcomes Survey is available on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website.</w:t>
                  </w:r>
                </w:p>
                <w:p w:rsidR="00C736D5" w:rsidRPr="005970A0" w:rsidRDefault="00C736D5" w:rsidP="00F664AB">
                  <w:pPr>
                    <w:autoSpaceDE w:val="0"/>
                    <w:autoSpaceDN w:val="0"/>
                    <w:adjustRightInd w:val="0"/>
                    <w:spacing w:after="60" w:line="240" w:lineRule="atLeast"/>
                    <w:jc w:val="both"/>
                    <w:rPr>
                      <w:rFonts w:ascii="Arial" w:hAnsi="Arial" w:cs="Arial"/>
                      <w:sz w:val="20"/>
                      <w:szCs w:val="20"/>
                    </w:rPr>
                  </w:pPr>
                  <w:r w:rsidRPr="005970A0">
                    <w:rPr>
                      <w:rFonts w:ascii="Arial" w:hAnsi="Arial" w:cs="Arial"/>
                      <w:sz w:val="20"/>
                      <w:szCs w:val="20"/>
                    </w:rPr>
                    <w:t>The survey uses the:</w:t>
                  </w:r>
                </w:p>
                <w:p w:rsidR="00E01646" w:rsidRPr="00E01646" w:rsidRDefault="00E01646" w:rsidP="00E01646">
                  <w:pPr>
                    <w:numPr>
                      <w:ilvl w:val="0"/>
                      <w:numId w:val="36"/>
                    </w:numPr>
                    <w:ind w:left="340" w:hanging="340"/>
                    <w:rPr>
                      <w:rFonts w:ascii="Arial" w:hAnsi="Arial" w:cs="Arial"/>
                      <w:sz w:val="20"/>
                      <w:szCs w:val="20"/>
                    </w:rPr>
                  </w:pPr>
                  <w:r w:rsidRPr="00E01646">
                    <w:rPr>
                      <w:rFonts w:ascii="Arial" w:hAnsi="Arial" w:cs="Arial"/>
                      <w:sz w:val="20"/>
                      <w:szCs w:val="20"/>
                    </w:rPr>
                    <w:t>Australian Classification of Education (</w:t>
                  </w:r>
                  <w:proofErr w:type="spellStart"/>
                  <w:r w:rsidRPr="00E01646">
                    <w:rPr>
                      <w:rFonts w:ascii="Arial" w:hAnsi="Arial" w:cs="Arial"/>
                      <w:sz w:val="20"/>
                      <w:szCs w:val="20"/>
                    </w:rPr>
                    <w:t>ASCED</w:t>
                  </w:r>
                  <w:proofErr w:type="spellEnd"/>
                  <w:r w:rsidRPr="00E01646">
                    <w:rPr>
                      <w:rFonts w:ascii="Arial" w:hAnsi="Arial" w:cs="Arial"/>
                      <w:sz w:val="20"/>
                      <w:szCs w:val="20"/>
                    </w:rPr>
                    <w:t>) (ABS cat. no. 1272.0) to classify the level and field of education</w:t>
                  </w:r>
                </w:p>
                <w:p w:rsidR="00E01646" w:rsidRPr="00E01646" w:rsidRDefault="00E01646" w:rsidP="00E01646">
                  <w:pPr>
                    <w:numPr>
                      <w:ilvl w:val="0"/>
                      <w:numId w:val="36"/>
                    </w:numPr>
                    <w:ind w:left="340" w:hanging="340"/>
                    <w:rPr>
                      <w:rFonts w:ascii="Arial" w:hAnsi="Arial" w:cs="Arial"/>
                      <w:sz w:val="20"/>
                      <w:szCs w:val="20"/>
                    </w:rPr>
                  </w:pPr>
                  <w:r w:rsidRPr="00E01646">
                    <w:rPr>
                      <w:rFonts w:ascii="Arial" w:hAnsi="Arial" w:cs="Arial"/>
                      <w:sz w:val="20"/>
                      <w:szCs w:val="20"/>
                    </w:rPr>
                    <w:t>Australian and New Zealand Standard Industry Classification (</w:t>
                  </w:r>
                  <w:proofErr w:type="spellStart"/>
                  <w:r w:rsidRPr="00E01646">
                    <w:rPr>
                      <w:rFonts w:ascii="Arial" w:hAnsi="Arial" w:cs="Arial"/>
                      <w:sz w:val="20"/>
                      <w:szCs w:val="20"/>
                    </w:rPr>
                    <w:t>ANZSIC</w:t>
                  </w:r>
                  <w:proofErr w:type="spellEnd"/>
                  <w:r w:rsidRPr="00E01646">
                    <w:rPr>
                      <w:rFonts w:ascii="Arial" w:hAnsi="Arial" w:cs="Arial"/>
                      <w:sz w:val="20"/>
                      <w:szCs w:val="20"/>
                    </w:rPr>
                    <w:t>) (ABS cat. no. 1292.0) to classify industry</w:t>
                  </w:r>
                </w:p>
                <w:p w:rsidR="00E01646" w:rsidRPr="00E01646" w:rsidRDefault="00E01646" w:rsidP="00E01646">
                  <w:pPr>
                    <w:numPr>
                      <w:ilvl w:val="0"/>
                      <w:numId w:val="36"/>
                    </w:numPr>
                    <w:ind w:left="340" w:hanging="340"/>
                    <w:rPr>
                      <w:rFonts w:ascii="Arial" w:hAnsi="Arial" w:cs="Arial"/>
                      <w:sz w:val="20"/>
                      <w:szCs w:val="20"/>
                    </w:rPr>
                  </w:pPr>
                  <w:r w:rsidRPr="00E01646">
                    <w:rPr>
                      <w:rFonts w:ascii="Arial" w:hAnsi="Arial" w:cs="Arial"/>
                      <w:sz w:val="20"/>
                      <w:szCs w:val="20"/>
                    </w:rPr>
                    <w:t>Australian and New Zealand Standard Classification of Occupations (</w:t>
                  </w:r>
                  <w:proofErr w:type="spellStart"/>
                  <w:r w:rsidRPr="00E01646">
                    <w:rPr>
                      <w:rFonts w:ascii="Arial" w:hAnsi="Arial" w:cs="Arial"/>
                      <w:sz w:val="20"/>
                      <w:szCs w:val="20"/>
                    </w:rPr>
                    <w:t>ANZSCO</w:t>
                  </w:r>
                  <w:proofErr w:type="spellEnd"/>
                  <w:r w:rsidRPr="00E01646">
                    <w:rPr>
                      <w:rFonts w:ascii="Arial" w:hAnsi="Arial" w:cs="Arial"/>
                      <w:sz w:val="20"/>
                      <w:szCs w:val="20"/>
                    </w:rPr>
                    <w:t xml:space="preserve">, previously </w:t>
                  </w:r>
                  <w:proofErr w:type="spellStart"/>
                  <w:r w:rsidRPr="00E01646">
                    <w:rPr>
                      <w:rFonts w:ascii="Arial" w:hAnsi="Arial" w:cs="Arial"/>
                      <w:sz w:val="20"/>
                      <w:szCs w:val="20"/>
                    </w:rPr>
                    <w:t>ASCO</w:t>
                  </w:r>
                  <w:proofErr w:type="spellEnd"/>
                  <w:r w:rsidRPr="00E01646">
                    <w:rPr>
                      <w:rFonts w:ascii="Arial" w:hAnsi="Arial" w:cs="Arial"/>
                      <w:sz w:val="20"/>
                      <w:szCs w:val="20"/>
                    </w:rPr>
                    <w:t>) (ABS cat. no. 1220.0) to classify occupation</w:t>
                  </w:r>
                </w:p>
                <w:p w:rsidR="00E01646" w:rsidRPr="00E01646" w:rsidRDefault="00E01646" w:rsidP="00E01646">
                  <w:pPr>
                    <w:numPr>
                      <w:ilvl w:val="0"/>
                      <w:numId w:val="37"/>
                    </w:numPr>
                    <w:ind w:left="340" w:hanging="340"/>
                    <w:rPr>
                      <w:rFonts w:ascii="Arial" w:hAnsi="Arial" w:cs="Arial"/>
                      <w:sz w:val="20"/>
                      <w:szCs w:val="20"/>
                    </w:rPr>
                  </w:pPr>
                  <w:r w:rsidRPr="00E01646">
                    <w:rPr>
                      <w:rFonts w:ascii="Arial" w:hAnsi="Arial" w:cs="Arial"/>
                      <w:sz w:val="20"/>
                      <w:szCs w:val="20"/>
                    </w:rPr>
                    <w:t>Australian Statistical Geography Standard (</w:t>
                  </w:r>
                  <w:proofErr w:type="spellStart"/>
                  <w:r w:rsidRPr="00E01646">
                    <w:rPr>
                      <w:rFonts w:ascii="Arial" w:hAnsi="Arial" w:cs="Arial"/>
                      <w:sz w:val="20"/>
                      <w:szCs w:val="20"/>
                    </w:rPr>
                    <w:t>ASGS</w:t>
                  </w:r>
                  <w:proofErr w:type="spellEnd"/>
                  <w:r w:rsidRPr="00E01646">
                    <w:rPr>
                      <w:rFonts w:ascii="Arial" w:hAnsi="Arial" w:cs="Arial"/>
                      <w:sz w:val="20"/>
                      <w:szCs w:val="20"/>
                    </w:rPr>
                    <w:t xml:space="preserve">): Volume 5 - Remoteness Structure (ABS cat. </w:t>
                  </w:r>
                  <w:proofErr w:type="spellStart"/>
                  <w:r w:rsidRPr="00E01646">
                    <w:rPr>
                      <w:rFonts w:ascii="Arial" w:hAnsi="Arial" w:cs="Arial"/>
                      <w:sz w:val="20"/>
                      <w:szCs w:val="20"/>
                    </w:rPr>
                    <w:t>no.1270.0.55.005</w:t>
                  </w:r>
                  <w:proofErr w:type="spellEnd"/>
                  <w:r w:rsidRPr="00E01646">
                    <w:rPr>
                      <w:rFonts w:ascii="Arial" w:hAnsi="Arial" w:cs="Arial"/>
                      <w:sz w:val="20"/>
                      <w:szCs w:val="20"/>
                    </w:rPr>
                    <w:t>) together with the Accessibility/Remoteness Index of Australia (ARIA) to classify remoteness.</w:t>
                  </w:r>
                </w:p>
                <w:p w:rsidR="00C736D5" w:rsidRPr="005970A0" w:rsidRDefault="00C736D5" w:rsidP="00F664AB">
                  <w:pPr>
                    <w:autoSpaceDE w:val="0"/>
                    <w:autoSpaceDN w:val="0"/>
                    <w:adjustRightInd w:val="0"/>
                    <w:spacing w:after="60" w:line="240" w:lineRule="atLeast"/>
                    <w:jc w:val="both"/>
                    <w:rPr>
                      <w:rFonts w:ascii="Arial" w:hAnsi="Arial" w:cs="Arial"/>
                      <w:sz w:val="20"/>
                      <w:szCs w:val="20"/>
                    </w:rPr>
                  </w:pPr>
                  <w:r w:rsidRPr="005970A0">
                    <w:rPr>
                      <w:rFonts w:ascii="Arial" w:hAnsi="Arial" w:cs="Arial"/>
                      <w:sz w:val="20"/>
                      <w:szCs w:val="20"/>
                    </w:rPr>
                    <w:t>Other standards used include the ABS standard question on:</w:t>
                  </w:r>
                </w:p>
                <w:p w:rsidR="00C736D5" w:rsidRPr="005970A0" w:rsidRDefault="00C736D5" w:rsidP="00F664AB">
                  <w:pPr>
                    <w:pStyle w:val="TableBodyText"/>
                    <w:numPr>
                      <w:ilvl w:val="0"/>
                      <w:numId w:val="15"/>
                    </w:numPr>
                    <w:tabs>
                      <w:tab w:val="left" w:pos="222"/>
                    </w:tabs>
                    <w:ind w:left="222" w:hanging="222"/>
                    <w:jc w:val="both"/>
                  </w:pPr>
                  <w:r w:rsidRPr="005970A0">
                    <w:t>Indigenous status</w:t>
                  </w:r>
                </w:p>
                <w:p w:rsidR="00C736D5" w:rsidRPr="005970A0" w:rsidRDefault="00C736D5" w:rsidP="00F664AB">
                  <w:pPr>
                    <w:pStyle w:val="TableBodyText"/>
                    <w:numPr>
                      <w:ilvl w:val="0"/>
                      <w:numId w:val="15"/>
                    </w:numPr>
                    <w:tabs>
                      <w:tab w:val="left" w:pos="222"/>
                    </w:tabs>
                    <w:ind w:left="222" w:hanging="222"/>
                    <w:jc w:val="both"/>
                  </w:pPr>
                  <w:r w:rsidRPr="005970A0">
                    <w:t>Country of birth</w:t>
                  </w:r>
                </w:p>
                <w:p w:rsidR="00C736D5" w:rsidRPr="005970A0" w:rsidRDefault="00C736D5" w:rsidP="00F664AB">
                  <w:pPr>
                    <w:pStyle w:val="TableBodyText"/>
                    <w:numPr>
                      <w:ilvl w:val="0"/>
                      <w:numId w:val="15"/>
                    </w:numPr>
                    <w:tabs>
                      <w:tab w:val="left" w:pos="222"/>
                    </w:tabs>
                    <w:ind w:left="222" w:hanging="222"/>
                    <w:jc w:val="both"/>
                  </w:pPr>
                  <w:r w:rsidRPr="005970A0">
                    <w:t>Main Language Other than English Spoken at Home</w:t>
                  </w:r>
                </w:p>
                <w:p w:rsidR="00C736D5" w:rsidRPr="00582952" w:rsidRDefault="00C736D5" w:rsidP="00F664AB">
                  <w:pPr>
                    <w:pStyle w:val="TableBodyText"/>
                    <w:numPr>
                      <w:ilvl w:val="0"/>
                      <w:numId w:val="15"/>
                    </w:numPr>
                    <w:tabs>
                      <w:tab w:val="left" w:pos="222"/>
                    </w:tabs>
                    <w:ind w:left="222" w:hanging="222"/>
                    <w:jc w:val="both"/>
                    <w:rPr>
                      <w:rFonts w:cs="Arial"/>
                      <w:u w:val="single"/>
                    </w:rPr>
                  </w:pPr>
                  <w:r w:rsidRPr="005970A0">
                    <w:t>Labour force status</w:t>
                  </w:r>
                </w:p>
                <w:p w:rsidR="00582952" w:rsidRPr="00582952" w:rsidRDefault="00582952" w:rsidP="00EC5E2C">
                  <w:pPr>
                    <w:tabs>
                      <w:tab w:val="left" w:pos="222"/>
                    </w:tabs>
                    <w:spacing w:before="120"/>
                    <w:jc w:val="both"/>
                    <w:rPr>
                      <w:rFonts w:ascii="Arial" w:hAnsi="Arial" w:cs="Arial"/>
                      <w:sz w:val="20"/>
                      <w:szCs w:val="20"/>
                    </w:rPr>
                  </w:pPr>
                  <w:r w:rsidRPr="00582952">
                    <w:rPr>
                      <w:rFonts w:ascii="Arial" w:hAnsi="Arial" w:cs="Arial"/>
                      <w:sz w:val="20"/>
                      <w:szCs w:val="20"/>
                    </w:rPr>
                    <w:t>Student remoteness is based on the Access/Remoteness Index of Australia (ARIA+), which was developed by the National Centre for Social Applications of Geographic Information Systems (</w:t>
                  </w:r>
                  <w:proofErr w:type="spellStart"/>
                  <w:r w:rsidRPr="00582952">
                    <w:rPr>
                      <w:rFonts w:ascii="Arial" w:hAnsi="Arial" w:cs="Arial"/>
                      <w:sz w:val="20"/>
                      <w:szCs w:val="20"/>
                    </w:rPr>
                    <w:t>GISCA</w:t>
                  </w:r>
                  <w:proofErr w:type="spellEnd"/>
                  <w:r w:rsidRPr="00582952">
                    <w:rPr>
                      <w:rFonts w:ascii="Arial" w:hAnsi="Arial" w:cs="Arial"/>
                      <w:sz w:val="20"/>
                      <w:szCs w:val="20"/>
                    </w:rPr>
                    <w:t>). ARIA+ is now the standard ABS-</w:t>
                  </w:r>
                  <w:r w:rsidRPr="00582952">
                    <w:rPr>
                      <w:rFonts w:ascii="Arial" w:hAnsi="Arial" w:cs="Arial"/>
                      <w:sz w:val="20"/>
                      <w:szCs w:val="20"/>
                    </w:rPr>
                    <w:lastRenderedPageBreak/>
                    <w:t xml:space="preserve">endorsed measure of remoteness. From 2012, Student remoteness (ARIA+) is determined from ARIA+ remoteness regions and ABS </w:t>
                  </w:r>
                  <w:proofErr w:type="spellStart"/>
                  <w:r w:rsidRPr="00582952">
                    <w:rPr>
                      <w:rFonts w:ascii="Arial" w:hAnsi="Arial" w:cs="Arial"/>
                      <w:sz w:val="20"/>
                      <w:szCs w:val="20"/>
                    </w:rPr>
                    <w:t>SA2</w:t>
                  </w:r>
                  <w:proofErr w:type="spellEnd"/>
                  <w:r w:rsidRPr="00582952">
                    <w:rPr>
                      <w:rFonts w:ascii="Arial" w:hAnsi="Arial" w:cs="Arial"/>
                      <w:sz w:val="20"/>
                      <w:szCs w:val="20"/>
                    </w:rPr>
                    <w:t xml:space="preserve"> regions. Data prior to 2012 is based on ABS postal areas and ARIA+. Student remoteness (ARIA+) regions use the same ARIA+ ranges as the ABS remoteness areas and are therefore an approximation of the ABS remoteness areas. For more details of ARIA+ refer to &lt;</w:t>
                  </w:r>
                  <w:r w:rsidRPr="00D86CD7">
                    <w:rPr>
                      <w:rFonts w:ascii="Arial" w:hAnsi="Arial" w:cs="Arial"/>
                      <w:sz w:val="20"/>
                      <w:szCs w:val="20"/>
                    </w:rPr>
                    <w:t>www.adelaide.edu.au/apmrc/research/projects/category/about_aria.html</w:t>
                  </w:r>
                  <w:r w:rsidRPr="00582952">
                    <w:rPr>
                      <w:rFonts w:ascii="Arial" w:hAnsi="Arial" w:cs="Arial"/>
                      <w:sz w:val="20"/>
                      <w:szCs w:val="20"/>
                    </w:rPr>
                    <w:t>&gt;</w:t>
                  </w:r>
                </w:p>
                <w:p w:rsidR="00582952" w:rsidRPr="005970A0" w:rsidRDefault="00582952" w:rsidP="00582952">
                  <w:pPr>
                    <w:pStyle w:val="TableBodyText"/>
                    <w:tabs>
                      <w:tab w:val="left" w:pos="222"/>
                    </w:tabs>
                    <w:ind w:left="0"/>
                    <w:jc w:val="both"/>
                    <w:rPr>
                      <w:rFonts w:cs="Arial"/>
                      <w:u w:val="single"/>
                    </w:rPr>
                  </w:pPr>
                </w:p>
              </w:tc>
            </w:tr>
            <w:tr w:rsidR="005970A0" w:rsidRPr="005970A0" w:rsidTr="00C736D5">
              <w:tc>
                <w:tcPr>
                  <w:tcW w:w="5000" w:type="pct"/>
                  <w:gridSpan w:val="2"/>
                  <w:shd w:val="clear" w:color="auto" w:fill="auto"/>
                </w:tcPr>
                <w:p w:rsidR="00C736D5" w:rsidRPr="005970A0" w:rsidRDefault="00C736D5" w:rsidP="00C736D5">
                  <w:pPr>
                    <w:pStyle w:val="TableBodyText"/>
                    <w:jc w:val="both"/>
                    <w:rPr>
                      <w:rFonts w:cs="Arial"/>
                      <w:b/>
                      <w:u w:val="single"/>
                    </w:rPr>
                  </w:pPr>
                  <w:r w:rsidRPr="005970A0">
                    <w:rPr>
                      <w:rFonts w:cs="Arial"/>
                      <w:b/>
                      <w:u w:val="single"/>
                    </w:rPr>
                    <w:lastRenderedPageBreak/>
                    <w:t>Data Gaps/Issues Analysis</w:t>
                  </w:r>
                </w:p>
              </w:tc>
            </w:tr>
          </w:tbl>
          <w:p w:rsidR="0068457F" w:rsidRPr="005970A0" w:rsidRDefault="0068457F" w:rsidP="006E0702">
            <w:pPr>
              <w:pStyle w:val="TableBodyText"/>
              <w:jc w:val="both"/>
              <w:rPr>
                <w:b/>
                <w:u w:val="single"/>
              </w:rPr>
            </w:pPr>
          </w:p>
        </w:tc>
      </w:tr>
      <w:tr w:rsidR="00D37ACC" w:rsidRPr="005970A0" w:rsidTr="007C0724">
        <w:tc>
          <w:tcPr>
            <w:tcW w:w="922" w:type="pct"/>
            <w:shd w:val="clear" w:color="auto" w:fill="auto"/>
          </w:tcPr>
          <w:p w:rsidR="00D37ACC" w:rsidRPr="005970A0" w:rsidRDefault="00D37ACC" w:rsidP="007C0724">
            <w:pPr>
              <w:pStyle w:val="TableBodyText"/>
              <w:jc w:val="both"/>
              <w:rPr>
                <w:b/>
              </w:rPr>
            </w:pPr>
            <w:r w:rsidRPr="005970A0">
              <w:rPr>
                <w:b/>
              </w:rPr>
              <w:lastRenderedPageBreak/>
              <w:t>Key data gaps/ issues</w:t>
            </w:r>
          </w:p>
        </w:tc>
        <w:tc>
          <w:tcPr>
            <w:tcW w:w="4078" w:type="pct"/>
            <w:shd w:val="clear" w:color="auto" w:fill="auto"/>
          </w:tcPr>
          <w:p w:rsidR="00D37ACC" w:rsidRPr="005970A0" w:rsidRDefault="00D37ACC" w:rsidP="007C0724">
            <w:pPr>
              <w:pStyle w:val="TableBodyText"/>
              <w:spacing w:after="120"/>
              <w:jc w:val="both"/>
              <w:rPr>
                <w:rFonts w:cs="Arial"/>
              </w:rPr>
            </w:pPr>
            <w:r w:rsidRPr="005970A0">
              <w:rPr>
                <w:rFonts w:cs="Arial"/>
              </w:rPr>
              <w:t xml:space="preserve">The Steering Committee notes the following key data gaps/issues: </w:t>
            </w:r>
          </w:p>
          <w:p w:rsidR="00D37ACC" w:rsidRPr="005970A0" w:rsidRDefault="00D37ACC" w:rsidP="00F664AB">
            <w:pPr>
              <w:pStyle w:val="TableBullet"/>
              <w:tabs>
                <w:tab w:val="clear" w:pos="170"/>
                <w:tab w:val="num" w:pos="222"/>
              </w:tabs>
              <w:spacing w:after="60"/>
              <w:ind w:left="222" w:hanging="222"/>
              <w:jc w:val="both"/>
              <w:rPr>
                <w:rFonts w:cs="Arial"/>
              </w:rPr>
            </w:pPr>
            <w:r w:rsidRPr="005970A0">
              <w:rPr>
                <w:rFonts w:cs="Arial"/>
              </w:rPr>
              <w:t xml:space="preserve">Annual data are available from the </w:t>
            </w:r>
            <w:r w:rsidRPr="005970A0">
              <w:rPr>
                <w:rFonts w:cs="Arial"/>
                <w:i/>
              </w:rPr>
              <w:t>Student Outcomes Survey</w:t>
            </w:r>
            <w:r w:rsidRPr="005970A0">
              <w:rPr>
                <w:rFonts w:cs="Arial"/>
              </w:rPr>
              <w:t>. The most recent available data are for 201</w:t>
            </w:r>
            <w:r w:rsidR="00063E84">
              <w:rPr>
                <w:rFonts w:cs="Arial"/>
              </w:rPr>
              <w:t>2</w:t>
            </w:r>
            <w:r w:rsidRPr="005970A0">
              <w:rPr>
                <w:rFonts w:cs="Arial"/>
              </w:rPr>
              <w:t xml:space="preserve"> (outcomes of students in 201</w:t>
            </w:r>
            <w:r w:rsidR="00063E84">
              <w:rPr>
                <w:rFonts w:cs="Arial"/>
              </w:rPr>
              <w:t>2</w:t>
            </w:r>
            <w:r w:rsidRPr="005970A0">
              <w:rPr>
                <w:rFonts w:cs="Arial"/>
              </w:rPr>
              <w:t xml:space="preserve"> who completed qualifications in 201</w:t>
            </w:r>
            <w:r w:rsidR="00063E84">
              <w:rPr>
                <w:rFonts w:cs="Arial"/>
              </w:rPr>
              <w:t>1</w:t>
            </w:r>
            <w:r w:rsidRPr="005970A0">
              <w:rPr>
                <w:rFonts w:cs="Arial"/>
              </w:rPr>
              <w:t>)</w:t>
            </w:r>
          </w:p>
          <w:p w:rsidR="00D37ACC" w:rsidRPr="005970A0" w:rsidRDefault="00D37ACC" w:rsidP="00F664AB">
            <w:pPr>
              <w:pStyle w:val="TableBullet"/>
              <w:tabs>
                <w:tab w:val="clear" w:pos="170"/>
                <w:tab w:val="num" w:pos="222"/>
              </w:tabs>
              <w:spacing w:after="60"/>
              <w:ind w:left="222" w:hanging="222"/>
              <w:jc w:val="both"/>
              <w:rPr>
                <w:rFonts w:cs="Arial"/>
              </w:rPr>
            </w:pPr>
            <w:r w:rsidRPr="005970A0">
              <w:rPr>
                <w:rFonts w:cs="Arial"/>
              </w:rPr>
              <w:t xml:space="preserve">The response rate to this survey was </w:t>
            </w:r>
            <w:r w:rsidR="003B6FF3">
              <w:rPr>
                <w:rFonts w:cs="Arial"/>
              </w:rPr>
              <w:t>47.0</w:t>
            </w:r>
            <w:r w:rsidRPr="005970A0">
              <w:rPr>
                <w:rFonts w:cs="Arial"/>
              </w:rPr>
              <w:t xml:space="preserve"> per cent in 201</w:t>
            </w:r>
            <w:r w:rsidR="00063E84">
              <w:rPr>
                <w:rFonts w:cs="Arial"/>
              </w:rPr>
              <w:t>2</w:t>
            </w:r>
            <w:r w:rsidRPr="005970A0">
              <w:rPr>
                <w:rFonts w:cs="Arial"/>
              </w:rPr>
              <w:t xml:space="preserve">. </w:t>
            </w:r>
            <w:proofErr w:type="spellStart"/>
            <w:r w:rsidRPr="005970A0">
              <w:rPr>
                <w:rFonts w:cs="Arial"/>
              </w:rPr>
              <w:t>NCVER</w:t>
            </w:r>
            <w:proofErr w:type="spellEnd"/>
            <w:r w:rsidRPr="005970A0">
              <w:rPr>
                <w:rFonts w:cs="Arial"/>
              </w:rPr>
              <w:t xml:space="preserve"> analysis found that the non-response was not likely to have affected the quality of the results.</w:t>
            </w:r>
          </w:p>
          <w:p w:rsidR="00D37ACC" w:rsidRPr="005970A0" w:rsidRDefault="00D37ACC" w:rsidP="00F664AB">
            <w:pPr>
              <w:pStyle w:val="TableBullet"/>
              <w:tabs>
                <w:tab w:val="clear" w:pos="170"/>
                <w:tab w:val="num" w:pos="222"/>
              </w:tabs>
              <w:spacing w:after="60"/>
              <w:ind w:left="222" w:hanging="222"/>
              <w:jc w:val="both"/>
              <w:rPr>
                <w:rFonts w:cs="Arial"/>
              </w:rPr>
            </w:pPr>
            <w:r w:rsidRPr="005970A0">
              <w:rPr>
                <w:rFonts w:cs="Arial"/>
              </w:rPr>
              <w:t xml:space="preserve">Data are of acceptable accuracy at the national level, but some data disaggregated by Indigenous status by State and Territory have relative standard errors greater than 25 per cent and should be used with caution. </w:t>
            </w:r>
          </w:p>
          <w:p w:rsidR="00D37ACC" w:rsidRPr="005970A0" w:rsidRDefault="00D37ACC" w:rsidP="00F664AB">
            <w:pPr>
              <w:pStyle w:val="TableBullet"/>
              <w:keepNext w:val="0"/>
              <w:keepLines w:val="0"/>
              <w:tabs>
                <w:tab w:val="clear" w:pos="170"/>
                <w:tab w:val="num" w:pos="222"/>
              </w:tabs>
              <w:spacing w:after="60" w:line="240" w:lineRule="auto"/>
              <w:ind w:left="222" w:right="0" w:hanging="222"/>
              <w:jc w:val="both"/>
              <w:rPr>
                <w:rFonts w:cs="Arial"/>
              </w:rPr>
            </w:pPr>
            <w:r w:rsidRPr="005970A0">
              <w:rPr>
                <w:rFonts w:cs="Arial"/>
              </w:rPr>
              <w:t>Percentages in tables are rounded and may not sum to 100.</w:t>
            </w:r>
          </w:p>
          <w:p w:rsidR="00D37ACC" w:rsidRPr="005970A0" w:rsidRDefault="00D37ACC" w:rsidP="00F664AB">
            <w:pPr>
              <w:pStyle w:val="TableBullet"/>
              <w:tabs>
                <w:tab w:val="clear" w:pos="170"/>
                <w:tab w:val="num" w:pos="222"/>
              </w:tabs>
              <w:spacing w:after="60"/>
              <w:ind w:left="222" w:hanging="222"/>
              <w:jc w:val="both"/>
            </w:pPr>
            <w:r w:rsidRPr="005970A0">
              <w:t xml:space="preserve">The size of the </w:t>
            </w:r>
            <w:proofErr w:type="spellStart"/>
            <w:r w:rsidRPr="005970A0">
              <w:t>RSEs</w:t>
            </w:r>
            <w:proofErr w:type="spellEnd"/>
            <w:r w:rsidRPr="005970A0">
              <w:t xml:space="preserve"> affects the ability to identify small year to year movements in some disaggregated measures for this indicator for some jurisdictions.</w:t>
            </w:r>
          </w:p>
        </w:tc>
      </w:tr>
    </w:tbl>
    <w:p w:rsidR="00D37ACC" w:rsidRPr="005970A0" w:rsidRDefault="00D37ACC" w:rsidP="007056F1">
      <w:pPr>
        <w:pStyle w:val="Box"/>
      </w:pPr>
    </w:p>
    <w:p w:rsidR="007056F1" w:rsidRPr="005970A0" w:rsidRDefault="007056F1" w:rsidP="00772353">
      <w:pPr>
        <w:pStyle w:val="Heading3"/>
        <w:spacing w:before="120"/>
      </w:pPr>
      <w:r w:rsidRPr="005970A0">
        <w:rPr>
          <w:sz w:val="22"/>
          <w:szCs w:val="20"/>
        </w:rPr>
        <w:br w:type="column"/>
      </w:r>
      <w:bookmarkStart w:id="32" w:name="_Toc325398236"/>
      <w:bookmarkStart w:id="33" w:name="_Toc370472629"/>
      <w:r w:rsidRPr="005970A0">
        <w:lastRenderedPageBreak/>
        <w:t>Skill outputs from VET — qualifications completed, and annual change in qualifications completed</w:t>
      </w:r>
      <w:bookmarkEnd w:id="32"/>
      <w:bookmarkEnd w:id="33"/>
    </w:p>
    <w:p w:rsidR="007056F1" w:rsidRPr="005970A0" w:rsidRDefault="007056F1" w:rsidP="007056F1">
      <w:pPr>
        <w:pStyle w:val="Box"/>
      </w:pPr>
      <w:r w:rsidRPr="005970A0">
        <w:t>Data quality information for this indicator has been drafted by the National Centre for Vocational Education Research (</w:t>
      </w:r>
      <w:proofErr w:type="spellStart"/>
      <w:r w:rsidRPr="005970A0">
        <w:t>NCVER</w:t>
      </w:r>
      <w:proofErr w:type="spellEnd"/>
      <w:r w:rsidRPr="005970A0">
        <w:t>)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7056F1">
        <w:tc>
          <w:tcPr>
            <w:tcW w:w="5000" w:type="pct"/>
            <w:gridSpan w:val="2"/>
          </w:tcPr>
          <w:p w:rsidR="007056F1" w:rsidRPr="005970A0" w:rsidRDefault="007056F1" w:rsidP="007056F1">
            <w:pPr>
              <w:pStyle w:val="TableBodyText"/>
              <w:jc w:val="both"/>
              <w:rPr>
                <w:b/>
                <w:u w:val="single"/>
              </w:rPr>
            </w:pPr>
          </w:p>
          <w:p w:rsidR="007056F1" w:rsidRPr="005970A0" w:rsidRDefault="007056F1" w:rsidP="007056F1">
            <w:pPr>
              <w:pStyle w:val="TableBodyText"/>
              <w:jc w:val="both"/>
            </w:pPr>
            <w:r w:rsidRPr="005970A0">
              <w:rPr>
                <w:b/>
                <w:u w:val="single"/>
              </w:rPr>
              <w:t>Indicator definition and description</w:t>
            </w:r>
            <w:r w:rsidRPr="005970A0">
              <w:rPr>
                <w:rFonts w:cs="Arial"/>
                <w:b/>
                <w:sz w:val="22"/>
                <w:szCs w:val="22"/>
                <w:u w:val="single"/>
              </w:rPr>
              <w:t xml:space="preserve"> </w:t>
            </w:r>
          </w:p>
        </w:tc>
      </w:tr>
      <w:tr w:rsidR="005970A0" w:rsidRPr="005970A0" w:rsidTr="007056F1">
        <w:tc>
          <w:tcPr>
            <w:tcW w:w="922" w:type="pct"/>
          </w:tcPr>
          <w:p w:rsidR="007056F1" w:rsidRPr="005970A0" w:rsidRDefault="007056F1" w:rsidP="007056F1">
            <w:pPr>
              <w:pStyle w:val="TableBodyText"/>
              <w:jc w:val="both"/>
              <w:rPr>
                <w:b/>
              </w:rPr>
            </w:pPr>
            <w:r w:rsidRPr="005970A0">
              <w:rPr>
                <w:b/>
              </w:rPr>
              <w:t>Element</w:t>
            </w:r>
          </w:p>
        </w:tc>
        <w:tc>
          <w:tcPr>
            <w:tcW w:w="4078" w:type="pct"/>
          </w:tcPr>
          <w:p w:rsidR="007056F1" w:rsidRPr="005970A0" w:rsidRDefault="007056F1" w:rsidP="007056F1">
            <w:pPr>
              <w:pStyle w:val="TableBodyText"/>
              <w:keepNext w:val="0"/>
              <w:keepLines w:val="0"/>
              <w:spacing w:after="120" w:line="240" w:lineRule="auto"/>
              <w:ind w:left="0" w:right="0"/>
              <w:jc w:val="both"/>
            </w:pPr>
            <w:r w:rsidRPr="005970A0">
              <w:t>Outcomes.</w:t>
            </w:r>
          </w:p>
        </w:tc>
      </w:tr>
      <w:tr w:rsidR="005970A0" w:rsidRPr="005970A0" w:rsidTr="007056F1">
        <w:tc>
          <w:tcPr>
            <w:tcW w:w="922" w:type="pct"/>
          </w:tcPr>
          <w:p w:rsidR="007056F1" w:rsidRPr="005970A0" w:rsidRDefault="007056F1" w:rsidP="007056F1">
            <w:pPr>
              <w:pStyle w:val="TableBodyText"/>
              <w:jc w:val="both"/>
              <w:rPr>
                <w:b/>
              </w:rPr>
            </w:pPr>
            <w:r w:rsidRPr="005970A0">
              <w:rPr>
                <w:b/>
              </w:rPr>
              <w:t>Indicator</w:t>
            </w:r>
          </w:p>
        </w:tc>
        <w:tc>
          <w:tcPr>
            <w:tcW w:w="4078" w:type="pct"/>
          </w:tcPr>
          <w:p w:rsidR="007056F1" w:rsidRPr="005970A0" w:rsidRDefault="007056F1" w:rsidP="007056F1">
            <w:pPr>
              <w:pStyle w:val="TableBodyText"/>
              <w:keepNext w:val="0"/>
              <w:keepLines w:val="0"/>
              <w:spacing w:after="120" w:line="240" w:lineRule="auto"/>
              <w:ind w:left="0" w:right="0"/>
              <w:jc w:val="both"/>
            </w:pPr>
            <w:r w:rsidRPr="005970A0">
              <w:t>‘Skill outputs from VET’ is a proxy for ‘skill profile’, which is currently unable to be measured.</w:t>
            </w:r>
          </w:p>
        </w:tc>
      </w:tr>
      <w:tr w:rsidR="005970A0" w:rsidRPr="005970A0" w:rsidTr="007056F1">
        <w:tc>
          <w:tcPr>
            <w:tcW w:w="922" w:type="pct"/>
          </w:tcPr>
          <w:p w:rsidR="007056F1" w:rsidRPr="005970A0" w:rsidRDefault="007056F1" w:rsidP="007056F1">
            <w:pPr>
              <w:pStyle w:val="TableBodyText"/>
              <w:jc w:val="both"/>
              <w:rPr>
                <w:b/>
              </w:rPr>
            </w:pPr>
            <w:r w:rsidRPr="005970A0">
              <w:rPr>
                <w:b/>
              </w:rPr>
              <w:t>Measure (computation)</w:t>
            </w:r>
          </w:p>
        </w:tc>
        <w:tc>
          <w:tcPr>
            <w:tcW w:w="4078" w:type="pct"/>
          </w:tcPr>
          <w:p w:rsidR="007056F1" w:rsidRPr="005970A0" w:rsidRDefault="007056F1" w:rsidP="007056F1">
            <w:pPr>
              <w:pStyle w:val="TableBodyText"/>
              <w:keepNext w:val="0"/>
              <w:keepLines w:val="0"/>
              <w:spacing w:after="120" w:line="240" w:lineRule="auto"/>
              <w:ind w:left="0" w:right="0"/>
              <w:jc w:val="both"/>
            </w:pPr>
            <w:r w:rsidRPr="005970A0">
              <w:t xml:space="preserve">This </w:t>
            </w:r>
            <w:proofErr w:type="spellStart"/>
            <w:r w:rsidRPr="005970A0">
              <w:t>DQI</w:t>
            </w:r>
            <w:proofErr w:type="spellEnd"/>
            <w:r w:rsidRPr="005970A0">
              <w:t xml:space="preserve"> material covers the measure ‘qualifications completed’ and the relevant component (underlined as follows) of the related measure </w:t>
            </w:r>
            <w:r w:rsidRPr="005970A0">
              <w:sym w:font="Symbol" w:char="F0BE"/>
            </w:r>
            <w:r w:rsidRPr="005970A0">
              <w:t xml:space="preserve">  ‘</w:t>
            </w:r>
            <w:r w:rsidRPr="005970A0">
              <w:rPr>
                <w:u w:val="single"/>
              </w:rPr>
              <w:t>annual change in qualifications completed</w:t>
            </w:r>
            <w:r w:rsidRPr="005970A0">
              <w:t>, units of competency completed and modules completed, and annual change in Qualification equivalents.’</w:t>
            </w:r>
          </w:p>
          <w:p w:rsidR="007056F1" w:rsidRPr="005970A0" w:rsidRDefault="007056F1" w:rsidP="007056F1">
            <w:pPr>
              <w:pStyle w:val="TableBodyText"/>
              <w:jc w:val="both"/>
              <w:rPr>
                <w:u w:val="single"/>
              </w:rPr>
            </w:pPr>
            <w:r w:rsidRPr="005970A0">
              <w:rPr>
                <w:u w:val="single"/>
              </w:rPr>
              <w:t>Definition</w:t>
            </w:r>
          </w:p>
          <w:p w:rsidR="007056F1" w:rsidRPr="005970A0" w:rsidRDefault="007056F1" w:rsidP="007056F1">
            <w:pPr>
              <w:pStyle w:val="TableBodyText"/>
              <w:keepNext w:val="0"/>
              <w:keepLines w:val="0"/>
              <w:spacing w:after="120" w:line="240" w:lineRule="auto"/>
              <w:ind w:left="0" w:right="0"/>
              <w:jc w:val="both"/>
            </w:pPr>
            <w:r w:rsidRPr="005970A0">
              <w:t>Qualifications completed is defined as the number of qualifications achieved/passed each year by both government funded and non-government funded VET students, where a qualification is a certification to a person on successful completion of a course in recognition of having achieved particular knowledge, skills or competencies.</w:t>
            </w:r>
          </w:p>
          <w:p w:rsidR="007056F1" w:rsidRPr="005970A0" w:rsidRDefault="007056F1" w:rsidP="007056F1">
            <w:pPr>
              <w:pStyle w:val="TableBodyText"/>
              <w:keepNext w:val="0"/>
              <w:keepLines w:val="0"/>
              <w:spacing w:after="120" w:line="240" w:lineRule="auto"/>
              <w:ind w:left="0" w:right="0"/>
              <w:jc w:val="both"/>
            </w:pPr>
            <w:r w:rsidRPr="005970A0">
              <w:t>Annual change in qualifications completed is defined as the percentage change of qualifications achieved/passed from year to year.</w:t>
            </w:r>
          </w:p>
          <w:p w:rsidR="007056F1" w:rsidRPr="005970A0" w:rsidRDefault="007056F1" w:rsidP="007056F1">
            <w:pPr>
              <w:pStyle w:val="TableBodyText"/>
              <w:spacing w:before="120"/>
              <w:ind w:left="0"/>
              <w:jc w:val="both"/>
              <w:rPr>
                <w:u w:val="single"/>
              </w:rPr>
            </w:pPr>
            <w:r w:rsidRPr="005970A0">
              <w:rPr>
                <w:u w:val="single"/>
              </w:rPr>
              <w:t>Computation/s:</w:t>
            </w:r>
          </w:p>
          <w:p w:rsidR="007056F1" w:rsidRPr="005970A0" w:rsidRDefault="007056F1" w:rsidP="00560346">
            <w:pPr>
              <w:pStyle w:val="TableBodyText"/>
              <w:keepNext w:val="0"/>
              <w:keepLines w:val="0"/>
              <w:numPr>
                <w:ilvl w:val="0"/>
                <w:numId w:val="28"/>
              </w:numPr>
              <w:tabs>
                <w:tab w:val="left" w:pos="222"/>
              </w:tabs>
              <w:spacing w:after="80" w:line="240" w:lineRule="auto"/>
              <w:ind w:left="222" w:right="0" w:hanging="222"/>
              <w:jc w:val="both"/>
            </w:pPr>
            <w:r w:rsidRPr="005970A0">
              <w:t xml:space="preserve">A count of the number of qualifications/courses completed, submitted in the </w:t>
            </w:r>
            <w:r w:rsidRPr="005970A0">
              <w:rPr>
                <w:i/>
              </w:rPr>
              <w:t>Qualifications completed</w:t>
            </w:r>
            <w:r w:rsidRPr="005970A0">
              <w:t xml:space="preserve"> </w:t>
            </w:r>
            <w:r w:rsidRPr="005970A0">
              <w:rPr>
                <w:i/>
              </w:rPr>
              <w:t>file</w:t>
            </w:r>
            <w:r w:rsidRPr="005970A0">
              <w:t xml:space="preserve"> of the VET provider collection by registered training providers.</w:t>
            </w:r>
          </w:p>
          <w:p w:rsidR="007056F1" w:rsidRPr="005970A0" w:rsidRDefault="007056F1" w:rsidP="00560346">
            <w:pPr>
              <w:pStyle w:val="TableBodyText"/>
              <w:keepNext w:val="0"/>
              <w:keepLines w:val="0"/>
              <w:numPr>
                <w:ilvl w:val="0"/>
                <w:numId w:val="28"/>
              </w:numPr>
              <w:tabs>
                <w:tab w:val="left" w:pos="222"/>
              </w:tabs>
              <w:spacing w:after="80" w:line="240" w:lineRule="auto"/>
              <w:ind w:left="222" w:right="0" w:hanging="222"/>
              <w:jc w:val="both"/>
            </w:pPr>
            <w:r w:rsidRPr="005970A0">
              <w:t>Annual change in qualifications completed is the percentage change in the number of qualifications completed from one year to the subsequent year, where the number for the prior year is the numerator and number for the subsequent year is the denominator.</w:t>
            </w:r>
          </w:p>
          <w:p w:rsidR="007056F1" w:rsidRPr="005970A0" w:rsidRDefault="007056F1" w:rsidP="00560346">
            <w:pPr>
              <w:pStyle w:val="TableBodyText"/>
              <w:keepNext w:val="0"/>
              <w:keepLines w:val="0"/>
              <w:spacing w:after="80" w:line="240" w:lineRule="auto"/>
              <w:ind w:left="0" w:right="0"/>
              <w:jc w:val="both"/>
              <w:rPr>
                <w:rStyle w:val="DraftingNote"/>
                <w:color w:val="auto"/>
                <w:sz w:val="20"/>
                <w:u w:val="none"/>
              </w:rPr>
            </w:pPr>
            <w:r w:rsidRPr="005970A0">
              <w:t>Comparative data are also reported for VET target groups (residents of remote and very remote areas, people with disability, people speaking a language other than English at home and by Indigenous status), where classification by these target groups is based on self</w:t>
            </w:r>
            <w:r w:rsidRPr="005970A0">
              <w:noBreakHyphen/>
              <w:t>identification by students on their VET enrolment form.</w:t>
            </w:r>
          </w:p>
        </w:tc>
      </w:tr>
      <w:tr w:rsidR="005970A0" w:rsidRPr="005970A0" w:rsidTr="007056F1">
        <w:tc>
          <w:tcPr>
            <w:tcW w:w="922" w:type="pct"/>
          </w:tcPr>
          <w:p w:rsidR="007056F1" w:rsidRPr="005970A0" w:rsidRDefault="007056F1" w:rsidP="007056F1">
            <w:pPr>
              <w:pStyle w:val="TableBodyText"/>
              <w:jc w:val="both"/>
              <w:rPr>
                <w:b/>
              </w:rPr>
            </w:pPr>
            <w:r w:rsidRPr="005970A0">
              <w:rPr>
                <w:b/>
              </w:rPr>
              <w:t>Data source/s</w:t>
            </w:r>
          </w:p>
        </w:tc>
        <w:tc>
          <w:tcPr>
            <w:tcW w:w="4078" w:type="pct"/>
          </w:tcPr>
          <w:p w:rsidR="007056F1" w:rsidRPr="005970A0" w:rsidRDefault="007056F1" w:rsidP="00560346">
            <w:pPr>
              <w:pStyle w:val="TableBodyText"/>
              <w:keepNext w:val="0"/>
              <w:keepLines w:val="0"/>
              <w:spacing w:after="80" w:line="240" w:lineRule="auto"/>
              <w:ind w:left="0" w:right="0"/>
              <w:jc w:val="both"/>
            </w:pPr>
            <w:r w:rsidRPr="005970A0">
              <w:t xml:space="preserve">All student data are unpublished and are sourced from </w:t>
            </w:r>
            <w:proofErr w:type="spellStart"/>
            <w:r w:rsidRPr="005970A0">
              <w:t>NCVER</w:t>
            </w:r>
            <w:proofErr w:type="spellEnd"/>
            <w:r w:rsidRPr="005970A0">
              <w:t xml:space="preserve"> National VET Provider data collection.</w:t>
            </w:r>
          </w:p>
        </w:tc>
      </w:tr>
      <w:tr w:rsidR="005970A0" w:rsidRPr="005970A0" w:rsidTr="007056F1">
        <w:tc>
          <w:tcPr>
            <w:tcW w:w="5000" w:type="pct"/>
            <w:gridSpan w:val="2"/>
          </w:tcPr>
          <w:p w:rsidR="007056F1" w:rsidRPr="005970A0" w:rsidRDefault="007056F1" w:rsidP="007056F1">
            <w:pPr>
              <w:pStyle w:val="TableBodyText"/>
              <w:jc w:val="both"/>
              <w:rPr>
                <w:b/>
                <w:u w:val="single"/>
              </w:rPr>
            </w:pPr>
          </w:p>
          <w:p w:rsidR="007056F1" w:rsidRPr="005970A0" w:rsidRDefault="007056F1" w:rsidP="007056F1">
            <w:pPr>
              <w:pStyle w:val="TableBodyText"/>
              <w:jc w:val="both"/>
              <w:rPr>
                <w:b/>
                <w:u w:val="single"/>
              </w:rPr>
            </w:pPr>
            <w:r w:rsidRPr="005970A0">
              <w:rPr>
                <w:b/>
                <w:u w:val="single"/>
              </w:rPr>
              <w:t>Data Quality Framework Dimensions</w:t>
            </w:r>
          </w:p>
        </w:tc>
      </w:tr>
      <w:tr w:rsidR="005970A0" w:rsidRPr="005970A0" w:rsidTr="007056F1">
        <w:tc>
          <w:tcPr>
            <w:tcW w:w="922" w:type="pct"/>
          </w:tcPr>
          <w:p w:rsidR="007056F1" w:rsidRPr="005970A0" w:rsidRDefault="007056F1" w:rsidP="007056F1">
            <w:pPr>
              <w:pStyle w:val="TableBodyText"/>
              <w:jc w:val="both"/>
              <w:rPr>
                <w:b/>
              </w:rPr>
            </w:pPr>
            <w:r w:rsidRPr="005970A0">
              <w:rPr>
                <w:b/>
              </w:rPr>
              <w:t>Institutional environment</w:t>
            </w:r>
          </w:p>
        </w:tc>
        <w:tc>
          <w:tcPr>
            <w:tcW w:w="4078" w:type="pct"/>
          </w:tcPr>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The National Centre for Vocational Education Research (</w:t>
            </w:r>
            <w:proofErr w:type="spellStart"/>
            <w:r w:rsidRPr="005970A0">
              <w:rPr>
                <w:rFonts w:ascii="Arial" w:hAnsi="Arial" w:cs="Arial"/>
                <w:sz w:val="20"/>
                <w:szCs w:val="20"/>
              </w:rPr>
              <w:t>NCVER</w:t>
            </w:r>
            <w:proofErr w:type="spellEnd"/>
            <w:r w:rsidRPr="005970A0">
              <w:rPr>
                <w:rFonts w:ascii="Arial" w:hAnsi="Arial" w:cs="Arial"/>
                <w:sz w:val="20"/>
                <w:szCs w:val="20"/>
              </w:rPr>
              <w:t>) is a not-for-profit company owned by the federal, state and territory ministers responsible for training.</w:t>
            </w:r>
          </w:p>
          <w:p w:rsidR="007056F1" w:rsidRPr="005970A0" w:rsidRDefault="007056F1" w:rsidP="007056F1">
            <w:pPr>
              <w:spacing w:after="120"/>
              <w:jc w:val="both"/>
              <w:rPr>
                <w:rFonts w:ascii="Arial" w:hAnsi="Arial" w:cs="Arial"/>
                <w:sz w:val="20"/>
                <w:szCs w:val="20"/>
              </w:rPr>
            </w:pPr>
            <w:proofErr w:type="spellStart"/>
            <w:r w:rsidRPr="005970A0">
              <w:rPr>
                <w:rFonts w:ascii="Arial" w:hAnsi="Arial" w:cs="Arial"/>
                <w:sz w:val="20"/>
                <w:szCs w:val="20"/>
              </w:rPr>
              <w:t>NCVER</w:t>
            </w:r>
            <w:proofErr w:type="spellEnd"/>
            <w:r w:rsidRPr="005970A0">
              <w:rPr>
                <w:rFonts w:ascii="Arial" w:hAnsi="Arial" w:cs="Arial"/>
                <w:sz w:val="20"/>
                <w:szCs w:val="20"/>
              </w:rPr>
              <w:t xml:space="preserve">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7056F1" w:rsidRPr="005970A0" w:rsidRDefault="007056F1" w:rsidP="007056F1">
            <w:pPr>
              <w:pStyle w:val="TableBodyText"/>
              <w:keepNext w:val="0"/>
              <w:keepLines w:val="0"/>
              <w:spacing w:after="120" w:line="240" w:lineRule="auto"/>
              <w:ind w:left="0" w:right="0"/>
              <w:jc w:val="both"/>
              <w:rPr>
                <w:rFonts w:cs="Arial"/>
                <w:u w:val="single"/>
              </w:rPr>
            </w:pPr>
            <w:r w:rsidRPr="005970A0">
              <w:rPr>
                <w:rFonts w:cs="Arial"/>
              </w:rPr>
              <w:t xml:space="preserve">For further information on the </w:t>
            </w:r>
            <w:proofErr w:type="spellStart"/>
            <w:r w:rsidRPr="005970A0">
              <w:rPr>
                <w:rFonts w:cs="Arial"/>
              </w:rPr>
              <w:t>NCVER</w:t>
            </w:r>
            <w:proofErr w:type="spellEnd"/>
            <w:r w:rsidRPr="005970A0">
              <w:rPr>
                <w:rFonts w:cs="Arial"/>
              </w:rPr>
              <w:t xml:space="preserve">, see </w:t>
            </w:r>
            <w:r w:rsidRPr="00D86CD7">
              <w:rPr>
                <w:rFonts w:cs="Arial"/>
              </w:rPr>
              <w:t>http://</w:t>
            </w:r>
            <w:proofErr w:type="spellStart"/>
            <w:r w:rsidRPr="00D86CD7">
              <w:rPr>
                <w:rFonts w:cs="Arial"/>
              </w:rPr>
              <w:t>www.ncver.edu.au</w:t>
            </w:r>
            <w:proofErr w:type="spellEnd"/>
            <w:r w:rsidRPr="00D86CD7">
              <w:rPr>
                <w:rFonts w:cs="Arial"/>
              </w:rPr>
              <w:t>/</w:t>
            </w:r>
            <w:proofErr w:type="spellStart"/>
            <w:r w:rsidRPr="00D86CD7">
              <w:rPr>
                <w:rFonts w:cs="Arial"/>
              </w:rPr>
              <w:t>aboutncver</w:t>
            </w:r>
            <w:proofErr w:type="spellEnd"/>
            <w:r w:rsidRPr="00D86CD7">
              <w:rPr>
                <w:rFonts w:cs="Arial"/>
              </w:rPr>
              <w:t>/</w:t>
            </w:r>
            <w:proofErr w:type="spellStart"/>
            <w:r w:rsidRPr="00D86CD7">
              <w:rPr>
                <w:rFonts w:cs="Arial"/>
              </w:rPr>
              <w:t>who.html</w:t>
            </w:r>
            <w:proofErr w:type="spellEnd"/>
          </w:p>
        </w:tc>
      </w:tr>
      <w:tr w:rsidR="005970A0" w:rsidRPr="005970A0" w:rsidTr="007056F1">
        <w:tc>
          <w:tcPr>
            <w:tcW w:w="922" w:type="pct"/>
          </w:tcPr>
          <w:p w:rsidR="007056F1" w:rsidRPr="005970A0" w:rsidRDefault="007056F1" w:rsidP="007056F1">
            <w:pPr>
              <w:pStyle w:val="TableBodyText"/>
              <w:jc w:val="both"/>
              <w:rPr>
                <w:b/>
              </w:rPr>
            </w:pPr>
            <w:r w:rsidRPr="005970A0">
              <w:rPr>
                <w:b/>
              </w:rPr>
              <w:lastRenderedPageBreak/>
              <w:t>Relevance</w:t>
            </w:r>
          </w:p>
        </w:tc>
        <w:tc>
          <w:tcPr>
            <w:tcW w:w="4078" w:type="pct"/>
          </w:tcPr>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The National VET Provider Collection collects information relating to students, courses, qualifications, training providers and funding in Australia’s publicly funded vocational education and training (VET) system.</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7056F1" w:rsidRPr="005970A0" w:rsidRDefault="007056F1" w:rsidP="00F664AB">
            <w:pPr>
              <w:spacing w:after="60"/>
              <w:jc w:val="both"/>
              <w:rPr>
                <w:rFonts w:ascii="Arial" w:hAnsi="Arial" w:cs="Arial"/>
                <w:sz w:val="20"/>
                <w:szCs w:val="20"/>
              </w:rPr>
            </w:pPr>
            <w:r w:rsidRPr="005970A0">
              <w:rPr>
                <w:rFonts w:ascii="Arial" w:hAnsi="Arial" w:cs="Arial"/>
                <w:sz w:val="20"/>
                <w:szCs w:val="20"/>
              </w:rPr>
              <w:t>This collection does not report on the following types of training activity:</w:t>
            </w:r>
          </w:p>
          <w:p w:rsidR="007056F1" w:rsidRPr="005970A0" w:rsidRDefault="007056F1" w:rsidP="00F664AB">
            <w:pPr>
              <w:numPr>
                <w:ilvl w:val="0"/>
                <w:numId w:val="24"/>
              </w:numPr>
              <w:tabs>
                <w:tab w:val="clear" w:pos="363"/>
                <w:tab w:val="num" w:pos="179"/>
              </w:tabs>
              <w:spacing w:after="60"/>
              <w:ind w:left="179" w:hanging="180"/>
              <w:jc w:val="both"/>
              <w:rPr>
                <w:rFonts w:ascii="Arial" w:hAnsi="Arial" w:cs="Arial"/>
                <w:sz w:val="20"/>
                <w:szCs w:val="20"/>
              </w:rPr>
            </w:pPr>
            <w:r w:rsidRPr="005970A0">
              <w:rPr>
                <w:rFonts w:ascii="Arial" w:hAnsi="Arial" w:cs="Arial"/>
                <w:sz w:val="20"/>
                <w:szCs w:val="20"/>
              </w:rPr>
              <w:t xml:space="preserve">recreation, leisure and personal enrichment </w:t>
            </w:r>
          </w:p>
          <w:p w:rsidR="007056F1" w:rsidRPr="005970A0" w:rsidRDefault="007056F1" w:rsidP="00F664AB">
            <w:pPr>
              <w:numPr>
                <w:ilvl w:val="0"/>
                <w:numId w:val="24"/>
              </w:numPr>
              <w:tabs>
                <w:tab w:val="clear" w:pos="363"/>
                <w:tab w:val="num" w:pos="179"/>
              </w:tabs>
              <w:spacing w:after="60"/>
              <w:ind w:left="179" w:hanging="180"/>
              <w:jc w:val="both"/>
              <w:rPr>
                <w:rFonts w:ascii="Arial" w:hAnsi="Arial" w:cs="Arial"/>
                <w:sz w:val="20"/>
                <w:szCs w:val="20"/>
              </w:rPr>
            </w:pPr>
            <w:r w:rsidRPr="005970A0">
              <w:rPr>
                <w:rFonts w:ascii="Arial" w:hAnsi="Arial" w:cs="Arial"/>
                <w:sz w:val="20"/>
                <w:szCs w:val="20"/>
              </w:rPr>
              <w:t xml:space="preserve">fee-for-service VET by private providers </w:t>
            </w:r>
          </w:p>
          <w:p w:rsidR="007056F1" w:rsidRPr="005970A0" w:rsidRDefault="007056F1" w:rsidP="00F664AB">
            <w:pPr>
              <w:numPr>
                <w:ilvl w:val="0"/>
                <w:numId w:val="24"/>
              </w:numPr>
              <w:tabs>
                <w:tab w:val="clear" w:pos="363"/>
                <w:tab w:val="num" w:pos="179"/>
              </w:tabs>
              <w:spacing w:after="60"/>
              <w:ind w:left="179" w:hanging="180"/>
              <w:jc w:val="both"/>
              <w:rPr>
                <w:rFonts w:ascii="Arial" w:hAnsi="Arial" w:cs="Arial"/>
                <w:sz w:val="20"/>
                <w:szCs w:val="20"/>
              </w:rPr>
            </w:pPr>
            <w:r w:rsidRPr="005970A0">
              <w:rPr>
                <w:rFonts w:ascii="Arial" w:hAnsi="Arial" w:cs="Arial"/>
                <w:sz w:val="20"/>
                <w:szCs w:val="20"/>
              </w:rPr>
              <w:t xml:space="preserve">delivery undertaken at overseas campuses of Australian VET institutions </w:t>
            </w:r>
          </w:p>
          <w:p w:rsidR="007056F1" w:rsidRPr="005970A0" w:rsidRDefault="007056F1" w:rsidP="00F664AB">
            <w:pPr>
              <w:numPr>
                <w:ilvl w:val="0"/>
                <w:numId w:val="24"/>
              </w:numPr>
              <w:tabs>
                <w:tab w:val="clear" w:pos="363"/>
                <w:tab w:val="num" w:pos="179"/>
              </w:tabs>
              <w:spacing w:after="60"/>
              <w:ind w:left="179" w:hanging="180"/>
              <w:jc w:val="both"/>
              <w:rPr>
                <w:rFonts w:ascii="Arial" w:hAnsi="Arial" w:cs="Arial"/>
                <w:sz w:val="20"/>
                <w:szCs w:val="20"/>
              </w:rPr>
            </w:pPr>
            <w:r w:rsidRPr="005970A0">
              <w:rPr>
                <w:rFonts w:ascii="Arial" w:hAnsi="Arial" w:cs="Arial"/>
                <w:sz w:val="20"/>
                <w:szCs w:val="20"/>
              </w:rPr>
              <w:t>credit transfer</w:t>
            </w:r>
          </w:p>
          <w:p w:rsidR="007056F1" w:rsidRPr="005970A0" w:rsidRDefault="007056F1" w:rsidP="00F664AB">
            <w:pPr>
              <w:numPr>
                <w:ilvl w:val="0"/>
                <w:numId w:val="24"/>
              </w:numPr>
              <w:tabs>
                <w:tab w:val="clear" w:pos="363"/>
                <w:tab w:val="num" w:pos="179"/>
              </w:tabs>
              <w:spacing w:after="60"/>
              <w:ind w:left="179" w:hanging="180"/>
              <w:jc w:val="both"/>
              <w:rPr>
                <w:rFonts w:ascii="Arial" w:hAnsi="Arial" w:cs="Arial"/>
                <w:sz w:val="20"/>
                <w:szCs w:val="20"/>
              </w:rPr>
            </w:pPr>
            <w:r w:rsidRPr="005970A0">
              <w:rPr>
                <w:rFonts w:ascii="Arial" w:hAnsi="Arial" w:cs="Arial"/>
                <w:sz w:val="20"/>
                <w:szCs w:val="20"/>
              </w:rPr>
              <w:t>VET delivered in schools, where the delivery has been undertaken by schools.</w:t>
            </w:r>
          </w:p>
        </w:tc>
      </w:tr>
      <w:tr w:rsidR="005970A0" w:rsidRPr="005970A0" w:rsidTr="007056F1">
        <w:tc>
          <w:tcPr>
            <w:tcW w:w="922" w:type="pct"/>
          </w:tcPr>
          <w:p w:rsidR="007056F1" w:rsidRPr="005970A0" w:rsidRDefault="007056F1" w:rsidP="007056F1">
            <w:pPr>
              <w:pStyle w:val="TableBodyText"/>
              <w:jc w:val="both"/>
              <w:rPr>
                <w:b/>
              </w:rPr>
            </w:pPr>
            <w:r w:rsidRPr="005970A0">
              <w:rPr>
                <w:b/>
              </w:rPr>
              <w:t>Timeliness</w:t>
            </w:r>
          </w:p>
        </w:tc>
        <w:tc>
          <w:tcPr>
            <w:tcW w:w="4078" w:type="pct"/>
          </w:tcPr>
          <w:p w:rsidR="007056F1" w:rsidRPr="005970A0" w:rsidRDefault="007056F1" w:rsidP="007056F1">
            <w:pPr>
              <w:pStyle w:val="TableBodyText"/>
              <w:keepNext w:val="0"/>
              <w:keepLines w:val="0"/>
              <w:spacing w:after="120" w:line="240" w:lineRule="auto"/>
              <w:ind w:left="0" w:right="0"/>
              <w:jc w:val="both"/>
            </w:pPr>
            <w:r w:rsidRPr="005970A0">
              <w:t xml:space="preserve">The National VET Provider Collection is an annual collection of data. Data are submitted to </w:t>
            </w:r>
            <w:proofErr w:type="spellStart"/>
            <w:r w:rsidRPr="005970A0">
              <w:t>NCVER</w:t>
            </w:r>
            <w:proofErr w:type="spellEnd"/>
            <w:r w:rsidRPr="005970A0">
              <w:t xml:space="preserve"> (via state training authorities) by 31 March in the year following activity. A summary of </w:t>
            </w:r>
            <w:r w:rsidR="00440520">
              <w:t>2012</w:t>
            </w:r>
            <w:r w:rsidR="00440520" w:rsidRPr="005970A0">
              <w:t xml:space="preserve"> </w:t>
            </w:r>
            <w:r w:rsidRPr="005970A0">
              <w:t xml:space="preserve">data was released in early July </w:t>
            </w:r>
            <w:r w:rsidR="00440520">
              <w:t>2013</w:t>
            </w:r>
            <w:r w:rsidR="00440520" w:rsidRPr="005970A0">
              <w:t xml:space="preserve"> </w:t>
            </w:r>
            <w:r w:rsidRPr="005970A0">
              <w:t xml:space="preserve">in </w:t>
            </w:r>
            <w:r w:rsidRPr="00D86CD7">
              <w:t>Students and Courses</w:t>
            </w:r>
            <w:r w:rsidRPr="005970A0">
              <w:t>.</w:t>
            </w:r>
          </w:p>
          <w:p w:rsidR="00414A47" w:rsidRPr="005970A0" w:rsidRDefault="003B7067" w:rsidP="003B7067">
            <w:pPr>
              <w:pStyle w:val="TableBodyText"/>
              <w:keepNext w:val="0"/>
              <w:keepLines w:val="0"/>
              <w:spacing w:after="120" w:line="240" w:lineRule="auto"/>
              <w:ind w:left="0" w:right="0"/>
              <w:jc w:val="both"/>
            </w:pPr>
            <w:r w:rsidRPr="005970A0">
              <w:t>A small proportion of ‘Qualifications Completed’ data are not reported as they are submitted by state and territories more than two years after the completion year. At the national level, it is estimated that 1.2</w:t>
            </w:r>
            <w:r w:rsidR="008C50BE">
              <w:t xml:space="preserve"> per cent</w:t>
            </w:r>
            <w:r w:rsidRPr="005970A0">
              <w:t xml:space="preserve"> of the data are not reported in the time frame.</w:t>
            </w:r>
          </w:p>
        </w:tc>
      </w:tr>
      <w:tr w:rsidR="005970A0" w:rsidRPr="005970A0" w:rsidTr="007056F1">
        <w:tc>
          <w:tcPr>
            <w:tcW w:w="922" w:type="pct"/>
          </w:tcPr>
          <w:p w:rsidR="007056F1" w:rsidRPr="005970A0" w:rsidRDefault="007056F1" w:rsidP="007056F1">
            <w:pPr>
              <w:pStyle w:val="TableBodyText"/>
              <w:jc w:val="both"/>
              <w:rPr>
                <w:b/>
              </w:rPr>
            </w:pPr>
            <w:r w:rsidRPr="005970A0">
              <w:rPr>
                <w:b/>
              </w:rPr>
              <w:t>Accuracy</w:t>
            </w:r>
          </w:p>
        </w:tc>
        <w:tc>
          <w:tcPr>
            <w:tcW w:w="4078" w:type="pct"/>
          </w:tcPr>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The National VET Provider Collection is a collection of all publicly funded training activity in Australia in a particular year. It is an administrative collection.</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 xml:space="preserve">Publicly funded registered training organisations submit unit record data directly to state/territory training authorities, who in turn submit the data to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Prior to submissions to </w:t>
            </w:r>
            <w:proofErr w:type="spellStart"/>
            <w:r w:rsidRPr="005970A0">
              <w:rPr>
                <w:rFonts w:ascii="Arial" w:hAnsi="Arial" w:cs="Arial"/>
                <w:sz w:val="20"/>
                <w:szCs w:val="20"/>
              </w:rPr>
              <w:t>NCVER</w:t>
            </w:r>
            <w:proofErr w:type="spellEnd"/>
            <w:r w:rsidRPr="005970A0">
              <w:rPr>
                <w:rFonts w:ascii="Arial" w:hAnsi="Arial" w:cs="Arial"/>
                <w:sz w:val="20"/>
                <w:szCs w:val="20"/>
              </w:rPr>
              <w:t>, data must first pass a validation process to ensure that data conforms to the Australian vocational education and training management information statistical standard (</w:t>
            </w:r>
            <w:proofErr w:type="spellStart"/>
            <w:r w:rsidRPr="005970A0">
              <w:rPr>
                <w:rFonts w:ascii="Arial" w:hAnsi="Arial" w:cs="Arial"/>
                <w:sz w:val="20"/>
                <w:szCs w:val="20"/>
              </w:rPr>
              <w:t>AVETMISS</w:t>
            </w:r>
            <w:proofErr w:type="spellEnd"/>
            <w:r w:rsidRPr="005970A0">
              <w:rPr>
                <w:rFonts w:ascii="Arial" w:hAnsi="Arial" w:cs="Arial"/>
                <w:sz w:val="20"/>
                <w:szCs w:val="20"/>
              </w:rPr>
              <w:t xml:space="preserve">) (Refer to </w:t>
            </w:r>
            <w:r w:rsidRPr="005970A0">
              <w:rPr>
                <w:rFonts w:ascii="Arial" w:hAnsi="Arial" w:cs="Arial"/>
                <w:sz w:val="20"/>
                <w:szCs w:val="20"/>
                <w:u w:val="single"/>
              </w:rPr>
              <w:t>http://</w:t>
            </w:r>
            <w:proofErr w:type="spellStart"/>
            <w:r w:rsidRPr="005970A0">
              <w:rPr>
                <w:rFonts w:ascii="Arial" w:hAnsi="Arial" w:cs="Arial"/>
                <w:sz w:val="20"/>
                <w:szCs w:val="20"/>
                <w:u w:val="single"/>
              </w:rPr>
              <w:t>www.ncver.edu.au</w:t>
            </w:r>
            <w:proofErr w:type="spellEnd"/>
            <w:r w:rsidRPr="005970A0">
              <w:rPr>
                <w:rFonts w:ascii="Arial" w:hAnsi="Arial" w:cs="Arial"/>
                <w:sz w:val="20"/>
                <w:szCs w:val="20"/>
                <w:u w:val="single"/>
              </w:rPr>
              <w:t>/</w:t>
            </w:r>
            <w:proofErr w:type="spellStart"/>
            <w:r w:rsidRPr="005970A0">
              <w:rPr>
                <w:rFonts w:ascii="Arial" w:hAnsi="Arial" w:cs="Arial"/>
                <w:sz w:val="20"/>
                <w:szCs w:val="20"/>
                <w:u w:val="single"/>
              </w:rPr>
              <w:t>avetmiss</w:t>
            </w:r>
            <w:proofErr w:type="spellEnd"/>
            <w:r w:rsidRPr="005970A0">
              <w:rPr>
                <w:rFonts w:ascii="Arial" w:hAnsi="Arial" w:cs="Arial"/>
                <w:sz w:val="20"/>
                <w:szCs w:val="20"/>
                <w:u w:val="single"/>
              </w:rPr>
              <w:t>/</w:t>
            </w:r>
            <w:proofErr w:type="spellStart"/>
            <w:r w:rsidRPr="005970A0">
              <w:rPr>
                <w:rFonts w:ascii="Arial" w:hAnsi="Arial" w:cs="Arial"/>
                <w:sz w:val="20"/>
                <w:szCs w:val="20"/>
                <w:u w:val="single"/>
              </w:rPr>
              <w:t>21055.html</w:t>
            </w:r>
            <w:proofErr w:type="spellEnd"/>
            <w:r w:rsidRPr="005970A0">
              <w:rPr>
                <w:rFonts w:ascii="Arial" w:hAnsi="Arial" w:cs="Arial"/>
                <w:sz w:val="20"/>
                <w:szCs w:val="20"/>
              </w:rPr>
              <w:t xml:space="preserve">). </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 xml:space="preserve">Once data submissions are received by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they are subjected to a comprehensive data quality checking program to ensure accurate reporting against agreed Key Performance Measures (</w:t>
            </w:r>
            <w:proofErr w:type="spellStart"/>
            <w:r w:rsidRPr="005970A0">
              <w:rPr>
                <w:rFonts w:ascii="Arial" w:hAnsi="Arial" w:cs="Arial"/>
                <w:sz w:val="20"/>
                <w:szCs w:val="20"/>
              </w:rPr>
              <w:t>KPMs</w:t>
            </w:r>
            <w:proofErr w:type="spellEnd"/>
            <w:r w:rsidRPr="005970A0">
              <w:rPr>
                <w:rFonts w:ascii="Arial" w:hAnsi="Arial" w:cs="Arial"/>
                <w:sz w:val="20"/>
                <w:szCs w:val="20"/>
              </w:rPr>
              <w:t xml:space="preserve">). </w:t>
            </w:r>
          </w:p>
        </w:tc>
      </w:tr>
      <w:tr w:rsidR="005970A0" w:rsidRPr="005970A0" w:rsidTr="007056F1">
        <w:tc>
          <w:tcPr>
            <w:tcW w:w="922" w:type="pct"/>
          </w:tcPr>
          <w:p w:rsidR="007056F1" w:rsidRPr="005970A0" w:rsidRDefault="007056F1" w:rsidP="007056F1">
            <w:pPr>
              <w:pStyle w:val="TableBodyText"/>
              <w:jc w:val="both"/>
              <w:rPr>
                <w:b/>
              </w:rPr>
            </w:pPr>
            <w:r w:rsidRPr="005970A0">
              <w:rPr>
                <w:b/>
              </w:rPr>
              <w:t>Coherence</w:t>
            </w:r>
          </w:p>
        </w:tc>
        <w:tc>
          <w:tcPr>
            <w:tcW w:w="4078" w:type="pct"/>
          </w:tcPr>
          <w:p w:rsidR="007056F1" w:rsidRPr="005970A0" w:rsidRDefault="007056F1" w:rsidP="007056F1">
            <w:pPr>
              <w:pStyle w:val="TableBodyText"/>
              <w:keepNext w:val="0"/>
              <w:keepLines w:val="0"/>
              <w:spacing w:after="120" w:line="240" w:lineRule="auto"/>
              <w:ind w:left="0" w:right="0"/>
              <w:jc w:val="both"/>
            </w:pPr>
            <w:proofErr w:type="spellStart"/>
            <w:r w:rsidRPr="005970A0">
              <w:t>AVETMISS</w:t>
            </w:r>
            <w:proofErr w:type="spellEnd"/>
            <w:r w:rsidRPr="005970A0">
              <w:t xml:space="preserve"> provides the foundation for nationally comparable data and includes a range of data items relevant to the VET system. From 2007, data comply with release 6.0 of </w:t>
            </w:r>
            <w:proofErr w:type="spellStart"/>
            <w:r w:rsidRPr="005970A0">
              <w:t>AVETMISS</w:t>
            </w:r>
            <w:proofErr w:type="spellEnd"/>
            <w:r w:rsidRPr="005970A0">
              <w:t xml:space="preserve">, whereas previous collections </w:t>
            </w:r>
            <w:r w:rsidRPr="00EC5E2C">
              <w:t xml:space="preserve">complied with earlier releases. For details, see </w:t>
            </w:r>
            <w:r w:rsidRPr="00D86CD7">
              <w:t>http://</w:t>
            </w:r>
            <w:proofErr w:type="spellStart"/>
            <w:r w:rsidRPr="00D86CD7">
              <w:t>www.ncver.edu.au</w:t>
            </w:r>
            <w:proofErr w:type="spellEnd"/>
            <w:r w:rsidRPr="00D86CD7">
              <w:t>/</w:t>
            </w:r>
            <w:proofErr w:type="spellStart"/>
            <w:r w:rsidRPr="00D86CD7">
              <w:t>avetmiss</w:t>
            </w:r>
            <w:proofErr w:type="spellEnd"/>
            <w:r w:rsidRPr="00D86CD7">
              <w:t>/</w:t>
            </w:r>
            <w:proofErr w:type="spellStart"/>
            <w:r w:rsidRPr="00D86CD7">
              <w:t>21055.html</w:t>
            </w:r>
            <w:proofErr w:type="spellEnd"/>
            <w:r w:rsidRPr="00EC5E2C">
              <w:t>.</w:t>
            </w:r>
            <w:r w:rsidR="00DF031A" w:rsidRPr="00EC5E2C">
              <w:t xml:space="preserve"> From 2012, data comply with release 6.1 of </w:t>
            </w:r>
            <w:proofErr w:type="spellStart"/>
            <w:r w:rsidR="00DF031A" w:rsidRPr="00EC5E2C">
              <w:t>AVETMISS</w:t>
            </w:r>
            <w:proofErr w:type="spellEnd"/>
            <w:r w:rsidR="00DF031A" w:rsidRPr="00EC5E2C">
              <w:t>, whereas previous collections complied with earlier releases. For details, see http://</w:t>
            </w:r>
            <w:proofErr w:type="spellStart"/>
            <w:r w:rsidR="00DF031A" w:rsidRPr="00EC5E2C">
              <w:t>www.ncver.edu.au</w:t>
            </w:r>
            <w:proofErr w:type="spellEnd"/>
            <w:r w:rsidR="00DF031A" w:rsidRPr="00EC5E2C">
              <w:t>/</w:t>
            </w:r>
            <w:proofErr w:type="spellStart"/>
            <w:r w:rsidR="00DF031A" w:rsidRPr="00EC5E2C">
              <w:t>avetmiss</w:t>
            </w:r>
            <w:proofErr w:type="spellEnd"/>
            <w:r w:rsidR="00DF031A" w:rsidRPr="00EC5E2C">
              <w:t>/</w:t>
            </w:r>
            <w:proofErr w:type="spellStart"/>
            <w:r w:rsidR="00DF031A" w:rsidRPr="00EC5E2C">
              <w:t>21055.html</w:t>
            </w:r>
            <w:proofErr w:type="spellEnd"/>
          </w:p>
        </w:tc>
      </w:tr>
      <w:tr w:rsidR="007056F1" w:rsidRPr="005970A0" w:rsidTr="007056F1">
        <w:tc>
          <w:tcPr>
            <w:tcW w:w="922" w:type="pct"/>
          </w:tcPr>
          <w:p w:rsidR="007056F1" w:rsidRPr="005970A0" w:rsidRDefault="007056F1" w:rsidP="007056F1">
            <w:pPr>
              <w:pStyle w:val="TableBodyText"/>
              <w:jc w:val="both"/>
              <w:rPr>
                <w:b/>
              </w:rPr>
            </w:pPr>
            <w:r w:rsidRPr="005970A0">
              <w:rPr>
                <w:b/>
              </w:rPr>
              <w:t>Accessibility</w:t>
            </w:r>
          </w:p>
        </w:tc>
        <w:tc>
          <w:tcPr>
            <w:tcW w:w="4078" w:type="pct"/>
          </w:tcPr>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 xml:space="preserve">Summary information is available free of charge in </w:t>
            </w:r>
            <w:r w:rsidRPr="005970A0">
              <w:rPr>
                <w:rFonts w:ascii="Arial" w:hAnsi="Arial" w:cs="Arial"/>
                <w:sz w:val="20"/>
                <w:szCs w:val="20"/>
                <w:u w:val="single"/>
              </w:rPr>
              <w:t>Students and Courses</w:t>
            </w:r>
            <w:r w:rsidRPr="005970A0">
              <w:rPr>
                <w:rFonts w:ascii="Arial" w:hAnsi="Arial" w:cs="Arial"/>
                <w:sz w:val="20"/>
                <w:szCs w:val="20"/>
              </w:rPr>
              <w:t xml:space="preserve"> on </w:t>
            </w:r>
            <w:proofErr w:type="spellStart"/>
            <w:r w:rsidRPr="005970A0">
              <w:rPr>
                <w:rFonts w:ascii="Arial" w:hAnsi="Arial" w:cs="Arial"/>
                <w:sz w:val="20"/>
                <w:szCs w:val="20"/>
              </w:rPr>
              <w:t>NCVER’s</w:t>
            </w:r>
            <w:proofErr w:type="spellEnd"/>
            <w:r w:rsidRPr="005970A0">
              <w:rPr>
                <w:rFonts w:ascii="Arial" w:hAnsi="Arial" w:cs="Arial"/>
                <w:sz w:val="20"/>
                <w:szCs w:val="20"/>
              </w:rPr>
              <w:t xml:space="preserve"> website at: </w:t>
            </w:r>
            <w:r w:rsidRPr="00D86CD7">
              <w:rPr>
                <w:rFonts w:ascii="Arial" w:hAnsi="Arial" w:cs="Arial"/>
                <w:sz w:val="20"/>
                <w:szCs w:val="20"/>
              </w:rPr>
              <w:t>http://</w:t>
            </w:r>
            <w:proofErr w:type="spellStart"/>
            <w:r w:rsidRPr="00D86CD7">
              <w:rPr>
                <w:rFonts w:ascii="Arial" w:hAnsi="Arial" w:cs="Arial"/>
                <w:sz w:val="20"/>
                <w:szCs w:val="20"/>
              </w:rPr>
              <w:t>www.ncver.edu.au</w:t>
            </w:r>
            <w:proofErr w:type="spellEnd"/>
            <w:r w:rsidRPr="00D86CD7">
              <w:rPr>
                <w:rFonts w:ascii="Arial" w:hAnsi="Arial" w:cs="Arial"/>
                <w:sz w:val="20"/>
                <w:szCs w:val="20"/>
              </w:rPr>
              <w:t>/statistic/</w:t>
            </w:r>
            <w:proofErr w:type="spellStart"/>
            <w:r w:rsidRPr="00D86CD7">
              <w:rPr>
                <w:rFonts w:ascii="Arial" w:hAnsi="Arial" w:cs="Arial"/>
                <w:sz w:val="20"/>
                <w:szCs w:val="20"/>
              </w:rPr>
              <w:t>21053.html</w:t>
            </w:r>
            <w:proofErr w:type="spellEnd"/>
            <w:r w:rsidRPr="005970A0">
              <w:rPr>
                <w:rFonts w:ascii="Arial" w:hAnsi="Arial" w:cs="Arial"/>
                <w:sz w:val="20"/>
                <w:szCs w:val="20"/>
              </w:rPr>
              <w:t xml:space="preserve">. Requests for more detailed statistical information can be made to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on (08) 8230 8400 or </w:t>
            </w:r>
            <w:proofErr w:type="spellStart"/>
            <w:r w:rsidRPr="005970A0">
              <w:rPr>
                <w:rFonts w:ascii="Arial" w:hAnsi="Arial" w:cs="Arial"/>
                <w:sz w:val="20"/>
                <w:szCs w:val="20"/>
                <w:u w:val="single"/>
              </w:rPr>
              <w:t>vet_req@ncver.edu.au</w:t>
            </w:r>
            <w:proofErr w:type="spellEnd"/>
          </w:p>
          <w:p w:rsidR="007056F1" w:rsidRPr="005970A0" w:rsidRDefault="007056F1" w:rsidP="007056F1">
            <w:pPr>
              <w:pStyle w:val="TableBodyText"/>
              <w:keepNext w:val="0"/>
              <w:keepLines w:val="0"/>
              <w:spacing w:after="120" w:line="240" w:lineRule="auto"/>
              <w:ind w:left="0" w:right="0"/>
              <w:jc w:val="both"/>
              <w:rPr>
                <w:rFonts w:cs="Arial"/>
                <w:u w:val="single"/>
              </w:rPr>
            </w:pPr>
            <w:r w:rsidRPr="005970A0">
              <w:rPr>
                <w:rFonts w:cs="Arial"/>
              </w:rPr>
              <w:t xml:space="preserve">A charge will be generally made by the </w:t>
            </w:r>
            <w:proofErr w:type="spellStart"/>
            <w:r w:rsidRPr="005970A0">
              <w:rPr>
                <w:rFonts w:cs="Arial"/>
              </w:rPr>
              <w:t>NCVER</w:t>
            </w:r>
            <w:proofErr w:type="spellEnd"/>
            <w:r w:rsidRPr="005970A0">
              <w:rPr>
                <w:rFonts w:cs="Arial"/>
              </w:rPr>
              <w:t xml:space="preserve"> for more complex requests for information. See </w:t>
            </w:r>
            <w:proofErr w:type="spellStart"/>
            <w:r w:rsidRPr="005970A0">
              <w:rPr>
                <w:rFonts w:cs="Arial"/>
              </w:rPr>
              <w:t>NCVER’s</w:t>
            </w:r>
            <w:proofErr w:type="spellEnd"/>
            <w:r w:rsidRPr="005970A0">
              <w:rPr>
                <w:rFonts w:cs="Arial"/>
              </w:rPr>
              <w:t xml:space="preserve"> fees and charges policy at </w:t>
            </w:r>
            <w:r w:rsidRPr="005970A0">
              <w:rPr>
                <w:rFonts w:cs="Arial"/>
                <w:u w:val="single"/>
              </w:rPr>
              <w:t>http://</w:t>
            </w:r>
            <w:proofErr w:type="spellStart"/>
            <w:r w:rsidRPr="005970A0">
              <w:rPr>
                <w:rFonts w:cs="Arial"/>
                <w:u w:val="single"/>
              </w:rPr>
              <w:t>www.ncver.edu.au</w:t>
            </w:r>
            <w:proofErr w:type="spellEnd"/>
            <w:r w:rsidRPr="005970A0">
              <w:rPr>
                <w:rFonts w:cs="Arial"/>
                <w:u w:val="single"/>
              </w:rPr>
              <w:t>/statistic/</w:t>
            </w:r>
            <w:proofErr w:type="spellStart"/>
            <w:r w:rsidRPr="005970A0">
              <w:rPr>
                <w:rFonts w:cs="Arial"/>
                <w:u w:val="single"/>
              </w:rPr>
              <w:t>21075.html</w:t>
            </w:r>
            <w:proofErr w:type="spellEnd"/>
          </w:p>
        </w:tc>
      </w:tr>
    </w:tbl>
    <w:p w:rsidR="007056F1" w:rsidRPr="005970A0" w:rsidRDefault="007056F1" w:rsidP="007056F1"/>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7056F1">
        <w:tc>
          <w:tcPr>
            <w:tcW w:w="922" w:type="pct"/>
          </w:tcPr>
          <w:p w:rsidR="007056F1" w:rsidRPr="005970A0" w:rsidRDefault="007056F1" w:rsidP="007056F1">
            <w:pPr>
              <w:pStyle w:val="TableBodyText"/>
              <w:jc w:val="both"/>
              <w:rPr>
                <w:b/>
              </w:rPr>
            </w:pPr>
            <w:r w:rsidRPr="005970A0">
              <w:rPr>
                <w:b/>
              </w:rPr>
              <w:t>Interpretability</w:t>
            </w:r>
          </w:p>
        </w:tc>
        <w:tc>
          <w:tcPr>
            <w:tcW w:w="4078" w:type="pct"/>
          </w:tcPr>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 xml:space="preserve">To aid interpretation, information on the National VET Provider Collection, </w:t>
            </w:r>
            <w:proofErr w:type="spellStart"/>
            <w:r w:rsidRPr="005970A0">
              <w:rPr>
                <w:rFonts w:ascii="Arial" w:hAnsi="Arial" w:cs="Arial"/>
                <w:sz w:val="20"/>
                <w:szCs w:val="20"/>
              </w:rPr>
              <w:t>AVETMISS</w:t>
            </w:r>
            <w:proofErr w:type="spellEnd"/>
            <w:r w:rsidRPr="005970A0">
              <w:rPr>
                <w:rFonts w:ascii="Arial" w:hAnsi="Arial" w:cs="Arial"/>
                <w:sz w:val="20"/>
                <w:szCs w:val="20"/>
              </w:rPr>
              <w:t xml:space="preserve">, and Students and Courses is available on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website.</w:t>
            </w:r>
          </w:p>
          <w:p w:rsidR="007056F1" w:rsidRPr="005970A0" w:rsidRDefault="007056F1" w:rsidP="00F664AB">
            <w:pPr>
              <w:spacing w:after="60"/>
              <w:jc w:val="both"/>
              <w:rPr>
                <w:rFonts w:ascii="Arial" w:hAnsi="Arial" w:cs="Arial"/>
                <w:sz w:val="20"/>
                <w:szCs w:val="20"/>
              </w:rPr>
            </w:pPr>
            <w:r w:rsidRPr="005970A0">
              <w:rPr>
                <w:rFonts w:ascii="Arial" w:hAnsi="Arial" w:cs="Arial"/>
                <w:sz w:val="20"/>
                <w:szCs w:val="20"/>
              </w:rPr>
              <w:t xml:space="preserve">Among other standards detailed in </w:t>
            </w:r>
            <w:proofErr w:type="spellStart"/>
            <w:r w:rsidRPr="005970A0">
              <w:rPr>
                <w:rFonts w:ascii="Arial" w:hAnsi="Arial" w:cs="Arial"/>
                <w:sz w:val="20"/>
                <w:szCs w:val="20"/>
              </w:rPr>
              <w:t>AVETMISS</w:t>
            </w:r>
            <w:proofErr w:type="spellEnd"/>
            <w:r w:rsidRPr="005970A0">
              <w:rPr>
                <w:rFonts w:ascii="Arial" w:hAnsi="Arial" w:cs="Arial"/>
                <w:sz w:val="20"/>
                <w:szCs w:val="20"/>
              </w:rPr>
              <w:t>, the collection uses the:</w:t>
            </w:r>
          </w:p>
          <w:p w:rsidR="007056F1" w:rsidRPr="005970A0" w:rsidRDefault="007056F1" w:rsidP="007056F1">
            <w:pPr>
              <w:numPr>
                <w:ilvl w:val="0"/>
                <w:numId w:val="25"/>
              </w:numPr>
              <w:tabs>
                <w:tab w:val="clear" w:pos="720"/>
                <w:tab w:val="num" w:pos="179"/>
              </w:tabs>
              <w:autoSpaceDE w:val="0"/>
              <w:autoSpaceDN w:val="0"/>
              <w:adjustRightInd w:val="0"/>
              <w:spacing w:after="40" w:line="240" w:lineRule="atLeast"/>
              <w:ind w:left="179" w:hanging="177"/>
              <w:jc w:val="both"/>
              <w:rPr>
                <w:rFonts w:ascii="Arial" w:hAnsi="Arial" w:cs="Arial"/>
                <w:sz w:val="20"/>
                <w:szCs w:val="20"/>
              </w:rPr>
            </w:pPr>
            <w:r w:rsidRPr="005970A0">
              <w:rPr>
                <w:rFonts w:ascii="Arial" w:hAnsi="Arial" w:cs="Arial"/>
                <w:bCs/>
                <w:sz w:val="20"/>
                <w:szCs w:val="20"/>
                <w:u w:val="single"/>
              </w:rPr>
              <w:t>Australian Classification of Education (</w:t>
            </w:r>
            <w:proofErr w:type="spellStart"/>
            <w:r w:rsidRPr="005970A0">
              <w:rPr>
                <w:rFonts w:ascii="Arial" w:hAnsi="Arial" w:cs="Arial"/>
                <w:bCs/>
                <w:sz w:val="20"/>
                <w:szCs w:val="20"/>
                <w:u w:val="single"/>
              </w:rPr>
              <w:t>ASCED</w:t>
            </w:r>
            <w:proofErr w:type="spellEnd"/>
            <w:r w:rsidRPr="005970A0">
              <w:rPr>
                <w:rFonts w:ascii="Arial" w:hAnsi="Arial" w:cs="Arial"/>
                <w:bCs/>
                <w:sz w:val="20"/>
                <w:szCs w:val="20"/>
                <w:u w:val="single"/>
              </w:rPr>
              <w:t>) (ABS cat. no. 1272.0)</w:t>
            </w:r>
            <w:r w:rsidRPr="005970A0">
              <w:rPr>
                <w:rFonts w:ascii="Arial" w:hAnsi="Arial" w:cs="Arial"/>
                <w:sz w:val="20"/>
                <w:szCs w:val="20"/>
              </w:rPr>
              <w:t xml:space="preserve"> to classify the level and field of education</w:t>
            </w:r>
          </w:p>
          <w:p w:rsidR="007056F1" w:rsidRPr="005970A0" w:rsidRDefault="007056F1" w:rsidP="007056F1">
            <w:pPr>
              <w:numPr>
                <w:ilvl w:val="0"/>
                <w:numId w:val="25"/>
              </w:numPr>
              <w:tabs>
                <w:tab w:val="clear" w:pos="720"/>
                <w:tab w:val="num" w:pos="179"/>
              </w:tabs>
              <w:autoSpaceDE w:val="0"/>
              <w:autoSpaceDN w:val="0"/>
              <w:adjustRightInd w:val="0"/>
              <w:spacing w:after="40" w:line="240" w:lineRule="atLeast"/>
              <w:ind w:left="179" w:hanging="177"/>
              <w:jc w:val="both"/>
              <w:rPr>
                <w:rFonts w:ascii="Arial" w:hAnsi="Arial" w:cs="Arial"/>
                <w:sz w:val="20"/>
                <w:szCs w:val="20"/>
              </w:rPr>
            </w:pPr>
            <w:r w:rsidRPr="00D86CD7">
              <w:rPr>
                <w:rFonts w:ascii="Arial" w:hAnsi="Arial" w:cs="Arial"/>
                <w:sz w:val="20"/>
                <w:szCs w:val="20"/>
              </w:rPr>
              <w:t>Australian and New Zealand Standard Classification of Occupations (</w:t>
            </w:r>
            <w:proofErr w:type="spellStart"/>
            <w:r w:rsidRPr="00D86CD7">
              <w:rPr>
                <w:rFonts w:ascii="Arial" w:hAnsi="Arial" w:cs="Arial"/>
                <w:sz w:val="20"/>
                <w:szCs w:val="20"/>
              </w:rPr>
              <w:t>ANZSCO</w:t>
            </w:r>
            <w:proofErr w:type="spellEnd"/>
            <w:r w:rsidRPr="00D86CD7">
              <w:rPr>
                <w:rFonts w:ascii="Arial" w:hAnsi="Arial" w:cs="Arial"/>
                <w:sz w:val="20"/>
                <w:szCs w:val="20"/>
              </w:rPr>
              <w:t xml:space="preserve">, previously </w:t>
            </w:r>
            <w:proofErr w:type="spellStart"/>
            <w:r w:rsidRPr="00D86CD7">
              <w:rPr>
                <w:rFonts w:ascii="Arial" w:hAnsi="Arial" w:cs="Arial"/>
                <w:sz w:val="20"/>
                <w:szCs w:val="20"/>
              </w:rPr>
              <w:t>ASCO</w:t>
            </w:r>
            <w:proofErr w:type="spellEnd"/>
            <w:r w:rsidRPr="00D86CD7">
              <w:rPr>
                <w:rFonts w:ascii="Arial" w:hAnsi="Arial" w:cs="Arial"/>
                <w:sz w:val="20"/>
                <w:szCs w:val="20"/>
              </w:rPr>
              <w:t>) (ABS cat. no. 1220.0)</w:t>
            </w:r>
            <w:r w:rsidRPr="005970A0">
              <w:rPr>
                <w:rFonts w:ascii="Arial" w:hAnsi="Arial" w:cs="Arial"/>
                <w:sz w:val="20"/>
                <w:szCs w:val="20"/>
              </w:rPr>
              <w:t xml:space="preserve"> to classify occupation</w:t>
            </w:r>
          </w:p>
          <w:p w:rsidR="007056F1" w:rsidRPr="00991FB8" w:rsidRDefault="007056F1" w:rsidP="00EC5E2C">
            <w:pPr>
              <w:pStyle w:val="TableBullet"/>
              <w:numPr>
                <w:ilvl w:val="0"/>
                <w:numId w:val="25"/>
              </w:numPr>
              <w:tabs>
                <w:tab w:val="clear" w:pos="720"/>
                <w:tab w:val="num" w:pos="179"/>
              </w:tabs>
              <w:spacing w:after="120"/>
              <w:ind w:left="179" w:hanging="177"/>
              <w:jc w:val="both"/>
            </w:pPr>
            <w:r w:rsidRPr="005970A0">
              <w:rPr>
                <w:rFonts w:cs="Arial"/>
                <w:u w:val="single"/>
              </w:rPr>
              <w:t>Access/Remoteness Index of Australia (ARIA+)</w:t>
            </w:r>
            <w:r w:rsidRPr="005970A0">
              <w:rPr>
                <w:rFonts w:cs="Arial"/>
              </w:rPr>
              <w:t xml:space="preserve"> to classify remoteness. It was developed by the National Centre for Applications of Geographic Information Systems </w:t>
            </w:r>
            <w:r w:rsidRPr="005970A0">
              <w:rPr>
                <w:rFonts w:cs="Arial"/>
                <w:u w:val="single"/>
              </w:rPr>
              <w:t>(</w:t>
            </w:r>
            <w:proofErr w:type="spellStart"/>
            <w:r w:rsidRPr="005970A0">
              <w:rPr>
                <w:rFonts w:cs="Arial"/>
                <w:u w:val="single"/>
              </w:rPr>
              <w:t>GISCA</w:t>
            </w:r>
            <w:proofErr w:type="spellEnd"/>
            <w:r w:rsidRPr="005970A0">
              <w:rPr>
                <w:rFonts w:cs="Arial"/>
                <w:u w:val="single"/>
              </w:rPr>
              <w:t>)</w:t>
            </w:r>
            <w:r w:rsidRPr="005970A0">
              <w:rPr>
                <w:rFonts w:cs="Arial"/>
              </w:rPr>
              <w:t xml:space="preserve"> and is the standard ABS endorsed measure of remoteness.</w:t>
            </w:r>
          </w:p>
          <w:p w:rsidR="00991FB8" w:rsidRPr="00991FB8" w:rsidRDefault="00991FB8" w:rsidP="00EC5E2C">
            <w:pPr>
              <w:spacing w:after="120"/>
              <w:jc w:val="both"/>
              <w:rPr>
                <w:rFonts w:ascii="Arial" w:hAnsi="Arial" w:cs="Arial"/>
                <w:sz w:val="20"/>
                <w:szCs w:val="20"/>
              </w:rPr>
            </w:pPr>
            <w:r w:rsidRPr="004A75E6">
              <w:rPr>
                <w:rFonts w:ascii="Arial" w:hAnsi="Arial" w:cs="Arial"/>
                <w:sz w:val="20"/>
                <w:szCs w:val="20"/>
              </w:rPr>
              <w:t>Student remoteness is based on the Access/Remoteness Index of Australia (ARIA+), which was developed by the National Centre for Social Applications of Geographic Information Systems (</w:t>
            </w:r>
            <w:proofErr w:type="spellStart"/>
            <w:r w:rsidRPr="004A75E6">
              <w:rPr>
                <w:rFonts w:ascii="Arial" w:hAnsi="Arial" w:cs="Arial"/>
                <w:sz w:val="20"/>
                <w:szCs w:val="20"/>
              </w:rPr>
              <w:t>GISCA</w:t>
            </w:r>
            <w:proofErr w:type="spellEnd"/>
            <w:r w:rsidRPr="004A75E6">
              <w:rPr>
                <w:rFonts w:ascii="Arial" w:hAnsi="Arial" w:cs="Arial"/>
                <w:sz w:val="20"/>
                <w:szCs w:val="20"/>
              </w:rPr>
              <w:t xml:space="preserve">). ARIA+ is now the standard ABS-endorsed measure of remoteness. From 2011, Student remoteness (ARIA+) is determined from ARIA+ remoteness regions and ABS </w:t>
            </w:r>
            <w:proofErr w:type="spellStart"/>
            <w:r w:rsidRPr="004A75E6">
              <w:rPr>
                <w:rFonts w:ascii="Arial" w:hAnsi="Arial" w:cs="Arial"/>
                <w:sz w:val="20"/>
                <w:szCs w:val="20"/>
              </w:rPr>
              <w:t>SA2</w:t>
            </w:r>
            <w:proofErr w:type="spellEnd"/>
            <w:r w:rsidRPr="004A75E6">
              <w:rPr>
                <w:rFonts w:ascii="Arial" w:hAnsi="Arial" w:cs="Arial"/>
                <w:sz w:val="20"/>
                <w:szCs w:val="20"/>
              </w:rPr>
              <w:t xml:space="preserve"> regions. Data prior to 2011 is based on ABS postal areas and ARIA+. Student remoteness (ARIA+) regions use the same ARIA+ ranges as the ABS remoteness areas and are therefore an approximation of the ABS remoteness areas. For more details of ARIA+ refer to &lt;</w:t>
            </w:r>
            <w:r w:rsidRPr="00D86CD7">
              <w:rPr>
                <w:rFonts w:ascii="Arial" w:hAnsi="Arial" w:cs="Arial"/>
                <w:sz w:val="20"/>
                <w:szCs w:val="20"/>
              </w:rPr>
              <w:t>www.adelaide.edu.au/apmrc/research/projects/category/about_aria.html</w:t>
            </w:r>
            <w:r w:rsidRPr="004A75E6">
              <w:rPr>
                <w:rFonts w:ascii="Arial" w:hAnsi="Arial" w:cs="Arial"/>
                <w:sz w:val="20"/>
                <w:szCs w:val="20"/>
              </w:rPr>
              <w:t>&gt;</w:t>
            </w:r>
          </w:p>
        </w:tc>
      </w:tr>
      <w:tr w:rsidR="005970A0" w:rsidRPr="005970A0" w:rsidTr="007056F1">
        <w:tc>
          <w:tcPr>
            <w:tcW w:w="5000" w:type="pct"/>
            <w:gridSpan w:val="2"/>
            <w:shd w:val="clear" w:color="auto" w:fill="auto"/>
          </w:tcPr>
          <w:p w:rsidR="007056F1" w:rsidRPr="005970A0" w:rsidRDefault="007056F1" w:rsidP="007056F1">
            <w:pPr>
              <w:pStyle w:val="TableBodyText"/>
              <w:jc w:val="both"/>
              <w:rPr>
                <w:b/>
                <w:u w:val="single"/>
              </w:rPr>
            </w:pPr>
          </w:p>
          <w:p w:rsidR="007056F1" w:rsidRPr="005970A0" w:rsidRDefault="007056F1" w:rsidP="007056F1">
            <w:pPr>
              <w:pStyle w:val="TableBodyText"/>
              <w:jc w:val="both"/>
              <w:rPr>
                <w:b/>
                <w:u w:val="single"/>
              </w:rPr>
            </w:pPr>
            <w:r w:rsidRPr="005970A0">
              <w:rPr>
                <w:b/>
                <w:u w:val="single"/>
              </w:rPr>
              <w:t>Data Gaps/Issues Analysis</w:t>
            </w:r>
          </w:p>
        </w:tc>
      </w:tr>
      <w:tr w:rsidR="007056F1" w:rsidRPr="005970A0" w:rsidTr="007056F1">
        <w:tc>
          <w:tcPr>
            <w:tcW w:w="922" w:type="pct"/>
            <w:shd w:val="clear" w:color="auto" w:fill="auto"/>
          </w:tcPr>
          <w:p w:rsidR="007056F1" w:rsidRPr="005970A0" w:rsidRDefault="007056F1" w:rsidP="007056F1">
            <w:pPr>
              <w:pStyle w:val="TableBodyText"/>
              <w:jc w:val="both"/>
              <w:rPr>
                <w:b/>
              </w:rPr>
            </w:pPr>
            <w:r w:rsidRPr="005970A0">
              <w:rPr>
                <w:b/>
              </w:rPr>
              <w:t>Key data gaps/ issues</w:t>
            </w:r>
          </w:p>
        </w:tc>
        <w:tc>
          <w:tcPr>
            <w:tcW w:w="4078" w:type="pct"/>
            <w:shd w:val="clear" w:color="auto" w:fill="auto"/>
          </w:tcPr>
          <w:p w:rsidR="007056F1" w:rsidRPr="005970A0" w:rsidRDefault="007056F1" w:rsidP="007056F1">
            <w:pPr>
              <w:pStyle w:val="TableBodyText"/>
              <w:keepNext w:val="0"/>
              <w:keepLines w:val="0"/>
              <w:spacing w:after="120" w:line="240" w:lineRule="auto"/>
              <w:ind w:left="0" w:right="0"/>
              <w:jc w:val="both"/>
            </w:pPr>
            <w:r w:rsidRPr="005970A0">
              <w:t xml:space="preserve">The Steering Committee notes the following key data gaps/issues: </w:t>
            </w:r>
          </w:p>
          <w:p w:rsidR="007056F1" w:rsidRPr="005970A0" w:rsidRDefault="007056F1" w:rsidP="007056F1">
            <w:pPr>
              <w:pStyle w:val="TableBullet"/>
              <w:tabs>
                <w:tab w:val="clear" w:pos="170"/>
                <w:tab w:val="num" w:pos="179"/>
              </w:tabs>
              <w:spacing w:after="120"/>
              <w:ind w:left="179" w:hanging="179"/>
              <w:jc w:val="both"/>
            </w:pPr>
            <w:r w:rsidRPr="005970A0">
              <w:t>The outcomes indicator ‘skill profile’ is currently unable to be measured, and in the interim ‘skill outputs from VET’ is reported as a proxy for skill profile.</w:t>
            </w:r>
          </w:p>
          <w:p w:rsidR="007056F1" w:rsidRPr="005970A0" w:rsidRDefault="007056F1" w:rsidP="00F664AB">
            <w:pPr>
              <w:pStyle w:val="TableBullet"/>
              <w:spacing w:after="120"/>
              <w:ind w:left="179" w:hanging="179"/>
              <w:jc w:val="both"/>
            </w:pPr>
            <w:r w:rsidRPr="005970A0">
              <w:t xml:space="preserve">Data on qualifications completed includes both government and </w:t>
            </w:r>
            <w:r w:rsidRPr="005970A0">
              <w:br/>
              <w:t>non-government funded VET students attending TAFE, and only government funded students from private providers. This differs to other completions data reported in the VET chapter, which are reported for government-funded students only (in keeping with the scope of the VET chapter focusing on government-funded activity). This is due to a limitation of the data that does not enable correct disaggregation of completions by funding source.</w:t>
            </w:r>
          </w:p>
        </w:tc>
      </w:tr>
    </w:tbl>
    <w:p w:rsidR="007056F1" w:rsidRPr="005970A0" w:rsidRDefault="007056F1" w:rsidP="007056F1">
      <w:pPr>
        <w:pStyle w:val="Heading3"/>
        <w:spacing w:before="240"/>
      </w:pPr>
    </w:p>
    <w:p w:rsidR="007056F1" w:rsidRPr="005970A0" w:rsidRDefault="007056F1" w:rsidP="007056F1">
      <w:pPr>
        <w:rPr>
          <w:rFonts w:ascii="Arial" w:hAnsi="Arial"/>
          <w:b/>
        </w:rPr>
      </w:pPr>
      <w:r w:rsidRPr="005970A0">
        <w:br w:type="page"/>
      </w:r>
    </w:p>
    <w:p w:rsidR="007056F1" w:rsidRPr="005970A0" w:rsidRDefault="007056F1" w:rsidP="00772353">
      <w:pPr>
        <w:pStyle w:val="Heading3"/>
        <w:spacing w:before="120"/>
      </w:pPr>
      <w:bookmarkStart w:id="34" w:name="_Toc325398237"/>
      <w:bookmarkStart w:id="35" w:name="_Toc370472630"/>
      <w:r w:rsidRPr="005970A0">
        <w:lastRenderedPageBreak/>
        <w:t xml:space="preserve">Skill outputs from VET — units of competency </w:t>
      </w:r>
      <w:r w:rsidR="00AF194F">
        <w:t xml:space="preserve">and modules </w:t>
      </w:r>
      <w:r w:rsidRPr="005970A0">
        <w:t xml:space="preserve">completed, and annual change in units of competency </w:t>
      </w:r>
      <w:r w:rsidR="00AF194F">
        <w:t xml:space="preserve">and modules </w:t>
      </w:r>
      <w:r w:rsidRPr="005970A0">
        <w:t>completed</w:t>
      </w:r>
      <w:bookmarkEnd w:id="34"/>
      <w:bookmarkEnd w:id="35"/>
    </w:p>
    <w:p w:rsidR="007056F1" w:rsidRPr="005970A0" w:rsidRDefault="007056F1" w:rsidP="007056F1">
      <w:pPr>
        <w:pStyle w:val="Box"/>
      </w:pPr>
      <w:r w:rsidRPr="005970A0">
        <w:t>Data quality information for this indicator has been drafted by the National Centre for Vocational Education Research (</w:t>
      </w:r>
      <w:proofErr w:type="spellStart"/>
      <w:r w:rsidRPr="005970A0">
        <w:t>NCVER</w:t>
      </w:r>
      <w:proofErr w:type="spellEnd"/>
      <w:r w:rsidRPr="005970A0">
        <w:t>)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7056F1">
        <w:tc>
          <w:tcPr>
            <w:tcW w:w="5000" w:type="pct"/>
            <w:gridSpan w:val="2"/>
          </w:tcPr>
          <w:p w:rsidR="007056F1" w:rsidRPr="005970A0" w:rsidRDefault="007056F1" w:rsidP="007056F1">
            <w:pPr>
              <w:pStyle w:val="TableBodyText"/>
              <w:jc w:val="both"/>
              <w:rPr>
                <w:b/>
                <w:u w:val="single"/>
              </w:rPr>
            </w:pPr>
          </w:p>
          <w:p w:rsidR="007056F1" w:rsidRPr="005970A0" w:rsidRDefault="007056F1" w:rsidP="007056F1">
            <w:pPr>
              <w:pStyle w:val="TableBodyText"/>
              <w:jc w:val="both"/>
            </w:pPr>
            <w:r w:rsidRPr="005970A0">
              <w:rPr>
                <w:b/>
                <w:u w:val="single"/>
              </w:rPr>
              <w:t>Indicator definition and description</w:t>
            </w:r>
            <w:r w:rsidRPr="005970A0">
              <w:rPr>
                <w:rFonts w:cs="Arial"/>
                <w:b/>
                <w:sz w:val="22"/>
                <w:szCs w:val="22"/>
                <w:u w:val="single"/>
              </w:rPr>
              <w:t xml:space="preserve"> </w:t>
            </w:r>
          </w:p>
        </w:tc>
      </w:tr>
      <w:tr w:rsidR="005970A0" w:rsidRPr="005970A0" w:rsidTr="007056F1">
        <w:tc>
          <w:tcPr>
            <w:tcW w:w="922" w:type="pct"/>
          </w:tcPr>
          <w:p w:rsidR="007056F1" w:rsidRPr="005970A0" w:rsidRDefault="007056F1" w:rsidP="007056F1">
            <w:pPr>
              <w:pStyle w:val="TableBodyText"/>
              <w:jc w:val="both"/>
              <w:rPr>
                <w:b/>
              </w:rPr>
            </w:pPr>
            <w:r w:rsidRPr="005970A0">
              <w:rPr>
                <w:b/>
              </w:rPr>
              <w:t>Element</w:t>
            </w:r>
          </w:p>
        </w:tc>
        <w:tc>
          <w:tcPr>
            <w:tcW w:w="4078" w:type="pct"/>
          </w:tcPr>
          <w:p w:rsidR="007056F1" w:rsidRPr="005970A0" w:rsidRDefault="007056F1" w:rsidP="007056F1">
            <w:pPr>
              <w:pStyle w:val="TableBodyText"/>
              <w:keepNext w:val="0"/>
              <w:keepLines w:val="0"/>
              <w:spacing w:after="120" w:line="240" w:lineRule="auto"/>
              <w:ind w:left="0" w:right="0"/>
              <w:jc w:val="both"/>
            </w:pPr>
            <w:r w:rsidRPr="005970A0">
              <w:t>Outcomes.</w:t>
            </w:r>
          </w:p>
        </w:tc>
      </w:tr>
      <w:tr w:rsidR="005970A0" w:rsidRPr="005970A0" w:rsidTr="007056F1">
        <w:tc>
          <w:tcPr>
            <w:tcW w:w="922" w:type="pct"/>
          </w:tcPr>
          <w:p w:rsidR="007056F1" w:rsidRPr="005970A0" w:rsidRDefault="007056F1" w:rsidP="007056F1">
            <w:pPr>
              <w:pStyle w:val="TableBodyText"/>
              <w:jc w:val="both"/>
              <w:rPr>
                <w:b/>
              </w:rPr>
            </w:pPr>
            <w:r w:rsidRPr="005970A0">
              <w:rPr>
                <w:b/>
              </w:rPr>
              <w:t>Indicator</w:t>
            </w:r>
          </w:p>
        </w:tc>
        <w:tc>
          <w:tcPr>
            <w:tcW w:w="4078" w:type="pct"/>
          </w:tcPr>
          <w:p w:rsidR="007056F1" w:rsidRPr="005970A0" w:rsidRDefault="007056F1" w:rsidP="007056F1">
            <w:pPr>
              <w:pStyle w:val="TableBodyText"/>
              <w:keepNext w:val="0"/>
              <w:keepLines w:val="0"/>
              <w:spacing w:after="120" w:line="240" w:lineRule="auto"/>
              <w:ind w:left="0" w:right="0"/>
              <w:jc w:val="both"/>
            </w:pPr>
            <w:r w:rsidRPr="005970A0">
              <w:t>‘Skill outputs from VET’ is a proxy for ‘skill profile’, which is currently unable to be measured.</w:t>
            </w:r>
          </w:p>
        </w:tc>
      </w:tr>
      <w:tr w:rsidR="005970A0" w:rsidRPr="005970A0" w:rsidTr="007056F1">
        <w:tc>
          <w:tcPr>
            <w:tcW w:w="922" w:type="pct"/>
          </w:tcPr>
          <w:p w:rsidR="007056F1" w:rsidRPr="005970A0" w:rsidRDefault="007056F1" w:rsidP="007056F1">
            <w:pPr>
              <w:pStyle w:val="TableBodyText"/>
              <w:jc w:val="both"/>
              <w:rPr>
                <w:b/>
              </w:rPr>
            </w:pPr>
            <w:r w:rsidRPr="005970A0">
              <w:rPr>
                <w:b/>
              </w:rPr>
              <w:t>Measure (computation)</w:t>
            </w:r>
          </w:p>
        </w:tc>
        <w:tc>
          <w:tcPr>
            <w:tcW w:w="4078" w:type="pct"/>
          </w:tcPr>
          <w:p w:rsidR="007056F1" w:rsidRDefault="007056F1" w:rsidP="007056F1">
            <w:pPr>
              <w:pStyle w:val="TableBodyText"/>
              <w:keepNext w:val="0"/>
              <w:keepLines w:val="0"/>
              <w:spacing w:after="120" w:line="240" w:lineRule="auto"/>
              <w:ind w:left="0" w:right="0"/>
              <w:jc w:val="both"/>
            </w:pPr>
            <w:r w:rsidRPr="005970A0">
              <w:t xml:space="preserve">This </w:t>
            </w:r>
            <w:proofErr w:type="spellStart"/>
            <w:r w:rsidRPr="005970A0">
              <w:t>DQI</w:t>
            </w:r>
            <w:proofErr w:type="spellEnd"/>
            <w:r w:rsidRPr="005970A0">
              <w:t xml:space="preserve"> material covers the measure ‘units of competency completed’ and the relevant component (underlined as follows) of the related measure </w:t>
            </w:r>
            <w:r w:rsidRPr="005970A0">
              <w:sym w:font="Symbol" w:char="F0BE"/>
            </w:r>
            <w:r w:rsidRPr="005970A0">
              <w:t xml:space="preserve">  ‘</w:t>
            </w:r>
            <w:r w:rsidRPr="005970A0">
              <w:rPr>
                <w:u w:val="single"/>
              </w:rPr>
              <w:t xml:space="preserve">annual change in </w:t>
            </w:r>
            <w:r w:rsidRPr="005970A0">
              <w:t xml:space="preserve">qualifications completed, </w:t>
            </w:r>
            <w:r w:rsidRPr="005970A0">
              <w:rPr>
                <w:u w:val="single"/>
              </w:rPr>
              <w:t>units of competency completed</w:t>
            </w:r>
            <w:r w:rsidRPr="005970A0">
              <w:t xml:space="preserve"> </w:t>
            </w:r>
            <w:r w:rsidRPr="00AF194F">
              <w:rPr>
                <w:u w:val="single"/>
              </w:rPr>
              <w:t>and modules completed</w:t>
            </w:r>
            <w:r w:rsidRPr="005970A0">
              <w:t>, and annual change in Qualification equivalents.’</w:t>
            </w:r>
          </w:p>
          <w:p w:rsidR="00AF194F" w:rsidRPr="005970A0" w:rsidRDefault="00AF194F" w:rsidP="007056F1">
            <w:pPr>
              <w:pStyle w:val="TableBodyText"/>
              <w:keepNext w:val="0"/>
              <w:keepLines w:val="0"/>
              <w:spacing w:after="120" w:line="240" w:lineRule="auto"/>
              <w:ind w:left="0" w:right="0"/>
              <w:jc w:val="both"/>
            </w:pPr>
            <w:r>
              <w:t>Units of competency and modules are calculated separately and then added together for this measure. Both units of competency and modules completed are included in the Report, as well as the combined figure.</w:t>
            </w:r>
          </w:p>
          <w:p w:rsidR="007056F1" w:rsidRPr="005970A0" w:rsidRDefault="007056F1" w:rsidP="007056F1">
            <w:pPr>
              <w:pStyle w:val="TableBodyText"/>
              <w:jc w:val="both"/>
              <w:rPr>
                <w:u w:val="single"/>
              </w:rPr>
            </w:pPr>
            <w:r w:rsidRPr="005970A0">
              <w:rPr>
                <w:u w:val="single"/>
              </w:rPr>
              <w:t>Definition</w:t>
            </w:r>
          </w:p>
          <w:p w:rsidR="007056F1" w:rsidRPr="005970A0" w:rsidRDefault="007056F1" w:rsidP="007056F1">
            <w:pPr>
              <w:pStyle w:val="TableBodyText"/>
              <w:keepNext w:val="0"/>
              <w:keepLines w:val="0"/>
              <w:spacing w:after="120" w:line="240" w:lineRule="auto"/>
              <w:ind w:left="0" w:right="0"/>
              <w:jc w:val="both"/>
            </w:pPr>
            <w:r w:rsidRPr="005970A0">
              <w:t>Units of competency completed is defined as the number of units of competency successfully achieved/passed each year by government funded VET students, where a unit of competency is defined as a component of a competency standard and/or a statement of a key function or role in a particular job or occupation, endorsed within a national training package.</w:t>
            </w:r>
          </w:p>
          <w:p w:rsidR="007056F1" w:rsidRPr="005970A0" w:rsidRDefault="007056F1" w:rsidP="007056F1">
            <w:pPr>
              <w:pStyle w:val="TableBodyText"/>
              <w:keepNext w:val="0"/>
              <w:keepLines w:val="0"/>
              <w:spacing w:after="120" w:line="240" w:lineRule="auto"/>
              <w:ind w:left="0" w:right="0"/>
              <w:jc w:val="both"/>
            </w:pPr>
            <w:r w:rsidRPr="005970A0">
              <w:t>A unit of competency is the smallest component of a VET program that can be assessed and recognised in the VET system for collection purposes.</w:t>
            </w:r>
          </w:p>
          <w:p w:rsidR="007056F1" w:rsidRPr="005970A0" w:rsidRDefault="007056F1" w:rsidP="007056F1">
            <w:pPr>
              <w:pStyle w:val="TableBodyText"/>
              <w:keepNext w:val="0"/>
              <w:keepLines w:val="0"/>
              <w:spacing w:after="120" w:line="240" w:lineRule="auto"/>
              <w:ind w:left="0" w:right="0"/>
              <w:jc w:val="both"/>
            </w:pPr>
            <w:r w:rsidRPr="005970A0">
              <w:t>Annual change in units of competency completed is defined as the percentage change of units of competency achieved/passed from year to year.</w:t>
            </w:r>
          </w:p>
          <w:p w:rsidR="00AF194F" w:rsidRPr="005970A0" w:rsidRDefault="00AF194F" w:rsidP="00AF194F">
            <w:pPr>
              <w:pStyle w:val="TableBodyText"/>
              <w:keepNext w:val="0"/>
              <w:keepLines w:val="0"/>
              <w:spacing w:after="120" w:line="240" w:lineRule="auto"/>
              <w:ind w:left="0" w:right="0"/>
              <w:jc w:val="both"/>
            </w:pPr>
            <w:r w:rsidRPr="005970A0">
              <w:t>Modules completed is defined as the number of modules (outside training packages) successfully achieved/passed each year by government funded VET students, where a module (also called a subject) is a unit of education or training which can be completed on its own or as part of a course. Modules may also result in the attainment of one or more units of competency.</w:t>
            </w:r>
          </w:p>
          <w:p w:rsidR="00AF194F" w:rsidRPr="005970A0" w:rsidRDefault="00AF194F" w:rsidP="00AF194F">
            <w:pPr>
              <w:pStyle w:val="TableBodyText"/>
              <w:keepNext w:val="0"/>
              <w:keepLines w:val="0"/>
              <w:spacing w:after="120" w:line="240" w:lineRule="auto"/>
              <w:ind w:left="0" w:right="0"/>
              <w:jc w:val="both"/>
            </w:pPr>
            <w:r w:rsidRPr="005970A0">
              <w:t>A module is a unit of training in which a student can enrol and be assessed.</w:t>
            </w:r>
          </w:p>
          <w:p w:rsidR="00AF194F" w:rsidRPr="005970A0" w:rsidRDefault="00AF194F" w:rsidP="00AF194F">
            <w:pPr>
              <w:pStyle w:val="TableBodyText"/>
              <w:keepNext w:val="0"/>
              <w:keepLines w:val="0"/>
              <w:spacing w:after="120" w:line="240" w:lineRule="auto"/>
              <w:ind w:left="0" w:right="0"/>
              <w:jc w:val="both"/>
            </w:pPr>
            <w:r w:rsidRPr="005970A0">
              <w:t>Annual change in modules completed is defined as the percentage change of modules achieved/passed from year to year.</w:t>
            </w:r>
          </w:p>
          <w:p w:rsidR="007056F1" w:rsidRPr="005970A0" w:rsidRDefault="007056F1" w:rsidP="007056F1">
            <w:pPr>
              <w:pStyle w:val="TableBodyText"/>
              <w:spacing w:before="120"/>
              <w:ind w:left="0"/>
              <w:jc w:val="both"/>
              <w:rPr>
                <w:u w:val="single"/>
              </w:rPr>
            </w:pPr>
            <w:r w:rsidRPr="005970A0">
              <w:rPr>
                <w:u w:val="single"/>
              </w:rPr>
              <w:t>Computation/s:</w:t>
            </w:r>
          </w:p>
          <w:p w:rsidR="007056F1" w:rsidRPr="005970A0" w:rsidRDefault="007056F1" w:rsidP="00F664AB">
            <w:pPr>
              <w:pStyle w:val="TableBodyText"/>
              <w:keepNext w:val="0"/>
              <w:keepLines w:val="0"/>
              <w:numPr>
                <w:ilvl w:val="0"/>
                <w:numId w:val="28"/>
              </w:numPr>
              <w:tabs>
                <w:tab w:val="left" w:pos="222"/>
              </w:tabs>
              <w:spacing w:after="60" w:line="240" w:lineRule="auto"/>
              <w:ind w:left="222" w:right="0" w:hanging="222"/>
              <w:jc w:val="both"/>
            </w:pPr>
            <w:r w:rsidRPr="005970A0">
              <w:t xml:space="preserve">Units of competencies completed is the total count of records with a flag of ‘C’ for the </w:t>
            </w:r>
            <w:r w:rsidRPr="005970A0">
              <w:rPr>
                <w:i/>
              </w:rPr>
              <w:t>unit of competency file</w:t>
            </w:r>
            <w:r w:rsidRPr="005970A0">
              <w:t xml:space="preserve"> which are indicated as successfully completed and submitted for the VET Provider data collection by registered training providers.</w:t>
            </w:r>
          </w:p>
          <w:p w:rsidR="007056F1" w:rsidRPr="005970A0" w:rsidRDefault="007056F1" w:rsidP="00F664AB">
            <w:pPr>
              <w:pStyle w:val="TableBodyText"/>
              <w:keepNext w:val="0"/>
              <w:keepLines w:val="0"/>
              <w:numPr>
                <w:ilvl w:val="0"/>
                <w:numId w:val="28"/>
              </w:numPr>
              <w:tabs>
                <w:tab w:val="left" w:pos="222"/>
              </w:tabs>
              <w:spacing w:after="120" w:line="240" w:lineRule="auto"/>
              <w:ind w:left="222" w:right="0" w:hanging="222"/>
              <w:jc w:val="both"/>
            </w:pPr>
            <w:r w:rsidRPr="005970A0">
              <w:t>Annual change in units of competency completed is the percentage change in the number of units of competency completed from one year to the subsequent year, where the number for the prior year is the numerator and number for the subsequent year is the denominator.</w:t>
            </w:r>
          </w:p>
          <w:p w:rsidR="00AF194F" w:rsidRPr="005970A0" w:rsidRDefault="00AF194F" w:rsidP="00AF194F">
            <w:pPr>
              <w:pStyle w:val="TableBodyText"/>
              <w:keepNext w:val="0"/>
              <w:keepLines w:val="0"/>
              <w:numPr>
                <w:ilvl w:val="0"/>
                <w:numId w:val="28"/>
              </w:numPr>
              <w:tabs>
                <w:tab w:val="left" w:pos="222"/>
              </w:tabs>
              <w:spacing w:after="60" w:line="240" w:lineRule="auto"/>
              <w:ind w:left="222" w:right="0" w:hanging="222"/>
              <w:jc w:val="both"/>
            </w:pPr>
            <w:r w:rsidRPr="005970A0">
              <w:t xml:space="preserve">Modules completed is the total count of records with a flag of ‘M’ for the </w:t>
            </w:r>
            <w:r w:rsidRPr="005970A0">
              <w:rPr>
                <w:i/>
              </w:rPr>
              <w:t>unit of competency file</w:t>
            </w:r>
            <w:r w:rsidRPr="005970A0">
              <w:t xml:space="preserve"> which are indicated as successfully completed and submitted for the VET Provider data collection by registered training providers.</w:t>
            </w:r>
          </w:p>
          <w:p w:rsidR="00AF194F" w:rsidRPr="005970A0" w:rsidRDefault="00AF194F" w:rsidP="00AF194F">
            <w:pPr>
              <w:pStyle w:val="TableBodyText"/>
              <w:keepNext w:val="0"/>
              <w:keepLines w:val="0"/>
              <w:numPr>
                <w:ilvl w:val="0"/>
                <w:numId w:val="28"/>
              </w:numPr>
              <w:tabs>
                <w:tab w:val="left" w:pos="222"/>
              </w:tabs>
              <w:spacing w:after="120" w:line="240" w:lineRule="auto"/>
              <w:ind w:left="222" w:right="0" w:hanging="222"/>
              <w:jc w:val="both"/>
            </w:pPr>
            <w:r w:rsidRPr="005970A0">
              <w:lastRenderedPageBreak/>
              <w:t>Annual change in modules completed is the percentage change in the number of modules completed from one year to the subsequent year, where the number for the prior year is the numerator and number for the subsequent year is the denominator.</w:t>
            </w:r>
          </w:p>
          <w:p w:rsidR="007056F1" w:rsidRPr="005970A0" w:rsidRDefault="007056F1" w:rsidP="007056F1">
            <w:pPr>
              <w:pStyle w:val="TableBodyText"/>
              <w:keepNext w:val="0"/>
              <w:keepLines w:val="0"/>
              <w:spacing w:after="120" w:line="240" w:lineRule="auto"/>
              <w:ind w:left="0" w:right="0"/>
              <w:jc w:val="both"/>
              <w:rPr>
                <w:rStyle w:val="DraftingNote"/>
                <w:color w:val="auto"/>
                <w:sz w:val="20"/>
                <w:u w:val="none"/>
              </w:rPr>
            </w:pPr>
            <w:r w:rsidRPr="005970A0">
              <w:t>Comparative data are also reported for VET target groups (residents of remote and very remote areas, people with disability, people speaking a language other than English at home and by Indigenous status), where classification by these target groups is based on self</w:t>
            </w:r>
            <w:r w:rsidRPr="005970A0">
              <w:noBreakHyphen/>
              <w:t>identification by students on their VET enrolment form.</w:t>
            </w:r>
          </w:p>
        </w:tc>
      </w:tr>
      <w:tr w:rsidR="005970A0" w:rsidRPr="005970A0" w:rsidTr="007056F1">
        <w:tc>
          <w:tcPr>
            <w:tcW w:w="922" w:type="pct"/>
          </w:tcPr>
          <w:p w:rsidR="007056F1" w:rsidRPr="005970A0" w:rsidRDefault="007056F1" w:rsidP="007056F1">
            <w:pPr>
              <w:pStyle w:val="TableBodyText"/>
              <w:jc w:val="both"/>
              <w:rPr>
                <w:b/>
              </w:rPr>
            </w:pPr>
            <w:r w:rsidRPr="005970A0">
              <w:rPr>
                <w:b/>
              </w:rPr>
              <w:lastRenderedPageBreak/>
              <w:t>Data source/s</w:t>
            </w:r>
          </w:p>
        </w:tc>
        <w:tc>
          <w:tcPr>
            <w:tcW w:w="4078" w:type="pct"/>
          </w:tcPr>
          <w:p w:rsidR="007056F1" w:rsidRPr="005970A0" w:rsidRDefault="007056F1" w:rsidP="007056F1">
            <w:pPr>
              <w:pStyle w:val="TableBodyText"/>
              <w:keepNext w:val="0"/>
              <w:keepLines w:val="0"/>
              <w:spacing w:after="120" w:line="240" w:lineRule="auto"/>
              <w:ind w:left="0" w:right="0"/>
              <w:jc w:val="both"/>
            </w:pPr>
            <w:r w:rsidRPr="005970A0">
              <w:t xml:space="preserve">All student data are unpublished and are sourced from </w:t>
            </w:r>
            <w:proofErr w:type="spellStart"/>
            <w:r w:rsidRPr="005970A0">
              <w:t>NCVER</w:t>
            </w:r>
            <w:proofErr w:type="spellEnd"/>
            <w:r w:rsidRPr="005970A0">
              <w:t xml:space="preserve"> National VET Provider data collection.</w:t>
            </w:r>
          </w:p>
        </w:tc>
      </w:tr>
      <w:tr w:rsidR="005970A0" w:rsidRPr="005970A0" w:rsidTr="007056F1">
        <w:tc>
          <w:tcPr>
            <w:tcW w:w="5000" w:type="pct"/>
            <w:gridSpan w:val="2"/>
          </w:tcPr>
          <w:p w:rsidR="007056F1" w:rsidRPr="005970A0" w:rsidRDefault="007056F1" w:rsidP="007056F1">
            <w:pPr>
              <w:pStyle w:val="TableBodyText"/>
              <w:jc w:val="both"/>
              <w:rPr>
                <w:b/>
                <w:u w:val="single"/>
              </w:rPr>
            </w:pPr>
            <w:r w:rsidRPr="005970A0">
              <w:rPr>
                <w:b/>
                <w:u w:val="single"/>
              </w:rPr>
              <w:t>Data Quality Framework Dimensions</w:t>
            </w:r>
          </w:p>
        </w:tc>
      </w:tr>
      <w:tr w:rsidR="005970A0" w:rsidRPr="005970A0" w:rsidTr="007056F1">
        <w:tc>
          <w:tcPr>
            <w:tcW w:w="922" w:type="pct"/>
          </w:tcPr>
          <w:p w:rsidR="007056F1" w:rsidRPr="005970A0" w:rsidRDefault="007056F1" w:rsidP="007056F1">
            <w:pPr>
              <w:pStyle w:val="TableBodyText"/>
              <w:jc w:val="both"/>
              <w:rPr>
                <w:b/>
              </w:rPr>
            </w:pPr>
            <w:r w:rsidRPr="005970A0">
              <w:rPr>
                <w:b/>
              </w:rPr>
              <w:t>Institutional environment</w:t>
            </w:r>
          </w:p>
        </w:tc>
        <w:tc>
          <w:tcPr>
            <w:tcW w:w="4078" w:type="pct"/>
          </w:tcPr>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The National Centre for Vocational Education Research (</w:t>
            </w:r>
            <w:proofErr w:type="spellStart"/>
            <w:r w:rsidRPr="005970A0">
              <w:rPr>
                <w:rFonts w:ascii="Arial" w:hAnsi="Arial" w:cs="Arial"/>
                <w:sz w:val="20"/>
                <w:szCs w:val="20"/>
              </w:rPr>
              <w:t>NCVER</w:t>
            </w:r>
            <w:proofErr w:type="spellEnd"/>
            <w:r w:rsidRPr="005970A0">
              <w:rPr>
                <w:rFonts w:ascii="Arial" w:hAnsi="Arial" w:cs="Arial"/>
                <w:sz w:val="20"/>
                <w:szCs w:val="20"/>
              </w:rPr>
              <w:t>) is a not-for-profit company owned by the federal, state and territory ministers responsible for training.</w:t>
            </w:r>
          </w:p>
          <w:p w:rsidR="007056F1" w:rsidRPr="005970A0" w:rsidRDefault="007056F1" w:rsidP="007056F1">
            <w:pPr>
              <w:spacing w:after="120"/>
              <w:jc w:val="both"/>
              <w:rPr>
                <w:rFonts w:ascii="Arial" w:hAnsi="Arial" w:cs="Arial"/>
                <w:sz w:val="20"/>
                <w:szCs w:val="20"/>
              </w:rPr>
            </w:pPr>
            <w:proofErr w:type="spellStart"/>
            <w:r w:rsidRPr="005970A0">
              <w:rPr>
                <w:rFonts w:ascii="Arial" w:hAnsi="Arial" w:cs="Arial"/>
                <w:sz w:val="20"/>
                <w:szCs w:val="20"/>
              </w:rPr>
              <w:t>NCVER</w:t>
            </w:r>
            <w:proofErr w:type="spellEnd"/>
            <w:r w:rsidRPr="005970A0">
              <w:rPr>
                <w:rFonts w:ascii="Arial" w:hAnsi="Arial" w:cs="Arial"/>
                <w:sz w:val="20"/>
                <w:szCs w:val="20"/>
              </w:rPr>
              <w:t xml:space="preserve">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7056F1" w:rsidRPr="005970A0" w:rsidRDefault="007056F1" w:rsidP="007056F1">
            <w:pPr>
              <w:pStyle w:val="TableBodyText"/>
              <w:keepNext w:val="0"/>
              <w:keepLines w:val="0"/>
              <w:spacing w:after="120" w:line="240" w:lineRule="auto"/>
              <w:ind w:left="0" w:right="0"/>
              <w:jc w:val="both"/>
              <w:rPr>
                <w:rFonts w:cs="Arial"/>
                <w:u w:val="single"/>
              </w:rPr>
            </w:pPr>
            <w:r w:rsidRPr="005970A0">
              <w:rPr>
                <w:rFonts w:cs="Arial"/>
              </w:rPr>
              <w:t xml:space="preserve">For further information on the </w:t>
            </w:r>
            <w:proofErr w:type="spellStart"/>
            <w:r w:rsidRPr="005970A0">
              <w:rPr>
                <w:rFonts w:cs="Arial"/>
              </w:rPr>
              <w:t>NCVER</w:t>
            </w:r>
            <w:proofErr w:type="spellEnd"/>
            <w:r w:rsidRPr="005970A0">
              <w:rPr>
                <w:rFonts w:cs="Arial"/>
              </w:rPr>
              <w:t xml:space="preserve">, see </w:t>
            </w:r>
            <w:r w:rsidR="00F664AB" w:rsidRPr="00D86CD7">
              <w:rPr>
                <w:rFonts w:cs="Arial"/>
              </w:rPr>
              <w:t>http://</w:t>
            </w:r>
            <w:proofErr w:type="spellStart"/>
            <w:r w:rsidR="00F664AB" w:rsidRPr="00D86CD7">
              <w:rPr>
                <w:rFonts w:cs="Arial"/>
              </w:rPr>
              <w:t>www.ncver.edu.au</w:t>
            </w:r>
            <w:proofErr w:type="spellEnd"/>
            <w:r w:rsidR="00F664AB" w:rsidRPr="00D86CD7">
              <w:rPr>
                <w:rFonts w:cs="Arial"/>
              </w:rPr>
              <w:t>/</w:t>
            </w:r>
            <w:proofErr w:type="spellStart"/>
            <w:r w:rsidR="00F664AB" w:rsidRPr="00D86CD7">
              <w:rPr>
                <w:rFonts w:cs="Arial"/>
              </w:rPr>
              <w:t>aboutncver</w:t>
            </w:r>
            <w:proofErr w:type="spellEnd"/>
            <w:r w:rsidR="00F664AB" w:rsidRPr="00D86CD7">
              <w:rPr>
                <w:rFonts w:cs="Arial"/>
              </w:rPr>
              <w:t>/</w:t>
            </w:r>
            <w:r w:rsidR="00F664AB" w:rsidRPr="00D86CD7">
              <w:rPr>
                <w:rFonts w:cs="Arial"/>
              </w:rPr>
              <w:br/>
            </w:r>
            <w:proofErr w:type="spellStart"/>
            <w:r w:rsidR="00F664AB" w:rsidRPr="00D86CD7">
              <w:rPr>
                <w:rFonts w:cs="Arial"/>
              </w:rPr>
              <w:t>who.html</w:t>
            </w:r>
            <w:proofErr w:type="spellEnd"/>
          </w:p>
        </w:tc>
      </w:tr>
      <w:tr w:rsidR="005970A0" w:rsidRPr="005970A0" w:rsidTr="007056F1">
        <w:tc>
          <w:tcPr>
            <w:tcW w:w="922" w:type="pct"/>
          </w:tcPr>
          <w:p w:rsidR="007056F1" w:rsidRPr="005970A0" w:rsidRDefault="007056F1" w:rsidP="007056F1">
            <w:pPr>
              <w:pStyle w:val="TableBodyText"/>
              <w:jc w:val="both"/>
              <w:rPr>
                <w:b/>
              </w:rPr>
            </w:pPr>
            <w:r w:rsidRPr="005970A0">
              <w:rPr>
                <w:b/>
              </w:rPr>
              <w:t>Relevance</w:t>
            </w:r>
          </w:p>
        </w:tc>
        <w:tc>
          <w:tcPr>
            <w:tcW w:w="4078" w:type="pct"/>
          </w:tcPr>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The National VET Provider Collection collects information relating to students, courses, qualifications, training providers and funding in Australia’s publicly funded vocational education and training (VET) system.</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This collection does not report on the following types of training activity:</w:t>
            </w:r>
          </w:p>
          <w:p w:rsidR="007056F1" w:rsidRPr="005970A0" w:rsidRDefault="007056F1" w:rsidP="007056F1">
            <w:pPr>
              <w:numPr>
                <w:ilvl w:val="0"/>
                <w:numId w:val="24"/>
              </w:numPr>
              <w:tabs>
                <w:tab w:val="clear" w:pos="363"/>
                <w:tab w:val="num" w:pos="179"/>
              </w:tabs>
              <w:spacing w:after="40"/>
              <w:ind w:left="179" w:hanging="180"/>
              <w:jc w:val="both"/>
              <w:rPr>
                <w:rFonts w:ascii="Arial" w:hAnsi="Arial" w:cs="Arial"/>
                <w:sz w:val="20"/>
                <w:szCs w:val="20"/>
              </w:rPr>
            </w:pPr>
            <w:r w:rsidRPr="005970A0">
              <w:rPr>
                <w:rFonts w:ascii="Arial" w:hAnsi="Arial" w:cs="Arial"/>
                <w:sz w:val="20"/>
                <w:szCs w:val="20"/>
              </w:rPr>
              <w:t xml:space="preserve">recreation, leisure and personal enrichment </w:t>
            </w:r>
          </w:p>
          <w:p w:rsidR="007056F1" w:rsidRPr="005970A0" w:rsidRDefault="007056F1" w:rsidP="007056F1">
            <w:pPr>
              <w:numPr>
                <w:ilvl w:val="0"/>
                <w:numId w:val="24"/>
              </w:numPr>
              <w:tabs>
                <w:tab w:val="clear" w:pos="363"/>
                <w:tab w:val="num" w:pos="179"/>
              </w:tabs>
              <w:spacing w:after="40"/>
              <w:ind w:left="179" w:hanging="180"/>
              <w:jc w:val="both"/>
              <w:rPr>
                <w:rFonts w:ascii="Arial" w:hAnsi="Arial" w:cs="Arial"/>
                <w:sz w:val="20"/>
                <w:szCs w:val="20"/>
              </w:rPr>
            </w:pPr>
            <w:r w:rsidRPr="005970A0">
              <w:rPr>
                <w:rFonts w:ascii="Arial" w:hAnsi="Arial" w:cs="Arial"/>
                <w:sz w:val="20"/>
                <w:szCs w:val="20"/>
              </w:rPr>
              <w:t xml:space="preserve">fee-for-service VET by private providers </w:t>
            </w:r>
          </w:p>
          <w:p w:rsidR="007056F1" w:rsidRPr="005970A0" w:rsidRDefault="007056F1" w:rsidP="007056F1">
            <w:pPr>
              <w:numPr>
                <w:ilvl w:val="0"/>
                <w:numId w:val="24"/>
              </w:numPr>
              <w:tabs>
                <w:tab w:val="clear" w:pos="363"/>
                <w:tab w:val="num" w:pos="179"/>
              </w:tabs>
              <w:spacing w:after="40"/>
              <w:ind w:left="179" w:hanging="180"/>
              <w:jc w:val="both"/>
              <w:rPr>
                <w:rFonts w:ascii="Arial" w:hAnsi="Arial" w:cs="Arial"/>
                <w:sz w:val="20"/>
                <w:szCs w:val="20"/>
              </w:rPr>
            </w:pPr>
            <w:r w:rsidRPr="005970A0">
              <w:rPr>
                <w:rFonts w:ascii="Arial" w:hAnsi="Arial" w:cs="Arial"/>
                <w:sz w:val="20"/>
                <w:szCs w:val="20"/>
              </w:rPr>
              <w:t xml:space="preserve">delivery undertaken at overseas campuses of Australian VET institutions </w:t>
            </w:r>
          </w:p>
          <w:p w:rsidR="007056F1" w:rsidRPr="005970A0" w:rsidRDefault="007056F1" w:rsidP="007056F1">
            <w:pPr>
              <w:numPr>
                <w:ilvl w:val="0"/>
                <w:numId w:val="24"/>
              </w:numPr>
              <w:tabs>
                <w:tab w:val="clear" w:pos="363"/>
                <w:tab w:val="num" w:pos="179"/>
              </w:tabs>
              <w:spacing w:after="40"/>
              <w:ind w:left="179" w:hanging="180"/>
              <w:jc w:val="both"/>
              <w:rPr>
                <w:rFonts w:ascii="Arial" w:hAnsi="Arial" w:cs="Arial"/>
                <w:sz w:val="20"/>
                <w:szCs w:val="20"/>
              </w:rPr>
            </w:pPr>
            <w:r w:rsidRPr="005970A0">
              <w:rPr>
                <w:rFonts w:ascii="Arial" w:hAnsi="Arial" w:cs="Arial"/>
                <w:sz w:val="20"/>
                <w:szCs w:val="20"/>
              </w:rPr>
              <w:t>credit transfer</w:t>
            </w:r>
          </w:p>
          <w:p w:rsidR="007056F1" w:rsidRPr="005970A0" w:rsidRDefault="007056F1" w:rsidP="007056F1">
            <w:pPr>
              <w:numPr>
                <w:ilvl w:val="0"/>
                <w:numId w:val="24"/>
              </w:numPr>
              <w:tabs>
                <w:tab w:val="clear" w:pos="363"/>
                <w:tab w:val="num" w:pos="179"/>
              </w:tabs>
              <w:spacing w:after="120"/>
              <w:ind w:left="179" w:hanging="180"/>
              <w:jc w:val="both"/>
              <w:rPr>
                <w:rFonts w:ascii="Arial" w:hAnsi="Arial" w:cs="Arial"/>
                <w:sz w:val="20"/>
                <w:szCs w:val="20"/>
              </w:rPr>
            </w:pPr>
            <w:r w:rsidRPr="005970A0">
              <w:rPr>
                <w:rFonts w:ascii="Arial" w:hAnsi="Arial" w:cs="Arial"/>
                <w:sz w:val="20"/>
                <w:szCs w:val="20"/>
              </w:rPr>
              <w:t>VET delivered in schools, where the delivery has been undertaken by schools.</w:t>
            </w:r>
          </w:p>
        </w:tc>
      </w:tr>
      <w:tr w:rsidR="005970A0" w:rsidRPr="005970A0" w:rsidTr="007056F1">
        <w:tc>
          <w:tcPr>
            <w:tcW w:w="922" w:type="pct"/>
          </w:tcPr>
          <w:p w:rsidR="007056F1" w:rsidRPr="005970A0" w:rsidRDefault="007056F1" w:rsidP="007056F1">
            <w:pPr>
              <w:pStyle w:val="TableBodyText"/>
              <w:jc w:val="both"/>
              <w:rPr>
                <w:b/>
              </w:rPr>
            </w:pPr>
            <w:r w:rsidRPr="005970A0">
              <w:rPr>
                <w:b/>
              </w:rPr>
              <w:t>Timeliness</w:t>
            </w:r>
          </w:p>
        </w:tc>
        <w:tc>
          <w:tcPr>
            <w:tcW w:w="4078" w:type="pct"/>
          </w:tcPr>
          <w:p w:rsidR="007056F1" w:rsidRPr="005970A0" w:rsidRDefault="007056F1" w:rsidP="00440520">
            <w:pPr>
              <w:pStyle w:val="TableBodyText"/>
              <w:keepNext w:val="0"/>
              <w:keepLines w:val="0"/>
              <w:spacing w:after="120" w:line="240" w:lineRule="auto"/>
              <w:ind w:left="0" w:right="0"/>
              <w:jc w:val="both"/>
            </w:pPr>
            <w:r w:rsidRPr="005970A0">
              <w:t xml:space="preserve">The National VET Provider Collection is an annual collection of data. Data are submitted to </w:t>
            </w:r>
            <w:proofErr w:type="spellStart"/>
            <w:r w:rsidRPr="005970A0">
              <w:t>NCVER</w:t>
            </w:r>
            <w:proofErr w:type="spellEnd"/>
            <w:r w:rsidRPr="005970A0">
              <w:t xml:space="preserve"> (via state training authorities) by 31 March in the year following activity. A summary of </w:t>
            </w:r>
            <w:r w:rsidR="00440520">
              <w:t>2012</w:t>
            </w:r>
            <w:r w:rsidR="00440520" w:rsidRPr="005970A0">
              <w:t xml:space="preserve"> </w:t>
            </w:r>
            <w:r w:rsidRPr="005970A0">
              <w:t xml:space="preserve">data was released in early July </w:t>
            </w:r>
            <w:r w:rsidR="00440520">
              <w:t>2013</w:t>
            </w:r>
            <w:r w:rsidR="00440520" w:rsidRPr="005970A0">
              <w:t xml:space="preserve"> </w:t>
            </w:r>
            <w:r w:rsidRPr="005970A0">
              <w:t xml:space="preserve">in </w:t>
            </w:r>
            <w:r w:rsidRPr="00D86CD7">
              <w:t>Students and Courses</w:t>
            </w:r>
            <w:r w:rsidRPr="005970A0">
              <w:t>.</w:t>
            </w:r>
          </w:p>
        </w:tc>
      </w:tr>
    </w:tbl>
    <w:p w:rsidR="004549A9" w:rsidRDefault="004549A9"/>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7056F1">
        <w:tc>
          <w:tcPr>
            <w:tcW w:w="922" w:type="pct"/>
          </w:tcPr>
          <w:p w:rsidR="007056F1" w:rsidRPr="005970A0" w:rsidRDefault="007056F1" w:rsidP="007056F1">
            <w:pPr>
              <w:pStyle w:val="TableBodyText"/>
              <w:jc w:val="both"/>
              <w:rPr>
                <w:b/>
              </w:rPr>
            </w:pPr>
            <w:r w:rsidRPr="005970A0">
              <w:rPr>
                <w:b/>
              </w:rPr>
              <w:lastRenderedPageBreak/>
              <w:t>Accuracy</w:t>
            </w:r>
          </w:p>
        </w:tc>
        <w:tc>
          <w:tcPr>
            <w:tcW w:w="4078" w:type="pct"/>
          </w:tcPr>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The National VET Provider Collection is a collection of all publicly funded training activity in Australia in a particular year. It is an administrative collection.</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 xml:space="preserve">Publicly funded registered training organisations submit unit record data directly to state/territory training authorities, who in turn submit the data to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Prior to submissions to </w:t>
            </w:r>
            <w:proofErr w:type="spellStart"/>
            <w:r w:rsidRPr="005970A0">
              <w:rPr>
                <w:rFonts w:ascii="Arial" w:hAnsi="Arial" w:cs="Arial"/>
                <w:sz w:val="20"/>
                <w:szCs w:val="20"/>
              </w:rPr>
              <w:t>NCVER</w:t>
            </w:r>
            <w:proofErr w:type="spellEnd"/>
            <w:r w:rsidRPr="005970A0">
              <w:rPr>
                <w:rFonts w:ascii="Arial" w:hAnsi="Arial" w:cs="Arial"/>
                <w:sz w:val="20"/>
                <w:szCs w:val="20"/>
              </w:rPr>
              <w:t>, data must first pass a validation process to ensure that data conforms to the Australian vocational education and training management information statistical standard (</w:t>
            </w:r>
            <w:proofErr w:type="spellStart"/>
            <w:r w:rsidRPr="005970A0">
              <w:rPr>
                <w:rFonts w:ascii="Arial" w:hAnsi="Arial" w:cs="Arial"/>
                <w:sz w:val="20"/>
                <w:szCs w:val="20"/>
              </w:rPr>
              <w:t>AVETMISS</w:t>
            </w:r>
            <w:proofErr w:type="spellEnd"/>
            <w:r w:rsidRPr="005970A0">
              <w:rPr>
                <w:rFonts w:ascii="Arial" w:hAnsi="Arial" w:cs="Arial"/>
                <w:sz w:val="20"/>
                <w:szCs w:val="20"/>
              </w:rPr>
              <w:t xml:space="preserve">) (Refer to </w:t>
            </w:r>
            <w:r w:rsidRPr="005970A0">
              <w:rPr>
                <w:rFonts w:ascii="Arial" w:hAnsi="Arial" w:cs="Arial"/>
                <w:sz w:val="20"/>
                <w:szCs w:val="20"/>
                <w:u w:val="single"/>
              </w:rPr>
              <w:t>http://</w:t>
            </w:r>
            <w:proofErr w:type="spellStart"/>
            <w:r w:rsidRPr="005970A0">
              <w:rPr>
                <w:rFonts w:ascii="Arial" w:hAnsi="Arial" w:cs="Arial"/>
                <w:sz w:val="20"/>
                <w:szCs w:val="20"/>
                <w:u w:val="single"/>
              </w:rPr>
              <w:t>www.ncver.edu.au</w:t>
            </w:r>
            <w:proofErr w:type="spellEnd"/>
            <w:r w:rsidRPr="005970A0">
              <w:rPr>
                <w:rFonts w:ascii="Arial" w:hAnsi="Arial" w:cs="Arial"/>
                <w:sz w:val="20"/>
                <w:szCs w:val="20"/>
                <w:u w:val="single"/>
              </w:rPr>
              <w:t>/</w:t>
            </w:r>
            <w:proofErr w:type="spellStart"/>
            <w:r w:rsidRPr="005970A0">
              <w:rPr>
                <w:rFonts w:ascii="Arial" w:hAnsi="Arial" w:cs="Arial"/>
                <w:sz w:val="20"/>
                <w:szCs w:val="20"/>
                <w:u w:val="single"/>
              </w:rPr>
              <w:t>avetmiss</w:t>
            </w:r>
            <w:proofErr w:type="spellEnd"/>
            <w:r w:rsidRPr="005970A0">
              <w:rPr>
                <w:rFonts w:ascii="Arial" w:hAnsi="Arial" w:cs="Arial"/>
                <w:sz w:val="20"/>
                <w:szCs w:val="20"/>
                <w:u w:val="single"/>
              </w:rPr>
              <w:t>/</w:t>
            </w:r>
            <w:proofErr w:type="spellStart"/>
            <w:r w:rsidRPr="005970A0">
              <w:rPr>
                <w:rFonts w:ascii="Arial" w:hAnsi="Arial" w:cs="Arial"/>
                <w:sz w:val="20"/>
                <w:szCs w:val="20"/>
                <w:u w:val="single"/>
              </w:rPr>
              <w:t>21055.html</w:t>
            </w:r>
            <w:proofErr w:type="spellEnd"/>
            <w:r w:rsidRPr="005970A0">
              <w:rPr>
                <w:rFonts w:ascii="Arial" w:hAnsi="Arial" w:cs="Arial"/>
                <w:sz w:val="20"/>
                <w:szCs w:val="20"/>
              </w:rPr>
              <w:t xml:space="preserve">). </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 xml:space="preserve">Once data submissions are received by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they are subjected to a comprehensive data quality checking program to ensure accurate reporting against agreed Key Performance Measures (</w:t>
            </w:r>
            <w:proofErr w:type="spellStart"/>
            <w:r w:rsidRPr="005970A0">
              <w:rPr>
                <w:rFonts w:ascii="Arial" w:hAnsi="Arial" w:cs="Arial"/>
                <w:sz w:val="20"/>
                <w:szCs w:val="20"/>
              </w:rPr>
              <w:t>KPMs</w:t>
            </w:r>
            <w:proofErr w:type="spellEnd"/>
            <w:r w:rsidRPr="005970A0">
              <w:rPr>
                <w:rFonts w:ascii="Arial" w:hAnsi="Arial" w:cs="Arial"/>
                <w:sz w:val="20"/>
                <w:szCs w:val="20"/>
              </w:rPr>
              <w:t xml:space="preserve">). </w:t>
            </w:r>
          </w:p>
        </w:tc>
      </w:tr>
      <w:tr w:rsidR="005970A0" w:rsidRPr="005970A0" w:rsidTr="007056F1">
        <w:tc>
          <w:tcPr>
            <w:tcW w:w="922" w:type="pct"/>
          </w:tcPr>
          <w:p w:rsidR="007056F1" w:rsidRPr="005970A0" w:rsidRDefault="007056F1" w:rsidP="007056F1">
            <w:pPr>
              <w:pStyle w:val="TableBodyText"/>
              <w:jc w:val="both"/>
              <w:rPr>
                <w:b/>
              </w:rPr>
            </w:pPr>
            <w:r w:rsidRPr="005970A0">
              <w:rPr>
                <w:b/>
              </w:rPr>
              <w:t>Coherence</w:t>
            </w:r>
          </w:p>
        </w:tc>
        <w:tc>
          <w:tcPr>
            <w:tcW w:w="4078" w:type="pct"/>
          </w:tcPr>
          <w:p w:rsidR="007056F1" w:rsidRPr="005970A0" w:rsidRDefault="007056F1" w:rsidP="007056F1">
            <w:pPr>
              <w:pStyle w:val="TableBodyText"/>
              <w:keepNext w:val="0"/>
              <w:keepLines w:val="0"/>
              <w:spacing w:after="120" w:line="240" w:lineRule="auto"/>
              <w:ind w:left="0" w:right="0"/>
              <w:jc w:val="both"/>
            </w:pPr>
            <w:proofErr w:type="spellStart"/>
            <w:r w:rsidRPr="005970A0">
              <w:t>AVETMISS</w:t>
            </w:r>
            <w:proofErr w:type="spellEnd"/>
            <w:r w:rsidRPr="005970A0">
              <w:t xml:space="preserve"> provides the foundation for nationally comparable data and includes a range of data items relevant to the VET system. From 2007, data comply with release 6.0 of </w:t>
            </w:r>
            <w:proofErr w:type="spellStart"/>
            <w:r w:rsidRPr="005970A0">
              <w:t>AVETMISS</w:t>
            </w:r>
            <w:proofErr w:type="spellEnd"/>
            <w:r w:rsidRPr="005970A0">
              <w:t xml:space="preserve">, </w:t>
            </w:r>
            <w:r w:rsidRPr="00EC5E2C">
              <w:t xml:space="preserve">whereas previous collections complied with earlier releases. For details, see </w:t>
            </w:r>
            <w:r w:rsidRPr="00D86CD7">
              <w:t>http://</w:t>
            </w:r>
            <w:proofErr w:type="spellStart"/>
            <w:r w:rsidRPr="00D86CD7">
              <w:t>www.ncver.edu.au</w:t>
            </w:r>
            <w:proofErr w:type="spellEnd"/>
            <w:r w:rsidRPr="00D86CD7">
              <w:t>/</w:t>
            </w:r>
            <w:proofErr w:type="spellStart"/>
            <w:r w:rsidRPr="00D86CD7">
              <w:t>avetmiss</w:t>
            </w:r>
            <w:proofErr w:type="spellEnd"/>
            <w:r w:rsidRPr="00D86CD7">
              <w:t>/</w:t>
            </w:r>
            <w:proofErr w:type="spellStart"/>
            <w:r w:rsidRPr="00D86CD7">
              <w:t>21055.html</w:t>
            </w:r>
            <w:proofErr w:type="spellEnd"/>
            <w:r w:rsidRPr="00EC5E2C">
              <w:t>.</w:t>
            </w:r>
            <w:r w:rsidR="00DF031A" w:rsidRPr="00EC5E2C">
              <w:t xml:space="preserve"> From 2012, data comply with release 6.1 of </w:t>
            </w:r>
            <w:proofErr w:type="spellStart"/>
            <w:r w:rsidR="00DF031A" w:rsidRPr="00EC5E2C">
              <w:t>AVETMISS</w:t>
            </w:r>
            <w:proofErr w:type="spellEnd"/>
            <w:r w:rsidR="00DF031A" w:rsidRPr="00EC5E2C">
              <w:t>, whereas previous collections complied with earlier releases. For details, see http://</w:t>
            </w:r>
            <w:proofErr w:type="spellStart"/>
            <w:r w:rsidR="00DF031A" w:rsidRPr="00EC5E2C">
              <w:t>www.ncver.edu.au</w:t>
            </w:r>
            <w:proofErr w:type="spellEnd"/>
            <w:r w:rsidR="00DF031A" w:rsidRPr="00EC5E2C">
              <w:t>/</w:t>
            </w:r>
            <w:proofErr w:type="spellStart"/>
            <w:r w:rsidR="00DF031A" w:rsidRPr="00EC5E2C">
              <w:t>avetmiss</w:t>
            </w:r>
            <w:proofErr w:type="spellEnd"/>
            <w:r w:rsidR="00DF031A" w:rsidRPr="00EC5E2C">
              <w:t>/</w:t>
            </w:r>
            <w:proofErr w:type="spellStart"/>
            <w:r w:rsidR="00DF031A" w:rsidRPr="00EC5E2C">
              <w:t>21055.html</w:t>
            </w:r>
            <w:proofErr w:type="spellEnd"/>
          </w:p>
        </w:tc>
      </w:tr>
      <w:tr w:rsidR="005970A0" w:rsidRPr="005970A0" w:rsidTr="007056F1">
        <w:tc>
          <w:tcPr>
            <w:tcW w:w="922" w:type="pct"/>
          </w:tcPr>
          <w:p w:rsidR="007056F1" w:rsidRPr="005970A0" w:rsidRDefault="007056F1" w:rsidP="007056F1">
            <w:pPr>
              <w:pStyle w:val="TableBodyText"/>
              <w:jc w:val="both"/>
              <w:rPr>
                <w:b/>
              </w:rPr>
            </w:pPr>
            <w:r w:rsidRPr="005970A0">
              <w:rPr>
                <w:b/>
              </w:rPr>
              <w:t>Accessibility</w:t>
            </w:r>
          </w:p>
        </w:tc>
        <w:tc>
          <w:tcPr>
            <w:tcW w:w="4078" w:type="pct"/>
          </w:tcPr>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 xml:space="preserve">Summary information is available free of charge in </w:t>
            </w:r>
            <w:r w:rsidRPr="005970A0">
              <w:rPr>
                <w:rFonts w:ascii="Arial" w:hAnsi="Arial" w:cs="Arial"/>
                <w:sz w:val="20"/>
                <w:szCs w:val="20"/>
                <w:u w:val="single"/>
              </w:rPr>
              <w:t>Students and Courses</w:t>
            </w:r>
            <w:r w:rsidRPr="005970A0">
              <w:rPr>
                <w:rFonts w:ascii="Arial" w:hAnsi="Arial" w:cs="Arial"/>
                <w:sz w:val="20"/>
                <w:szCs w:val="20"/>
              </w:rPr>
              <w:t xml:space="preserve"> on </w:t>
            </w:r>
            <w:proofErr w:type="spellStart"/>
            <w:r w:rsidRPr="005970A0">
              <w:rPr>
                <w:rFonts w:ascii="Arial" w:hAnsi="Arial" w:cs="Arial"/>
                <w:sz w:val="20"/>
                <w:szCs w:val="20"/>
              </w:rPr>
              <w:t>NCVER’s</w:t>
            </w:r>
            <w:proofErr w:type="spellEnd"/>
            <w:r w:rsidRPr="005970A0">
              <w:rPr>
                <w:rFonts w:ascii="Arial" w:hAnsi="Arial" w:cs="Arial"/>
                <w:sz w:val="20"/>
                <w:szCs w:val="20"/>
              </w:rPr>
              <w:t xml:space="preserve"> website at: </w:t>
            </w:r>
            <w:r w:rsidRPr="00D86CD7">
              <w:rPr>
                <w:rFonts w:ascii="Arial" w:hAnsi="Arial" w:cs="Arial"/>
                <w:sz w:val="20"/>
                <w:szCs w:val="20"/>
              </w:rPr>
              <w:t>http://</w:t>
            </w:r>
            <w:proofErr w:type="spellStart"/>
            <w:r w:rsidRPr="00D86CD7">
              <w:rPr>
                <w:rFonts w:ascii="Arial" w:hAnsi="Arial" w:cs="Arial"/>
                <w:sz w:val="20"/>
                <w:szCs w:val="20"/>
              </w:rPr>
              <w:t>www.ncver.edu.au</w:t>
            </w:r>
            <w:proofErr w:type="spellEnd"/>
            <w:r w:rsidRPr="00D86CD7">
              <w:rPr>
                <w:rFonts w:ascii="Arial" w:hAnsi="Arial" w:cs="Arial"/>
                <w:sz w:val="20"/>
                <w:szCs w:val="20"/>
              </w:rPr>
              <w:t>/statistic/</w:t>
            </w:r>
            <w:proofErr w:type="spellStart"/>
            <w:r w:rsidRPr="00D86CD7">
              <w:rPr>
                <w:rFonts w:ascii="Arial" w:hAnsi="Arial" w:cs="Arial"/>
                <w:sz w:val="20"/>
                <w:szCs w:val="20"/>
              </w:rPr>
              <w:t>21053.html</w:t>
            </w:r>
            <w:proofErr w:type="spellEnd"/>
            <w:r w:rsidRPr="005970A0">
              <w:rPr>
                <w:rFonts w:ascii="Arial" w:hAnsi="Arial" w:cs="Arial"/>
                <w:sz w:val="20"/>
                <w:szCs w:val="20"/>
              </w:rPr>
              <w:t xml:space="preserve">. Requests for more detailed statistical information can be made to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on (08) 8230 8400 or </w:t>
            </w:r>
            <w:proofErr w:type="spellStart"/>
            <w:r w:rsidRPr="005970A0">
              <w:rPr>
                <w:rFonts w:ascii="Arial" w:hAnsi="Arial" w:cs="Arial"/>
                <w:sz w:val="20"/>
                <w:szCs w:val="20"/>
                <w:u w:val="single"/>
              </w:rPr>
              <w:t>vet_req@ncver.edu.au</w:t>
            </w:r>
            <w:proofErr w:type="spellEnd"/>
          </w:p>
          <w:p w:rsidR="007056F1" w:rsidRPr="005970A0" w:rsidRDefault="007056F1" w:rsidP="007056F1">
            <w:pPr>
              <w:pStyle w:val="TableBodyText"/>
              <w:keepNext w:val="0"/>
              <w:keepLines w:val="0"/>
              <w:spacing w:after="120" w:line="240" w:lineRule="auto"/>
              <w:ind w:left="0" w:right="0"/>
              <w:jc w:val="both"/>
              <w:rPr>
                <w:rFonts w:cs="Arial"/>
                <w:u w:val="single"/>
              </w:rPr>
            </w:pPr>
            <w:r w:rsidRPr="005970A0">
              <w:rPr>
                <w:rFonts w:cs="Arial"/>
              </w:rPr>
              <w:t xml:space="preserve">A charge will be generally made by the </w:t>
            </w:r>
            <w:proofErr w:type="spellStart"/>
            <w:r w:rsidRPr="005970A0">
              <w:rPr>
                <w:rFonts w:cs="Arial"/>
              </w:rPr>
              <w:t>NCVER</w:t>
            </w:r>
            <w:proofErr w:type="spellEnd"/>
            <w:r w:rsidRPr="005970A0">
              <w:rPr>
                <w:rFonts w:cs="Arial"/>
              </w:rPr>
              <w:t xml:space="preserve"> for more complex requests for information. See </w:t>
            </w:r>
            <w:proofErr w:type="spellStart"/>
            <w:r w:rsidRPr="005970A0">
              <w:rPr>
                <w:rFonts w:cs="Arial"/>
              </w:rPr>
              <w:t>NCVER’s</w:t>
            </w:r>
            <w:proofErr w:type="spellEnd"/>
            <w:r w:rsidRPr="005970A0">
              <w:rPr>
                <w:rFonts w:cs="Arial"/>
              </w:rPr>
              <w:t xml:space="preserve"> fees and charges policy at </w:t>
            </w:r>
            <w:r w:rsidRPr="005970A0">
              <w:rPr>
                <w:rFonts w:cs="Arial"/>
                <w:u w:val="single"/>
              </w:rPr>
              <w:t>http://</w:t>
            </w:r>
            <w:proofErr w:type="spellStart"/>
            <w:r w:rsidRPr="005970A0">
              <w:rPr>
                <w:rFonts w:cs="Arial"/>
                <w:u w:val="single"/>
              </w:rPr>
              <w:t>www.ncver.edu.au</w:t>
            </w:r>
            <w:proofErr w:type="spellEnd"/>
            <w:r w:rsidRPr="005970A0">
              <w:rPr>
                <w:rFonts w:cs="Arial"/>
                <w:u w:val="single"/>
              </w:rPr>
              <w:t>/statistic/</w:t>
            </w:r>
            <w:proofErr w:type="spellStart"/>
            <w:r w:rsidRPr="005970A0">
              <w:rPr>
                <w:rFonts w:cs="Arial"/>
                <w:u w:val="single"/>
              </w:rPr>
              <w:t>21075.html</w:t>
            </w:r>
            <w:proofErr w:type="spellEnd"/>
          </w:p>
        </w:tc>
      </w:tr>
      <w:tr w:rsidR="005970A0" w:rsidRPr="005970A0" w:rsidTr="007056F1">
        <w:tc>
          <w:tcPr>
            <w:tcW w:w="922" w:type="pct"/>
          </w:tcPr>
          <w:p w:rsidR="007056F1" w:rsidRPr="005970A0" w:rsidRDefault="007056F1" w:rsidP="007056F1">
            <w:pPr>
              <w:pStyle w:val="TableBodyText"/>
              <w:jc w:val="both"/>
              <w:rPr>
                <w:b/>
              </w:rPr>
            </w:pPr>
            <w:r w:rsidRPr="005970A0">
              <w:rPr>
                <w:b/>
              </w:rPr>
              <w:t>Interpretability</w:t>
            </w:r>
          </w:p>
        </w:tc>
        <w:tc>
          <w:tcPr>
            <w:tcW w:w="4078" w:type="pct"/>
          </w:tcPr>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 xml:space="preserve">To aid interpretation, information on the National VET Provider Collection, </w:t>
            </w:r>
            <w:proofErr w:type="spellStart"/>
            <w:r w:rsidRPr="005970A0">
              <w:rPr>
                <w:rFonts w:ascii="Arial" w:hAnsi="Arial" w:cs="Arial"/>
                <w:sz w:val="20"/>
                <w:szCs w:val="20"/>
              </w:rPr>
              <w:t>AVETMISS</w:t>
            </w:r>
            <w:proofErr w:type="spellEnd"/>
            <w:r w:rsidRPr="005970A0">
              <w:rPr>
                <w:rFonts w:ascii="Arial" w:hAnsi="Arial" w:cs="Arial"/>
                <w:sz w:val="20"/>
                <w:szCs w:val="20"/>
              </w:rPr>
              <w:t xml:space="preserve">, and Students and Courses is available on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website.</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 xml:space="preserve">Among other standards detailed in </w:t>
            </w:r>
            <w:proofErr w:type="spellStart"/>
            <w:r w:rsidRPr="005970A0">
              <w:rPr>
                <w:rFonts w:ascii="Arial" w:hAnsi="Arial" w:cs="Arial"/>
                <w:sz w:val="20"/>
                <w:szCs w:val="20"/>
              </w:rPr>
              <w:t>AVETMISS</w:t>
            </w:r>
            <w:proofErr w:type="spellEnd"/>
            <w:r w:rsidRPr="005970A0">
              <w:rPr>
                <w:rFonts w:ascii="Arial" w:hAnsi="Arial" w:cs="Arial"/>
                <w:sz w:val="20"/>
                <w:szCs w:val="20"/>
              </w:rPr>
              <w:t>, the collection uses the:</w:t>
            </w:r>
          </w:p>
          <w:p w:rsidR="007056F1" w:rsidRPr="005970A0" w:rsidRDefault="007056F1" w:rsidP="007056F1">
            <w:pPr>
              <w:numPr>
                <w:ilvl w:val="0"/>
                <w:numId w:val="25"/>
              </w:numPr>
              <w:tabs>
                <w:tab w:val="clear" w:pos="720"/>
                <w:tab w:val="num" w:pos="179"/>
              </w:tabs>
              <w:autoSpaceDE w:val="0"/>
              <w:autoSpaceDN w:val="0"/>
              <w:adjustRightInd w:val="0"/>
              <w:spacing w:after="40" w:line="240" w:lineRule="atLeast"/>
              <w:ind w:left="179" w:hanging="177"/>
              <w:jc w:val="both"/>
              <w:rPr>
                <w:rFonts w:ascii="Arial" w:hAnsi="Arial" w:cs="Arial"/>
                <w:sz w:val="20"/>
                <w:szCs w:val="20"/>
              </w:rPr>
            </w:pPr>
            <w:r w:rsidRPr="005970A0">
              <w:rPr>
                <w:rFonts w:ascii="Arial" w:hAnsi="Arial" w:cs="Arial"/>
                <w:bCs/>
                <w:sz w:val="20"/>
                <w:szCs w:val="20"/>
                <w:u w:val="single"/>
              </w:rPr>
              <w:t>Australian Classification of Education (</w:t>
            </w:r>
            <w:proofErr w:type="spellStart"/>
            <w:r w:rsidRPr="005970A0">
              <w:rPr>
                <w:rFonts w:ascii="Arial" w:hAnsi="Arial" w:cs="Arial"/>
                <w:bCs/>
                <w:sz w:val="20"/>
                <w:szCs w:val="20"/>
                <w:u w:val="single"/>
              </w:rPr>
              <w:t>ASCED</w:t>
            </w:r>
            <w:proofErr w:type="spellEnd"/>
            <w:r w:rsidRPr="005970A0">
              <w:rPr>
                <w:rFonts w:ascii="Arial" w:hAnsi="Arial" w:cs="Arial"/>
                <w:bCs/>
                <w:sz w:val="20"/>
                <w:szCs w:val="20"/>
                <w:u w:val="single"/>
              </w:rPr>
              <w:t>) (ABS cat. no. 1272.0)</w:t>
            </w:r>
            <w:r w:rsidRPr="005970A0">
              <w:rPr>
                <w:rFonts w:ascii="Arial" w:hAnsi="Arial" w:cs="Arial"/>
                <w:sz w:val="20"/>
                <w:szCs w:val="20"/>
              </w:rPr>
              <w:t xml:space="preserve"> to classify the level and field of education</w:t>
            </w:r>
          </w:p>
          <w:p w:rsidR="007056F1" w:rsidRPr="005970A0" w:rsidRDefault="007056F1" w:rsidP="007056F1">
            <w:pPr>
              <w:numPr>
                <w:ilvl w:val="0"/>
                <w:numId w:val="25"/>
              </w:numPr>
              <w:tabs>
                <w:tab w:val="clear" w:pos="720"/>
                <w:tab w:val="num" w:pos="179"/>
              </w:tabs>
              <w:autoSpaceDE w:val="0"/>
              <w:autoSpaceDN w:val="0"/>
              <w:adjustRightInd w:val="0"/>
              <w:spacing w:after="40" w:line="240" w:lineRule="atLeast"/>
              <w:ind w:left="179" w:hanging="177"/>
              <w:jc w:val="both"/>
              <w:rPr>
                <w:rFonts w:ascii="Arial" w:hAnsi="Arial" w:cs="Arial"/>
                <w:sz w:val="20"/>
                <w:szCs w:val="20"/>
              </w:rPr>
            </w:pPr>
            <w:r w:rsidRPr="00D86CD7">
              <w:rPr>
                <w:rFonts w:ascii="Arial" w:hAnsi="Arial" w:cs="Arial"/>
                <w:sz w:val="20"/>
                <w:szCs w:val="20"/>
              </w:rPr>
              <w:t>Australian and New Zealand Standard Classification of Occupations (</w:t>
            </w:r>
            <w:proofErr w:type="spellStart"/>
            <w:r w:rsidRPr="00D86CD7">
              <w:rPr>
                <w:rFonts w:ascii="Arial" w:hAnsi="Arial" w:cs="Arial"/>
                <w:sz w:val="20"/>
                <w:szCs w:val="20"/>
              </w:rPr>
              <w:t>ANZSCO</w:t>
            </w:r>
            <w:proofErr w:type="spellEnd"/>
            <w:r w:rsidRPr="00D86CD7">
              <w:rPr>
                <w:rFonts w:ascii="Arial" w:hAnsi="Arial" w:cs="Arial"/>
                <w:sz w:val="20"/>
                <w:szCs w:val="20"/>
              </w:rPr>
              <w:t xml:space="preserve">, previously </w:t>
            </w:r>
            <w:proofErr w:type="spellStart"/>
            <w:r w:rsidRPr="00D86CD7">
              <w:rPr>
                <w:rFonts w:ascii="Arial" w:hAnsi="Arial" w:cs="Arial"/>
                <w:sz w:val="20"/>
                <w:szCs w:val="20"/>
              </w:rPr>
              <w:t>ASCO</w:t>
            </w:r>
            <w:proofErr w:type="spellEnd"/>
            <w:r w:rsidRPr="00D86CD7">
              <w:rPr>
                <w:rFonts w:ascii="Arial" w:hAnsi="Arial" w:cs="Arial"/>
                <w:sz w:val="20"/>
                <w:szCs w:val="20"/>
              </w:rPr>
              <w:t>) (ABS cat. no. 1220.0)</w:t>
            </w:r>
            <w:r w:rsidRPr="005970A0">
              <w:rPr>
                <w:rFonts w:ascii="Arial" w:hAnsi="Arial" w:cs="Arial"/>
                <w:sz w:val="20"/>
                <w:szCs w:val="20"/>
              </w:rPr>
              <w:t xml:space="preserve"> to classify occupation</w:t>
            </w:r>
          </w:p>
          <w:p w:rsidR="007056F1" w:rsidRPr="00991FB8" w:rsidRDefault="007056F1" w:rsidP="00EC5E2C">
            <w:pPr>
              <w:pStyle w:val="TableBullet"/>
              <w:numPr>
                <w:ilvl w:val="0"/>
                <w:numId w:val="25"/>
              </w:numPr>
              <w:tabs>
                <w:tab w:val="clear" w:pos="720"/>
                <w:tab w:val="num" w:pos="179"/>
              </w:tabs>
              <w:spacing w:after="120"/>
              <w:ind w:left="179" w:hanging="177"/>
              <w:jc w:val="both"/>
            </w:pPr>
            <w:r w:rsidRPr="005970A0">
              <w:rPr>
                <w:rFonts w:cs="Arial"/>
                <w:u w:val="single"/>
              </w:rPr>
              <w:t>Access/Remoteness Index of Australia (ARIA+)</w:t>
            </w:r>
            <w:r w:rsidRPr="005970A0">
              <w:rPr>
                <w:rFonts w:cs="Arial"/>
              </w:rPr>
              <w:t xml:space="preserve"> to classify remoteness. It was developed by the National Centre for Applications of Geographic Information Systems </w:t>
            </w:r>
            <w:r w:rsidRPr="005970A0">
              <w:rPr>
                <w:rFonts w:cs="Arial"/>
                <w:u w:val="single"/>
              </w:rPr>
              <w:t>(</w:t>
            </w:r>
            <w:proofErr w:type="spellStart"/>
            <w:r w:rsidRPr="005970A0">
              <w:rPr>
                <w:rFonts w:cs="Arial"/>
                <w:u w:val="single"/>
              </w:rPr>
              <w:t>GISCA</w:t>
            </w:r>
            <w:proofErr w:type="spellEnd"/>
            <w:r w:rsidRPr="005970A0">
              <w:rPr>
                <w:rFonts w:cs="Arial"/>
                <w:u w:val="single"/>
              </w:rPr>
              <w:t>)</w:t>
            </w:r>
            <w:r w:rsidRPr="005970A0">
              <w:rPr>
                <w:rFonts w:cs="Arial"/>
              </w:rPr>
              <w:t xml:space="preserve"> and is the standard ABS endorsed measure of remoteness.</w:t>
            </w:r>
          </w:p>
          <w:p w:rsidR="00991FB8" w:rsidRPr="004A75E6" w:rsidRDefault="00991FB8" w:rsidP="00EC5E2C">
            <w:pPr>
              <w:spacing w:after="120"/>
              <w:jc w:val="both"/>
              <w:rPr>
                <w:rFonts w:ascii="Arial" w:hAnsi="Arial" w:cs="Arial"/>
                <w:sz w:val="20"/>
                <w:szCs w:val="20"/>
              </w:rPr>
            </w:pPr>
            <w:r w:rsidRPr="004A75E6">
              <w:rPr>
                <w:rFonts w:ascii="Arial" w:hAnsi="Arial" w:cs="Arial"/>
                <w:sz w:val="20"/>
                <w:szCs w:val="20"/>
              </w:rPr>
              <w:t>Student remoteness is based on the Access/Remoteness Index of Australia (ARIA+), which was developed by the National Centre for Social Applications of Geographic Information Systems (</w:t>
            </w:r>
            <w:proofErr w:type="spellStart"/>
            <w:r w:rsidRPr="004A75E6">
              <w:rPr>
                <w:rFonts w:ascii="Arial" w:hAnsi="Arial" w:cs="Arial"/>
                <w:sz w:val="20"/>
                <w:szCs w:val="20"/>
              </w:rPr>
              <w:t>GISCA</w:t>
            </w:r>
            <w:proofErr w:type="spellEnd"/>
            <w:r w:rsidRPr="004A75E6">
              <w:rPr>
                <w:rFonts w:ascii="Arial" w:hAnsi="Arial" w:cs="Arial"/>
                <w:sz w:val="20"/>
                <w:szCs w:val="20"/>
              </w:rPr>
              <w:t xml:space="preserve">). ARIA+ is now the standard ABS-endorsed measure of remoteness. From 2011, Student remoteness (ARIA+) is determined from ARIA+ remoteness regions and ABS </w:t>
            </w:r>
            <w:proofErr w:type="spellStart"/>
            <w:r w:rsidRPr="004A75E6">
              <w:rPr>
                <w:rFonts w:ascii="Arial" w:hAnsi="Arial" w:cs="Arial"/>
                <w:sz w:val="20"/>
                <w:szCs w:val="20"/>
              </w:rPr>
              <w:t>SA2</w:t>
            </w:r>
            <w:proofErr w:type="spellEnd"/>
            <w:r w:rsidRPr="004A75E6">
              <w:rPr>
                <w:rFonts w:ascii="Arial" w:hAnsi="Arial" w:cs="Arial"/>
                <w:sz w:val="20"/>
                <w:szCs w:val="20"/>
              </w:rPr>
              <w:t xml:space="preserve"> regions. Data prior to 2011 is based on ABS postal areas and ARIA+. Student remoteness (ARIA+) regions use the same ARIA+ ranges as the ABS remoteness areas and are therefore an approximation of the ABS remoteness areas. For more details of ARIA+ refer to &lt;</w:t>
            </w:r>
            <w:r w:rsidRPr="00D86CD7">
              <w:rPr>
                <w:rFonts w:ascii="Arial" w:hAnsi="Arial" w:cs="Arial"/>
                <w:sz w:val="20"/>
                <w:szCs w:val="20"/>
              </w:rPr>
              <w:t>www.adelaide.edu.au/apmrc/research/projects/category/about_aria.html</w:t>
            </w:r>
            <w:r w:rsidRPr="004A75E6">
              <w:rPr>
                <w:rFonts w:ascii="Arial" w:hAnsi="Arial" w:cs="Arial"/>
                <w:sz w:val="20"/>
                <w:szCs w:val="20"/>
              </w:rPr>
              <w:t>&gt;</w:t>
            </w:r>
          </w:p>
          <w:p w:rsidR="00991FB8" w:rsidRPr="005970A0" w:rsidRDefault="00991FB8" w:rsidP="00991FB8">
            <w:pPr>
              <w:pStyle w:val="TableBullet"/>
              <w:numPr>
                <w:ilvl w:val="0"/>
                <w:numId w:val="0"/>
              </w:numPr>
              <w:spacing w:after="120"/>
              <w:ind w:left="2"/>
              <w:jc w:val="both"/>
            </w:pPr>
          </w:p>
        </w:tc>
      </w:tr>
      <w:tr w:rsidR="005970A0" w:rsidRPr="005970A0" w:rsidTr="007056F1">
        <w:tc>
          <w:tcPr>
            <w:tcW w:w="5000" w:type="pct"/>
            <w:gridSpan w:val="2"/>
            <w:shd w:val="clear" w:color="auto" w:fill="auto"/>
          </w:tcPr>
          <w:p w:rsidR="004549A9" w:rsidRDefault="004549A9" w:rsidP="007056F1">
            <w:pPr>
              <w:pStyle w:val="TableBodyText"/>
              <w:jc w:val="both"/>
              <w:rPr>
                <w:b/>
                <w:u w:val="single"/>
              </w:rPr>
            </w:pPr>
          </w:p>
          <w:p w:rsidR="004549A9" w:rsidRDefault="004549A9" w:rsidP="007056F1">
            <w:pPr>
              <w:pStyle w:val="TableBodyText"/>
              <w:jc w:val="both"/>
              <w:rPr>
                <w:b/>
                <w:u w:val="single"/>
              </w:rPr>
            </w:pPr>
          </w:p>
          <w:p w:rsidR="004549A9" w:rsidRDefault="004549A9" w:rsidP="007056F1">
            <w:pPr>
              <w:pStyle w:val="TableBodyText"/>
              <w:jc w:val="both"/>
              <w:rPr>
                <w:b/>
                <w:u w:val="single"/>
              </w:rPr>
            </w:pPr>
          </w:p>
          <w:p w:rsidR="007056F1" w:rsidRPr="005970A0" w:rsidRDefault="007056F1" w:rsidP="007056F1">
            <w:pPr>
              <w:pStyle w:val="TableBodyText"/>
              <w:jc w:val="both"/>
              <w:rPr>
                <w:b/>
                <w:u w:val="single"/>
              </w:rPr>
            </w:pPr>
            <w:r w:rsidRPr="005970A0">
              <w:rPr>
                <w:b/>
                <w:u w:val="single"/>
              </w:rPr>
              <w:lastRenderedPageBreak/>
              <w:t>Data Gaps/Issues Analysis</w:t>
            </w:r>
          </w:p>
        </w:tc>
      </w:tr>
      <w:tr w:rsidR="007056F1" w:rsidRPr="005970A0" w:rsidTr="007056F1">
        <w:tc>
          <w:tcPr>
            <w:tcW w:w="922" w:type="pct"/>
            <w:shd w:val="clear" w:color="auto" w:fill="auto"/>
          </w:tcPr>
          <w:p w:rsidR="007056F1" w:rsidRPr="005970A0" w:rsidRDefault="007056F1" w:rsidP="007056F1">
            <w:pPr>
              <w:pStyle w:val="TableBodyText"/>
              <w:jc w:val="both"/>
              <w:rPr>
                <w:b/>
              </w:rPr>
            </w:pPr>
            <w:r w:rsidRPr="005970A0">
              <w:rPr>
                <w:b/>
              </w:rPr>
              <w:lastRenderedPageBreak/>
              <w:t>Key data gaps/ issues</w:t>
            </w:r>
          </w:p>
        </w:tc>
        <w:tc>
          <w:tcPr>
            <w:tcW w:w="4078" w:type="pct"/>
            <w:shd w:val="clear" w:color="auto" w:fill="auto"/>
          </w:tcPr>
          <w:p w:rsidR="007056F1" w:rsidRPr="005970A0" w:rsidRDefault="007056F1" w:rsidP="00F664AB">
            <w:pPr>
              <w:pStyle w:val="TableBodyText"/>
              <w:keepNext w:val="0"/>
              <w:keepLines w:val="0"/>
              <w:spacing w:after="60" w:line="240" w:lineRule="auto"/>
              <w:ind w:left="0" w:right="0"/>
              <w:jc w:val="both"/>
            </w:pPr>
            <w:r w:rsidRPr="005970A0">
              <w:t xml:space="preserve">The Steering Committee notes the following key data gaps/issues: </w:t>
            </w:r>
          </w:p>
          <w:p w:rsidR="007056F1" w:rsidRPr="005970A0" w:rsidRDefault="007056F1" w:rsidP="00F664AB">
            <w:pPr>
              <w:pStyle w:val="TableBullet"/>
              <w:tabs>
                <w:tab w:val="clear" w:pos="170"/>
                <w:tab w:val="num" w:pos="179"/>
              </w:tabs>
              <w:spacing w:after="60"/>
              <w:ind w:left="179" w:hanging="179"/>
              <w:jc w:val="both"/>
            </w:pPr>
            <w:r w:rsidRPr="005970A0">
              <w:t>The outcomes indicator ‘skill profile’ is currently unable to be measured, and in the interim ‘skill outputs from VET’ is reported as a proxy for skill profile.</w:t>
            </w:r>
          </w:p>
          <w:p w:rsidR="007056F1" w:rsidRDefault="007056F1" w:rsidP="00F664AB">
            <w:pPr>
              <w:pStyle w:val="TableBullet"/>
              <w:spacing w:after="60"/>
              <w:ind w:left="179" w:hanging="179"/>
              <w:jc w:val="both"/>
            </w:pPr>
            <w:r w:rsidRPr="005970A0">
              <w:t>Units of competency completed is not directly comparable, as the mix of units is not necessarily comparable across jurisdictions or across years.</w:t>
            </w:r>
          </w:p>
          <w:p w:rsidR="00AF194F" w:rsidRDefault="00AF194F" w:rsidP="00F664AB">
            <w:pPr>
              <w:pStyle w:val="TableBullet"/>
              <w:spacing w:after="60"/>
              <w:ind w:left="179" w:hanging="179"/>
              <w:jc w:val="both"/>
            </w:pPr>
            <w:r w:rsidRPr="005970A0">
              <w:t>Modules completed is not directly comparable, as the mix of modules is not necessarily comparable across jurisdictions or across years.</w:t>
            </w:r>
          </w:p>
          <w:p w:rsidR="00AF194F" w:rsidRPr="005970A0" w:rsidRDefault="00AF194F" w:rsidP="00F664AB">
            <w:pPr>
              <w:pStyle w:val="TableBullet"/>
              <w:spacing w:after="60"/>
              <w:ind w:left="179" w:hanging="179"/>
              <w:jc w:val="both"/>
            </w:pPr>
            <w:r>
              <w:t>Units of competency and modules completed (in combination) are also not directly comparable.</w:t>
            </w:r>
          </w:p>
        </w:tc>
      </w:tr>
    </w:tbl>
    <w:p w:rsidR="007056F1" w:rsidRPr="005970A0" w:rsidRDefault="007056F1" w:rsidP="007056F1">
      <w:pPr>
        <w:pStyle w:val="Heading3"/>
        <w:spacing w:before="240"/>
      </w:pPr>
    </w:p>
    <w:p w:rsidR="007056F1" w:rsidRPr="005970A0" w:rsidRDefault="007056F1" w:rsidP="007056F1">
      <w:pPr>
        <w:rPr>
          <w:rFonts w:ascii="Arial" w:hAnsi="Arial"/>
          <w:b/>
        </w:rPr>
      </w:pPr>
      <w:r w:rsidRPr="005970A0">
        <w:br w:type="page"/>
      </w:r>
    </w:p>
    <w:p w:rsidR="007056F1" w:rsidRPr="005970A0" w:rsidRDefault="007056F1" w:rsidP="00772353">
      <w:pPr>
        <w:pStyle w:val="Heading3"/>
        <w:spacing w:before="120"/>
      </w:pPr>
      <w:bookmarkStart w:id="36" w:name="_Toc325398239"/>
      <w:bookmarkStart w:id="37" w:name="_Toc370472631"/>
      <w:r w:rsidRPr="005970A0">
        <w:lastRenderedPageBreak/>
        <w:t>Skill outputs from VET — Qualification Equivalents, and annual change in Qualification Equivalents</w:t>
      </w:r>
      <w:bookmarkEnd w:id="36"/>
      <w:bookmarkEnd w:id="37"/>
    </w:p>
    <w:p w:rsidR="007056F1" w:rsidRPr="005970A0" w:rsidRDefault="007056F1" w:rsidP="007056F1">
      <w:pPr>
        <w:pStyle w:val="Box"/>
      </w:pPr>
      <w:r w:rsidRPr="005970A0">
        <w:t>Data quality information for this indicator has been drafted by the National Centre for Vocational Education Research (</w:t>
      </w:r>
      <w:proofErr w:type="spellStart"/>
      <w:r w:rsidRPr="005970A0">
        <w:t>NCVER</w:t>
      </w:r>
      <w:proofErr w:type="spellEnd"/>
      <w:r w:rsidRPr="005970A0">
        <w:t>)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7056F1">
        <w:tc>
          <w:tcPr>
            <w:tcW w:w="5000" w:type="pct"/>
            <w:gridSpan w:val="2"/>
          </w:tcPr>
          <w:p w:rsidR="007056F1" w:rsidRPr="005970A0" w:rsidRDefault="007056F1" w:rsidP="007056F1">
            <w:pPr>
              <w:pStyle w:val="TableBodyText"/>
              <w:jc w:val="both"/>
              <w:rPr>
                <w:b/>
                <w:u w:val="single"/>
              </w:rPr>
            </w:pPr>
          </w:p>
          <w:p w:rsidR="007056F1" w:rsidRPr="005970A0" w:rsidRDefault="007056F1" w:rsidP="007056F1">
            <w:pPr>
              <w:pStyle w:val="TableBodyText"/>
              <w:jc w:val="both"/>
            </w:pPr>
            <w:r w:rsidRPr="005970A0">
              <w:rPr>
                <w:b/>
                <w:u w:val="single"/>
              </w:rPr>
              <w:t>Indicator definition and description</w:t>
            </w:r>
            <w:r w:rsidRPr="005970A0">
              <w:rPr>
                <w:rFonts w:cs="Arial"/>
                <w:b/>
                <w:sz w:val="22"/>
                <w:szCs w:val="22"/>
                <w:u w:val="single"/>
              </w:rPr>
              <w:t xml:space="preserve"> </w:t>
            </w:r>
          </w:p>
        </w:tc>
      </w:tr>
      <w:tr w:rsidR="005970A0" w:rsidRPr="005970A0" w:rsidTr="007056F1">
        <w:tc>
          <w:tcPr>
            <w:tcW w:w="922" w:type="pct"/>
          </w:tcPr>
          <w:p w:rsidR="007056F1" w:rsidRPr="005970A0" w:rsidRDefault="007056F1" w:rsidP="007056F1">
            <w:pPr>
              <w:pStyle w:val="TableBodyText"/>
              <w:jc w:val="both"/>
              <w:rPr>
                <w:b/>
              </w:rPr>
            </w:pPr>
            <w:r w:rsidRPr="005970A0">
              <w:rPr>
                <w:b/>
              </w:rPr>
              <w:t>Element</w:t>
            </w:r>
          </w:p>
        </w:tc>
        <w:tc>
          <w:tcPr>
            <w:tcW w:w="4078" w:type="pct"/>
          </w:tcPr>
          <w:p w:rsidR="007056F1" w:rsidRPr="005970A0" w:rsidRDefault="007056F1" w:rsidP="007056F1">
            <w:pPr>
              <w:pStyle w:val="TableBodyText"/>
              <w:keepNext w:val="0"/>
              <w:keepLines w:val="0"/>
              <w:spacing w:after="120" w:line="240" w:lineRule="auto"/>
              <w:ind w:left="0" w:right="0"/>
              <w:jc w:val="both"/>
            </w:pPr>
            <w:r w:rsidRPr="005970A0">
              <w:t>Outcomes.</w:t>
            </w:r>
          </w:p>
        </w:tc>
      </w:tr>
      <w:tr w:rsidR="005970A0" w:rsidRPr="005970A0" w:rsidTr="007056F1">
        <w:tc>
          <w:tcPr>
            <w:tcW w:w="922" w:type="pct"/>
          </w:tcPr>
          <w:p w:rsidR="007056F1" w:rsidRPr="005970A0" w:rsidRDefault="007056F1" w:rsidP="007056F1">
            <w:pPr>
              <w:pStyle w:val="TableBodyText"/>
              <w:jc w:val="both"/>
              <w:rPr>
                <w:b/>
              </w:rPr>
            </w:pPr>
            <w:r w:rsidRPr="005970A0">
              <w:rPr>
                <w:b/>
              </w:rPr>
              <w:t>Indicator</w:t>
            </w:r>
          </w:p>
        </w:tc>
        <w:tc>
          <w:tcPr>
            <w:tcW w:w="4078" w:type="pct"/>
          </w:tcPr>
          <w:p w:rsidR="007056F1" w:rsidRPr="005970A0" w:rsidRDefault="007056F1" w:rsidP="007056F1">
            <w:pPr>
              <w:pStyle w:val="TableBodyText"/>
              <w:keepNext w:val="0"/>
              <w:keepLines w:val="0"/>
              <w:spacing w:after="120" w:line="240" w:lineRule="auto"/>
              <w:ind w:left="0" w:right="0"/>
              <w:jc w:val="both"/>
            </w:pPr>
            <w:r w:rsidRPr="005970A0">
              <w:t>‘Skill outputs from VET’ is a proxy for ‘skill profile’, which is currently unable to be measured.</w:t>
            </w:r>
          </w:p>
        </w:tc>
      </w:tr>
      <w:tr w:rsidR="005970A0" w:rsidRPr="005970A0" w:rsidTr="007056F1">
        <w:tc>
          <w:tcPr>
            <w:tcW w:w="922" w:type="pct"/>
          </w:tcPr>
          <w:p w:rsidR="007056F1" w:rsidRPr="005970A0" w:rsidRDefault="007056F1" w:rsidP="007056F1">
            <w:pPr>
              <w:pStyle w:val="TableBodyText"/>
              <w:jc w:val="both"/>
              <w:rPr>
                <w:b/>
              </w:rPr>
            </w:pPr>
            <w:r w:rsidRPr="005970A0">
              <w:rPr>
                <w:b/>
              </w:rPr>
              <w:t>Measure (computation)</w:t>
            </w:r>
          </w:p>
        </w:tc>
        <w:tc>
          <w:tcPr>
            <w:tcW w:w="4078" w:type="pct"/>
          </w:tcPr>
          <w:p w:rsidR="007056F1" w:rsidRPr="005970A0" w:rsidRDefault="007056F1" w:rsidP="00F664AB">
            <w:pPr>
              <w:pStyle w:val="TableBodyText"/>
              <w:keepNext w:val="0"/>
              <w:keepLines w:val="0"/>
              <w:spacing w:after="240" w:line="240" w:lineRule="auto"/>
              <w:ind w:left="0" w:right="0"/>
              <w:jc w:val="both"/>
            </w:pPr>
            <w:r w:rsidRPr="005970A0">
              <w:t xml:space="preserve">This </w:t>
            </w:r>
            <w:proofErr w:type="spellStart"/>
            <w:r w:rsidRPr="005970A0">
              <w:t>DQI</w:t>
            </w:r>
            <w:proofErr w:type="spellEnd"/>
            <w:r w:rsidRPr="005970A0">
              <w:t xml:space="preserve"> material covers the measure ‘Qualification Equivalents’ and the relevant component (underlined as follows) of the related measure </w:t>
            </w:r>
            <w:r w:rsidRPr="005970A0">
              <w:sym w:font="Symbol" w:char="F0BE"/>
            </w:r>
            <w:r w:rsidRPr="005970A0">
              <w:t xml:space="preserve">  ‘annual change in</w:t>
            </w:r>
            <w:r w:rsidRPr="005970A0">
              <w:rPr>
                <w:u w:val="single"/>
              </w:rPr>
              <w:t xml:space="preserve"> </w:t>
            </w:r>
            <w:r w:rsidRPr="005970A0">
              <w:t xml:space="preserve">qualifications completed, units of competency completed and modules completed, and </w:t>
            </w:r>
            <w:r w:rsidRPr="005970A0">
              <w:rPr>
                <w:u w:val="single"/>
              </w:rPr>
              <w:t>annual change in Qualification equivalents</w:t>
            </w:r>
            <w:r w:rsidRPr="005970A0">
              <w:t>.’</w:t>
            </w:r>
          </w:p>
          <w:p w:rsidR="007056F1" w:rsidRPr="005970A0" w:rsidRDefault="007056F1" w:rsidP="007056F1">
            <w:pPr>
              <w:pStyle w:val="TableBodyText"/>
              <w:keepNext w:val="0"/>
              <w:keepLines w:val="0"/>
              <w:spacing w:after="120" w:line="240" w:lineRule="auto"/>
              <w:ind w:left="0" w:right="0"/>
              <w:jc w:val="both"/>
            </w:pPr>
            <w:r w:rsidRPr="005970A0">
              <w:t>For Qualification Equivalents:</w:t>
            </w:r>
          </w:p>
          <w:p w:rsidR="007056F1" w:rsidRPr="005970A0" w:rsidRDefault="007056F1" w:rsidP="007056F1">
            <w:pPr>
              <w:pStyle w:val="TableBodyText"/>
              <w:ind w:left="222"/>
              <w:jc w:val="both"/>
              <w:rPr>
                <w:u w:val="single"/>
              </w:rPr>
            </w:pPr>
            <w:r w:rsidRPr="005970A0">
              <w:rPr>
                <w:u w:val="single"/>
              </w:rPr>
              <w:t>Definition</w:t>
            </w:r>
          </w:p>
          <w:p w:rsidR="007056F1" w:rsidRPr="005970A0" w:rsidRDefault="007056F1" w:rsidP="007056F1">
            <w:pPr>
              <w:pStyle w:val="TableBodyText"/>
              <w:keepNext w:val="0"/>
              <w:keepLines w:val="0"/>
              <w:spacing w:after="120" w:line="240" w:lineRule="auto"/>
              <w:ind w:left="222" w:right="0"/>
              <w:jc w:val="both"/>
            </w:pPr>
            <w:r w:rsidRPr="005970A0">
              <w:t xml:space="preserve">Expresses skill outputs in terms of equivalent qualifications within each </w:t>
            </w:r>
            <w:proofErr w:type="spellStart"/>
            <w:r w:rsidRPr="005970A0">
              <w:t>AQF</w:t>
            </w:r>
            <w:proofErr w:type="spellEnd"/>
            <w:r w:rsidRPr="005970A0">
              <w:t xml:space="preserve"> level and Field of Education. </w:t>
            </w:r>
            <w:r w:rsidR="00C168A1" w:rsidRPr="005970A0">
              <w:t>Qualification Equivalents</w:t>
            </w:r>
            <w:r w:rsidRPr="005970A0">
              <w:t xml:space="preserve"> are based on the training activity (annual hours) associated with successful completions of modules and units of competency by government funded VET students, divided by an agreed value of training activity representing a qualification.</w:t>
            </w:r>
          </w:p>
          <w:p w:rsidR="007056F1" w:rsidRPr="005970A0" w:rsidRDefault="007056F1" w:rsidP="007056F1">
            <w:pPr>
              <w:pStyle w:val="TableBodyText"/>
              <w:ind w:left="222"/>
              <w:jc w:val="both"/>
              <w:rPr>
                <w:u w:val="single"/>
              </w:rPr>
            </w:pPr>
            <w:r w:rsidRPr="005970A0">
              <w:rPr>
                <w:u w:val="single"/>
              </w:rPr>
              <w:t>Numerator/s</w:t>
            </w:r>
          </w:p>
          <w:p w:rsidR="007056F1" w:rsidRPr="005970A0" w:rsidRDefault="007056F1" w:rsidP="007056F1">
            <w:pPr>
              <w:pStyle w:val="TableBodyText"/>
              <w:keepNext w:val="0"/>
              <w:keepLines w:val="0"/>
              <w:spacing w:after="120" w:line="240" w:lineRule="auto"/>
              <w:ind w:left="222" w:right="0"/>
              <w:jc w:val="both"/>
            </w:pPr>
            <w:r w:rsidRPr="005970A0">
              <w:t>The annual hours associated with successfully completed modules and units of competency.</w:t>
            </w:r>
            <w:r w:rsidR="003B4408" w:rsidRPr="005970A0">
              <w:t xml:space="preserve"> </w:t>
            </w:r>
          </w:p>
          <w:p w:rsidR="007056F1" w:rsidRPr="005970A0" w:rsidRDefault="007056F1" w:rsidP="007056F1">
            <w:pPr>
              <w:pStyle w:val="TableBodyText"/>
              <w:ind w:left="222"/>
              <w:jc w:val="both"/>
              <w:rPr>
                <w:u w:val="single"/>
              </w:rPr>
            </w:pPr>
            <w:r w:rsidRPr="005970A0">
              <w:rPr>
                <w:u w:val="single"/>
              </w:rPr>
              <w:t>Denominator/s</w:t>
            </w:r>
          </w:p>
          <w:p w:rsidR="007056F1" w:rsidRPr="005970A0" w:rsidRDefault="007056F1" w:rsidP="007056F1">
            <w:pPr>
              <w:pStyle w:val="TableBodyText"/>
              <w:keepNext w:val="0"/>
              <w:keepLines w:val="0"/>
              <w:spacing w:after="120" w:line="240" w:lineRule="auto"/>
              <w:ind w:left="222" w:right="0"/>
              <w:jc w:val="both"/>
            </w:pPr>
            <w:r w:rsidRPr="005970A0">
              <w:t xml:space="preserve">An agreed (nominal) value of training activity representing a qualification (where the value is the median number of hours that are required to successfully complete a qualification in that </w:t>
            </w:r>
            <w:proofErr w:type="spellStart"/>
            <w:r w:rsidRPr="005970A0">
              <w:t>AQF</w:t>
            </w:r>
            <w:proofErr w:type="spellEnd"/>
            <w:r w:rsidRPr="005970A0">
              <w:t xml:space="preserve"> level and Field of Education).</w:t>
            </w:r>
          </w:p>
          <w:p w:rsidR="007056F1" w:rsidRPr="005970A0" w:rsidRDefault="007056F1" w:rsidP="007056F1">
            <w:pPr>
              <w:pStyle w:val="TableBodyText"/>
              <w:spacing w:before="120"/>
              <w:ind w:left="222"/>
              <w:jc w:val="both"/>
              <w:rPr>
                <w:u w:val="single"/>
              </w:rPr>
            </w:pPr>
            <w:r w:rsidRPr="005970A0">
              <w:rPr>
                <w:u w:val="single"/>
              </w:rPr>
              <w:t>Computation/s:</w:t>
            </w:r>
          </w:p>
          <w:p w:rsidR="007056F1" w:rsidRPr="005970A0" w:rsidRDefault="007056F1" w:rsidP="007056F1">
            <w:pPr>
              <w:pStyle w:val="TableBodyText"/>
              <w:keepNext w:val="0"/>
              <w:keepLines w:val="0"/>
              <w:spacing w:after="120" w:line="240" w:lineRule="auto"/>
              <w:ind w:left="222" w:right="0"/>
              <w:jc w:val="both"/>
            </w:pPr>
            <w:r w:rsidRPr="005970A0">
              <w:t>Numerator (above) divided by denominator (above), calculated separately for activity at all qualification levels, at certificate I or II, at certificate III or IV, and at diploma level and above.</w:t>
            </w:r>
          </w:p>
          <w:p w:rsidR="007056F1" w:rsidRPr="005970A0" w:rsidRDefault="007056F1" w:rsidP="007056F1">
            <w:pPr>
              <w:pStyle w:val="TableBodyText"/>
              <w:keepNext w:val="0"/>
              <w:keepLines w:val="0"/>
              <w:spacing w:after="120" w:line="240" w:lineRule="auto"/>
              <w:ind w:right="0"/>
              <w:jc w:val="both"/>
            </w:pPr>
            <w:r w:rsidRPr="005970A0">
              <w:t xml:space="preserve">For annual change in Qualification </w:t>
            </w:r>
            <w:r w:rsidR="00C168A1" w:rsidRPr="005970A0">
              <w:t>Eq</w:t>
            </w:r>
            <w:r w:rsidRPr="005970A0">
              <w:t>uivalents:</w:t>
            </w:r>
          </w:p>
          <w:p w:rsidR="007056F1" w:rsidRPr="005970A0" w:rsidRDefault="007056F1" w:rsidP="007056F1">
            <w:pPr>
              <w:pStyle w:val="TableBodyText"/>
              <w:spacing w:before="120"/>
              <w:ind w:left="222"/>
              <w:jc w:val="both"/>
              <w:rPr>
                <w:u w:val="single"/>
              </w:rPr>
            </w:pPr>
            <w:r w:rsidRPr="005970A0">
              <w:rPr>
                <w:u w:val="single"/>
              </w:rPr>
              <w:t>Computation/s:</w:t>
            </w:r>
          </w:p>
          <w:p w:rsidR="007056F1" w:rsidRPr="005970A0" w:rsidRDefault="007056F1" w:rsidP="007056F1">
            <w:pPr>
              <w:pStyle w:val="TableBodyText"/>
              <w:keepNext w:val="0"/>
              <w:keepLines w:val="0"/>
              <w:spacing w:after="120" w:line="240" w:lineRule="auto"/>
              <w:ind w:left="222" w:right="0"/>
              <w:jc w:val="both"/>
            </w:pPr>
            <w:r w:rsidRPr="005970A0">
              <w:t>Annual change in Qualification Equivalents is the percentage change in Qualification Equivalents from one year to the subsequent year</w:t>
            </w:r>
            <w:r w:rsidR="003B4408" w:rsidRPr="005970A0">
              <w:t xml:space="preserve"> calculated separately for activity at certificate III or IV and at diploma level and above</w:t>
            </w:r>
            <w:r w:rsidRPr="005970A0">
              <w:t>, where the number for the prior year is the numerator and number for the subsequent year is the denominator.</w:t>
            </w:r>
          </w:p>
          <w:p w:rsidR="007056F1" w:rsidRPr="005970A0" w:rsidRDefault="007056F1" w:rsidP="007056F1">
            <w:pPr>
              <w:pStyle w:val="TableBodyText"/>
              <w:keepNext w:val="0"/>
              <w:keepLines w:val="0"/>
              <w:spacing w:after="120" w:line="240" w:lineRule="auto"/>
              <w:ind w:left="0" w:right="0"/>
              <w:jc w:val="both"/>
              <w:rPr>
                <w:rStyle w:val="DraftingNote"/>
                <w:color w:val="auto"/>
                <w:sz w:val="20"/>
                <w:u w:val="none"/>
              </w:rPr>
            </w:pPr>
            <w:r w:rsidRPr="005970A0">
              <w:t>Comparative data are also reported by Indigenous status, where Indigenous status is based on self</w:t>
            </w:r>
            <w:r w:rsidRPr="005970A0">
              <w:noBreakHyphen/>
              <w:t>identification by students on their VET enrolment form.</w:t>
            </w:r>
          </w:p>
        </w:tc>
      </w:tr>
      <w:tr w:rsidR="005970A0" w:rsidRPr="005970A0" w:rsidTr="007056F1">
        <w:tc>
          <w:tcPr>
            <w:tcW w:w="922" w:type="pct"/>
          </w:tcPr>
          <w:p w:rsidR="007056F1" w:rsidRPr="005970A0" w:rsidRDefault="007056F1" w:rsidP="007056F1">
            <w:pPr>
              <w:pStyle w:val="TableBodyText"/>
              <w:jc w:val="both"/>
              <w:rPr>
                <w:b/>
              </w:rPr>
            </w:pPr>
            <w:r w:rsidRPr="005970A0">
              <w:rPr>
                <w:b/>
              </w:rPr>
              <w:t>Data source/s</w:t>
            </w:r>
          </w:p>
        </w:tc>
        <w:tc>
          <w:tcPr>
            <w:tcW w:w="4078" w:type="pct"/>
          </w:tcPr>
          <w:p w:rsidR="007056F1" w:rsidRPr="005970A0" w:rsidRDefault="007056F1" w:rsidP="007056F1">
            <w:pPr>
              <w:pStyle w:val="TableBodyText"/>
              <w:keepNext w:val="0"/>
              <w:keepLines w:val="0"/>
              <w:spacing w:after="120" w:line="240" w:lineRule="auto"/>
              <w:ind w:left="0" w:right="0"/>
              <w:jc w:val="both"/>
            </w:pPr>
            <w:r w:rsidRPr="005970A0">
              <w:t xml:space="preserve">All student data are unpublished and are sourced from </w:t>
            </w:r>
            <w:proofErr w:type="spellStart"/>
            <w:r w:rsidRPr="005970A0">
              <w:t>NCVER</w:t>
            </w:r>
            <w:proofErr w:type="spellEnd"/>
            <w:r w:rsidRPr="005970A0">
              <w:t xml:space="preserve"> National VET Provider data collection.</w:t>
            </w:r>
          </w:p>
        </w:tc>
      </w:tr>
    </w:tbl>
    <w:p w:rsidR="00E05501" w:rsidRPr="005970A0" w:rsidRDefault="00E05501">
      <w:r w:rsidRPr="005970A0">
        <w:br w:type="page"/>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7056F1">
        <w:tc>
          <w:tcPr>
            <w:tcW w:w="5000" w:type="pct"/>
            <w:gridSpan w:val="2"/>
          </w:tcPr>
          <w:p w:rsidR="007056F1" w:rsidRPr="005970A0" w:rsidRDefault="007056F1" w:rsidP="007056F1">
            <w:pPr>
              <w:pStyle w:val="TableBodyText"/>
              <w:jc w:val="both"/>
              <w:rPr>
                <w:b/>
                <w:u w:val="single"/>
              </w:rPr>
            </w:pPr>
            <w:r w:rsidRPr="005970A0">
              <w:rPr>
                <w:b/>
                <w:u w:val="single"/>
              </w:rPr>
              <w:lastRenderedPageBreak/>
              <w:t>Data Quality Framework Dimensions</w:t>
            </w:r>
          </w:p>
        </w:tc>
      </w:tr>
      <w:tr w:rsidR="005970A0" w:rsidRPr="005970A0" w:rsidTr="007056F1">
        <w:tc>
          <w:tcPr>
            <w:tcW w:w="922" w:type="pct"/>
          </w:tcPr>
          <w:p w:rsidR="007056F1" w:rsidRPr="005970A0" w:rsidRDefault="007056F1" w:rsidP="007056F1">
            <w:pPr>
              <w:pStyle w:val="TableBodyText"/>
              <w:jc w:val="both"/>
              <w:rPr>
                <w:b/>
              </w:rPr>
            </w:pPr>
            <w:r w:rsidRPr="005970A0">
              <w:rPr>
                <w:b/>
              </w:rPr>
              <w:t>Institutional environment</w:t>
            </w:r>
          </w:p>
        </w:tc>
        <w:tc>
          <w:tcPr>
            <w:tcW w:w="4078" w:type="pct"/>
          </w:tcPr>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The National Centre for Vocational Education Research (</w:t>
            </w:r>
            <w:proofErr w:type="spellStart"/>
            <w:r w:rsidRPr="005970A0">
              <w:rPr>
                <w:rFonts w:ascii="Arial" w:hAnsi="Arial" w:cs="Arial"/>
                <w:sz w:val="20"/>
                <w:szCs w:val="20"/>
              </w:rPr>
              <w:t>NCVER</w:t>
            </w:r>
            <w:proofErr w:type="spellEnd"/>
            <w:r w:rsidRPr="005970A0">
              <w:rPr>
                <w:rFonts w:ascii="Arial" w:hAnsi="Arial" w:cs="Arial"/>
                <w:sz w:val="20"/>
                <w:szCs w:val="20"/>
              </w:rPr>
              <w:t>) is a not-for-profit company owned by the federal, state and territory ministers responsible for training.</w:t>
            </w:r>
          </w:p>
          <w:p w:rsidR="007056F1" w:rsidRPr="005970A0" w:rsidRDefault="007056F1" w:rsidP="007056F1">
            <w:pPr>
              <w:spacing w:after="120"/>
              <w:jc w:val="both"/>
              <w:rPr>
                <w:rFonts w:ascii="Arial" w:hAnsi="Arial" w:cs="Arial"/>
                <w:sz w:val="20"/>
                <w:szCs w:val="20"/>
              </w:rPr>
            </w:pPr>
            <w:proofErr w:type="spellStart"/>
            <w:r w:rsidRPr="005970A0">
              <w:rPr>
                <w:rFonts w:ascii="Arial" w:hAnsi="Arial" w:cs="Arial"/>
                <w:sz w:val="20"/>
                <w:szCs w:val="20"/>
              </w:rPr>
              <w:t>NCVER</w:t>
            </w:r>
            <w:proofErr w:type="spellEnd"/>
            <w:r w:rsidRPr="005970A0">
              <w:rPr>
                <w:rFonts w:ascii="Arial" w:hAnsi="Arial" w:cs="Arial"/>
                <w:sz w:val="20"/>
                <w:szCs w:val="20"/>
              </w:rPr>
              <w:t xml:space="preserve">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7056F1" w:rsidRPr="005970A0" w:rsidRDefault="007056F1" w:rsidP="007056F1">
            <w:pPr>
              <w:pStyle w:val="TableBodyText"/>
              <w:keepNext w:val="0"/>
              <w:keepLines w:val="0"/>
              <w:spacing w:after="120" w:line="240" w:lineRule="auto"/>
              <w:ind w:left="0" w:right="0"/>
              <w:jc w:val="both"/>
              <w:rPr>
                <w:rFonts w:cs="Arial"/>
                <w:u w:val="single"/>
              </w:rPr>
            </w:pPr>
            <w:r w:rsidRPr="005970A0">
              <w:rPr>
                <w:rFonts w:cs="Arial"/>
              </w:rPr>
              <w:t xml:space="preserve">For further information on the </w:t>
            </w:r>
            <w:proofErr w:type="spellStart"/>
            <w:r w:rsidRPr="005970A0">
              <w:rPr>
                <w:rFonts w:cs="Arial"/>
              </w:rPr>
              <w:t>NCVER</w:t>
            </w:r>
            <w:proofErr w:type="spellEnd"/>
            <w:r w:rsidRPr="005970A0">
              <w:rPr>
                <w:rFonts w:cs="Arial"/>
              </w:rPr>
              <w:t xml:space="preserve">, see </w:t>
            </w:r>
            <w:r w:rsidRPr="00D86CD7">
              <w:rPr>
                <w:rFonts w:cs="Arial"/>
              </w:rPr>
              <w:t>http://</w:t>
            </w:r>
            <w:proofErr w:type="spellStart"/>
            <w:r w:rsidRPr="00D86CD7">
              <w:rPr>
                <w:rFonts w:cs="Arial"/>
              </w:rPr>
              <w:t>www.ncver.edu.au</w:t>
            </w:r>
            <w:proofErr w:type="spellEnd"/>
            <w:r w:rsidRPr="00D86CD7">
              <w:rPr>
                <w:rFonts w:cs="Arial"/>
              </w:rPr>
              <w:t>/</w:t>
            </w:r>
            <w:proofErr w:type="spellStart"/>
            <w:r w:rsidRPr="00D86CD7">
              <w:rPr>
                <w:rFonts w:cs="Arial"/>
              </w:rPr>
              <w:t>aboutncver</w:t>
            </w:r>
            <w:proofErr w:type="spellEnd"/>
            <w:r w:rsidRPr="00D86CD7">
              <w:rPr>
                <w:rFonts w:cs="Arial"/>
              </w:rPr>
              <w:t>/</w:t>
            </w:r>
            <w:proofErr w:type="spellStart"/>
            <w:r w:rsidRPr="00D86CD7">
              <w:rPr>
                <w:rFonts w:cs="Arial"/>
              </w:rPr>
              <w:t>who.html</w:t>
            </w:r>
            <w:proofErr w:type="spellEnd"/>
          </w:p>
        </w:tc>
      </w:tr>
      <w:tr w:rsidR="005970A0" w:rsidRPr="005970A0" w:rsidTr="007056F1">
        <w:tc>
          <w:tcPr>
            <w:tcW w:w="922" w:type="pct"/>
          </w:tcPr>
          <w:p w:rsidR="007056F1" w:rsidRPr="005970A0" w:rsidRDefault="007056F1" w:rsidP="007056F1">
            <w:pPr>
              <w:pStyle w:val="TableBodyText"/>
              <w:jc w:val="both"/>
              <w:rPr>
                <w:b/>
              </w:rPr>
            </w:pPr>
            <w:r w:rsidRPr="005970A0">
              <w:rPr>
                <w:b/>
              </w:rPr>
              <w:t>Relevance</w:t>
            </w:r>
          </w:p>
        </w:tc>
        <w:tc>
          <w:tcPr>
            <w:tcW w:w="4078" w:type="pct"/>
          </w:tcPr>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The National VET Provider Collection collects information relating to students, courses, qualifications, training providers and funding in Australia’s publicly funded vocational education and training (VET) system.</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This collection does not report on the following types of training activity:</w:t>
            </w:r>
          </w:p>
          <w:p w:rsidR="007056F1" w:rsidRPr="005970A0" w:rsidRDefault="007056F1" w:rsidP="007056F1">
            <w:pPr>
              <w:numPr>
                <w:ilvl w:val="0"/>
                <w:numId w:val="24"/>
              </w:numPr>
              <w:tabs>
                <w:tab w:val="clear" w:pos="363"/>
                <w:tab w:val="num" w:pos="179"/>
              </w:tabs>
              <w:spacing w:after="40"/>
              <w:ind w:left="179" w:hanging="180"/>
              <w:jc w:val="both"/>
              <w:rPr>
                <w:rFonts w:ascii="Arial" w:hAnsi="Arial" w:cs="Arial"/>
                <w:sz w:val="20"/>
                <w:szCs w:val="20"/>
              </w:rPr>
            </w:pPr>
            <w:r w:rsidRPr="005970A0">
              <w:rPr>
                <w:rFonts w:ascii="Arial" w:hAnsi="Arial" w:cs="Arial"/>
                <w:sz w:val="20"/>
                <w:szCs w:val="20"/>
              </w:rPr>
              <w:t xml:space="preserve">recreation, leisure and personal enrichment </w:t>
            </w:r>
          </w:p>
          <w:p w:rsidR="007056F1" w:rsidRPr="005970A0" w:rsidRDefault="007056F1" w:rsidP="007056F1">
            <w:pPr>
              <w:numPr>
                <w:ilvl w:val="0"/>
                <w:numId w:val="24"/>
              </w:numPr>
              <w:tabs>
                <w:tab w:val="clear" w:pos="363"/>
                <w:tab w:val="num" w:pos="179"/>
              </w:tabs>
              <w:spacing w:after="40"/>
              <w:ind w:left="179" w:hanging="180"/>
              <w:jc w:val="both"/>
              <w:rPr>
                <w:rFonts w:ascii="Arial" w:hAnsi="Arial" w:cs="Arial"/>
                <w:sz w:val="20"/>
                <w:szCs w:val="20"/>
              </w:rPr>
            </w:pPr>
            <w:r w:rsidRPr="005970A0">
              <w:rPr>
                <w:rFonts w:ascii="Arial" w:hAnsi="Arial" w:cs="Arial"/>
                <w:sz w:val="20"/>
                <w:szCs w:val="20"/>
              </w:rPr>
              <w:t xml:space="preserve">fee-for-service VET by private providers </w:t>
            </w:r>
          </w:p>
          <w:p w:rsidR="007056F1" w:rsidRPr="005970A0" w:rsidRDefault="007056F1" w:rsidP="007056F1">
            <w:pPr>
              <w:numPr>
                <w:ilvl w:val="0"/>
                <w:numId w:val="24"/>
              </w:numPr>
              <w:tabs>
                <w:tab w:val="clear" w:pos="363"/>
                <w:tab w:val="num" w:pos="179"/>
              </w:tabs>
              <w:spacing w:after="40"/>
              <w:ind w:left="179" w:hanging="180"/>
              <w:jc w:val="both"/>
              <w:rPr>
                <w:rFonts w:ascii="Arial" w:hAnsi="Arial" w:cs="Arial"/>
                <w:sz w:val="20"/>
                <w:szCs w:val="20"/>
              </w:rPr>
            </w:pPr>
            <w:r w:rsidRPr="005970A0">
              <w:rPr>
                <w:rFonts w:ascii="Arial" w:hAnsi="Arial" w:cs="Arial"/>
                <w:sz w:val="20"/>
                <w:szCs w:val="20"/>
              </w:rPr>
              <w:t xml:space="preserve">delivery undertaken at overseas campuses of Australian VET institutions </w:t>
            </w:r>
          </w:p>
          <w:p w:rsidR="007056F1" w:rsidRPr="005970A0" w:rsidRDefault="007056F1" w:rsidP="007056F1">
            <w:pPr>
              <w:numPr>
                <w:ilvl w:val="0"/>
                <w:numId w:val="24"/>
              </w:numPr>
              <w:tabs>
                <w:tab w:val="clear" w:pos="363"/>
                <w:tab w:val="num" w:pos="179"/>
              </w:tabs>
              <w:spacing w:after="40"/>
              <w:ind w:left="179" w:hanging="180"/>
              <w:jc w:val="both"/>
              <w:rPr>
                <w:rFonts w:ascii="Arial" w:hAnsi="Arial" w:cs="Arial"/>
                <w:sz w:val="20"/>
                <w:szCs w:val="20"/>
              </w:rPr>
            </w:pPr>
            <w:r w:rsidRPr="005970A0">
              <w:rPr>
                <w:rFonts w:ascii="Arial" w:hAnsi="Arial" w:cs="Arial"/>
                <w:sz w:val="20"/>
                <w:szCs w:val="20"/>
              </w:rPr>
              <w:t>credit transfer</w:t>
            </w:r>
          </w:p>
          <w:p w:rsidR="007056F1" w:rsidRPr="005970A0" w:rsidRDefault="007056F1" w:rsidP="007056F1">
            <w:pPr>
              <w:numPr>
                <w:ilvl w:val="0"/>
                <w:numId w:val="24"/>
              </w:numPr>
              <w:tabs>
                <w:tab w:val="clear" w:pos="363"/>
                <w:tab w:val="num" w:pos="179"/>
              </w:tabs>
              <w:spacing w:after="120"/>
              <w:ind w:left="179" w:hanging="180"/>
              <w:jc w:val="both"/>
              <w:rPr>
                <w:rFonts w:ascii="Arial" w:hAnsi="Arial" w:cs="Arial"/>
                <w:sz w:val="20"/>
                <w:szCs w:val="20"/>
              </w:rPr>
            </w:pPr>
            <w:r w:rsidRPr="005970A0">
              <w:rPr>
                <w:rFonts w:ascii="Arial" w:hAnsi="Arial" w:cs="Arial"/>
                <w:sz w:val="20"/>
                <w:szCs w:val="20"/>
              </w:rPr>
              <w:t>VET delivered in schools, where the delivery has been undertaken by schools.</w:t>
            </w:r>
          </w:p>
        </w:tc>
      </w:tr>
      <w:tr w:rsidR="005970A0" w:rsidRPr="005970A0" w:rsidTr="007056F1">
        <w:tc>
          <w:tcPr>
            <w:tcW w:w="922" w:type="pct"/>
          </w:tcPr>
          <w:p w:rsidR="007056F1" w:rsidRPr="005970A0" w:rsidRDefault="007056F1" w:rsidP="007056F1">
            <w:pPr>
              <w:pStyle w:val="TableBodyText"/>
              <w:jc w:val="both"/>
              <w:rPr>
                <w:b/>
              </w:rPr>
            </w:pPr>
            <w:r w:rsidRPr="005970A0">
              <w:rPr>
                <w:b/>
              </w:rPr>
              <w:t>Timeliness</w:t>
            </w:r>
          </w:p>
        </w:tc>
        <w:tc>
          <w:tcPr>
            <w:tcW w:w="4078" w:type="pct"/>
          </w:tcPr>
          <w:p w:rsidR="007056F1" w:rsidRPr="005970A0" w:rsidRDefault="007056F1" w:rsidP="00440520">
            <w:pPr>
              <w:pStyle w:val="TableBodyText"/>
              <w:keepNext w:val="0"/>
              <w:keepLines w:val="0"/>
              <w:spacing w:after="120" w:line="240" w:lineRule="auto"/>
              <w:ind w:left="0" w:right="0"/>
              <w:jc w:val="both"/>
            </w:pPr>
            <w:r w:rsidRPr="005970A0">
              <w:t xml:space="preserve">The National VET Provider Collection is an annual collection of data. Data are submitted to </w:t>
            </w:r>
            <w:proofErr w:type="spellStart"/>
            <w:r w:rsidRPr="005970A0">
              <w:t>NCVER</w:t>
            </w:r>
            <w:proofErr w:type="spellEnd"/>
            <w:r w:rsidRPr="005970A0">
              <w:t xml:space="preserve"> (via state training authorities) by 31 March in the year following activity. A summary of </w:t>
            </w:r>
            <w:r w:rsidR="00440520">
              <w:t>2012</w:t>
            </w:r>
            <w:r w:rsidR="00440520" w:rsidRPr="005970A0">
              <w:t xml:space="preserve"> </w:t>
            </w:r>
            <w:r w:rsidRPr="005970A0">
              <w:t xml:space="preserve">data was released in early July </w:t>
            </w:r>
            <w:r w:rsidR="00440520">
              <w:t>2013</w:t>
            </w:r>
            <w:r w:rsidR="00440520" w:rsidRPr="005970A0">
              <w:t xml:space="preserve"> </w:t>
            </w:r>
            <w:r w:rsidRPr="005970A0">
              <w:t xml:space="preserve">in </w:t>
            </w:r>
            <w:r w:rsidRPr="00D86CD7">
              <w:t>Students and Courses</w:t>
            </w:r>
            <w:r w:rsidRPr="005970A0">
              <w:t>.</w:t>
            </w:r>
          </w:p>
        </w:tc>
      </w:tr>
      <w:tr w:rsidR="005970A0" w:rsidRPr="005970A0" w:rsidTr="007056F1">
        <w:tc>
          <w:tcPr>
            <w:tcW w:w="922" w:type="pct"/>
          </w:tcPr>
          <w:p w:rsidR="007056F1" w:rsidRPr="005970A0" w:rsidRDefault="007056F1" w:rsidP="007056F1">
            <w:pPr>
              <w:pStyle w:val="TableBodyText"/>
              <w:jc w:val="both"/>
              <w:rPr>
                <w:b/>
              </w:rPr>
            </w:pPr>
            <w:r w:rsidRPr="005970A0">
              <w:rPr>
                <w:b/>
              </w:rPr>
              <w:t>Accuracy</w:t>
            </w:r>
          </w:p>
        </w:tc>
        <w:tc>
          <w:tcPr>
            <w:tcW w:w="4078" w:type="pct"/>
          </w:tcPr>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The National VET Provider Collection is a collection of all publicly funded training activity in Australia in a particular year. It is an administrative collection.</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 xml:space="preserve">Publicly funded registered training organisations submit unit record data directly to state/territory training authorities, who in turn submit the data to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Prior to submissions to </w:t>
            </w:r>
            <w:proofErr w:type="spellStart"/>
            <w:r w:rsidRPr="005970A0">
              <w:rPr>
                <w:rFonts w:ascii="Arial" w:hAnsi="Arial" w:cs="Arial"/>
                <w:sz w:val="20"/>
                <w:szCs w:val="20"/>
              </w:rPr>
              <w:t>NCVER</w:t>
            </w:r>
            <w:proofErr w:type="spellEnd"/>
            <w:r w:rsidRPr="005970A0">
              <w:rPr>
                <w:rFonts w:ascii="Arial" w:hAnsi="Arial" w:cs="Arial"/>
                <w:sz w:val="20"/>
                <w:szCs w:val="20"/>
              </w:rPr>
              <w:t>, data must first pass a validation process to ensure that data conforms to the Australian vocational education and training management information statistical standard (</w:t>
            </w:r>
            <w:proofErr w:type="spellStart"/>
            <w:r w:rsidRPr="005970A0">
              <w:rPr>
                <w:rFonts w:ascii="Arial" w:hAnsi="Arial" w:cs="Arial"/>
                <w:sz w:val="20"/>
                <w:szCs w:val="20"/>
              </w:rPr>
              <w:t>AVETMISS</w:t>
            </w:r>
            <w:proofErr w:type="spellEnd"/>
            <w:r w:rsidRPr="005970A0">
              <w:rPr>
                <w:rFonts w:ascii="Arial" w:hAnsi="Arial" w:cs="Arial"/>
                <w:sz w:val="20"/>
                <w:szCs w:val="20"/>
              </w:rPr>
              <w:t xml:space="preserve">) (Refer to </w:t>
            </w:r>
            <w:r w:rsidRPr="005970A0">
              <w:rPr>
                <w:rFonts w:ascii="Arial" w:hAnsi="Arial" w:cs="Arial"/>
                <w:sz w:val="20"/>
                <w:szCs w:val="20"/>
                <w:u w:val="single"/>
              </w:rPr>
              <w:t>http://</w:t>
            </w:r>
            <w:proofErr w:type="spellStart"/>
            <w:r w:rsidRPr="005970A0">
              <w:rPr>
                <w:rFonts w:ascii="Arial" w:hAnsi="Arial" w:cs="Arial"/>
                <w:sz w:val="20"/>
                <w:szCs w:val="20"/>
                <w:u w:val="single"/>
              </w:rPr>
              <w:t>www.ncver.edu.au</w:t>
            </w:r>
            <w:proofErr w:type="spellEnd"/>
            <w:r w:rsidRPr="005970A0">
              <w:rPr>
                <w:rFonts w:ascii="Arial" w:hAnsi="Arial" w:cs="Arial"/>
                <w:sz w:val="20"/>
                <w:szCs w:val="20"/>
                <w:u w:val="single"/>
              </w:rPr>
              <w:t>/</w:t>
            </w:r>
            <w:proofErr w:type="spellStart"/>
            <w:r w:rsidRPr="005970A0">
              <w:rPr>
                <w:rFonts w:ascii="Arial" w:hAnsi="Arial" w:cs="Arial"/>
                <w:sz w:val="20"/>
                <w:szCs w:val="20"/>
                <w:u w:val="single"/>
              </w:rPr>
              <w:t>avetmiss</w:t>
            </w:r>
            <w:proofErr w:type="spellEnd"/>
            <w:r w:rsidRPr="005970A0">
              <w:rPr>
                <w:rFonts w:ascii="Arial" w:hAnsi="Arial" w:cs="Arial"/>
                <w:sz w:val="20"/>
                <w:szCs w:val="20"/>
                <w:u w:val="single"/>
              </w:rPr>
              <w:t>/</w:t>
            </w:r>
            <w:proofErr w:type="spellStart"/>
            <w:r w:rsidRPr="005970A0">
              <w:rPr>
                <w:rFonts w:ascii="Arial" w:hAnsi="Arial" w:cs="Arial"/>
                <w:sz w:val="20"/>
                <w:szCs w:val="20"/>
                <w:u w:val="single"/>
              </w:rPr>
              <w:t>21055.html</w:t>
            </w:r>
            <w:proofErr w:type="spellEnd"/>
            <w:r w:rsidRPr="005970A0">
              <w:rPr>
                <w:rFonts w:ascii="Arial" w:hAnsi="Arial" w:cs="Arial"/>
                <w:sz w:val="20"/>
                <w:szCs w:val="20"/>
              </w:rPr>
              <w:t xml:space="preserve">). </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 xml:space="preserve">Once data submissions are received by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they are subjected to a comprehensive data quality checking program to ensure accurate reporting against agreed Key Performance Measures (</w:t>
            </w:r>
            <w:proofErr w:type="spellStart"/>
            <w:r w:rsidRPr="005970A0">
              <w:rPr>
                <w:rFonts w:ascii="Arial" w:hAnsi="Arial" w:cs="Arial"/>
                <w:sz w:val="20"/>
                <w:szCs w:val="20"/>
              </w:rPr>
              <w:t>KPMs</w:t>
            </w:r>
            <w:proofErr w:type="spellEnd"/>
            <w:r w:rsidRPr="005970A0">
              <w:rPr>
                <w:rFonts w:ascii="Arial" w:hAnsi="Arial" w:cs="Arial"/>
                <w:sz w:val="20"/>
                <w:szCs w:val="20"/>
              </w:rPr>
              <w:t xml:space="preserve">). </w:t>
            </w:r>
          </w:p>
        </w:tc>
      </w:tr>
      <w:tr w:rsidR="005970A0" w:rsidRPr="005970A0" w:rsidTr="007056F1">
        <w:tc>
          <w:tcPr>
            <w:tcW w:w="922" w:type="pct"/>
          </w:tcPr>
          <w:p w:rsidR="007056F1" w:rsidRPr="005970A0" w:rsidRDefault="007056F1" w:rsidP="007056F1">
            <w:pPr>
              <w:pStyle w:val="TableBodyText"/>
              <w:jc w:val="both"/>
              <w:rPr>
                <w:b/>
              </w:rPr>
            </w:pPr>
            <w:r w:rsidRPr="005970A0">
              <w:rPr>
                <w:b/>
              </w:rPr>
              <w:t>Coherence</w:t>
            </w:r>
          </w:p>
        </w:tc>
        <w:tc>
          <w:tcPr>
            <w:tcW w:w="4078" w:type="pct"/>
          </w:tcPr>
          <w:p w:rsidR="007056F1" w:rsidRPr="005970A0" w:rsidRDefault="007056F1" w:rsidP="007056F1">
            <w:pPr>
              <w:pStyle w:val="TableBodyText"/>
              <w:keepNext w:val="0"/>
              <w:keepLines w:val="0"/>
              <w:spacing w:after="120" w:line="240" w:lineRule="auto"/>
              <w:ind w:left="0" w:right="0"/>
              <w:jc w:val="both"/>
            </w:pPr>
            <w:proofErr w:type="spellStart"/>
            <w:r w:rsidRPr="005970A0">
              <w:t>AVETMISS</w:t>
            </w:r>
            <w:proofErr w:type="spellEnd"/>
            <w:r w:rsidRPr="005970A0">
              <w:t xml:space="preserve"> provides the foundation for nationally comparable data and includes a range of data items relevant to the VET system. From 2007, data comply with release 6.0 of </w:t>
            </w:r>
            <w:proofErr w:type="spellStart"/>
            <w:r w:rsidRPr="005970A0">
              <w:t>AVETMISS</w:t>
            </w:r>
            <w:proofErr w:type="spellEnd"/>
            <w:r w:rsidRPr="005970A0">
              <w:t xml:space="preserve">, whereas previous collections complied with earlier releases. For details, see </w:t>
            </w:r>
            <w:r w:rsidRPr="00D86CD7">
              <w:t>http://</w:t>
            </w:r>
            <w:proofErr w:type="spellStart"/>
            <w:r w:rsidRPr="00D86CD7">
              <w:t>www.ncver.edu.au</w:t>
            </w:r>
            <w:proofErr w:type="spellEnd"/>
            <w:r w:rsidRPr="00D86CD7">
              <w:t>/</w:t>
            </w:r>
            <w:proofErr w:type="spellStart"/>
            <w:r w:rsidRPr="00D86CD7">
              <w:t>avetmiss</w:t>
            </w:r>
            <w:proofErr w:type="spellEnd"/>
            <w:r w:rsidRPr="00D86CD7">
              <w:t>/</w:t>
            </w:r>
            <w:proofErr w:type="spellStart"/>
            <w:r w:rsidRPr="00D86CD7">
              <w:t>21055.html</w:t>
            </w:r>
            <w:proofErr w:type="spellEnd"/>
            <w:r w:rsidRPr="00EC5E2C">
              <w:t>.</w:t>
            </w:r>
            <w:r w:rsidR="00DF031A" w:rsidRPr="00EC5E2C">
              <w:t xml:space="preserve"> From 2012, data comply with release 6.1 of </w:t>
            </w:r>
            <w:proofErr w:type="spellStart"/>
            <w:r w:rsidR="00DF031A" w:rsidRPr="00EC5E2C">
              <w:t>AVETMISS</w:t>
            </w:r>
            <w:proofErr w:type="spellEnd"/>
            <w:r w:rsidR="00DF031A" w:rsidRPr="00EC5E2C">
              <w:t>, whereas previous collections complied with earlier releases. For details, see http://</w:t>
            </w:r>
            <w:proofErr w:type="spellStart"/>
            <w:r w:rsidR="00DF031A" w:rsidRPr="00EC5E2C">
              <w:t>www.ncver.edu.au</w:t>
            </w:r>
            <w:proofErr w:type="spellEnd"/>
            <w:r w:rsidR="00DF031A" w:rsidRPr="00EC5E2C">
              <w:t>/</w:t>
            </w:r>
            <w:proofErr w:type="spellStart"/>
            <w:r w:rsidR="00DF031A" w:rsidRPr="00EC5E2C">
              <w:t>avetmiss</w:t>
            </w:r>
            <w:proofErr w:type="spellEnd"/>
            <w:r w:rsidR="00DF031A" w:rsidRPr="00EC5E2C">
              <w:t>/</w:t>
            </w:r>
            <w:proofErr w:type="spellStart"/>
            <w:r w:rsidR="00DF031A" w:rsidRPr="00EC5E2C">
              <w:t>21055.html</w:t>
            </w:r>
            <w:proofErr w:type="spellEnd"/>
          </w:p>
        </w:tc>
      </w:tr>
    </w:tbl>
    <w:p w:rsidR="007056F1" w:rsidRPr="005970A0" w:rsidRDefault="007056F1" w:rsidP="007056F1"/>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7056F1">
        <w:tc>
          <w:tcPr>
            <w:tcW w:w="922" w:type="pct"/>
          </w:tcPr>
          <w:p w:rsidR="007056F1" w:rsidRPr="005970A0" w:rsidRDefault="007056F1" w:rsidP="007056F1">
            <w:pPr>
              <w:pStyle w:val="TableBodyText"/>
              <w:jc w:val="both"/>
              <w:rPr>
                <w:b/>
              </w:rPr>
            </w:pPr>
            <w:r w:rsidRPr="005970A0">
              <w:rPr>
                <w:b/>
              </w:rPr>
              <w:t>Accessibility</w:t>
            </w:r>
          </w:p>
        </w:tc>
        <w:tc>
          <w:tcPr>
            <w:tcW w:w="4078" w:type="pct"/>
          </w:tcPr>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 xml:space="preserve">Summary information is available free of charge in </w:t>
            </w:r>
            <w:r w:rsidRPr="005970A0">
              <w:rPr>
                <w:rFonts w:ascii="Arial" w:hAnsi="Arial" w:cs="Arial"/>
                <w:sz w:val="20"/>
                <w:szCs w:val="20"/>
                <w:u w:val="single"/>
              </w:rPr>
              <w:t>Students and Courses</w:t>
            </w:r>
            <w:r w:rsidRPr="005970A0">
              <w:rPr>
                <w:rFonts w:ascii="Arial" w:hAnsi="Arial" w:cs="Arial"/>
                <w:sz w:val="20"/>
                <w:szCs w:val="20"/>
              </w:rPr>
              <w:t xml:space="preserve"> on </w:t>
            </w:r>
            <w:proofErr w:type="spellStart"/>
            <w:r w:rsidRPr="005970A0">
              <w:rPr>
                <w:rFonts w:ascii="Arial" w:hAnsi="Arial" w:cs="Arial"/>
                <w:sz w:val="20"/>
                <w:szCs w:val="20"/>
              </w:rPr>
              <w:t>NCVER’s</w:t>
            </w:r>
            <w:proofErr w:type="spellEnd"/>
            <w:r w:rsidRPr="005970A0">
              <w:rPr>
                <w:rFonts w:ascii="Arial" w:hAnsi="Arial" w:cs="Arial"/>
                <w:sz w:val="20"/>
                <w:szCs w:val="20"/>
              </w:rPr>
              <w:t xml:space="preserve"> website at: </w:t>
            </w:r>
            <w:r w:rsidRPr="00D86CD7">
              <w:rPr>
                <w:rFonts w:ascii="Arial" w:hAnsi="Arial" w:cs="Arial"/>
                <w:sz w:val="20"/>
                <w:szCs w:val="20"/>
              </w:rPr>
              <w:t>http://</w:t>
            </w:r>
            <w:proofErr w:type="spellStart"/>
            <w:r w:rsidRPr="00D86CD7">
              <w:rPr>
                <w:rFonts w:ascii="Arial" w:hAnsi="Arial" w:cs="Arial"/>
                <w:sz w:val="20"/>
                <w:szCs w:val="20"/>
              </w:rPr>
              <w:t>www.ncver.edu.au</w:t>
            </w:r>
            <w:proofErr w:type="spellEnd"/>
            <w:r w:rsidRPr="00D86CD7">
              <w:rPr>
                <w:rFonts w:ascii="Arial" w:hAnsi="Arial" w:cs="Arial"/>
                <w:sz w:val="20"/>
                <w:szCs w:val="20"/>
              </w:rPr>
              <w:t>/statistic/</w:t>
            </w:r>
            <w:proofErr w:type="spellStart"/>
            <w:r w:rsidRPr="00D86CD7">
              <w:rPr>
                <w:rFonts w:ascii="Arial" w:hAnsi="Arial" w:cs="Arial"/>
                <w:sz w:val="20"/>
                <w:szCs w:val="20"/>
              </w:rPr>
              <w:t>21053.html</w:t>
            </w:r>
            <w:proofErr w:type="spellEnd"/>
            <w:r w:rsidRPr="005970A0">
              <w:rPr>
                <w:rFonts w:ascii="Arial" w:hAnsi="Arial" w:cs="Arial"/>
                <w:sz w:val="20"/>
                <w:szCs w:val="20"/>
              </w:rPr>
              <w:t xml:space="preserve">. Requests for more detailed statistical information can be made to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on (08) 8230 8400 or </w:t>
            </w:r>
            <w:proofErr w:type="spellStart"/>
            <w:r w:rsidRPr="005970A0">
              <w:rPr>
                <w:rFonts w:ascii="Arial" w:hAnsi="Arial" w:cs="Arial"/>
                <w:sz w:val="20"/>
                <w:szCs w:val="20"/>
                <w:u w:val="single"/>
              </w:rPr>
              <w:t>vet_req@ncver.edu.au</w:t>
            </w:r>
            <w:proofErr w:type="spellEnd"/>
          </w:p>
          <w:p w:rsidR="007056F1" w:rsidRPr="005970A0" w:rsidRDefault="007056F1" w:rsidP="007056F1">
            <w:pPr>
              <w:pStyle w:val="TableBodyText"/>
              <w:keepNext w:val="0"/>
              <w:keepLines w:val="0"/>
              <w:spacing w:after="120" w:line="240" w:lineRule="auto"/>
              <w:ind w:left="0" w:right="0"/>
              <w:jc w:val="both"/>
              <w:rPr>
                <w:rFonts w:cs="Arial"/>
                <w:u w:val="single"/>
              </w:rPr>
            </w:pPr>
            <w:r w:rsidRPr="005970A0">
              <w:rPr>
                <w:rFonts w:cs="Arial"/>
              </w:rPr>
              <w:t xml:space="preserve">A charge will be generally made by the </w:t>
            </w:r>
            <w:proofErr w:type="spellStart"/>
            <w:r w:rsidRPr="005970A0">
              <w:rPr>
                <w:rFonts w:cs="Arial"/>
              </w:rPr>
              <w:t>NCVER</w:t>
            </w:r>
            <w:proofErr w:type="spellEnd"/>
            <w:r w:rsidRPr="005970A0">
              <w:rPr>
                <w:rFonts w:cs="Arial"/>
              </w:rPr>
              <w:t xml:space="preserve"> for more complex requests for information. See </w:t>
            </w:r>
            <w:proofErr w:type="spellStart"/>
            <w:r w:rsidRPr="005970A0">
              <w:rPr>
                <w:rFonts w:cs="Arial"/>
              </w:rPr>
              <w:t>NCVER’s</w:t>
            </w:r>
            <w:proofErr w:type="spellEnd"/>
            <w:r w:rsidRPr="005970A0">
              <w:rPr>
                <w:rFonts w:cs="Arial"/>
              </w:rPr>
              <w:t xml:space="preserve"> fees and charges policy at </w:t>
            </w:r>
            <w:r w:rsidRPr="005970A0">
              <w:rPr>
                <w:rFonts w:cs="Arial"/>
                <w:u w:val="single"/>
              </w:rPr>
              <w:t>http://</w:t>
            </w:r>
            <w:proofErr w:type="spellStart"/>
            <w:r w:rsidRPr="005970A0">
              <w:rPr>
                <w:rFonts w:cs="Arial"/>
                <w:u w:val="single"/>
              </w:rPr>
              <w:t>www.ncver.edu.au</w:t>
            </w:r>
            <w:proofErr w:type="spellEnd"/>
            <w:r w:rsidRPr="005970A0">
              <w:rPr>
                <w:rFonts w:cs="Arial"/>
                <w:u w:val="single"/>
              </w:rPr>
              <w:t>/statistic/</w:t>
            </w:r>
            <w:proofErr w:type="spellStart"/>
            <w:r w:rsidRPr="005970A0">
              <w:rPr>
                <w:rFonts w:cs="Arial"/>
                <w:u w:val="single"/>
              </w:rPr>
              <w:t>21075.html</w:t>
            </w:r>
            <w:proofErr w:type="spellEnd"/>
          </w:p>
        </w:tc>
      </w:tr>
      <w:tr w:rsidR="005970A0" w:rsidRPr="005970A0" w:rsidTr="007056F1">
        <w:tc>
          <w:tcPr>
            <w:tcW w:w="922" w:type="pct"/>
          </w:tcPr>
          <w:p w:rsidR="007056F1" w:rsidRPr="005970A0" w:rsidRDefault="007056F1" w:rsidP="007056F1">
            <w:pPr>
              <w:pStyle w:val="TableBodyText"/>
              <w:jc w:val="both"/>
              <w:rPr>
                <w:b/>
              </w:rPr>
            </w:pPr>
            <w:r w:rsidRPr="005970A0">
              <w:rPr>
                <w:b/>
              </w:rPr>
              <w:t>Interpretability</w:t>
            </w:r>
          </w:p>
        </w:tc>
        <w:tc>
          <w:tcPr>
            <w:tcW w:w="4078" w:type="pct"/>
          </w:tcPr>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 xml:space="preserve">To aid interpretation, information on the National VET Provider Collection, </w:t>
            </w:r>
            <w:proofErr w:type="spellStart"/>
            <w:r w:rsidRPr="005970A0">
              <w:rPr>
                <w:rFonts w:ascii="Arial" w:hAnsi="Arial" w:cs="Arial"/>
                <w:sz w:val="20"/>
                <w:szCs w:val="20"/>
              </w:rPr>
              <w:t>AVETMISS</w:t>
            </w:r>
            <w:proofErr w:type="spellEnd"/>
            <w:r w:rsidRPr="005970A0">
              <w:rPr>
                <w:rFonts w:ascii="Arial" w:hAnsi="Arial" w:cs="Arial"/>
                <w:sz w:val="20"/>
                <w:szCs w:val="20"/>
              </w:rPr>
              <w:t xml:space="preserve">, and Students and Courses is available on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website.</w:t>
            </w:r>
          </w:p>
          <w:p w:rsidR="007056F1" w:rsidRPr="005970A0" w:rsidRDefault="007056F1" w:rsidP="007056F1">
            <w:pPr>
              <w:spacing w:after="120"/>
              <w:jc w:val="both"/>
              <w:rPr>
                <w:rFonts w:ascii="Arial" w:hAnsi="Arial" w:cs="Arial"/>
                <w:sz w:val="20"/>
                <w:szCs w:val="20"/>
              </w:rPr>
            </w:pPr>
            <w:r w:rsidRPr="005970A0">
              <w:rPr>
                <w:rFonts w:ascii="Arial" w:hAnsi="Arial" w:cs="Arial"/>
                <w:sz w:val="20"/>
                <w:szCs w:val="20"/>
              </w:rPr>
              <w:t xml:space="preserve">Among other standards detailed in </w:t>
            </w:r>
            <w:proofErr w:type="spellStart"/>
            <w:r w:rsidRPr="005970A0">
              <w:rPr>
                <w:rFonts w:ascii="Arial" w:hAnsi="Arial" w:cs="Arial"/>
                <w:sz w:val="20"/>
                <w:szCs w:val="20"/>
              </w:rPr>
              <w:t>AVETMISS</w:t>
            </w:r>
            <w:proofErr w:type="spellEnd"/>
            <w:r w:rsidRPr="005970A0">
              <w:rPr>
                <w:rFonts w:ascii="Arial" w:hAnsi="Arial" w:cs="Arial"/>
                <w:sz w:val="20"/>
                <w:szCs w:val="20"/>
              </w:rPr>
              <w:t>, the collection uses the:</w:t>
            </w:r>
          </w:p>
          <w:p w:rsidR="007056F1" w:rsidRPr="005970A0" w:rsidRDefault="007056F1" w:rsidP="007056F1">
            <w:pPr>
              <w:numPr>
                <w:ilvl w:val="0"/>
                <w:numId w:val="25"/>
              </w:numPr>
              <w:tabs>
                <w:tab w:val="clear" w:pos="720"/>
                <w:tab w:val="num" w:pos="179"/>
              </w:tabs>
              <w:autoSpaceDE w:val="0"/>
              <w:autoSpaceDN w:val="0"/>
              <w:adjustRightInd w:val="0"/>
              <w:spacing w:after="40" w:line="240" w:lineRule="atLeast"/>
              <w:ind w:left="179" w:hanging="177"/>
              <w:jc w:val="both"/>
              <w:rPr>
                <w:rFonts w:ascii="Arial" w:hAnsi="Arial" w:cs="Arial"/>
                <w:sz w:val="20"/>
                <w:szCs w:val="20"/>
              </w:rPr>
            </w:pPr>
            <w:r w:rsidRPr="005970A0">
              <w:rPr>
                <w:rFonts w:ascii="Arial" w:hAnsi="Arial" w:cs="Arial"/>
                <w:bCs/>
                <w:sz w:val="20"/>
                <w:szCs w:val="20"/>
                <w:u w:val="single"/>
              </w:rPr>
              <w:t>Australian Classification of Education (</w:t>
            </w:r>
            <w:proofErr w:type="spellStart"/>
            <w:r w:rsidRPr="005970A0">
              <w:rPr>
                <w:rFonts w:ascii="Arial" w:hAnsi="Arial" w:cs="Arial"/>
                <w:bCs/>
                <w:sz w:val="20"/>
                <w:szCs w:val="20"/>
                <w:u w:val="single"/>
              </w:rPr>
              <w:t>ASCED</w:t>
            </w:r>
            <w:proofErr w:type="spellEnd"/>
            <w:r w:rsidRPr="005970A0">
              <w:rPr>
                <w:rFonts w:ascii="Arial" w:hAnsi="Arial" w:cs="Arial"/>
                <w:bCs/>
                <w:sz w:val="20"/>
                <w:szCs w:val="20"/>
                <w:u w:val="single"/>
              </w:rPr>
              <w:t>) (ABS cat. no. 1272.0)</w:t>
            </w:r>
            <w:r w:rsidRPr="005970A0">
              <w:rPr>
                <w:rFonts w:ascii="Arial" w:hAnsi="Arial" w:cs="Arial"/>
                <w:sz w:val="20"/>
                <w:szCs w:val="20"/>
              </w:rPr>
              <w:t xml:space="preserve"> to classify the level and field of education</w:t>
            </w:r>
          </w:p>
          <w:p w:rsidR="007056F1" w:rsidRPr="005970A0" w:rsidRDefault="007056F1" w:rsidP="007056F1">
            <w:pPr>
              <w:numPr>
                <w:ilvl w:val="0"/>
                <w:numId w:val="25"/>
              </w:numPr>
              <w:tabs>
                <w:tab w:val="clear" w:pos="720"/>
                <w:tab w:val="num" w:pos="179"/>
              </w:tabs>
              <w:autoSpaceDE w:val="0"/>
              <w:autoSpaceDN w:val="0"/>
              <w:adjustRightInd w:val="0"/>
              <w:spacing w:after="40" w:line="240" w:lineRule="atLeast"/>
              <w:ind w:left="179" w:hanging="177"/>
              <w:jc w:val="both"/>
              <w:rPr>
                <w:rFonts w:ascii="Arial" w:hAnsi="Arial" w:cs="Arial"/>
                <w:sz w:val="20"/>
                <w:szCs w:val="20"/>
              </w:rPr>
            </w:pPr>
            <w:r w:rsidRPr="00D86CD7">
              <w:rPr>
                <w:rFonts w:ascii="Arial" w:hAnsi="Arial" w:cs="Arial"/>
                <w:sz w:val="20"/>
                <w:szCs w:val="20"/>
              </w:rPr>
              <w:t>Australian and New Zealand Standard Classification of Occupations (</w:t>
            </w:r>
            <w:proofErr w:type="spellStart"/>
            <w:r w:rsidRPr="00D86CD7">
              <w:rPr>
                <w:rFonts w:ascii="Arial" w:hAnsi="Arial" w:cs="Arial"/>
                <w:sz w:val="20"/>
                <w:szCs w:val="20"/>
              </w:rPr>
              <w:t>ANZSCO</w:t>
            </w:r>
            <w:proofErr w:type="spellEnd"/>
            <w:r w:rsidRPr="00D86CD7">
              <w:rPr>
                <w:rFonts w:ascii="Arial" w:hAnsi="Arial" w:cs="Arial"/>
                <w:sz w:val="20"/>
                <w:szCs w:val="20"/>
              </w:rPr>
              <w:t xml:space="preserve">, previously </w:t>
            </w:r>
            <w:proofErr w:type="spellStart"/>
            <w:r w:rsidRPr="00D86CD7">
              <w:rPr>
                <w:rFonts w:ascii="Arial" w:hAnsi="Arial" w:cs="Arial"/>
                <w:sz w:val="20"/>
                <w:szCs w:val="20"/>
              </w:rPr>
              <w:t>ASCO</w:t>
            </w:r>
            <w:proofErr w:type="spellEnd"/>
            <w:r w:rsidRPr="00D86CD7">
              <w:rPr>
                <w:rFonts w:ascii="Arial" w:hAnsi="Arial" w:cs="Arial"/>
                <w:sz w:val="20"/>
                <w:szCs w:val="20"/>
              </w:rPr>
              <w:t>) (ABS cat. no. 1220.0)</w:t>
            </w:r>
            <w:r w:rsidRPr="005970A0">
              <w:rPr>
                <w:rFonts w:ascii="Arial" w:hAnsi="Arial" w:cs="Arial"/>
                <w:sz w:val="20"/>
                <w:szCs w:val="20"/>
              </w:rPr>
              <w:t xml:space="preserve"> to classify occupation</w:t>
            </w:r>
          </w:p>
          <w:p w:rsidR="007056F1" w:rsidRPr="00991FB8" w:rsidRDefault="007056F1" w:rsidP="00EC5E2C">
            <w:pPr>
              <w:pStyle w:val="TableBullet"/>
              <w:numPr>
                <w:ilvl w:val="0"/>
                <w:numId w:val="25"/>
              </w:numPr>
              <w:tabs>
                <w:tab w:val="clear" w:pos="720"/>
                <w:tab w:val="num" w:pos="179"/>
              </w:tabs>
              <w:spacing w:after="120"/>
              <w:ind w:left="179" w:hanging="177"/>
              <w:jc w:val="both"/>
            </w:pPr>
            <w:r w:rsidRPr="005970A0">
              <w:rPr>
                <w:rFonts w:cs="Arial"/>
                <w:u w:val="single"/>
              </w:rPr>
              <w:t>Access/Remoteness Index of Australia (ARIA+)</w:t>
            </w:r>
            <w:r w:rsidRPr="005970A0">
              <w:rPr>
                <w:rFonts w:cs="Arial"/>
              </w:rPr>
              <w:t xml:space="preserve"> to classify remoteness. It was developed by the National Centre for Applications of Geographic Information Systems </w:t>
            </w:r>
            <w:r w:rsidRPr="005970A0">
              <w:rPr>
                <w:rFonts w:cs="Arial"/>
                <w:u w:val="single"/>
              </w:rPr>
              <w:t>(</w:t>
            </w:r>
            <w:proofErr w:type="spellStart"/>
            <w:r w:rsidRPr="005970A0">
              <w:rPr>
                <w:rFonts w:cs="Arial"/>
                <w:u w:val="single"/>
              </w:rPr>
              <w:t>GISCA</w:t>
            </w:r>
            <w:proofErr w:type="spellEnd"/>
            <w:r w:rsidRPr="005970A0">
              <w:rPr>
                <w:rFonts w:cs="Arial"/>
                <w:u w:val="single"/>
              </w:rPr>
              <w:t>)</w:t>
            </w:r>
            <w:r w:rsidRPr="005970A0">
              <w:rPr>
                <w:rFonts w:cs="Arial"/>
              </w:rPr>
              <w:t xml:space="preserve"> and is the standard ABS endorsed measure of remoteness.</w:t>
            </w:r>
          </w:p>
          <w:p w:rsidR="00991FB8" w:rsidRPr="004A75E6" w:rsidRDefault="00991FB8" w:rsidP="00EC5E2C">
            <w:pPr>
              <w:spacing w:after="120"/>
              <w:jc w:val="both"/>
              <w:rPr>
                <w:rFonts w:ascii="Arial" w:hAnsi="Arial" w:cs="Arial"/>
                <w:sz w:val="20"/>
                <w:szCs w:val="20"/>
              </w:rPr>
            </w:pPr>
            <w:r w:rsidRPr="004A75E6">
              <w:rPr>
                <w:rFonts w:ascii="Arial" w:hAnsi="Arial" w:cs="Arial"/>
                <w:sz w:val="20"/>
                <w:szCs w:val="20"/>
              </w:rPr>
              <w:t>Student remoteness is based on the Access/Remoteness Index of Australia (ARIA+), which was developed by the National Centre for Social Applications of Geographic Information Systems (</w:t>
            </w:r>
            <w:proofErr w:type="spellStart"/>
            <w:r w:rsidRPr="004A75E6">
              <w:rPr>
                <w:rFonts w:ascii="Arial" w:hAnsi="Arial" w:cs="Arial"/>
                <w:sz w:val="20"/>
                <w:szCs w:val="20"/>
              </w:rPr>
              <w:t>GISCA</w:t>
            </w:r>
            <w:proofErr w:type="spellEnd"/>
            <w:r w:rsidRPr="004A75E6">
              <w:rPr>
                <w:rFonts w:ascii="Arial" w:hAnsi="Arial" w:cs="Arial"/>
                <w:sz w:val="20"/>
                <w:szCs w:val="20"/>
              </w:rPr>
              <w:t xml:space="preserve">). ARIA+ is now the standard ABS-endorsed measure of remoteness. From 2011, Student remoteness (ARIA+) is determined from ARIA+ remoteness regions and ABS </w:t>
            </w:r>
            <w:proofErr w:type="spellStart"/>
            <w:r w:rsidRPr="004A75E6">
              <w:rPr>
                <w:rFonts w:ascii="Arial" w:hAnsi="Arial" w:cs="Arial"/>
                <w:sz w:val="20"/>
                <w:szCs w:val="20"/>
              </w:rPr>
              <w:t>SA2</w:t>
            </w:r>
            <w:proofErr w:type="spellEnd"/>
            <w:r w:rsidRPr="004A75E6">
              <w:rPr>
                <w:rFonts w:ascii="Arial" w:hAnsi="Arial" w:cs="Arial"/>
                <w:sz w:val="20"/>
                <w:szCs w:val="20"/>
              </w:rPr>
              <w:t xml:space="preserve"> regions. Data prior to 2011 is based on ABS postal areas and ARIA+. Student remoteness (ARIA+) regions use the same ARIA+ ranges as the ABS remoteness areas and are therefore an approximation of the ABS remoteness areas. For more details of ARIA+ refer to &lt;</w:t>
            </w:r>
            <w:r w:rsidRPr="00D86CD7">
              <w:rPr>
                <w:rFonts w:ascii="Arial" w:hAnsi="Arial" w:cs="Arial"/>
                <w:sz w:val="20"/>
                <w:szCs w:val="20"/>
              </w:rPr>
              <w:t>www.adelaide.edu.au/apmrc/research/projects/category/about_aria.html</w:t>
            </w:r>
            <w:r w:rsidRPr="004A75E6">
              <w:rPr>
                <w:rFonts w:ascii="Arial" w:hAnsi="Arial" w:cs="Arial"/>
                <w:sz w:val="20"/>
                <w:szCs w:val="20"/>
              </w:rPr>
              <w:t>&gt;</w:t>
            </w:r>
          </w:p>
          <w:p w:rsidR="00991FB8" w:rsidRPr="005970A0" w:rsidRDefault="00991FB8" w:rsidP="00991FB8">
            <w:pPr>
              <w:pStyle w:val="TableBullet"/>
              <w:numPr>
                <w:ilvl w:val="0"/>
                <w:numId w:val="0"/>
              </w:numPr>
              <w:spacing w:after="120"/>
              <w:ind w:left="2"/>
              <w:jc w:val="both"/>
            </w:pPr>
          </w:p>
        </w:tc>
      </w:tr>
      <w:tr w:rsidR="005970A0" w:rsidRPr="005970A0" w:rsidTr="007056F1">
        <w:tc>
          <w:tcPr>
            <w:tcW w:w="5000" w:type="pct"/>
            <w:gridSpan w:val="2"/>
            <w:shd w:val="clear" w:color="auto" w:fill="auto"/>
          </w:tcPr>
          <w:p w:rsidR="007056F1" w:rsidRPr="005970A0" w:rsidRDefault="007056F1" w:rsidP="007056F1">
            <w:pPr>
              <w:pStyle w:val="TableBodyText"/>
              <w:jc w:val="both"/>
              <w:rPr>
                <w:b/>
                <w:u w:val="single"/>
              </w:rPr>
            </w:pPr>
          </w:p>
          <w:p w:rsidR="007056F1" w:rsidRPr="005970A0" w:rsidRDefault="007056F1" w:rsidP="007056F1">
            <w:pPr>
              <w:pStyle w:val="TableBodyText"/>
              <w:jc w:val="both"/>
              <w:rPr>
                <w:b/>
                <w:u w:val="single"/>
              </w:rPr>
            </w:pPr>
            <w:r w:rsidRPr="005970A0">
              <w:rPr>
                <w:b/>
                <w:u w:val="single"/>
              </w:rPr>
              <w:t>Data Gaps/Issues Analysis</w:t>
            </w:r>
          </w:p>
        </w:tc>
      </w:tr>
      <w:tr w:rsidR="007056F1" w:rsidRPr="005970A0" w:rsidTr="007056F1">
        <w:tc>
          <w:tcPr>
            <w:tcW w:w="922" w:type="pct"/>
            <w:shd w:val="clear" w:color="auto" w:fill="auto"/>
          </w:tcPr>
          <w:p w:rsidR="007056F1" w:rsidRPr="005970A0" w:rsidRDefault="007056F1" w:rsidP="007056F1">
            <w:pPr>
              <w:pStyle w:val="TableBodyText"/>
              <w:jc w:val="both"/>
              <w:rPr>
                <w:b/>
              </w:rPr>
            </w:pPr>
            <w:r w:rsidRPr="005970A0">
              <w:rPr>
                <w:b/>
              </w:rPr>
              <w:t>Key data gaps/ issues</w:t>
            </w:r>
          </w:p>
        </w:tc>
        <w:tc>
          <w:tcPr>
            <w:tcW w:w="4078" w:type="pct"/>
            <w:shd w:val="clear" w:color="auto" w:fill="auto"/>
          </w:tcPr>
          <w:p w:rsidR="007056F1" w:rsidRPr="005970A0" w:rsidRDefault="007056F1" w:rsidP="007056F1">
            <w:pPr>
              <w:pStyle w:val="TableBodyText"/>
              <w:keepNext w:val="0"/>
              <w:keepLines w:val="0"/>
              <w:spacing w:after="120" w:line="240" w:lineRule="auto"/>
              <w:ind w:left="0" w:right="0"/>
              <w:jc w:val="both"/>
            </w:pPr>
            <w:r w:rsidRPr="005970A0">
              <w:t xml:space="preserve">The Steering Committee notes the following key data gaps/issues: </w:t>
            </w:r>
          </w:p>
          <w:p w:rsidR="007056F1" w:rsidRPr="005970A0" w:rsidRDefault="007056F1" w:rsidP="007056F1">
            <w:pPr>
              <w:pStyle w:val="TableBullet"/>
              <w:spacing w:after="120"/>
              <w:ind w:left="179" w:hanging="179"/>
              <w:jc w:val="both"/>
            </w:pPr>
            <w:r w:rsidRPr="005970A0">
              <w:t>The outcomes indicator ‘skill profile’ is currently unable to be measured, and in the interim ‘skill outputs from VET’ is reported as a proxy for skill profile.</w:t>
            </w:r>
          </w:p>
        </w:tc>
      </w:tr>
    </w:tbl>
    <w:p w:rsidR="007056F1" w:rsidRPr="005970A0" w:rsidRDefault="007056F1" w:rsidP="007056F1"/>
    <w:p w:rsidR="0068457F" w:rsidRPr="005970A0" w:rsidRDefault="0068457F" w:rsidP="00772353">
      <w:pPr>
        <w:pStyle w:val="Heading3"/>
        <w:spacing w:before="120"/>
      </w:pPr>
      <w:r w:rsidRPr="005970A0">
        <w:br w:type="page"/>
      </w:r>
      <w:bookmarkStart w:id="38" w:name="_Toc370472632"/>
      <w:r w:rsidRPr="005970A0">
        <w:lastRenderedPageBreak/>
        <w:t>Employer engagement with VET</w:t>
      </w:r>
      <w:bookmarkEnd w:id="38"/>
    </w:p>
    <w:p w:rsidR="0068457F" w:rsidRPr="005970A0" w:rsidRDefault="0068457F" w:rsidP="006E0702">
      <w:pPr>
        <w:pStyle w:val="Box"/>
      </w:pPr>
      <w:r w:rsidRPr="005970A0">
        <w:t>Data quality information for this indicator has been drafted by the National Centre for Vocational Education Research (</w:t>
      </w:r>
      <w:proofErr w:type="spellStart"/>
      <w:r w:rsidRPr="005970A0">
        <w:t>NCVER</w:t>
      </w:r>
      <w:proofErr w:type="spellEnd"/>
      <w:r w:rsidRPr="005970A0">
        <w:t>)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395EF2">
        <w:tc>
          <w:tcPr>
            <w:tcW w:w="5000" w:type="pct"/>
            <w:gridSpan w:val="2"/>
          </w:tcPr>
          <w:p w:rsidR="0068457F" w:rsidRPr="005970A0" w:rsidRDefault="0068457F" w:rsidP="006E0702">
            <w:pPr>
              <w:pStyle w:val="TableBodyText"/>
              <w:jc w:val="both"/>
              <w:rPr>
                <w:b/>
                <w:u w:val="single"/>
              </w:rPr>
            </w:pPr>
          </w:p>
          <w:p w:rsidR="0068457F" w:rsidRPr="005970A0" w:rsidRDefault="0068457F" w:rsidP="006E0702">
            <w:pPr>
              <w:pStyle w:val="TableBodyText"/>
              <w:jc w:val="both"/>
            </w:pPr>
            <w:r w:rsidRPr="005970A0">
              <w:rPr>
                <w:b/>
                <w:u w:val="single"/>
              </w:rPr>
              <w:t>Indicator definition and description</w:t>
            </w:r>
            <w:r w:rsidRPr="005970A0">
              <w:rPr>
                <w:rFonts w:cs="Arial"/>
                <w:b/>
                <w:sz w:val="22"/>
                <w:szCs w:val="22"/>
                <w:u w:val="single"/>
              </w:rPr>
              <w:t xml:space="preserve"> </w:t>
            </w:r>
          </w:p>
        </w:tc>
      </w:tr>
      <w:tr w:rsidR="005970A0" w:rsidRPr="005970A0" w:rsidTr="00395EF2">
        <w:tc>
          <w:tcPr>
            <w:tcW w:w="922" w:type="pct"/>
          </w:tcPr>
          <w:p w:rsidR="0068457F" w:rsidRPr="005970A0" w:rsidRDefault="0068457F" w:rsidP="006E0702">
            <w:pPr>
              <w:pStyle w:val="TableBodyText"/>
              <w:jc w:val="both"/>
              <w:rPr>
                <w:b/>
              </w:rPr>
            </w:pPr>
            <w:r w:rsidRPr="005970A0">
              <w:rPr>
                <w:b/>
              </w:rPr>
              <w:t>Element</w:t>
            </w:r>
          </w:p>
        </w:tc>
        <w:tc>
          <w:tcPr>
            <w:tcW w:w="4078" w:type="pct"/>
          </w:tcPr>
          <w:p w:rsidR="0068457F" w:rsidRPr="005970A0" w:rsidRDefault="0068457F" w:rsidP="006E0702">
            <w:pPr>
              <w:pStyle w:val="TableBodyText"/>
              <w:keepNext w:val="0"/>
              <w:keepLines w:val="0"/>
              <w:spacing w:after="120" w:line="240" w:lineRule="auto"/>
              <w:ind w:left="0" w:right="0"/>
              <w:jc w:val="both"/>
            </w:pPr>
            <w:r w:rsidRPr="005970A0">
              <w:t>Outcomes.</w:t>
            </w:r>
          </w:p>
        </w:tc>
      </w:tr>
      <w:tr w:rsidR="005970A0" w:rsidRPr="005970A0" w:rsidTr="00395EF2">
        <w:tc>
          <w:tcPr>
            <w:tcW w:w="922" w:type="pct"/>
          </w:tcPr>
          <w:p w:rsidR="0068457F" w:rsidRPr="005970A0" w:rsidRDefault="0068457F" w:rsidP="006E0702">
            <w:pPr>
              <w:pStyle w:val="TableBodyText"/>
              <w:jc w:val="both"/>
              <w:rPr>
                <w:b/>
              </w:rPr>
            </w:pPr>
            <w:r w:rsidRPr="005970A0">
              <w:rPr>
                <w:b/>
              </w:rPr>
              <w:t>Indicator</w:t>
            </w:r>
          </w:p>
        </w:tc>
        <w:tc>
          <w:tcPr>
            <w:tcW w:w="4078" w:type="pct"/>
          </w:tcPr>
          <w:p w:rsidR="0068457F" w:rsidRPr="005970A0" w:rsidRDefault="0068457F" w:rsidP="006E0702">
            <w:pPr>
              <w:pStyle w:val="TableBodyText"/>
              <w:keepNext w:val="0"/>
              <w:keepLines w:val="0"/>
              <w:spacing w:after="120" w:line="240" w:lineRule="auto"/>
              <w:ind w:left="0" w:right="0"/>
              <w:jc w:val="both"/>
            </w:pPr>
            <w:r w:rsidRPr="005970A0">
              <w:t>Employer engagement with VET</w:t>
            </w:r>
          </w:p>
        </w:tc>
      </w:tr>
      <w:tr w:rsidR="005970A0" w:rsidRPr="005970A0" w:rsidTr="00395EF2">
        <w:tc>
          <w:tcPr>
            <w:tcW w:w="922" w:type="pct"/>
          </w:tcPr>
          <w:p w:rsidR="0068457F" w:rsidRPr="005970A0" w:rsidRDefault="0068457F" w:rsidP="006E0702">
            <w:pPr>
              <w:pStyle w:val="TableBodyText"/>
              <w:jc w:val="both"/>
              <w:rPr>
                <w:b/>
              </w:rPr>
            </w:pPr>
            <w:r w:rsidRPr="005970A0">
              <w:rPr>
                <w:b/>
              </w:rPr>
              <w:t>Measure (computation)</w:t>
            </w:r>
          </w:p>
        </w:tc>
        <w:tc>
          <w:tcPr>
            <w:tcW w:w="4078" w:type="pct"/>
          </w:tcPr>
          <w:p w:rsidR="0068457F" w:rsidRPr="005970A0" w:rsidRDefault="0068457F" w:rsidP="006E0702">
            <w:pPr>
              <w:pStyle w:val="TableBodyText"/>
              <w:jc w:val="both"/>
              <w:rPr>
                <w:u w:val="single"/>
              </w:rPr>
            </w:pPr>
            <w:r w:rsidRPr="005970A0">
              <w:rPr>
                <w:u w:val="single"/>
              </w:rPr>
              <w:t>Definition</w:t>
            </w:r>
          </w:p>
          <w:p w:rsidR="0068457F" w:rsidRPr="005970A0" w:rsidRDefault="0068457F" w:rsidP="006E0702">
            <w:pPr>
              <w:pStyle w:val="TableBodyText"/>
              <w:keepNext w:val="0"/>
              <w:keepLines w:val="0"/>
              <w:spacing w:after="120" w:line="240" w:lineRule="auto"/>
              <w:ind w:left="0" w:right="0"/>
              <w:jc w:val="both"/>
            </w:pPr>
            <w:r w:rsidRPr="005970A0">
              <w:t>Employer engagement with VET.</w:t>
            </w:r>
          </w:p>
          <w:p w:rsidR="0068457F" w:rsidRPr="005970A0" w:rsidRDefault="0068457F" w:rsidP="006E0702">
            <w:pPr>
              <w:pStyle w:val="TableBodyText"/>
              <w:jc w:val="both"/>
              <w:rPr>
                <w:u w:val="single"/>
              </w:rPr>
            </w:pPr>
            <w:r w:rsidRPr="005970A0">
              <w:rPr>
                <w:u w:val="single"/>
              </w:rPr>
              <w:t>Numerator/s</w:t>
            </w:r>
          </w:p>
          <w:p w:rsidR="0068457F" w:rsidRPr="005970A0" w:rsidRDefault="0068457F" w:rsidP="006E0702">
            <w:pPr>
              <w:pStyle w:val="TableBodyText"/>
              <w:keepNext w:val="0"/>
              <w:keepLines w:val="0"/>
              <w:spacing w:after="120" w:line="240" w:lineRule="auto"/>
              <w:ind w:left="0" w:right="0"/>
              <w:jc w:val="both"/>
            </w:pPr>
            <w:r w:rsidRPr="005970A0">
              <w:t>Number of employers who in the 12 months preceding the interview:</w:t>
            </w:r>
          </w:p>
          <w:p w:rsidR="0068457F" w:rsidRPr="005970A0" w:rsidRDefault="0068457F" w:rsidP="006E0702">
            <w:pPr>
              <w:pStyle w:val="TableBodyText"/>
              <w:jc w:val="both"/>
            </w:pPr>
            <w:r w:rsidRPr="005970A0">
              <w:t>(a) had employees undertaking apprenticeships/traineeships, or</w:t>
            </w:r>
          </w:p>
          <w:p w:rsidR="0068457F" w:rsidRPr="005970A0" w:rsidRDefault="0068457F" w:rsidP="006E0702">
            <w:pPr>
              <w:pStyle w:val="TableBodyText"/>
              <w:jc w:val="both"/>
            </w:pPr>
            <w:r w:rsidRPr="005970A0">
              <w:t>(b) arranged or provided nationally recognised training (other than apprenticeships /traineeships) for employees, or</w:t>
            </w:r>
          </w:p>
          <w:p w:rsidR="0068457F" w:rsidRPr="005970A0" w:rsidRDefault="0068457F" w:rsidP="006E0702">
            <w:pPr>
              <w:pStyle w:val="TableBodyText"/>
              <w:jc w:val="both"/>
            </w:pPr>
            <w:r w:rsidRPr="005970A0">
              <w:t>(c) had employees with formal vocational qualifications as a requirement of their job.</w:t>
            </w:r>
          </w:p>
          <w:p w:rsidR="0068457F" w:rsidRPr="005970A0" w:rsidRDefault="0068457F" w:rsidP="006E0702">
            <w:pPr>
              <w:pStyle w:val="TableBodyText"/>
              <w:jc w:val="both"/>
              <w:rPr>
                <w:u w:val="single"/>
              </w:rPr>
            </w:pPr>
            <w:r w:rsidRPr="005970A0">
              <w:rPr>
                <w:u w:val="single"/>
              </w:rPr>
              <w:t>Denominator/s</w:t>
            </w:r>
          </w:p>
          <w:p w:rsidR="0068457F" w:rsidRPr="005970A0" w:rsidRDefault="0068457F" w:rsidP="006E0702">
            <w:pPr>
              <w:pStyle w:val="TableBodyText"/>
              <w:keepNext w:val="0"/>
              <w:keepLines w:val="0"/>
              <w:spacing w:after="120" w:line="240" w:lineRule="auto"/>
              <w:ind w:left="0" w:right="0"/>
              <w:jc w:val="both"/>
            </w:pPr>
            <w:r w:rsidRPr="005970A0">
              <w:t>Number of employers (less those with the numerator variable not stated).</w:t>
            </w:r>
          </w:p>
          <w:p w:rsidR="0068457F" w:rsidRPr="005970A0" w:rsidRDefault="0068457F" w:rsidP="006E0702">
            <w:pPr>
              <w:pStyle w:val="TableBodyText"/>
              <w:jc w:val="both"/>
              <w:rPr>
                <w:u w:val="single"/>
              </w:rPr>
            </w:pPr>
            <w:r w:rsidRPr="005970A0">
              <w:rPr>
                <w:u w:val="single"/>
              </w:rPr>
              <w:t>Computation/s:</w:t>
            </w:r>
          </w:p>
          <w:p w:rsidR="0068457F" w:rsidRPr="005970A0" w:rsidRDefault="0068457F" w:rsidP="006E0702">
            <w:pPr>
              <w:pStyle w:val="TableBodyText"/>
              <w:keepNext w:val="0"/>
              <w:keepLines w:val="0"/>
              <w:spacing w:after="120" w:line="240" w:lineRule="auto"/>
              <w:ind w:left="0" w:right="0"/>
              <w:jc w:val="both"/>
            </w:pPr>
            <w:r w:rsidRPr="005970A0">
              <w:t>Numerator (above) divided by denominator (above), calculated separately for each of the three categories of employer stated for the numerator.</w:t>
            </w:r>
          </w:p>
          <w:p w:rsidR="0068457F" w:rsidRPr="005970A0" w:rsidRDefault="0068457F" w:rsidP="006E0702">
            <w:pPr>
              <w:pStyle w:val="TableBodyText"/>
              <w:keepNext w:val="0"/>
              <w:keepLines w:val="0"/>
              <w:spacing w:after="120" w:line="240" w:lineRule="auto"/>
              <w:ind w:left="0" w:right="0"/>
              <w:jc w:val="both"/>
              <w:rPr>
                <w:u w:val="single"/>
              </w:rPr>
            </w:pPr>
            <w:r w:rsidRPr="005970A0">
              <w:t>An ‘employer’ is defined as an organisation in Australia with at least one employee (in the 12 months preceding the interview). An ‘employee’ is defined as ‘a person working in, or operating from, this organisation including full-time, part-time and casual employees’.</w:t>
            </w:r>
          </w:p>
        </w:tc>
      </w:tr>
      <w:tr w:rsidR="005970A0" w:rsidRPr="005970A0" w:rsidTr="008929C7">
        <w:tc>
          <w:tcPr>
            <w:tcW w:w="922" w:type="pct"/>
          </w:tcPr>
          <w:p w:rsidR="008404F2" w:rsidRPr="005970A0" w:rsidRDefault="008404F2" w:rsidP="008929C7">
            <w:pPr>
              <w:pStyle w:val="TableBodyText"/>
              <w:jc w:val="both"/>
              <w:rPr>
                <w:b/>
              </w:rPr>
            </w:pPr>
            <w:r w:rsidRPr="005970A0">
              <w:rPr>
                <w:b/>
              </w:rPr>
              <w:t>Data source/s</w:t>
            </w:r>
          </w:p>
        </w:tc>
        <w:tc>
          <w:tcPr>
            <w:tcW w:w="4078" w:type="pct"/>
          </w:tcPr>
          <w:p w:rsidR="008404F2" w:rsidRPr="005970A0" w:rsidRDefault="008404F2" w:rsidP="008929C7">
            <w:pPr>
              <w:pStyle w:val="TableBodyText"/>
              <w:keepNext w:val="0"/>
              <w:keepLines w:val="0"/>
              <w:spacing w:after="120" w:line="240" w:lineRule="auto"/>
              <w:ind w:left="0" w:right="0"/>
              <w:jc w:val="both"/>
            </w:pPr>
            <w:r w:rsidRPr="005970A0">
              <w:t xml:space="preserve">All data are derived from the </w:t>
            </w:r>
            <w:r w:rsidRPr="005970A0">
              <w:rPr>
                <w:i/>
              </w:rPr>
              <w:t>Survey of Employer Use and Views of the VET System</w:t>
            </w:r>
            <w:r w:rsidRPr="005970A0">
              <w:t xml:space="preserve"> (</w:t>
            </w:r>
            <w:proofErr w:type="spellStart"/>
            <w:r w:rsidRPr="005970A0">
              <w:t>SEUV</w:t>
            </w:r>
            <w:proofErr w:type="spellEnd"/>
            <w:r w:rsidRPr="005970A0">
              <w:t>), which is a biennial survey. This survey collects information about employers' use and views of the VET system and the various ways employers use the VET system to meet their skill needs.</w:t>
            </w:r>
          </w:p>
        </w:tc>
      </w:tr>
      <w:tr w:rsidR="005970A0" w:rsidRPr="005970A0" w:rsidTr="008929C7">
        <w:tc>
          <w:tcPr>
            <w:tcW w:w="5000" w:type="pct"/>
            <w:gridSpan w:val="2"/>
          </w:tcPr>
          <w:p w:rsidR="008404F2" w:rsidRPr="005970A0" w:rsidRDefault="008404F2" w:rsidP="008929C7">
            <w:pPr>
              <w:pStyle w:val="TableBodyText"/>
              <w:jc w:val="both"/>
              <w:rPr>
                <w:b/>
                <w:u w:val="single"/>
              </w:rPr>
            </w:pPr>
          </w:p>
          <w:p w:rsidR="008404F2" w:rsidRPr="005970A0" w:rsidRDefault="008404F2" w:rsidP="008929C7">
            <w:pPr>
              <w:pStyle w:val="TableBodyText"/>
              <w:jc w:val="both"/>
              <w:rPr>
                <w:b/>
                <w:u w:val="single"/>
              </w:rPr>
            </w:pPr>
            <w:r w:rsidRPr="005970A0">
              <w:rPr>
                <w:b/>
                <w:u w:val="single"/>
              </w:rPr>
              <w:t>Data Quality Framework Dimensions</w:t>
            </w:r>
          </w:p>
        </w:tc>
      </w:tr>
      <w:tr w:rsidR="008404F2" w:rsidRPr="005970A0" w:rsidTr="008929C7">
        <w:tc>
          <w:tcPr>
            <w:tcW w:w="922" w:type="pct"/>
          </w:tcPr>
          <w:p w:rsidR="008404F2" w:rsidRPr="005970A0" w:rsidRDefault="008404F2" w:rsidP="008929C7">
            <w:pPr>
              <w:pStyle w:val="TableBodyText"/>
              <w:jc w:val="both"/>
              <w:rPr>
                <w:rFonts w:cs="Arial"/>
                <w:b/>
              </w:rPr>
            </w:pPr>
            <w:r w:rsidRPr="005970A0">
              <w:rPr>
                <w:b/>
              </w:rPr>
              <w:t>Institutional environment</w:t>
            </w:r>
          </w:p>
        </w:tc>
        <w:tc>
          <w:tcPr>
            <w:tcW w:w="4078" w:type="pct"/>
          </w:tcPr>
          <w:p w:rsidR="008404F2" w:rsidRPr="005970A0" w:rsidRDefault="008404F2" w:rsidP="008929C7">
            <w:pPr>
              <w:spacing w:after="120"/>
              <w:jc w:val="both"/>
              <w:rPr>
                <w:rFonts w:ascii="Arial" w:hAnsi="Arial" w:cs="Arial"/>
                <w:sz w:val="20"/>
                <w:szCs w:val="20"/>
              </w:rPr>
            </w:pPr>
            <w:r w:rsidRPr="005970A0">
              <w:rPr>
                <w:rFonts w:ascii="Arial" w:hAnsi="Arial" w:cs="Arial"/>
                <w:sz w:val="20"/>
                <w:szCs w:val="20"/>
              </w:rPr>
              <w:t>The National Centre for Vocational Education Research (</w:t>
            </w:r>
            <w:proofErr w:type="spellStart"/>
            <w:r w:rsidRPr="005970A0">
              <w:rPr>
                <w:rFonts w:ascii="Arial" w:hAnsi="Arial" w:cs="Arial"/>
                <w:sz w:val="20"/>
                <w:szCs w:val="20"/>
              </w:rPr>
              <w:t>NCVER</w:t>
            </w:r>
            <w:proofErr w:type="spellEnd"/>
            <w:r w:rsidRPr="005970A0">
              <w:rPr>
                <w:rFonts w:ascii="Arial" w:hAnsi="Arial" w:cs="Arial"/>
                <w:sz w:val="20"/>
                <w:szCs w:val="20"/>
              </w:rPr>
              <w:t>) is a not for-profit company owned by the federal, state and territory ministers responsible for training.</w:t>
            </w:r>
          </w:p>
          <w:p w:rsidR="008404F2" w:rsidRPr="005970A0" w:rsidRDefault="008404F2" w:rsidP="008929C7">
            <w:pPr>
              <w:spacing w:after="120"/>
              <w:jc w:val="both"/>
              <w:rPr>
                <w:rFonts w:ascii="Arial" w:hAnsi="Arial" w:cs="Arial"/>
                <w:sz w:val="20"/>
                <w:szCs w:val="20"/>
              </w:rPr>
            </w:pPr>
            <w:proofErr w:type="spellStart"/>
            <w:r w:rsidRPr="005970A0">
              <w:rPr>
                <w:rFonts w:ascii="Arial" w:hAnsi="Arial" w:cs="Arial"/>
                <w:sz w:val="20"/>
                <w:szCs w:val="20"/>
              </w:rPr>
              <w:t>NCVER</w:t>
            </w:r>
            <w:proofErr w:type="spellEnd"/>
            <w:r w:rsidRPr="005970A0">
              <w:rPr>
                <w:rFonts w:ascii="Arial" w:hAnsi="Arial" w:cs="Arial"/>
                <w:sz w:val="20"/>
                <w:szCs w:val="20"/>
              </w:rPr>
              <w:t xml:space="preserve">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8404F2" w:rsidRPr="005970A0" w:rsidRDefault="008404F2" w:rsidP="008929C7">
            <w:pPr>
              <w:spacing w:after="120"/>
              <w:jc w:val="both"/>
              <w:rPr>
                <w:rFonts w:ascii="Arial" w:hAnsi="Arial" w:cs="Arial"/>
                <w:sz w:val="20"/>
                <w:szCs w:val="20"/>
              </w:rPr>
            </w:pPr>
            <w:r w:rsidRPr="005970A0">
              <w:rPr>
                <w:rFonts w:ascii="Arial" w:hAnsi="Arial" w:cs="Arial"/>
                <w:sz w:val="20"/>
                <w:szCs w:val="20"/>
              </w:rPr>
              <w:t xml:space="preserve">For further information on the </w:t>
            </w:r>
            <w:proofErr w:type="spellStart"/>
            <w:r w:rsidRPr="005970A0">
              <w:rPr>
                <w:rFonts w:ascii="Arial" w:hAnsi="Arial" w:cs="Arial"/>
                <w:sz w:val="20"/>
                <w:szCs w:val="20"/>
              </w:rPr>
              <w:t>NCVER</w:t>
            </w:r>
            <w:proofErr w:type="spellEnd"/>
            <w:r w:rsidRPr="005970A0">
              <w:rPr>
                <w:rFonts w:ascii="Arial" w:hAnsi="Arial" w:cs="Arial"/>
                <w:sz w:val="20"/>
                <w:szCs w:val="20"/>
              </w:rPr>
              <w:t>, see [</w:t>
            </w:r>
            <w:proofErr w:type="spellStart"/>
            <w:r w:rsidRPr="005970A0">
              <w:rPr>
                <w:rFonts w:ascii="Arial" w:hAnsi="Arial" w:cs="Arial"/>
                <w:sz w:val="20"/>
                <w:szCs w:val="20"/>
              </w:rPr>
              <w:t>www.ncver.edu.au</w:t>
            </w:r>
            <w:proofErr w:type="spellEnd"/>
            <w:r w:rsidRPr="005970A0">
              <w:rPr>
                <w:rFonts w:ascii="Arial" w:hAnsi="Arial" w:cs="Arial"/>
                <w:sz w:val="20"/>
                <w:szCs w:val="20"/>
              </w:rPr>
              <w:t>/</w:t>
            </w:r>
            <w:proofErr w:type="spellStart"/>
            <w:r w:rsidRPr="005970A0">
              <w:rPr>
                <w:rFonts w:ascii="Arial" w:hAnsi="Arial" w:cs="Arial"/>
                <w:sz w:val="20"/>
                <w:szCs w:val="20"/>
              </w:rPr>
              <w:t>who.html</w:t>
            </w:r>
            <w:proofErr w:type="spellEnd"/>
            <w:r w:rsidRPr="005970A0">
              <w:rPr>
                <w:rFonts w:ascii="Arial" w:hAnsi="Arial" w:cs="Arial"/>
                <w:sz w:val="20"/>
                <w:szCs w:val="20"/>
              </w:rPr>
              <w:t>]</w:t>
            </w:r>
          </w:p>
        </w:tc>
      </w:tr>
    </w:tbl>
    <w:p w:rsidR="008404F2" w:rsidRPr="005970A0" w:rsidRDefault="008404F2" w:rsidP="008404F2"/>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8929C7">
        <w:tc>
          <w:tcPr>
            <w:tcW w:w="922" w:type="pct"/>
          </w:tcPr>
          <w:p w:rsidR="008404F2" w:rsidRPr="005970A0" w:rsidRDefault="008404F2" w:rsidP="008929C7">
            <w:pPr>
              <w:pStyle w:val="TableBodyText"/>
              <w:jc w:val="both"/>
              <w:rPr>
                <w:b/>
              </w:rPr>
            </w:pPr>
            <w:r w:rsidRPr="005970A0">
              <w:rPr>
                <w:b/>
              </w:rPr>
              <w:lastRenderedPageBreak/>
              <w:t>Relevance</w:t>
            </w:r>
          </w:p>
          <w:p w:rsidR="008404F2" w:rsidRPr="005970A0" w:rsidRDefault="008404F2" w:rsidP="008929C7">
            <w:pPr>
              <w:pStyle w:val="TableBodyText"/>
              <w:jc w:val="both"/>
              <w:rPr>
                <w:b/>
              </w:rPr>
            </w:pPr>
          </w:p>
        </w:tc>
        <w:tc>
          <w:tcPr>
            <w:tcW w:w="4078" w:type="pct"/>
          </w:tcPr>
          <w:p w:rsidR="008404F2" w:rsidRPr="005970A0" w:rsidRDefault="008404F2" w:rsidP="008929C7">
            <w:pPr>
              <w:spacing w:after="120"/>
              <w:jc w:val="both"/>
              <w:rPr>
                <w:rFonts w:ascii="Arial" w:hAnsi="Arial" w:cs="Arial"/>
                <w:sz w:val="20"/>
                <w:szCs w:val="20"/>
              </w:rPr>
            </w:pPr>
            <w:r w:rsidRPr="005970A0">
              <w:rPr>
                <w:rFonts w:ascii="Arial" w:hAnsi="Arial" w:cs="Arial"/>
                <w:sz w:val="20"/>
                <w:szCs w:val="20"/>
              </w:rPr>
              <w:t>The Survey of Employers’ Use and Views of the VET System collects information on employers’ use and views of the vocational education and training (VET) system.  Data are collected by computer assisted telephone interview.</w:t>
            </w:r>
          </w:p>
          <w:p w:rsidR="008404F2" w:rsidRPr="005970A0" w:rsidRDefault="008404F2" w:rsidP="008929C7">
            <w:pPr>
              <w:spacing w:after="120"/>
              <w:jc w:val="both"/>
              <w:rPr>
                <w:rFonts w:ascii="Arial" w:hAnsi="Arial" w:cs="Arial"/>
                <w:sz w:val="20"/>
                <w:szCs w:val="20"/>
              </w:rPr>
            </w:pPr>
            <w:r w:rsidRPr="005970A0">
              <w:rPr>
                <w:rFonts w:ascii="Arial" w:hAnsi="Arial" w:cs="Arial"/>
                <w:sz w:val="20"/>
                <w:szCs w:val="20"/>
              </w:rPr>
              <w:t>Information about the various ways in which Australian employers use the VET system and unaccredited training to meet their skill needs and their satisfaction with these methods of training is also collected.</w:t>
            </w:r>
          </w:p>
          <w:p w:rsidR="008404F2" w:rsidRPr="005970A0" w:rsidRDefault="008404F2" w:rsidP="008929C7">
            <w:pPr>
              <w:spacing w:after="120"/>
              <w:jc w:val="both"/>
              <w:rPr>
                <w:rFonts w:ascii="Arial" w:hAnsi="Arial" w:cs="Arial"/>
                <w:sz w:val="20"/>
                <w:szCs w:val="20"/>
              </w:rPr>
            </w:pPr>
            <w:r w:rsidRPr="005970A0">
              <w:rPr>
                <w:rFonts w:ascii="Arial" w:hAnsi="Arial" w:cs="Arial"/>
                <w:sz w:val="20"/>
                <w:szCs w:val="20"/>
              </w:rPr>
              <w:t>The scope of the survey is all organisations in Australia with at least one employee. For this survey, an employee is defined as “a person working in, or operating from, this organisation including full time, part time and casual employees.” An owner/operator is not classed as an employee, regardless of whether they pay themselves a wage.</w:t>
            </w:r>
          </w:p>
          <w:p w:rsidR="008404F2" w:rsidRPr="005970A0" w:rsidRDefault="008404F2" w:rsidP="008929C7">
            <w:pPr>
              <w:spacing w:after="60"/>
              <w:jc w:val="both"/>
              <w:rPr>
                <w:rFonts w:ascii="Arial" w:hAnsi="Arial" w:cs="Arial"/>
                <w:sz w:val="20"/>
                <w:szCs w:val="20"/>
              </w:rPr>
            </w:pPr>
            <w:r w:rsidRPr="005970A0">
              <w:rPr>
                <w:rFonts w:ascii="Arial" w:hAnsi="Arial" w:cs="Arial"/>
                <w:sz w:val="20"/>
                <w:szCs w:val="20"/>
              </w:rPr>
              <w:t>The following organisations are out of scope of the survey:</w:t>
            </w:r>
          </w:p>
          <w:p w:rsidR="008404F2" w:rsidRPr="005970A0" w:rsidRDefault="008404F2" w:rsidP="008929C7">
            <w:pPr>
              <w:numPr>
                <w:ilvl w:val="0"/>
                <w:numId w:val="20"/>
              </w:numPr>
              <w:tabs>
                <w:tab w:val="left" w:pos="222"/>
              </w:tabs>
              <w:spacing w:after="60"/>
              <w:ind w:left="222" w:hanging="222"/>
              <w:jc w:val="both"/>
              <w:rPr>
                <w:rFonts w:ascii="Arial" w:hAnsi="Arial" w:cs="Arial"/>
                <w:sz w:val="20"/>
                <w:szCs w:val="20"/>
              </w:rPr>
            </w:pPr>
            <w:r w:rsidRPr="005970A0">
              <w:rPr>
                <w:rFonts w:ascii="Arial" w:hAnsi="Arial" w:cs="Arial"/>
                <w:sz w:val="20"/>
                <w:szCs w:val="20"/>
              </w:rPr>
              <w:t>self-employed and not employing staff</w:t>
            </w:r>
          </w:p>
          <w:p w:rsidR="008404F2" w:rsidRPr="005970A0" w:rsidRDefault="008404F2" w:rsidP="008929C7">
            <w:pPr>
              <w:numPr>
                <w:ilvl w:val="0"/>
                <w:numId w:val="20"/>
              </w:numPr>
              <w:tabs>
                <w:tab w:val="left" w:pos="222"/>
              </w:tabs>
              <w:spacing w:after="60"/>
              <w:ind w:left="222" w:hanging="222"/>
              <w:jc w:val="both"/>
              <w:rPr>
                <w:rFonts w:ascii="Arial" w:hAnsi="Arial" w:cs="Arial"/>
                <w:sz w:val="20"/>
                <w:szCs w:val="20"/>
              </w:rPr>
            </w:pPr>
            <w:r w:rsidRPr="005970A0">
              <w:rPr>
                <w:rFonts w:ascii="Arial" w:hAnsi="Arial" w:cs="Arial"/>
                <w:sz w:val="20"/>
                <w:szCs w:val="20"/>
              </w:rPr>
              <w:t>private households employing staff</w:t>
            </w:r>
          </w:p>
          <w:p w:rsidR="008404F2" w:rsidRPr="005970A0" w:rsidRDefault="008404F2" w:rsidP="008929C7">
            <w:pPr>
              <w:numPr>
                <w:ilvl w:val="0"/>
                <w:numId w:val="20"/>
              </w:numPr>
              <w:tabs>
                <w:tab w:val="left" w:pos="222"/>
              </w:tabs>
              <w:spacing w:after="60"/>
              <w:ind w:left="222" w:hanging="222"/>
              <w:jc w:val="both"/>
              <w:rPr>
                <w:rFonts w:ascii="Arial" w:hAnsi="Arial" w:cs="Arial"/>
                <w:sz w:val="20"/>
                <w:szCs w:val="20"/>
              </w:rPr>
            </w:pPr>
            <w:r w:rsidRPr="005970A0">
              <w:rPr>
                <w:rFonts w:ascii="Arial" w:hAnsi="Arial" w:cs="Arial"/>
                <w:sz w:val="20"/>
                <w:szCs w:val="20"/>
              </w:rPr>
              <w:t>foreign diplomatic missions</w:t>
            </w:r>
          </w:p>
          <w:p w:rsidR="008404F2" w:rsidRPr="005970A0" w:rsidRDefault="008404F2" w:rsidP="008929C7">
            <w:pPr>
              <w:numPr>
                <w:ilvl w:val="0"/>
                <w:numId w:val="20"/>
              </w:numPr>
              <w:tabs>
                <w:tab w:val="left" w:pos="222"/>
              </w:tabs>
              <w:spacing w:after="60"/>
              <w:ind w:left="222" w:hanging="222"/>
              <w:jc w:val="both"/>
              <w:rPr>
                <w:rFonts w:ascii="Arial" w:hAnsi="Arial" w:cs="Arial"/>
                <w:sz w:val="20"/>
                <w:szCs w:val="20"/>
              </w:rPr>
            </w:pPr>
            <w:r w:rsidRPr="005970A0">
              <w:rPr>
                <w:rFonts w:ascii="Arial" w:hAnsi="Arial" w:cs="Arial"/>
                <w:sz w:val="20"/>
                <w:szCs w:val="20"/>
              </w:rPr>
              <w:t>consulates in Australia</w:t>
            </w:r>
          </w:p>
          <w:p w:rsidR="008404F2" w:rsidRPr="005970A0" w:rsidRDefault="008404F2" w:rsidP="008929C7">
            <w:pPr>
              <w:numPr>
                <w:ilvl w:val="0"/>
                <w:numId w:val="20"/>
              </w:numPr>
              <w:tabs>
                <w:tab w:val="left" w:pos="222"/>
              </w:tabs>
              <w:spacing w:after="60"/>
              <w:ind w:left="222" w:hanging="222"/>
              <w:jc w:val="both"/>
              <w:rPr>
                <w:rFonts w:ascii="Arial" w:hAnsi="Arial" w:cs="Arial"/>
                <w:sz w:val="20"/>
                <w:szCs w:val="20"/>
              </w:rPr>
            </w:pPr>
            <w:r w:rsidRPr="005970A0">
              <w:rPr>
                <w:rFonts w:ascii="Arial" w:hAnsi="Arial" w:cs="Arial"/>
                <w:sz w:val="20"/>
                <w:szCs w:val="20"/>
              </w:rPr>
              <w:t>defence force establishments</w:t>
            </w:r>
          </w:p>
          <w:p w:rsidR="008404F2" w:rsidRPr="005970A0" w:rsidRDefault="008404F2" w:rsidP="008929C7">
            <w:pPr>
              <w:numPr>
                <w:ilvl w:val="0"/>
                <w:numId w:val="20"/>
              </w:numPr>
              <w:tabs>
                <w:tab w:val="left" w:pos="222"/>
              </w:tabs>
              <w:spacing w:after="60"/>
              <w:ind w:left="222" w:hanging="222"/>
              <w:jc w:val="both"/>
              <w:rPr>
                <w:rFonts w:ascii="Arial" w:hAnsi="Arial" w:cs="Arial"/>
                <w:sz w:val="20"/>
                <w:szCs w:val="20"/>
              </w:rPr>
            </w:pPr>
            <w:r w:rsidRPr="005970A0">
              <w:rPr>
                <w:rFonts w:ascii="Arial" w:hAnsi="Arial" w:cs="Arial"/>
                <w:sz w:val="20"/>
                <w:szCs w:val="20"/>
              </w:rPr>
              <w:t>superannuation funds.</w:t>
            </w:r>
          </w:p>
        </w:tc>
      </w:tr>
      <w:tr w:rsidR="005970A0" w:rsidRPr="005970A0" w:rsidTr="008929C7">
        <w:tc>
          <w:tcPr>
            <w:tcW w:w="922" w:type="pct"/>
          </w:tcPr>
          <w:p w:rsidR="008404F2" w:rsidRPr="005970A0" w:rsidRDefault="008404F2" w:rsidP="008929C7">
            <w:pPr>
              <w:pStyle w:val="TableBodyText"/>
              <w:jc w:val="both"/>
              <w:rPr>
                <w:b/>
              </w:rPr>
            </w:pPr>
            <w:r w:rsidRPr="005970A0">
              <w:rPr>
                <w:b/>
              </w:rPr>
              <w:t>Timeliness</w:t>
            </w:r>
          </w:p>
          <w:p w:rsidR="008404F2" w:rsidRPr="005970A0" w:rsidRDefault="008404F2" w:rsidP="008929C7">
            <w:pPr>
              <w:pStyle w:val="TableBodyText"/>
              <w:jc w:val="both"/>
              <w:rPr>
                <w:b/>
              </w:rPr>
            </w:pPr>
          </w:p>
        </w:tc>
        <w:tc>
          <w:tcPr>
            <w:tcW w:w="4078" w:type="pct"/>
          </w:tcPr>
          <w:p w:rsidR="008404F2" w:rsidRPr="005970A0" w:rsidRDefault="008404F2" w:rsidP="008929C7">
            <w:pPr>
              <w:spacing w:after="120"/>
              <w:jc w:val="both"/>
              <w:rPr>
                <w:rFonts w:ascii="Arial" w:hAnsi="Arial" w:cs="Arial"/>
                <w:sz w:val="20"/>
                <w:szCs w:val="20"/>
              </w:rPr>
            </w:pPr>
            <w:r w:rsidRPr="005970A0">
              <w:rPr>
                <w:rFonts w:ascii="Arial" w:hAnsi="Arial" w:cs="Arial"/>
                <w:sz w:val="20"/>
                <w:szCs w:val="20"/>
              </w:rPr>
              <w:t xml:space="preserve">The Survey of Employers’ Use and Views of the VET System is conducted every second year. The survey is conducted by telephone interview between March and May and the results relate to employers’ training experiences in the 12 months preceding their interview. Results from the 2011 survey were released on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website on 1 November 2011.</w:t>
            </w:r>
          </w:p>
        </w:tc>
      </w:tr>
      <w:tr w:rsidR="005970A0" w:rsidRPr="005970A0" w:rsidTr="008929C7">
        <w:tc>
          <w:tcPr>
            <w:tcW w:w="922" w:type="pct"/>
          </w:tcPr>
          <w:p w:rsidR="008404F2" w:rsidRPr="005970A0" w:rsidRDefault="008404F2" w:rsidP="008929C7">
            <w:pPr>
              <w:pStyle w:val="TableBodyText"/>
              <w:jc w:val="both"/>
              <w:rPr>
                <w:b/>
              </w:rPr>
            </w:pPr>
            <w:r w:rsidRPr="005970A0">
              <w:rPr>
                <w:b/>
              </w:rPr>
              <w:t>Accuracy</w:t>
            </w:r>
          </w:p>
          <w:p w:rsidR="008404F2" w:rsidRPr="005970A0" w:rsidRDefault="008404F2" w:rsidP="008929C7">
            <w:pPr>
              <w:pStyle w:val="TableBodyText"/>
              <w:jc w:val="both"/>
              <w:rPr>
                <w:b/>
              </w:rPr>
            </w:pPr>
          </w:p>
        </w:tc>
        <w:tc>
          <w:tcPr>
            <w:tcW w:w="4078" w:type="pct"/>
          </w:tcPr>
          <w:p w:rsidR="008404F2" w:rsidRPr="005970A0" w:rsidRDefault="008404F2" w:rsidP="008929C7">
            <w:pPr>
              <w:pStyle w:val="TableBodyText"/>
              <w:spacing w:after="120"/>
              <w:jc w:val="both"/>
            </w:pPr>
            <w:r w:rsidRPr="005970A0">
              <w:t>The survey is designed to produce estimates at the state, industry and employer size levels, with the approximate relative standard errors:</w:t>
            </w:r>
          </w:p>
          <w:p w:rsidR="008404F2" w:rsidRPr="005970A0" w:rsidRDefault="008404F2" w:rsidP="008929C7">
            <w:pPr>
              <w:pStyle w:val="TableBullet"/>
              <w:spacing w:after="60"/>
              <w:jc w:val="both"/>
            </w:pPr>
            <w:r w:rsidRPr="005970A0">
              <w:t>less than 8 per cent for state-level estimates</w:t>
            </w:r>
          </w:p>
          <w:p w:rsidR="008404F2" w:rsidRPr="005970A0" w:rsidRDefault="008404F2" w:rsidP="008929C7">
            <w:pPr>
              <w:pStyle w:val="TableBullet"/>
              <w:spacing w:after="60"/>
              <w:jc w:val="both"/>
            </w:pPr>
            <w:r w:rsidRPr="005970A0">
              <w:t>less than 16 per cent for industry-level estimates</w:t>
            </w:r>
          </w:p>
          <w:p w:rsidR="008404F2" w:rsidRPr="005970A0" w:rsidRDefault="008404F2" w:rsidP="008929C7">
            <w:pPr>
              <w:pStyle w:val="TableBullet"/>
              <w:spacing w:after="60"/>
              <w:jc w:val="both"/>
            </w:pPr>
            <w:r w:rsidRPr="005970A0">
              <w:t>less than 6 per cent for employer-size level estimates</w:t>
            </w:r>
          </w:p>
          <w:p w:rsidR="008404F2" w:rsidRPr="005970A0" w:rsidRDefault="008404F2" w:rsidP="008929C7">
            <w:pPr>
              <w:pStyle w:val="TableBullet"/>
              <w:spacing w:after="120"/>
              <w:jc w:val="both"/>
            </w:pPr>
            <w:r w:rsidRPr="005970A0">
              <w:t>less than 3 per cent for Australia level estimates.</w:t>
            </w:r>
          </w:p>
          <w:p w:rsidR="008404F2" w:rsidRPr="005970A0" w:rsidRDefault="008404F2" w:rsidP="008929C7">
            <w:pPr>
              <w:pStyle w:val="TableBodyText"/>
              <w:spacing w:after="120"/>
              <w:jc w:val="both"/>
              <w:rPr>
                <w:b/>
              </w:rPr>
            </w:pPr>
            <w:r w:rsidRPr="005970A0">
              <w:t>Employers in scope of the survey were randomly selected and stratified by:</w:t>
            </w:r>
          </w:p>
          <w:p w:rsidR="008404F2" w:rsidRPr="005970A0" w:rsidRDefault="008404F2" w:rsidP="008929C7">
            <w:pPr>
              <w:pStyle w:val="TableBodyText"/>
              <w:spacing w:after="120"/>
              <w:jc w:val="both"/>
            </w:pPr>
            <w:r w:rsidRPr="005970A0">
              <w:t>State (each of the 8 states and territories)</w:t>
            </w:r>
          </w:p>
          <w:p w:rsidR="008404F2" w:rsidRPr="005970A0" w:rsidRDefault="008404F2" w:rsidP="008929C7">
            <w:pPr>
              <w:pStyle w:val="TableBodyText"/>
              <w:spacing w:after="120"/>
              <w:jc w:val="both"/>
              <w:rPr>
                <w:bCs/>
              </w:rPr>
            </w:pPr>
            <w:r w:rsidRPr="005970A0">
              <w:t xml:space="preserve">Industry </w:t>
            </w:r>
            <w:r w:rsidRPr="005970A0">
              <w:rPr>
                <w:bCs/>
              </w:rPr>
              <w:t xml:space="preserve">(19 </w:t>
            </w:r>
            <w:proofErr w:type="spellStart"/>
            <w:r w:rsidRPr="005970A0">
              <w:rPr>
                <w:bCs/>
              </w:rPr>
              <w:t>ANZSIC</w:t>
            </w:r>
            <w:proofErr w:type="spellEnd"/>
            <w:r w:rsidRPr="005970A0">
              <w:rPr>
                <w:bCs/>
              </w:rPr>
              <w:t xml:space="preserve"> divisions)</w:t>
            </w:r>
          </w:p>
          <w:p w:rsidR="008404F2" w:rsidRPr="005970A0" w:rsidRDefault="008404F2" w:rsidP="008929C7">
            <w:pPr>
              <w:pStyle w:val="TableBodyText"/>
              <w:spacing w:after="120"/>
              <w:jc w:val="both"/>
              <w:rPr>
                <w:bCs/>
              </w:rPr>
            </w:pPr>
            <w:r w:rsidRPr="005970A0">
              <w:t>Employer size</w:t>
            </w:r>
            <w:r w:rsidRPr="005970A0">
              <w:rPr>
                <w:b/>
              </w:rPr>
              <w:t xml:space="preserve"> </w:t>
            </w:r>
            <w:r w:rsidRPr="005970A0">
              <w:rPr>
                <w:bCs/>
              </w:rPr>
              <w:t>(small = 1-9 employees, medium = 10-99 employees, large = 100 or more employees).</w:t>
            </w:r>
          </w:p>
          <w:p w:rsidR="008404F2" w:rsidRPr="005970A0" w:rsidRDefault="008404F2" w:rsidP="008929C7">
            <w:pPr>
              <w:pStyle w:val="TableBodyText"/>
              <w:spacing w:after="120"/>
              <w:jc w:val="both"/>
            </w:pPr>
            <w:r w:rsidRPr="005970A0">
              <w:t xml:space="preserve">Potential sources of error in survey data include failure to complete the survey or failure to answer every applicable question. Neither of these sources of error is considered, by </w:t>
            </w:r>
            <w:proofErr w:type="spellStart"/>
            <w:r w:rsidRPr="005970A0">
              <w:t>NCVER</w:t>
            </w:r>
            <w:proofErr w:type="spellEnd"/>
            <w:r w:rsidRPr="005970A0">
              <w:t xml:space="preserve">, to have affected the quality of data. </w:t>
            </w:r>
          </w:p>
          <w:p w:rsidR="001C7F97" w:rsidRPr="005970A0" w:rsidRDefault="001C7F97" w:rsidP="008929C7">
            <w:pPr>
              <w:pStyle w:val="TableBodyText"/>
              <w:spacing w:after="120"/>
              <w:jc w:val="both"/>
            </w:pPr>
          </w:p>
          <w:p w:rsidR="001C7F97" w:rsidRPr="005970A0" w:rsidRDefault="001C7F97" w:rsidP="008929C7">
            <w:pPr>
              <w:pStyle w:val="TableBodyText"/>
              <w:spacing w:after="120"/>
              <w:jc w:val="both"/>
            </w:pPr>
          </w:p>
          <w:p w:rsidR="001C7F97" w:rsidRPr="005970A0" w:rsidRDefault="001C7F97" w:rsidP="008929C7">
            <w:pPr>
              <w:pStyle w:val="TableBodyText"/>
              <w:spacing w:after="120"/>
              <w:jc w:val="both"/>
            </w:pPr>
          </w:p>
          <w:p w:rsidR="001C7F97" w:rsidRPr="005970A0" w:rsidRDefault="001C7F97" w:rsidP="008929C7">
            <w:pPr>
              <w:pStyle w:val="TableBodyText"/>
              <w:spacing w:after="120"/>
              <w:jc w:val="both"/>
            </w:pPr>
          </w:p>
          <w:p w:rsidR="001C7F97" w:rsidRPr="005970A0" w:rsidRDefault="001C7F97" w:rsidP="008929C7">
            <w:pPr>
              <w:pStyle w:val="TableBodyText"/>
              <w:spacing w:after="120"/>
              <w:jc w:val="both"/>
            </w:pPr>
          </w:p>
          <w:p w:rsidR="001C7F97" w:rsidRPr="005970A0" w:rsidRDefault="001C7F97" w:rsidP="008929C7">
            <w:pPr>
              <w:pStyle w:val="TableBodyText"/>
              <w:spacing w:after="120"/>
              <w:jc w:val="both"/>
            </w:pPr>
          </w:p>
          <w:p w:rsidR="001C7F97" w:rsidRPr="005970A0" w:rsidRDefault="001C7F97" w:rsidP="008929C7">
            <w:pPr>
              <w:pStyle w:val="TableBodyText"/>
              <w:spacing w:after="120"/>
              <w:jc w:val="both"/>
            </w:pPr>
          </w:p>
          <w:p w:rsidR="001C7F97" w:rsidRPr="005970A0" w:rsidRDefault="001C7F97" w:rsidP="008929C7">
            <w:pPr>
              <w:pStyle w:val="TableBodyText"/>
              <w:spacing w:after="120"/>
              <w:jc w:val="both"/>
            </w:pPr>
          </w:p>
          <w:p w:rsidR="008404F2" w:rsidRPr="005970A0" w:rsidRDefault="008404F2" w:rsidP="008929C7">
            <w:pPr>
              <w:pStyle w:val="TableBodyText"/>
              <w:spacing w:after="120"/>
              <w:jc w:val="both"/>
            </w:pPr>
            <w:r w:rsidRPr="005970A0">
              <w:lastRenderedPageBreak/>
              <w:t>In 2011, a total of 7 500 interviews were conducted. Response rates to the 2011 survey are shown in table 1.</w:t>
            </w:r>
          </w:p>
          <w:p w:rsidR="008404F2" w:rsidRPr="005970A0" w:rsidRDefault="008404F2" w:rsidP="008929C7">
            <w:pPr>
              <w:autoSpaceDE w:val="0"/>
              <w:autoSpaceDN w:val="0"/>
              <w:adjustRightInd w:val="0"/>
              <w:spacing w:before="120" w:after="40" w:line="240" w:lineRule="atLeast"/>
              <w:jc w:val="both"/>
              <w:rPr>
                <w:rFonts w:ascii="Arial" w:hAnsi="Arial" w:cs="Arial"/>
                <w:b/>
                <w:sz w:val="17"/>
                <w:szCs w:val="17"/>
              </w:rPr>
            </w:pPr>
            <w:r w:rsidRPr="005970A0">
              <w:rPr>
                <w:rFonts w:ascii="Arial" w:hAnsi="Arial" w:cs="Arial"/>
                <w:b/>
                <w:sz w:val="17"/>
                <w:szCs w:val="17"/>
              </w:rPr>
              <w:t>Table 1: Response rates to the 2011 Survey of Employers’ Use and Views of VET by state</w:t>
            </w:r>
          </w:p>
          <w:tbl>
            <w:tblPr>
              <w:tblW w:w="2942" w:type="pct"/>
              <w:tblBorders>
                <w:top w:val="single" w:sz="4" w:space="0" w:color="auto"/>
                <w:bottom w:val="single" w:sz="4" w:space="0" w:color="auto"/>
              </w:tblBorders>
              <w:tblLook w:val="01E0" w:firstRow="1" w:lastRow="1" w:firstColumn="1" w:lastColumn="1" w:noHBand="0" w:noVBand="0"/>
            </w:tblPr>
            <w:tblGrid>
              <w:gridCol w:w="2361"/>
              <w:gridCol w:w="1857"/>
            </w:tblGrid>
            <w:tr w:rsidR="005970A0" w:rsidRPr="005970A0" w:rsidTr="008929C7">
              <w:trPr>
                <w:trHeight w:val="170"/>
              </w:trPr>
              <w:tc>
                <w:tcPr>
                  <w:tcW w:w="2799" w:type="pct"/>
                  <w:tcBorders>
                    <w:top w:val="single" w:sz="4" w:space="0" w:color="auto"/>
                    <w:left w:val="nil"/>
                    <w:bottom w:val="single" w:sz="4" w:space="0" w:color="auto"/>
                    <w:right w:val="nil"/>
                  </w:tcBorders>
                </w:tcPr>
                <w:p w:rsidR="008404F2" w:rsidRPr="005970A0" w:rsidRDefault="008404F2" w:rsidP="008929C7">
                  <w:pPr>
                    <w:autoSpaceDE w:val="0"/>
                    <w:autoSpaceDN w:val="0"/>
                    <w:adjustRightInd w:val="0"/>
                    <w:spacing w:before="80" w:line="240" w:lineRule="atLeast"/>
                    <w:jc w:val="both"/>
                    <w:rPr>
                      <w:rFonts w:ascii="Arial" w:hAnsi="Arial" w:cs="Arial"/>
                      <w:b/>
                      <w:sz w:val="16"/>
                      <w:szCs w:val="16"/>
                    </w:rPr>
                  </w:pPr>
                  <w:r w:rsidRPr="005970A0">
                    <w:rPr>
                      <w:rFonts w:ascii="Arial" w:hAnsi="Arial" w:cs="Arial"/>
                      <w:b/>
                      <w:sz w:val="16"/>
                      <w:szCs w:val="16"/>
                    </w:rPr>
                    <w:t>State/Territory</w:t>
                  </w:r>
                </w:p>
              </w:tc>
              <w:tc>
                <w:tcPr>
                  <w:tcW w:w="2201" w:type="pct"/>
                  <w:tcBorders>
                    <w:top w:val="single" w:sz="4" w:space="0" w:color="auto"/>
                    <w:left w:val="nil"/>
                    <w:bottom w:val="single" w:sz="4" w:space="0" w:color="auto"/>
                    <w:right w:val="nil"/>
                  </w:tcBorders>
                </w:tcPr>
                <w:p w:rsidR="008404F2" w:rsidRPr="005970A0" w:rsidRDefault="008404F2" w:rsidP="008929C7">
                  <w:pPr>
                    <w:autoSpaceDE w:val="0"/>
                    <w:autoSpaceDN w:val="0"/>
                    <w:adjustRightInd w:val="0"/>
                    <w:spacing w:before="80" w:line="240" w:lineRule="atLeast"/>
                    <w:jc w:val="both"/>
                    <w:rPr>
                      <w:rFonts w:ascii="Arial" w:hAnsi="Arial" w:cs="Arial"/>
                      <w:b/>
                      <w:sz w:val="16"/>
                      <w:szCs w:val="16"/>
                    </w:rPr>
                  </w:pPr>
                  <w:r w:rsidRPr="005970A0">
                    <w:rPr>
                      <w:rFonts w:ascii="Arial" w:hAnsi="Arial" w:cs="Arial"/>
                      <w:b/>
                      <w:sz w:val="16"/>
                      <w:szCs w:val="16"/>
                    </w:rPr>
                    <w:t>Response rate (%)</w:t>
                  </w:r>
                </w:p>
              </w:tc>
            </w:tr>
            <w:tr w:rsidR="005970A0" w:rsidRPr="005970A0" w:rsidTr="008929C7">
              <w:trPr>
                <w:trHeight w:val="227"/>
              </w:trPr>
              <w:tc>
                <w:tcPr>
                  <w:tcW w:w="2799" w:type="pct"/>
                  <w:tcBorders>
                    <w:top w:val="single" w:sz="4" w:space="0" w:color="auto"/>
                    <w:left w:val="nil"/>
                    <w:bottom w:val="nil"/>
                    <w:right w:val="nil"/>
                  </w:tcBorders>
                  <w:vAlign w:val="center"/>
                </w:tcPr>
                <w:p w:rsidR="008404F2" w:rsidRPr="005970A0" w:rsidRDefault="008404F2" w:rsidP="008929C7">
                  <w:pPr>
                    <w:rPr>
                      <w:rFonts w:ascii="Arial" w:hAnsi="Arial" w:cs="Arial"/>
                      <w:sz w:val="16"/>
                      <w:szCs w:val="16"/>
                    </w:rPr>
                  </w:pPr>
                  <w:r w:rsidRPr="005970A0">
                    <w:rPr>
                      <w:rFonts w:ascii="Arial" w:hAnsi="Arial" w:cs="Arial"/>
                      <w:sz w:val="16"/>
                      <w:szCs w:val="16"/>
                    </w:rPr>
                    <w:t>New South Wales</w:t>
                  </w:r>
                </w:p>
              </w:tc>
              <w:tc>
                <w:tcPr>
                  <w:tcW w:w="2201" w:type="pct"/>
                  <w:tcBorders>
                    <w:top w:val="single" w:sz="4" w:space="0" w:color="auto"/>
                    <w:left w:val="nil"/>
                    <w:bottom w:val="nil"/>
                    <w:right w:val="nil"/>
                  </w:tcBorders>
                  <w:vAlign w:val="center"/>
                </w:tcPr>
                <w:p w:rsidR="008404F2" w:rsidRPr="005970A0" w:rsidRDefault="008404F2" w:rsidP="008929C7">
                  <w:pPr>
                    <w:jc w:val="center"/>
                    <w:rPr>
                      <w:rFonts w:ascii="Arial" w:hAnsi="Arial" w:cs="Arial"/>
                      <w:sz w:val="16"/>
                      <w:szCs w:val="16"/>
                    </w:rPr>
                  </w:pPr>
                  <w:r w:rsidRPr="005970A0">
                    <w:rPr>
                      <w:rFonts w:ascii="Arial" w:hAnsi="Arial" w:cs="Arial"/>
                      <w:sz w:val="16"/>
                      <w:szCs w:val="16"/>
                    </w:rPr>
                    <w:t>69.1</w:t>
                  </w:r>
                </w:p>
              </w:tc>
            </w:tr>
            <w:tr w:rsidR="005970A0" w:rsidRPr="005970A0" w:rsidTr="008929C7">
              <w:trPr>
                <w:trHeight w:val="227"/>
              </w:trPr>
              <w:tc>
                <w:tcPr>
                  <w:tcW w:w="2799" w:type="pct"/>
                  <w:tcBorders>
                    <w:top w:val="nil"/>
                    <w:left w:val="nil"/>
                    <w:bottom w:val="nil"/>
                    <w:right w:val="nil"/>
                  </w:tcBorders>
                  <w:vAlign w:val="center"/>
                </w:tcPr>
                <w:p w:rsidR="008404F2" w:rsidRPr="005970A0" w:rsidRDefault="008404F2" w:rsidP="008929C7">
                  <w:pPr>
                    <w:rPr>
                      <w:rFonts w:ascii="Arial" w:hAnsi="Arial" w:cs="Arial"/>
                      <w:sz w:val="16"/>
                      <w:szCs w:val="16"/>
                    </w:rPr>
                  </w:pPr>
                  <w:r w:rsidRPr="005970A0">
                    <w:rPr>
                      <w:rFonts w:ascii="Arial" w:hAnsi="Arial" w:cs="Arial"/>
                      <w:sz w:val="16"/>
                      <w:szCs w:val="16"/>
                    </w:rPr>
                    <w:t>Victoria</w:t>
                  </w:r>
                </w:p>
              </w:tc>
              <w:tc>
                <w:tcPr>
                  <w:tcW w:w="2201" w:type="pct"/>
                  <w:tcBorders>
                    <w:top w:val="nil"/>
                    <w:left w:val="nil"/>
                    <w:bottom w:val="nil"/>
                    <w:right w:val="nil"/>
                  </w:tcBorders>
                  <w:vAlign w:val="center"/>
                </w:tcPr>
                <w:p w:rsidR="008404F2" w:rsidRPr="005970A0" w:rsidRDefault="008404F2" w:rsidP="008929C7">
                  <w:pPr>
                    <w:jc w:val="center"/>
                    <w:rPr>
                      <w:rFonts w:ascii="Arial" w:hAnsi="Arial" w:cs="Arial"/>
                      <w:sz w:val="16"/>
                      <w:szCs w:val="16"/>
                    </w:rPr>
                  </w:pPr>
                  <w:r w:rsidRPr="005970A0">
                    <w:rPr>
                      <w:rFonts w:ascii="Arial" w:hAnsi="Arial" w:cs="Arial"/>
                      <w:sz w:val="16"/>
                      <w:szCs w:val="16"/>
                    </w:rPr>
                    <w:t>66.9</w:t>
                  </w:r>
                </w:p>
              </w:tc>
            </w:tr>
            <w:tr w:rsidR="005970A0" w:rsidRPr="005970A0" w:rsidTr="008929C7">
              <w:trPr>
                <w:trHeight w:val="227"/>
              </w:trPr>
              <w:tc>
                <w:tcPr>
                  <w:tcW w:w="2799" w:type="pct"/>
                  <w:tcBorders>
                    <w:top w:val="nil"/>
                    <w:left w:val="nil"/>
                    <w:bottom w:val="nil"/>
                    <w:right w:val="nil"/>
                  </w:tcBorders>
                  <w:vAlign w:val="center"/>
                </w:tcPr>
                <w:p w:rsidR="008404F2" w:rsidRPr="005970A0" w:rsidRDefault="008404F2" w:rsidP="008929C7">
                  <w:pPr>
                    <w:rPr>
                      <w:rFonts w:ascii="Arial" w:hAnsi="Arial" w:cs="Arial"/>
                      <w:sz w:val="16"/>
                      <w:szCs w:val="16"/>
                    </w:rPr>
                  </w:pPr>
                  <w:r w:rsidRPr="005970A0">
                    <w:rPr>
                      <w:rFonts w:ascii="Arial" w:hAnsi="Arial" w:cs="Arial"/>
                      <w:sz w:val="16"/>
                      <w:szCs w:val="16"/>
                    </w:rPr>
                    <w:t>Queensland</w:t>
                  </w:r>
                </w:p>
              </w:tc>
              <w:tc>
                <w:tcPr>
                  <w:tcW w:w="2201" w:type="pct"/>
                  <w:tcBorders>
                    <w:top w:val="nil"/>
                    <w:left w:val="nil"/>
                    <w:bottom w:val="nil"/>
                    <w:right w:val="nil"/>
                  </w:tcBorders>
                  <w:vAlign w:val="center"/>
                </w:tcPr>
                <w:p w:rsidR="008404F2" w:rsidRPr="005970A0" w:rsidRDefault="008404F2" w:rsidP="008929C7">
                  <w:pPr>
                    <w:jc w:val="center"/>
                    <w:rPr>
                      <w:rFonts w:ascii="Arial" w:hAnsi="Arial" w:cs="Arial"/>
                      <w:sz w:val="16"/>
                      <w:szCs w:val="16"/>
                    </w:rPr>
                  </w:pPr>
                  <w:r w:rsidRPr="005970A0">
                    <w:rPr>
                      <w:rFonts w:ascii="Arial" w:hAnsi="Arial" w:cs="Arial"/>
                      <w:sz w:val="16"/>
                      <w:szCs w:val="16"/>
                    </w:rPr>
                    <w:t>69.4</w:t>
                  </w:r>
                </w:p>
              </w:tc>
            </w:tr>
            <w:tr w:rsidR="005970A0" w:rsidRPr="005970A0" w:rsidTr="008929C7">
              <w:trPr>
                <w:trHeight w:val="227"/>
              </w:trPr>
              <w:tc>
                <w:tcPr>
                  <w:tcW w:w="2799" w:type="pct"/>
                  <w:tcBorders>
                    <w:top w:val="nil"/>
                    <w:left w:val="nil"/>
                    <w:bottom w:val="nil"/>
                    <w:right w:val="nil"/>
                  </w:tcBorders>
                  <w:vAlign w:val="center"/>
                </w:tcPr>
                <w:p w:rsidR="008404F2" w:rsidRPr="005970A0" w:rsidRDefault="008404F2" w:rsidP="008929C7">
                  <w:pPr>
                    <w:rPr>
                      <w:rFonts w:ascii="Arial" w:hAnsi="Arial" w:cs="Arial"/>
                      <w:sz w:val="16"/>
                      <w:szCs w:val="16"/>
                    </w:rPr>
                  </w:pPr>
                  <w:r w:rsidRPr="005970A0">
                    <w:rPr>
                      <w:rFonts w:ascii="Arial" w:hAnsi="Arial" w:cs="Arial"/>
                      <w:sz w:val="16"/>
                      <w:szCs w:val="16"/>
                    </w:rPr>
                    <w:t>South Australia</w:t>
                  </w:r>
                </w:p>
              </w:tc>
              <w:tc>
                <w:tcPr>
                  <w:tcW w:w="2201" w:type="pct"/>
                  <w:tcBorders>
                    <w:top w:val="nil"/>
                    <w:left w:val="nil"/>
                    <w:bottom w:val="nil"/>
                    <w:right w:val="nil"/>
                  </w:tcBorders>
                  <w:vAlign w:val="center"/>
                </w:tcPr>
                <w:p w:rsidR="008404F2" w:rsidRPr="005970A0" w:rsidRDefault="008404F2" w:rsidP="008929C7">
                  <w:pPr>
                    <w:jc w:val="center"/>
                    <w:rPr>
                      <w:rFonts w:ascii="Arial" w:hAnsi="Arial" w:cs="Arial"/>
                      <w:sz w:val="16"/>
                      <w:szCs w:val="16"/>
                    </w:rPr>
                  </w:pPr>
                  <w:r w:rsidRPr="005970A0">
                    <w:rPr>
                      <w:rFonts w:ascii="Arial" w:hAnsi="Arial" w:cs="Arial"/>
                      <w:sz w:val="16"/>
                      <w:szCs w:val="16"/>
                    </w:rPr>
                    <w:t>72.2</w:t>
                  </w:r>
                </w:p>
              </w:tc>
            </w:tr>
            <w:tr w:rsidR="005970A0" w:rsidRPr="005970A0" w:rsidTr="008929C7">
              <w:trPr>
                <w:trHeight w:val="227"/>
              </w:trPr>
              <w:tc>
                <w:tcPr>
                  <w:tcW w:w="2799" w:type="pct"/>
                  <w:tcBorders>
                    <w:top w:val="nil"/>
                    <w:left w:val="nil"/>
                    <w:bottom w:val="nil"/>
                    <w:right w:val="nil"/>
                  </w:tcBorders>
                  <w:vAlign w:val="center"/>
                </w:tcPr>
                <w:p w:rsidR="008404F2" w:rsidRPr="005970A0" w:rsidRDefault="008404F2" w:rsidP="008929C7">
                  <w:pPr>
                    <w:rPr>
                      <w:rFonts w:ascii="Arial" w:hAnsi="Arial" w:cs="Arial"/>
                      <w:sz w:val="16"/>
                      <w:szCs w:val="16"/>
                    </w:rPr>
                  </w:pPr>
                  <w:r w:rsidRPr="005970A0">
                    <w:rPr>
                      <w:rFonts w:ascii="Arial" w:hAnsi="Arial" w:cs="Arial"/>
                      <w:sz w:val="16"/>
                      <w:szCs w:val="16"/>
                    </w:rPr>
                    <w:t>Western Australia</w:t>
                  </w:r>
                </w:p>
              </w:tc>
              <w:tc>
                <w:tcPr>
                  <w:tcW w:w="2201" w:type="pct"/>
                  <w:tcBorders>
                    <w:top w:val="nil"/>
                    <w:left w:val="nil"/>
                    <w:bottom w:val="nil"/>
                    <w:right w:val="nil"/>
                  </w:tcBorders>
                  <w:vAlign w:val="center"/>
                </w:tcPr>
                <w:p w:rsidR="008404F2" w:rsidRPr="005970A0" w:rsidRDefault="008404F2" w:rsidP="008929C7">
                  <w:pPr>
                    <w:jc w:val="center"/>
                    <w:rPr>
                      <w:rFonts w:ascii="Arial" w:hAnsi="Arial" w:cs="Arial"/>
                      <w:sz w:val="16"/>
                      <w:szCs w:val="16"/>
                    </w:rPr>
                  </w:pPr>
                  <w:r w:rsidRPr="005970A0">
                    <w:rPr>
                      <w:rFonts w:ascii="Arial" w:hAnsi="Arial" w:cs="Arial"/>
                      <w:sz w:val="16"/>
                      <w:szCs w:val="16"/>
                    </w:rPr>
                    <w:t>73.0</w:t>
                  </w:r>
                </w:p>
              </w:tc>
            </w:tr>
            <w:tr w:rsidR="005970A0" w:rsidRPr="005970A0" w:rsidTr="008929C7">
              <w:trPr>
                <w:trHeight w:val="227"/>
              </w:trPr>
              <w:tc>
                <w:tcPr>
                  <w:tcW w:w="2799" w:type="pct"/>
                  <w:tcBorders>
                    <w:top w:val="nil"/>
                    <w:left w:val="nil"/>
                    <w:bottom w:val="nil"/>
                    <w:right w:val="nil"/>
                  </w:tcBorders>
                  <w:vAlign w:val="center"/>
                </w:tcPr>
                <w:p w:rsidR="008404F2" w:rsidRPr="005970A0" w:rsidRDefault="008404F2" w:rsidP="008929C7">
                  <w:pPr>
                    <w:rPr>
                      <w:rFonts w:ascii="Arial" w:hAnsi="Arial" w:cs="Arial"/>
                      <w:sz w:val="16"/>
                      <w:szCs w:val="16"/>
                    </w:rPr>
                  </w:pPr>
                  <w:r w:rsidRPr="005970A0">
                    <w:rPr>
                      <w:rFonts w:ascii="Arial" w:hAnsi="Arial" w:cs="Arial"/>
                      <w:sz w:val="16"/>
                      <w:szCs w:val="16"/>
                    </w:rPr>
                    <w:t>Tasmania</w:t>
                  </w:r>
                </w:p>
              </w:tc>
              <w:tc>
                <w:tcPr>
                  <w:tcW w:w="2201" w:type="pct"/>
                  <w:tcBorders>
                    <w:top w:val="nil"/>
                    <w:left w:val="nil"/>
                    <w:bottom w:val="nil"/>
                    <w:right w:val="nil"/>
                  </w:tcBorders>
                  <w:vAlign w:val="center"/>
                </w:tcPr>
                <w:p w:rsidR="008404F2" w:rsidRPr="005970A0" w:rsidRDefault="008404F2" w:rsidP="008929C7">
                  <w:pPr>
                    <w:jc w:val="center"/>
                    <w:rPr>
                      <w:rFonts w:ascii="Arial" w:hAnsi="Arial" w:cs="Arial"/>
                      <w:sz w:val="16"/>
                      <w:szCs w:val="16"/>
                    </w:rPr>
                  </w:pPr>
                  <w:r w:rsidRPr="005970A0">
                    <w:rPr>
                      <w:rFonts w:ascii="Arial" w:hAnsi="Arial" w:cs="Arial"/>
                      <w:sz w:val="16"/>
                      <w:szCs w:val="16"/>
                    </w:rPr>
                    <w:t>78.1</w:t>
                  </w:r>
                </w:p>
              </w:tc>
            </w:tr>
            <w:tr w:rsidR="005970A0" w:rsidRPr="005970A0" w:rsidTr="008929C7">
              <w:trPr>
                <w:trHeight w:val="227"/>
              </w:trPr>
              <w:tc>
                <w:tcPr>
                  <w:tcW w:w="2799" w:type="pct"/>
                  <w:tcBorders>
                    <w:top w:val="nil"/>
                    <w:left w:val="nil"/>
                    <w:bottom w:val="nil"/>
                    <w:right w:val="nil"/>
                  </w:tcBorders>
                  <w:vAlign w:val="center"/>
                </w:tcPr>
                <w:p w:rsidR="008404F2" w:rsidRPr="005970A0" w:rsidRDefault="008404F2" w:rsidP="008929C7">
                  <w:pPr>
                    <w:rPr>
                      <w:rFonts w:ascii="Arial" w:hAnsi="Arial" w:cs="Arial"/>
                      <w:sz w:val="16"/>
                      <w:szCs w:val="16"/>
                    </w:rPr>
                  </w:pPr>
                  <w:r w:rsidRPr="005970A0">
                    <w:rPr>
                      <w:rFonts w:ascii="Arial" w:hAnsi="Arial" w:cs="Arial"/>
                      <w:sz w:val="16"/>
                      <w:szCs w:val="16"/>
                    </w:rPr>
                    <w:t>Northern Territory</w:t>
                  </w:r>
                </w:p>
              </w:tc>
              <w:tc>
                <w:tcPr>
                  <w:tcW w:w="2201" w:type="pct"/>
                  <w:tcBorders>
                    <w:top w:val="nil"/>
                    <w:left w:val="nil"/>
                    <w:bottom w:val="nil"/>
                    <w:right w:val="nil"/>
                  </w:tcBorders>
                  <w:vAlign w:val="center"/>
                </w:tcPr>
                <w:p w:rsidR="008404F2" w:rsidRPr="005970A0" w:rsidRDefault="008404F2" w:rsidP="008929C7">
                  <w:pPr>
                    <w:jc w:val="center"/>
                    <w:rPr>
                      <w:rFonts w:ascii="Arial" w:hAnsi="Arial" w:cs="Arial"/>
                      <w:sz w:val="16"/>
                      <w:szCs w:val="16"/>
                    </w:rPr>
                  </w:pPr>
                  <w:r w:rsidRPr="005970A0">
                    <w:rPr>
                      <w:rFonts w:ascii="Arial" w:hAnsi="Arial" w:cs="Arial"/>
                      <w:sz w:val="16"/>
                      <w:szCs w:val="16"/>
                    </w:rPr>
                    <w:t>81.6</w:t>
                  </w:r>
                </w:p>
              </w:tc>
            </w:tr>
            <w:tr w:rsidR="005970A0" w:rsidRPr="005970A0" w:rsidTr="008929C7">
              <w:trPr>
                <w:trHeight w:val="227"/>
              </w:trPr>
              <w:tc>
                <w:tcPr>
                  <w:tcW w:w="2799" w:type="pct"/>
                  <w:tcBorders>
                    <w:top w:val="nil"/>
                    <w:left w:val="nil"/>
                    <w:bottom w:val="nil"/>
                    <w:right w:val="nil"/>
                  </w:tcBorders>
                  <w:vAlign w:val="center"/>
                </w:tcPr>
                <w:p w:rsidR="008404F2" w:rsidRPr="005970A0" w:rsidRDefault="008404F2" w:rsidP="008929C7">
                  <w:pPr>
                    <w:rPr>
                      <w:rFonts w:ascii="Arial" w:hAnsi="Arial" w:cs="Arial"/>
                      <w:sz w:val="16"/>
                      <w:szCs w:val="16"/>
                    </w:rPr>
                  </w:pPr>
                  <w:r w:rsidRPr="005970A0">
                    <w:rPr>
                      <w:rFonts w:ascii="Arial" w:hAnsi="Arial" w:cs="Arial"/>
                      <w:sz w:val="16"/>
                      <w:szCs w:val="16"/>
                    </w:rPr>
                    <w:t>Australian Capital Territory</w:t>
                  </w:r>
                </w:p>
              </w:tc>
              <w:tc>
                <w:tcPr>
                  <w:tcW w:w="2201" w:type="pct"/>
                  <w:tcBorders>
                    <w:top w:val="nil"/>
                    <w:left w:val="nil"/>
                    <w:bottom w:val="nil"/>
                    <w:right w:val="nil"/>
                  </w:tcBorders>
                  <w:vAlign w:val="center"/>
                </w:tcPr>
                <w:p w:rsidR="008404F2" w:rsidRPr="005970A0" w:rsidRDefault="008404F2" w:rsidP="008929C7">
                  <w:pPr>
                    <w:jc w:val="center"/>
                    <w:rPr>
                      <w:rFonts w:ascii="Arial" w:hAnsi="Arial" w:cs="Arial"/>
                      <w:sz w:val="16"/>
                      <w:szCs w:val="16"/>
                    </w:rPr>
                  </w:pPr>
                  <w:r w:rsidRPr="005970A0">
                    <w:rPr>
                      <w:rFonts w:ascii="Arial" w:hAnsi="Arial" w:cs="Arial"/>
                      <w:sz w:val="16"/>
                      <w:szCs w:val="16"/>
                    </w:rPr>
                    <w:t>76.5</w:t>
                  </w:r>
                </w:p>
              </w:tc>
            </w:tr>
            <w:tr w:rsidR="005970A0" w:rsidRPr="005970A0" w:rsidTr="008929C7">
              <w:trPr>
                <w:trHeight w:val="227"/>
              </w:trPr>
              <w:tc>
                <w:tcPr>
                  <w:tcW w:w="2799" w:type="pct"/>
                  <w:tcBorders>
                    <w:top w:val="nil"/>
                    <w:left w:val="nil"/>
                    <w:bottom w:val="single" w:sz="4" w:space="0" w:color="auto"/>
                    <w:right w:val="nil"/>
                  </w:tcBorders>
                  <w:vAlign w:val="center"/>
                </w:tcPr>
                <w:p w:rsidR="008404F2" w:rsidRPr="005970A0" w:rsidRDefault="008404F2" w:rsidP="008929C7">
                  <w:pPr>
                    <w:rPr>
                      <w:rFonts w:ascii="Arial" w:hAnsi="Arial" w:cs="Arial"/>
                      <w:b/>
                      <w:sz w:val="16"/>
                      <w:szCs w:val="16"/>
                    </w:rPr>
                  </w:pPr>
                  <w:r w:rsidRPr="005970A0">
                    <w:rPr>
                      <w:rFonts w:ascii="Arial" w:hAnsi="Arial" w:cs="Arial"/>
                      <w:b/>
                      <w:sz w:val="16"/>
                      <w:szCs w:val="16"/>
                    </w:rPr>
                    <w:t>Australia</w:t>
                  </w:r>
                </w:p>
              </w:tc>
              <w:tc>
                <w:tcPr>
                  <w:tcW w:w="2201" w:type="pct"/>
                  <w:tcBorders>
                    <w:top w:val="nil"/>
                    <w:left w:val="nil"/>
                    <w:bottom w:val="single" w:sz="4" w:space="0" w:color="auto"/>
                    <w:right w:val="nil"/>
                  </w:tcBorders>
                  <w:vAlign w:val="center"/>
                </w:tcPr>
                <w:p w:rsidR="008404F2" w:rsidRPr="005970A0" w:rsidRDefault="008404F2" w:rsidP="008929C7">
                  <w:pPr>
                    <w:jc w:val="center"/>
                    <w:rPr>
                      <w:rFonts w:ascii="Arial" w:hAnsi="Arial" w:cs="Arial"/>
                      <w:sz w:val="16"/>
                      <w:szCs w:val="16"/>
                    </w:rPr>
                  </w:pPr>
                  <w:r w:rsidRPr="005970A0">
                    <w:rPr>
                      <w:rFonts w:ascii="Arial" w:hAnsi="Arial" w:cs="Arial"/>
                      <w:sz w:val="16"/>
                      <w:szCs w:val="16"/>
                    </w:rPr>
                    <w:t>71.0</w:t>
                  </w:r>
                </w:p>
              </w:tc>
            </w:tr>
          </w:tbl>
          <w:p w:rsidR="008404F2" w:rsidRPr="005970A0" w:rsidRDefault="008404F2" w:rsidP="008929C7">
            <w:pPr>
              <w:keepNext/>
              <w:keepLines/>
              <w:spacing w:before="120" w:after="120" w:line="220" w:lineRule="atLeast"/>
              <w:jc w:val="both"/>
              <w:rPr>
                <w:rFonts w:ascii="Arial" w:hAnsi="Arial" w:cs="Arial"/>
                <w:sz w:val="20"/>
                <w:szCs w:val="20"/>
              </w:rPr>
            </w:pPr>
            <w:r w:rsidRPr="005970A0">
              <w:rPr>
                <w:rFonts w:ascii="Arial" w:hAnsi="Arial" w:cs="Arial"/>
                <w:sz w:val="20"/>
                <w:szCs w:val="20"/>
              </w:rPr>
              <w:t>The indicator has acceptable (less than 25</w:t>
            </w:r>
            <w:r w:rsidR="008C50BE">
              <w:rPr>
                <w:rFonts w:ascii="Arial" w:hAnsi="Arial" w:cs="Arial"/>
                <w:sz w:val="20"/>
                <w:szCs w:val="20"/>
              </w:rPr>
              <w:t xml:space="preserve"> per cent</w:t>
            </w:r>
            <w:r w:rsidRPr="005970A0">
              <w:rPr>
                <w:rFonts w:ascii="Arial" w:hAnsi="Arial" w:cs="Arial"/>
                <w:sz w:val="20"/>
                <w:szCs w:val="20"/>
              </w:rPr>
              <w:t>) relative standard errors (</w:t>
            </w:r>
            <w:proofErr w:type="spellStart"/>
            <w:r w:rsidRPr="005970A0">
              <w:rPr>
                <w:rFonts w:ascii="Arial" w:hAnsi="Arial" w:cs="Arial"/>
                <w:sz w:val="20"/>
                <w:szCs w:val="20"/>
              </w:rPr>
              <w:t>RSEs</w:t>
            </w:r>
            <w:proofErr w:type="spellEnd"/>
            <w:r w:rsidRPr="005970A0">
              <w:rPr>
                <w:rFonts w:ascii="Arial" w:hAnsi="Arial" w:cs="Arial"/>
                <w:sz w:val="20"/>
                <w:szCs w:val="20"/>
              </w:rPr>
              <w:t>).</w:t>
            </w:r>
          </w:p>
        </w:tc>
      </w:tr>
      <w:tr w:rsidR="005970A0" w:rsidRPr="005970A0" w:rsidTr="008929C7">
        <w:trPr>
          <w:trHeight w:val="87"/>
        </w:trPr>
        <w:tc>
          <w:tcPr>
            <w:tcW w:w="922" w:type="pct"/>
          </w:tcPr>
          <w:p w:rsidR="008404F2" w:rsidRPr="005970A0" w:rsidRDefault="008404F2" w:rsidP="008929C7">
            <w:pPr>
              <w:pStyle w:val="TableBodyText"/>
              <w:jc w:val="both"/>
              <w:rPr>
                <w:b/>
              </w:rPr>
            </w:pPr>
            <w:r w:rsidRPr="005970A0">
              <w:rPr>
                <w:b/>
              </w:rPr>
              <w:lastRenderedPageBreak/>
              <w:t>Coherence</w:t>
            </w:r>
          </w:p>
          <w:p w:rsidR="008404F2" w:rsidRPr="005970A0" w:rsidRDefault="008404F2" w:rsidP="008929C7">
            <w:pPr>
              <w:pStyle w:val="TableBodyText"/>
              <w:jc w:val="both"/>
              <w:rPr>
                <w:b/>
              </w:rPr>
            </w:pPr>
          </w:p>
        </w:tc>
        <w:tc>
          <w:tcPr>
            <w:tcW w:w="4078" w:type="pct"/>
          </w:tcPr>
          <w:p w:rsidR="008404F2" w:rsidRPr="005970A0" w:rsidRDefault="008404F2" w:rsidP="008929C7">
            <w:pPr>
              <w:spacing w:after="120"/>
              <w:jc w:val="both"/>
              <w:rPr>
                <w:rFonts w:ascii="Arial" w:hAnsi="Arial" w:cs="Arial"/>
                <w:sz w:val="20"/>
                <w:szCs w:val="20"/>
              </w:rPr>
            </w:pPr>
            <w:r w:rsidRPr="005970A0">
              <w:rPr>
                <w:rFonts w:ascii="Arial" w:hAnsi="Arial" w:cs="Arial"/>
                <w:sz w:val="20"/>
                <w:szCs w:val="20"/>
              </w:rPr>
              <w:t>This is the fourth time the survey has been conducted in this form.  Previous surveys were conducted in 2005, 2007 and 2009. The majority of data items in the 2011 survey are directly comparable with those of the previous three surveys.</w:t>
            </w:r>
          </w:p>
        </w:tc>
      </w:tr>
      <w:tr w:rsidR="005970A0" w:rsidRPr="005970A0" w:rsidTr="008929C7">
        <w:tc>
          <w:tcPr>
            <w:tcW w:w="922" w:type="pct"/>
          </w:tcPr>
          <w:p w:rsidR="008404F2" w:rsidRPr="005970A0" w:rsidRDefault="008404F2" w:rsidP="008929C7">
            <w:pPr>
              <w:pStyle w:val="TableBodyText"/>
              <w:jc w:val="both"/>
              <w:rPr>
                <w:b/>
              </w:rPr>
            </w:pPr>
            <w:r w:rsidRPr="005970A0">
              <w:rPr>
                <w:b/>
              </w:rPr>
              <w:t>Accessibility</w:t>
            </w:r>
          </w:p>
          <w:p w:rsidR="008404F2" w:rsidRPr="005970A0" w:rsidRDefault="008404F2" w:rsidP="008929C7">
            <w:pPr>
              <w:pStyle w:val="TableBodyText"/>
              <w:jc w:val="both"/>
              <w:rPr>
                <w:b/>
              </w:rPr>
            </w:pPr>
          </w:p>
        </w:tc>
        <w:tc>
          <w:tcPr>
            <w:tcW w:w="4078" w:type="pct"/>
          </w:tcPr>
          <w:p w:rsidR="008404F2" w:rsidRPr="005970A0" w:rsidRDefault="008404F2" w:rsidP="008929C7">
            <w:pPr>
              <w:spacing w:after="120"/>
              <w:jc w:val="both"/>
              <w:rPr>
                <w:rFonts w:ascii="Arial" w:hAnsi="Arial" w:cs="Arial"/>
                <w:sz w:val="20"/>
                <w:szCs w:val="20"/>
              </w:rPr>
            </w:pPr>
            <w:r w:rsidRPr="005970A0">
              <w:rPr>
                <w:rFonts w:ascii="Arial" w:hAnsi="Arial" w:cs="Arial"/>
                <w:sz w:val="20"/>
                <w:szCs w:val="20"/>
              </w:rPr>
              <w:t xml:space="preserve">Results of the survey are available free of charge on </w:t>
            </w:r>
            <w:proofErr w:type="spellStart"/>
            <w:r w:rsidRPr="005970A0">
              <w:rPr>
                <w:rFonts w:ascii="Arial" w:hAnsi="Arial" w:cs="Arial"/>
                <w:sz w:val="20"/>
                <w:szCs w:val="20"/>
              </w:rPr>
              <w:t>NCVER’s</w:t>
            </w:r>
            <w:proofErr w:type="spellEnd"/>
            <w:r w:rsidRPr="005970A0">
              <w:rPr>
                <w:rFonts w:ascii="Arial" w:hAnsi="Arial" w:cs="Arial"/>
                <w:sz w:val="20"/>
                <w:szCs w:val="20"/>
              </w:rPr>
              <w:t xml:space="preserve"> website at: [</w:t>
            </w:r>
            <w:proofErr w:type="spellStart"/>
            <w:r w:rsidRPr="005970A0">
              <w:rPr>
                <w:rFonts w:ascii="Arial" w:hAnsi="Arial" w:cs="Arial"/>
                <w:sz w:val="20"/>
                <w:szCs w:val="20"/>
              </w:rPr>
              <w:t>www.ncver.edu.au</w:t>
            </w:r>
            <w:proofErr w:type="spellEnd"/>
            <w:r w:rsidRPr="005970A0">
              <w:rPr>
                <w:rFonts w:ascii="Arial" w:hAnsi="Arial" w:cs="Arial"/>
                <w:sz w:val="20"/>
                <w:szCs w:val="20"/>
              </w:rPr>
              <w:t>/statistic/</w:t>
            </w:r>
            <w:proofErr w:type="spellStart"/>
            <w:r w:rsidRPr="005970A0">
              <w:rPr>
                <w:rFonts w:ascii="Arial" w:hAnsi="Arial" w:cs="Arial"/>
                <w:sz w:val="20"/>
                <w:szCs w:val="20"/>
              </w:rPr>
              <w:t>21066.html</w:t>
            </w:r>
            <w:proofErr w:type="spellEnd"/>
            <w:r w:rsidRPr="005970A0">
              <w:rPr>
                <w:rFonts w:ascii="Arial" w:hAnsi="Arial" w:cs="Arial"/>
                <w:sz w:val="20"/>
                <w:szCs w:val="20"/>
              </w:rPr>
              <w:t xml:space="preserve">]. Requests for more detailed statistical information or further information about the Survey of Employers’ Use and Views of the VET System can be made to: </w:t>
            </w:r>
          </w:p>
          <w:p w:rsidR="008404F2" w:rsidRPr="005970A0" w:rsidRDefault="008404F2" w:rsidP="008929C7">
            <w:pPr>
              <w:spacing w:after="120"/>
              <w:jc w:val="both"/>
              <w:rPr>
                <w:rFonts w:ascii="Arial" w:hAnsi="Arial" w:cs="Arial"/>
                <w:sz w:val="20"/>
                <w:szCs w:val="20"/>
              </w:rPr>
            </w:pPr>
            <w:proofErr w:type="spellStart"/>
            <w:r w:rsidRPr="005970A0">
              <w:rPr>
                <w:rFonts w:ascii="Arial" w:hAnsi="Arial" w:cs="Arial"/>
                <w:sz w:val="20"/>
                <w:szCs w:val="20"/>
              </w:rPr>
              <w:t>NCVER</w:t>
            </w:r>
            <w:proofErr w:type="spellEnd"/>
            <w:r w:rsidRPr="005970A0">
              <w:rPr>
                <w:rFonts w:ascii="Arial" w:hAnsi="Arial" w:cs="Arial"/>
                <w:sz w:val="20"/>
                <w:szCs w:val="20"/>
              </w:rPr>
              <w:t xml:space="preserve"> on (08) 8230 8400 or </w:t>
            </w:r>
            <w:proofErr w:type="spellStart"/>
            <w:r w:rsidRPr="005970A0">
              <w:rPr>
                <w:rFonts w:ascii="Arial" w:hAnsi="Arial" w:cs="Arial"/>
                <w:sz w:val="20"/>
                <w:szCs w:val="20"/>
              </w:rPr>
              <w:t>surveys_req@ncver.edu.au</w:t>
            </w:r>
            <w:proofErr w:type="spellEnd"/>
          </w:p>
          <w:p w:rsidR="008404F2" w:rsidRPr="005970A0" w:rsidRDefault="008404F2" w:rsidP="008929C7">
            <w:pPr>
              <w:spacing w:after="120"/>
              <w:jc w:val="both"/>
              <w:rPr>
                <w:rFonts w:ascii="Arial" w:hAnsi="Arial" w:cs="Arial"/>
                <w:sz w:val="20"/>
                <w:szCs w:val="20"/>
                <w:u w:val="single"/>
              </w:rPr>
            </w:pPr>
            <w:r w:rsidRPr="005970A0">
              <w:rPr>
                <w:rFonts w:ascii="Arial" w:hAnsi="Arial" w:cs="Arial"/>
                <w:sz w:val="20"/>
                <w:szCs w:val="20"/>
              </w:rPr>
              <w:t xml:space="preserve">A charge will be generally made by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for more complex requests for information. See </w:t>
            </w:r>
            <w:proofErr w:type="spellStart"/>
            <w:r w:rsidRPr="005970A0">
              <w:rPr>
                <w:rFonts w:ascii="Arial" w:hAnsi="Arial" w:cs="Arial"/>
                <w:sz w:val="20"/>
                <w:szCs w:val="20"/>
              </w:rPr>
              <w:t>NCVER’s</w:t>
            </w:r>
            <w:proofErr w:type="spellEnd"/>
            <w:r w:rsidRPr="005970A0">
              <w:rPr>
                <w:rFonts w:ascii="Arial" w:hAnsi="Arial" w:cs="Arial"/>
                <w:sz w:val="20"/>
                <w:szCs w:val="20"/>
              </w:rPr>
              <w:t xml:space="preserve"> fees and charges policy at [</w:t>
            </w:r>
            <w:proofErr w:type="spellStart"/>
            <w:r w:rsidRPr="005970A0">
              <w:rPr>
                <w:rFonts w:ascii="Arial" w:hAnsi="Arial" w:cs="Arial"/>
                <w:sz w:val="20"/>
                <w:szCs w:val="20"/>
              </w:rPr>
              <w:t>www.ncver.edu.au</w:t>
            </w:r>
            <w:proofErr w:type="spellEnd"/>
            <w:r w:rsidRPr="005970A0">
              <w:rPr>
                <w:rFonts w:ascii="Arial" w:hAnsi="Arial" w:cs="Arial"/>
                <w:sz w:val="20"/>
                <w:szCs w:val="20"/>
              </w:rPr>
              <w:t>/statistic/</w:t>
            </w:r>
            <w:proofErr w:type="spellStart"/>
            <w:r w:rsidRPr="005970A0">
              <w:rPr>
                <w:rFonts w:ascii="Arial" w:hAnsi="Arial" w:cs="Arial"/>
                <w:sz w:val="20"/>
                <w:szCs w:val="20"/>
              </w:rPr>
              <w:t>21075.html</w:t>
            </w:r>
            <w:proofErr w:type="spellEnd"/>
            <w:r w:rsidRPr="005970A0">
              <w:rPr>
                <w:rFonts w:ascii="Arial" w:hAnsi="Arial" w:cs="Arial"/>
                <w:sz w:val="20"/>
                <w:szCs w:val="20"/>
              </w:rPr>
              <w:t>]</w:t>
            </w:r>
          </w:p>
        </w:tc>
      </w:tr>
      <w:tr w:rsidR="005970A0" w:rsidRPr="005970A0" w:rsidTr="008929C7">
        <w:tc>
          <w:tcPr>
            <w:tcW w:w="922" w:type="pct"/>
          </w:tcPr>
          <w:p w:rsidR="008404F2" w:rsidRPr="005970A0" w:rsidRDefault="008404F2" w:rsidP="008929C7">
            <w:pPr>
              <w:pStyle w:val="TableBodyText"/>
              <w:jc w:val="both"/>
              <w:rPr>
                <w:b/>
              </w:rPr>
            </w:pPr>
            <w:r w:rsidRPr="005970A0">
              <w:rPr>
                <w:b/>
              </w:rPr>
              <w:t>Interpretability</w:t>
            </w:r>
          </w:p>
          <w:p w:rsidR="008404F2" w:rsidRPr="005970A0" w:rsidRDefault="008404F2" w:rsidP="008929C7">
            <w:pPr>
              <w:pStyle w:val="TableBodyText"/>
              <w:jc w:val="both"/>
              <w:rPr>
                <w:b/>
              </w:rPr>
            </w:pPr>
          </w:p>
        </w:tc>
        <w:tc>
          <w:tcPr>
            <w:tcW w:w="4078" w:type="pct"/>
          </w:tcPr>
          <w:p w:rsidR="008404F2" w:rsidRPr="005970A0" w:rsidRDefault="008404F2" w:rsidP="008929C7">
            <w:pPr>
              <w:spacing w:after="120"/>
              <w:jc w:val="both"/>
              <w:rPr>
                <w:rFonts w:ascii="Arial" w:hAnsi="Arial" w:cs="Arial"/>
                <w:sz w:val="20"/>
                <w:szCs w:val="20"/>
              </w:rPr>
            </w:pPr>
            <w:r w:rsidRPr="005970A0">
              <w:rPr>
                <w:rFonts w:ascii="Arial" w:hAnsi="Arial" w:cs="Arial"/>
                <w:sz w:val="20"/>
                <w:szCs w:val="20"/>
              </w:rPr>
              <w:t xml:space="preserve">To aid interpretation of the data, information on the Survey of Employers’ Use and Views of the VET System is available on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website.</w:t>
            </w:r>
          </w:p>
          <w:p w:rsidR="008404F2" w:rsidRPr="005970A0" w:rsidRDefault="008404F2" w:rsidP="008929C7">
            <w:pPr>
              <w:spacing w:after="120"/>
              <w:jc w:val="both"/>
              <w:rPr>
                <w:rFonts w:ascii="Arial" w:hAnsi="Arial" w:cs="Arial"/>
                <w:sz w:val="20"/>
                <w:szCs w:val="20"/>
              </w:rPr>
            </w:pPr>
            <w:r w:rsidRPr="005970A0">
              <w:rPr>
                <w:rFonts w:ascii="Arial" w:hAnsi="Arial" w:cs="Arial"/>
                <w:sz w:val="20"/>
                <w:szCs w:val="20"/>
              </w:rPr>
              <w:t>The survey uses the Australian and New Zealand Standard Industry Classification (</w:t>
            </w:r>
            <w:proofErr w:type="spellStart"/>
            <w:r w:rsidRPr="005970A0">
              <w:rPr>
                <w:rFonts w:ascii="Arial" w:hAnsi="Arial" w:cs="Arial"/>
                <w:sz w:val="20"/>
                <w:szCs w:val="20"/>
              </w:rPr>
              <w:t>ANZSIC</w:t>
            </w:r>
            <w:proofErr w:type="spellEnd"/>
            <w:r w:rsidRPr="005970A0">
              <w:rPr>
                <w:rFonts w:ascii="Arial" w:hAnsi="Arial" w:cs="Arial"/>
                <w:sz w:val="20"/>
                <w:szCs w:val="20"/>
              </w:rPr>
              <w:t>)</w:t>
            </w:r>
          </w:p>
        </w:tc>
      </w:tr>
      <w:tr w:rsidR="005970A0" w:rsidRPr="005970A0" w:rsidTr="008929C7">
        <w:tc>
          <w:tcPr>
            <w:tcW w:w="5000" w:type="pct"/>
            <w:gridSpan w:val="2"/>
            <w:shd w:val="clear" w:color="auto" w:fill="auto"/>
          </w:tcPr>
          <w:p w:rsidR="008404F2" w:rsidRPr="005970A0" w:rsidRDefault="008404F2" w:rsidP="008929C7">
            <w:pPr>
              <w:pStyle w:val="TableBodyText"/>
              <w:jc w:val="both"/>
              <w:rPr>
                <w:b/>
                <w:u w:val="single"/>
              </w:rPr>
            </w:pPr>
          </w:p>
          <w:p w:rsidR="008404F2" w:rsidRPr="005970A0" w:rsidRDefault="008404F2" w:rsidP="008929C7">
            <w:pPr>
              <w:pStyle w:val="TableBodyText"/>
              <w:jc w:val="both"/>
              <w:rPr>
                <w:b/>
                <w:u w:val="single"/>
              </w:rPr>
            </w:pPr>
            <w:r w:rsidRPr="005970A0">
              <w:rPr>
                <w:b/>
                <w:u w:val="single"/>
              </w:rPr>
              <w:t>Data Gaps/Issues Analysis</w:t>
            </w:r>
          </w:p>
        </w:tc>
      </w:tr>
      <w:tr w:rsidR="005970A0" w:rsidRPr="005970A0" w:rsidTr="008929C7">
        <w:tc>
          <w:tcPr>
            <w:tcW w:w="922" w:type="pct"/>
            <w:shd w:val="clear" w:color="auto" w:fill="auto"/>
          </w:tcPr>
          <w:p w:rsidR="008404F2" w:rsidRPr="005970A0" w:rsidRDefault="008404F2" w:rsidP="008929C7">
            <w:pPr>
              <w:pStyle w:val="TableBodyText"/>
              <w:jc w:val="both"/>
              <w:rPr>
                <w:b/>
              </w:rPr>
            </w:pPr>
            <w:r w:rsidRPr="005970A0">
              <w:rPr>
                <w:b/>
              </w:rPr>
              <w:t>Key data gaps/ issues</w:t>
            </w:r>
          </w:p>
        </w:tc>
        <w:tc>
          <w:tcPr>
            <w:tcW w:w="4078" w:type="pct"/>
            <w:shd w:val="clear" w:color="auto" w:fill="auto"/>
          </w:tcPr>
          <w:p w:rsidR="008404F2" w:rsidRPr="005970A0" w:rsidRDefault="008404F2" w:rsidP="008929C7">
            <w:pPr>
              <w:pStyle w:val="TableBodyText"/>
              <w:keepNext w:val="0"/>
              <w:keepLines w:val="0"/>
              <w:spacing w:after="120" w:line="240" w:lineRule="auto"/>
              <w:ind w:left="0" w:right="0"/>
              <w:jc w:val="both"/>
            </w:pPr>
            <w:r w:rsidRPr="005970A0">
              <w:t xml:space="preserve">The Steering Committee notes the following key data gaps/issues: </w:t>
            </w:r>
          </w:p>
          <w:p w:rsidR="008404F2" w:rsidRPr="005970A0" w:rsidRDefault="008404F2" w:rsidP="008929C7">
            <w:pPr>
              <w:numPr>
                <w:ilvl w:val="0"/>
                <w:numId w:val="18"/>
              </w:numPr>
              <w:tabs>
                <w:tab w:val="left" w:pos="222"/>
              </w:tabs>
              <w:spacing w:after="60"/>
              <w:ind w:left="222" w:hanging="223"/>
              <w:jc w:val="both"/>
              <w:rPr>
                <w:rFonts w:ascii="Arial" w:hAnsi="Arial" w:cs="Arial"/>
                <w:sz w:val="20"/>
                <w:szCs w:val="20"/>
              </w:rPr>
            </w:pPr>
            <w:r w:rsidRPr="005970A0">
              <w:rPr>
                <w:rFonts w:ascii="Arial" w:hAnsi="Arial" w:cs="Arial"/>
                <w:sz w:val="20"/>
                <w:szCs w:val="20"/>
              </w:rPr>
              <w:t>Biennial data are available from the Survey of Employer Use and Views (</w:t>
            </w:r>
            <w:proofErr w:type="spellStart"/>
            <w:r w:rsidRPr="005970A0">
              <w:rPr>
                <w:rFonts w:ascii="Arial" w:hAnsi="Arial" w:cs="Arial"/>
                <w:sz w:val="20"/>
                <w:szCs w:val="20"/>
              </w:rPr>
              <w:t>SEUV</w:t>
            </w:r>
            <w:proofErr w:type="spellEnd"/>
            <w:r w:rsidRPr="005970A0">
              <w:rPr>
                <w:rFonts w:ascii="Arial" w:hAnsi="Arial" w:cs="Arial"/>
                <w:sz w:val="20"/>
                <w:szCs w:val="20"/>
              </w:rPr>
              <w:t xml:space="preserve">). The most recent data are for 2011. Data from 2009, 2007 and 2005 are available in the 2010 </w:t>
            </w:r>
            <w:proofErr w:type="spellStart"/>
            <w:r w:rsidRPr="005970A0">
              <w:rPr>
                <w:rFonts w:ascii="Arial" w:hAnsi="Arial" w:cs="Arial"/>
                <w:sz w:val="20"/>
                <w:szCs w:val="20"/>
              </w:rPr>
              <w:t>NASWD</w:t>
            </w:r>
            <w:proofErr w:type="spellEnd"/>
            <w:r w:rsidRPr="005970A0">
              <w:rPr>
                <w:rFonts w:ascii="Arial" w:hAnsi="Arial" w:cs="Arial"/>
                <w:sz w:val="20"/>
                <w:szCs w:val="20"/>
              </w:rPr>
              <w:t xml:space="preserve"> performance information report.</w:t>
            </w:r>
          </w:p>
          <w:p w:rsidR="008404F2" w:rsidRPr="005970A0" w:rsidRDefault="008404F2" w:rsidP="008929C7">
            <w:pPr>
              <w:numPr>
                <w:ilvl w:val="0"/>
                <w:numId w:val="18"/>
              </w:numPr>
              <w:tabs>
                <w:tab w:val="left" w:pos="222"/>
              </w:tabs>
              <w:spacing w:after="60"/>
              <w:ind w:left="222" w:hanging="223"/>
              <w:jc w:val="both"/>
              <w:rPr>
                <w:rFonts w:ascii="Arial" w:hAnsi="Arial" w:cs="Arial"/>
                <w:sz w:val="20"/>
                <w:szCs w:val="20"/>
              </w:rPr>
            </w:pPr>
            <w:r w:rsidRPr="005970A0">
              <w:rPr>
                <w:rFonts w:ascii="Arial" w:hAnsi="Arial" w:cs="Arial"/>
                <w:sz w:val="20"/>
                <w:szCs w:val="20"/>
              </w:rPr>
              <w:t>Data are of acceptable accuracy at the State and Territory level.</w:t>
            </w:r>
          </w:p>
          <w:p w:rsidR="008404F2" w:rsidRPr="005970A0" w:rsidRDefault="008404F2" w:rsidP="008929C7">
            <w:pPr>
              <w:numPr>
                <w:ilvl w:val="0"/>
                <w:numId w:val="18"/>
              </w:numPr>
              <w:tabs>
                <w:tab w:val="left" w:pos="222"/>
              </w:tabs>
              <w:spacing w:after="60"/>
              <w:ind w:left="222" w:hanging="223"/>
              <w:jc w:val="both"/>
              <w:rPr>
                <w:rFonts w:ascii="Arial" w:hAnsi="Arial" w:cs="Arial"/>
                <w:sz w:val="20"/>
                <w:szCs w:val="20"/>
              </w:rPr>
            </w:pPr>
            <w:r w:rsidRPr="005970A0">
              <w:rPr>
                <w:rFonts w:ascii="Arial" w:hAnsi="Arial" w:cs="Arial"/>
                <w:sz w:val="20"/>
                <w:szCs w:val="20"/>
              </w:rPr>
              <w:t>Detailed explanatory notes are publicly available to assist in the interpretation of results.</w:t>
            </w:r>
          </w:p>
          <w:p w:rsidR="008404F2" w:rsidRPr="005970A0" w:rsidRDefault="008404F2" w:rsidP="008929C7">
            <w:pPr>
              <w:numPr>
                <w:ilvl w:val="0"/>
                <w:numId w:val="18"/>
              </w:numPr>
              <w:tabs>
                <w:tab w:val="left" w:pos="222"/>
              </w:tabs>
              <w:spacing w:after="60"/>
              <w:ind w:left="222" w:hanging="223"/>
              <w:jc w:val="both"/>
              <w:rPr>
                <w:rFonts w:ascii="Arial" w:hAnsi="Arial" w:cs="Arial"/>
                <w:sz w:val="20"/>
                <w:szCs w:val="20"/>
              </w:rPr>
            </w:pPr>
            <w:r w:rsidRPr="005970A0">
              <w:rPr>
                <w:rFonts w:ascii="Arial" w:hAnsi="Arial" w:cs="Arial"/>
                <w:sz w:val="20"/>
                <w:szCs w:val="20"/>
              </w:rPr>
              <w:t xml:space="preserve">Additional data from the data source are available </w:t>
            </w:r>
            <w:proofErr w:type="spellStart"/>
            <w:r w:rsidRPr="005970A0">
              <w:rPr>
                <w:rFonts w:ascii="Arial" w:hAnsi="Arial" w:cs="Arial"/>
                <w:sz w:val="20"/>
                <w:szCs w:val="20"/>
              </w:rPr>
              <w:t>on-line</w:t>
            </w:r>
            <w:proofErr w:type="spellEnd"/>
            <w:r w:rsidRPr="005970A0">
              <w:rPr>
                <w:rFonts w:ascii="Arial" w:hAnsi="Arial" w:cs="Arial"/>
                <w:sz w:val="20"/>
                <w:szCs w:val="20"/>
              </w:rPr>
              <w:t>, and on request.</w:t>
            </w:r>
          </w:p>
          <w:p w:rsidR="008404F2" w:rsidRPr="005970A0" w:rsidRDefault="008404F2" w:rsidP="008929C7">
            <w:pPr>
              <w:numPr>
                <w:ilvl w:val="0"/>
                <w:numId w:val="18"/>
              </w:numPr>
              <w:tabs>
                <w:tab w:val="left" w:pos="222"/>
              </w:tabs>
              <w:spacing w:after="60"/>
              <w:ind w:left="222" w:hanging="223"/>
              <w:jc w:val="both"/>
              <w:rPr>
                <w:rFonts w:ascii="Arial" w:hAnsi="Arial" w:cs="Arial"/>
                <w:sz w:val="20"/>
                <w:szCs w:val="20"/>
              </w:rPr>
            </w:pPr>
            <w:r w:rsidRPr="005970A0">
              <w:rPr>
                <w:rFonts w:ascii="Arial" w:hAnsi="Arial" w:cs="Arial"/>
                <w:sz w:val="20"/>
                <w:szCs w:val="20"/>
              </w:rPr>
              <w:t xml:space="preserve">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conducted a review of the </w:t>
            </w:r>
            <w:proofErr w:type="spellStart"/>
            <w:r w:rsidRPr="005970A0">
              <w:rPr>
                <w:rFonts w:ascii="Arial" w:hAnsi="Arial" w:cs="Arial"/>
                <w:sz w:val="20"/>
                <w:szCs w:val="20"/>
              </w:rPr>
              <w:t>SEUV</w:t>
            </w:r>
            <w:proofErr w:type="spellEnd"/>
            <w:r w:rsidRPr="005970A0">
              <w:rPr>
                <w:rFonts w:ascii="Arial" w:hAnsi="Arial" w:cs="Arial"/>
                <w:sz w:val="20"/>
                <w:szCs w:val="20"/>
              </w:rPr>
              <w:t xml:space="preserve"> during 2011, and as a result is currently developing and testing a new questionnaire and revised methodology. The sample for the next survey (to be conducted in 2013) will increase, and it is anticipated the reliability of the estimates will improve for this indicator. Results from the next survey will be available in late 2013.</w:t>
            </w:r>
          </w:p>
        </w:tc>
      </w:tr>
    </w:tbl>
    <w:p w:rsidR="00055D1F" w:rsidRPr="005970A0" w:rsidRDefault="0068457F" w:rsidP="00FC66C8">
      <w:pPr>
        <w:pStyle w:val="Heading3"/>
        <w:spacing w:before="240"/>
      </w:pPr>
      <w:r w:rsidRPr="005970A0">
        <w:br w:type="page"/>
      </w:r>
    </w:p>
    <w:p w:rsidR="0068457F" w:rsidRPr="005970A0" w:rsidRDefault="0068457F" w:rsidP="00772353">
      <w:pPr>
        <w:pStyle w:val="Heading3"/>
        <w:spacing w:before="120"/>
      </w:pPr>
      <w:bookmarkStart w:id="39" w:name="_Toc370472633"/>
      <w:r w:rsidRPr="005970A0">
        <w:lastRenderedPageBreak/>
        <w:t>Employer satisfaction with VET</w:t>
      </w:r>
      <w:bookmarkEnd w:id="39"/>
    </w:p>
    <w:p w:rsidR="001305D2" w:rsidRPr="005970A0" w:rsidRDefault="001305D2" w:rsidP="001305D2">
      <w:pPr>
        <w:pStyle w:val="Box"/>
      </w:pPr>
      <w:r w:rsidRPr="005970A0">
        <w:t xml:space="preserve">Data quality information for this indicator has been sourced from the Steering Committee’s report to the </w:t>
      </w:r>
      <w:proofErr w:type="spellStart"/>
      <w:r w:rsidRPr="005970A0">
        <w:t>COAG</w:t>
      </w:r>
      <w:proofErr w:type="spellEnd"/>
      <w:r w:rsidRPr="005970A0">
        <w:t xml:space="preserve"> Reform Council on the </w:t>
      </w:r>
      <w:r w:rsidRPr="005970A0">
        <w:rPr>
          <w:i/>
        </w:rPr>
        <w:t xml:space="preserve">National Agreement for Skills and Workforce Development </w:t>
      </w:r>
      <w:r w:rsidRPr="005970A0">
        <w:t xml:space="preserve">(data supplied by </w:t>
      </w:r>
      <w:proofErr w:type="spellStart"/>
      <w:r w:rsidRPr="005970A0">
        <w:t>NCVER</w:t>
      </w:r>
      <w:proofErr w:type="spellEnd"/>
      <w:r w:rsidRPr="005970A0">
        <w:t>)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395EF2">
        <w:tc>
          <w:tcPr>
            <w:tcW w:w="5000" w:type="pct"/>
            <w:gridSpan w:val="2"/>
          </w:tcPr>
          <w:p w:rsidR="0068457F" w:rsidRPr="005970A0" w:rsidRDefault="0068457F" w:rsidP="006E0702">
            <w:pPr>
              <w:pStyle w:val="TableBodyText"/>
              <w:jc w:val="both"/>
              <w:rPr>
                <w:b/>
                <w:u w:val="single"/>
              </w:rPr>
            </w:pPr>
          </w:p>
          <w:p w:rsidR="0068457F" w:rsidRPr="005970A0" w:rsidRDefault="0068457F" w:rsidP="006E0702">
            <w:pPr>
              <w:pStyle w:val="TableBodyText"/>
              <w:jc w:val="both"/>
            </w:pPr>
            <w:r w:rsidRPr="005970A0">
              <w:rPr>
                <w:b/>
                <w:u w:val="single"/>
              </w:rPr>
              <w:t>Indicator definition and description</w:t>
            </w:r>
            <w:r w:rsidRPr="005970A0">
              <w:rPr>
                <w:rFonts w:cs="Arial"/>
                <w:b/>
                <w:sz w:val="22"/>
                <w:szCs w:val="22"/>
                <w:u w:val="single"/>
              </w:rPr>
              <w:t xml:space="preserve"> </w:t>
            </w:r>
          </w:p>
        </w:tc>
      </w:tr>
      <w:tr w:rsidR="005970A0" w:rsidRPr="005970A0" w:rsidTr="00395EF2">
        <w:tc>
          <w:tcPr>
            <w:tcW w:w="922" w:type="pct"/>
          </w:tcPr>
          <w:p w:rsidR="0068457F" w:rsidRPr="005970A0" w:rsidRDefault="0068457F" w:rsidP="006E0702">
            <w:pPr>
              <w:pStyle w:val="TableBodyText"/>
              <w:jc w:val="both"/>
              <w:rPr>
                <w:b/>
              </w:rPr>
            </w:pPr>
            <w:r w:rsidRPr="005970A0">
              <w:rPr>
                <w:b/>
              </w:rPr>
              <w:t>Element</w:t>
            </w:r>
          </w:p>
        </w:tc>
        <w:tc>
          <w:tcPr>
            <w:tcW w:w="4078" w:type="pct"/>
          </w:tcPr>
          <w:p w:rsidR="0068457F" w:rsidRPr="005970A0" w:rsidRDefault="0068457F" w:rsidP="006E0702">
            <w:pPr>
              <w:pStyle w:val="TableBodyText"/>
              <w:keepNext w:val="0"/>
              <w:keepLines w:val="0"/>
              <w:spacing w:after="120" w:line="240" w:lineRule="auto"/>
              <w:ind w:left="0" w:right="0"/>
              <w:jc w:val="both"/>
            </w:pPr>
            <w:r w:rsidRPr="005970A0">
              <w:t>Outcomes.</w:t>
            </w:r>
          </w:p>
        </w:tc>
      </w:tr>
      <w:tr w:rsidR="005970A0" w:rsidRPr="005970A0" w:rsidTr="00395EF2">
        <w:tc>
          <w:tcPr>
            <w:tcW w:w="922" w:type="pct"/>
          </w:tcPr>
          <w:p w:rsidR="0068457F" w:rsidRPr="005970A0" w:rsidRDefault="0068457F" w:rsidP="006E0702">
            <w:pPr>
              <w:pStyle w:val="TableBodyText"/>
              <w:jc w:val="both"/>
              <w:rPr>
                <w:b/>
              </w:rPr>
            </w:pPr>
            <w:r w:rsidRPr="005970A0">
              <w:rPr>
                <w:b/>
              </w:rPr>
              <w:t>Indicator</w:t>
            </w:r>
          </w:p>
        </w:tc>
        <w:tc>
          <w:tcPr>
            <w:tcW w:w="4078" w:type="pct"/>
          </w:tcPr>
          <w:p w:rsidR="0068457F" w:rsidRPr="005970A0" w:rsidRDefault="0068457F" w:rsidP="006E0702">
            <w:pPr>
              <w:pStyle w:val="TableBodyText"/>
              <w:keepNext w:val="0"/>
              <w:keepLines w:val="0"/>
              <w:spacing w:after="120" w:line="240" w:lineRule="auto"/>
              <w:ind w:left="0" w:right="0"/>
              <w:jc w:val="both"/>
            </w:pPr>
            <w:r w:rsidRPr="005970A0">
              <w:t>Employer satisfaction with VET</w:t>
            </w:r>
          </w:p>
        </w:tc>
      </w:tr>
      <w:tr w:rsidR="005970A0" w:rsidRPr="005970A0" w:rsidTr="00395EF2">
        <w:tc>
          <w:tcPr>
            <w:tcW w:w="922" w:type="pct"/>
          </w:tcPr>
          <w:p w:rsidR="0068457F" w:rsidRPr="005970A0" w:rsidRDefault="0068457F" w:rsidP="006E0702">
            <w:pPr>
              <w:pStyle w:val="TableBodyText"/>
              <w:jc w:val="both"/>
              <w:rPr>
                <w:b/>
              </w:rPr>
            </w:pPr>
            <w:r w:rsidRPr="005970A0">
              <w:rPr>
                <w:b/>
              </w:rPr>
              <w:t>Measure (computation)</w:t>
            </w:r>
          </w:p>
        </w:tc>
        <w:tc>
          <w:tcPr>
            <w:tcW w:w="4078" w:type="pct"/>
          </w:tcPr>
          <w:p w:rsidR="0068457F" w:rsidRPr="005970A0" w:rsidRDefault="0068457F" w:rsidP="006E0702">
            <w:pPr>
              <w:pStyle w:val="TableBodyText"/>
              <w:jc w:val="both"/>
              <w:rPr>
                <w:u w:val="single"/>
              </w:rPr>
            </w:pPr>
            <w:r w:rsidRPr="005970A0">
              <w:rPr>
                <w:u w:val="single"/>
              </w:rPr>
              <w:t>Definition</w:t>
            </w:r>
          </w:p>
          <w:p w:rsidR="0068457F" w:rsidRPr="005970A0" w:rsidRDefault="0068457F" w:rsidP="006E0702">
            <w:pPr>
              <w:pStyle w:val="TableBodyText"/>
              <w:keepNext w:val="0"/>
              <w:keepLines w:val="0"/>
              <w:spacing w:after="120" w:line="240" w:lineRule="auto"/>
              <w:ind w:left="0" w:right="0"/>
              <w:jc w:val="both"/>
            </w:pPr>
            <w:r w:rsidRPr="005970A0">
              <w:t>Employer satisfaction with the VET system.</w:t>
            </w:r>
          </w:p>
          <w:p w:rsidR="0068457F" w:rsidRPr="005970A0" w:rsidRDefault="0068457F" w:rsidP="006E0702">
            <w:pPr>
              <w:pStyle w:val="TableBodyText"/>
              <w:ind w:left="0"/>
              <w:jc w:val="both"/>
              <w:rPr>
                <w:iCs/>
                <w:u w:val="single"/>
              </w:rPr>
            </w:pPr>
            <w:r w:rsidRPr="005970A0">
              <w:rPr>
                <w:iCs/>
                <w:u w:val="single"/>
              </w:rPr>
              <w:t>Numerator</w:t>
            </w:r>
          </w:p>
          <w:p w:rsidR="0068457F" w:rsidRPr="005970A0" w:rsidRDefault="0068457F" w:rsidP="006E0702">
            <w:pPr>
              <w:pStyle w:val="TableBodyText"/>
              <w:keepNext w:val="0"/>
              <w:keepLines w:val="0"/>
              <w:spacing w:after="120" w:line="240" w:lineRule="auto"/>
              <w:ind w:left="0" w:right="0"/>
              <w:jc w:val="both"/>
            </w:pPr>
            <w:r w:rsidRPr="005970A0">
              <w:t>Employers who reported as being satisfied or very satisfied with the VET system in meeting their skill needs.</w:t>
            </w:r>
          </w:p>
          <w:p w:rsidR="0068457F" w:rsidRPr="005970A0" w:rsidRDefault="0068457F" w:rsidP="006E0702">
            <w:pPr>
              <w:pStyle w:val="TableBodyText"/>
              <w:ind w:left="0"/>
              <w:jc w:val="both"/>
              <w:rPr>
                <w:iCs/>
                <w:u w:val="single"/>
              </w:rPr>
            </w:pPr>
            <w:r w:rsidRPr="005970A0">
              <w:rPr>
                <w:iCs/>
                <w:u w:val="single"/>
              </w:rPr>
              <w:t>Denominator</w:t>
            </w:r>
          </w:p>
          <w:p w:rsidR="0068457F" w:rsidRPr="005970A0" w:rsidRDefault="009D2674" w:rsidP="006E0702">
            <w:pPr>
              <w:pStyle w:val="TableBodyText"/>
              <w:keepNext w:val="0"/>
              <w:keepLines w:val="0"/>
              <w:spacing w:after="120" w:line="240" w:lineRule="auto"/>
              <w:ind w:left="0" w:right="0"/>
              <w:jc w:val="both"/>
            </w:pPr>
            <w:r w:rsidRPr="005970A0">
              <w:t>Number of employers engaged with the VET system (less those with the numerator variable not stated)</w:t>
            </w:r>
          </w:p>
          <w:p w:rsidR="0068457F" w:rsidRPr="005970A0" w:rsidRDefault="0068457F" w:rsidP="006E0702">
            <w:pPr>
              <w:pStyle w:val="TableBodyText"/>
              <w:jc w:val="both"/>
              <w:rPr>
                <w:u w:val="single"/>
              </w:rPr>
            </w:pPr>
            <w:r w:rsidRPr="005970A0">
              <w:rPr>
                <w:u w:val="single"/>
              </w:rPr>
              <w:t>Computation/s:</w:t>
            </w:r>
          </w:p>
          <w:p w:rsidR="0068457F" w:rsidRPr="005970A0" w:rsidRDefault="009D2674" w:rsidP="007C0724">
            <w:pPr>
              <w:pStyle w:val="TableBodyText"/>
              <w:keepNext w:val="0"/>
              <w:keepLines w:val="0"/>
              <w:spacing w:after="60" w:line="240" w:lineRule="auto"/>
              <w:ind w:left="0" w:right="0"/>
              <w:jc w:val="both"/>
            </w:pPr>
            <w:r w:rsidRPr="005970A0">
              <w:t>The measure is calculated separately for the number of employers who in the 12 months preceding the interview:</w:t>
            </w:r>
          </w:p>
          <w:p w:rsidR="0068457F" w:rsidRPr="005970A0" w:rsidRDefault="0068457F" w:rsidP="00F664AB">
            <w:pPr>
              <w:pStyle w:val="TableBodyText"/>
              <w:numPr>
                <w:ilvl w:val="0"/>
                <w:numId w:val="34"/>
              </w:numPr>
              <w:tabs>
                <w:tab w:val="clear" w:pos="720"/>
                <w:tab w:val="num" w:pos="222"/>
              </w:tabs>
              <w:spacing w:after="60"/>
              <w:ind w:left="222" w:hanging="222"/>
              <w:jc w:val="both"/>
            </w:pPr>
            <w:r w:rsidRPr="005970A0">
              <w:t>had employees undertaking apprenticeships/traineeships, or</w:t>
            </w:r>
          </w:p>
          <w:p w:rsidR="0068457F" w:rsidRPr="005970A0" w:rsidRDefault="0068457F" w:rsidP="00F664AB">
            <w:pPr>
              <w:pStyle w:val="TableBodyText"/>
              <w:numPr>
                <w:ilvl w:val="0"/>
                <w:numId w:val="34"/>
              </w:numPr>
              <w:tabs>
                <w:tab w:val="clear" w:pos="720"/>
                <w:tab w:val="num" w:pos="222"/>
              </w:tabs>
              <w:spacing w:after="60"/>
              <w:ind w:left="222" w:hanging="222"/>
              <w:jc w:val="both"/>
            </w:pPr>
            <w:r w:rsidRPr="005970A0">
              <w:t>arranged or provided nationally recognised training (other than apprenticeships /traineeships) for employees, or</w:t>
            </w:r>
          </w:p>
          <w:p w:rsidR="0068457F" w:rsidRPr="005970A0" w:rsidRDefault="0068457F" w:rsidP="00F664AB">
            <w:pPr>
              <w:pStyle w:val="TableBodyText"/>
              <w:numPr>
                <w:ilvl w:val="0"/>
                <w:numId w:val="34"/>
              </w:numPr>
              <w:tabs>
                <w:tab w:val="clear" w:pos="720"/>
                <w:tab w:val="num" w:pos="222"/>
              </w:tabs>
              <w:spacing w:after="60"/>
              <w:ind w:left="222" w:hanging="222"/>
              <w:jc w:val="both"/>
            </w:pPr>
            <w:r w:rsidRPr="005970A0">
              <w:t>had employees with formal vocational qualifications as a requirement of their job.</w:t>
            </w:r>
          </w:p>
          <w:p w:rsidR="0068457F" w:rsidRPr="005970A0" w:rsidRDefault="009D2674" w:rsidP="006E0702">
            <w:pPr>
              <w:pStyle w:val="TableBodyText"/>
              <w:keepNext w:val="0"/>
              <w:keepLines w:val="0"/>
              <w:spacing w:after="120" w:line="240" w:lineRule="auto"/>
              <w:ind w:left="0" w:right="0"/>
              <w:jc w:val="both"/>
              <w:rPr>
                <w:u w:val="single"/>
              </w:rPr>
            </w:pPr>
            <w:r w:rsidRPr="005970A0">
              <w:t>An ‘employer’ is defined as an organisation in Australia with at least one employee (in the 12 months preceding the interview). An ‘employee’ is defined as ‘a person working in, or operating from, this organisation including full-time, part-time and casual employees’.</w:t>
            </w:r>
          </w:p>
        </w:tc>
      </w:tr>
      <w:tr w:rsidR="005970A0" w:rsidRPr="005970A0" w:rsidTr="00395EF2">
        <w:tc>
          <w:tcPr>
            <w:tcW w:w="922" w:type="pct"/>
          </w:tcPr>
          <w:p w:rsidR="0068457F" w:rsidRPr="005970A0" w:rsidRDefault="0068457F" w:rsidP="006E0702">
            <w:pPr>
              <w:pStyle w:val="TableBodyText"/>
              <w:jc w:val="both"/>
              <w:rPr>
                <w:b/>
              </w:rPr>
            </w:pPr>
            <w:r w:rsidRPr="005970A0">
              <w:rPr>
                <w:b/>
              </w:rPr>
              <w:t>Data source/s</w:t>
            </w:r>
          </w:p>
        </w:tc>
        <w:tc>
          <w:tcPr>
            <w:tcW w:w="4078" w:type="pct"/>
          </w:tcPr>
          <w:p w:rsidR="0068457F" w:rsidRPr="005970A0" w:rsidRDefault="007C0724" w:rsidP="006E0702">
            <w:pPr>
              <w:pStyle w:val="TableBodyText"/>
              <w:keepNext w:val="0"/>
              <w:keepLines w:val="0"/>
              <w:spacing w:after="120" w:line="240" w:lineRule="auto"/>
              <w:ind w:left="0" w:right="0"/>
              <w:jc w:val="both"/>
            </w:pPr>
            <w:r w:rsidRPr="005970A0">
              <w:t xml:space="preserve">All data are derived from the </w:t>
            </w:r>
            <w:r w:rsidRPr="005970A0">
              <w:rPr>
                <w:i/>
              </w:rPr>
              <w:t>Survey of Employer Use and Views of the VET System</w:t>
            </w:r>
            <w:r w:rsidRPr="005970A0">
              <w:t xml:space="preserve"> (</w:t>
            </w:r>
            <w:proofErr w:type="spellStart"/>
            <w:r w:rsidRPr="005970A0">
              <w:t>SEUV</w:t>
            </w:r>
            <w:proofErr w:type="spellEnd"/>
            <w:r w:rsidRPr="005970A0">
              <w:t>), which is a biennial survey. This survey collects information about employers' use and views of the VET system and the various ways employers use the VET system to meet their skill needs.</w:t>
            </w:r>
          </w:p>
        </w:tc>
      </w:tr>
      <w:tr w:rsidR="005970A0" w:rsidRPr="005970A0" w:rsidTr="00395EF2">
        <w:tc>
          <w:tcPr>
            <w:tcW w:w="5000" w:type="pct"/>
            <w:gridSpan w:val="2"/>
          </w:tcPr>
          <w:p w:rsidR="0068457F" w:rsidRPr="005970A0" w:rsidRDefault="0068457F" w:rsidP="006E0702">
            <w:pPr>
              <w:pStyle w:val="TableBodyText"/>
              <w:jc w:val="both"/>
              <w:rPr>
                <w:b/>
                <w:u w:val="single"/>
              </w:rPr>
            </w:pPr>
          </w:p>
          <w:p w:rsidR="0068457F" w:rsidRPr="005970A0" w:rsidRDefault="0068457F" w:rsidP="006E0702">
            <w:pPr>
              <w:pStyle w:val="TableBodyText"/>
              <w:jc w:val="both"/>
              <w:rPr>
                <w:b/>
                <w:u w:val="single"/>
              </w:rPr>
            </w:pPr>
            <w:r w:rsidRPr="005970A0">
              <w:rPr>
                <w:b/>
                <w:u w:val="single"/>
              </w:rPr>
              <w:t>Data Quality Framework Dimensions</w:t>
            </w:r>
          </w:p>
        </w:tc>
      </w:tr>
      <w:tr w:rsidR="005970A0" w:rsidRPr="005970A0" w:rsidTr="00395EF2">
        <w:tc>
          <w:tcPr>
            <w:tcW w:w="922" w:type="pct"/>
          </w:tcPr>
          <w:p w:rsidR="0068457F" w:rsidRPr="005970A0" w:rsidRDefault="0068457F" w:rsidP="007C0724">
            <w:pPr>
              <w:pStyle w:val="TableBodyText"/>
              <w:jc w:val="both"/>
              <w:rPr>
                <w:rFonts w:cs="Arial"/>
                <w:b/>
              </w:rPr>
            </w:pPr>
            <w:r w:rsidRPr="005970A0">
              <w:rPr>
                <w:b/>
              </w:rPr>
              <w:t>Institutional environment</w:t>
            </w:r>
          </w:p>
        </w:tc>
        <w:tc>
          <w:tcPr>
            <w:tcW w:w="4078" w:type="pct"/>
          </w:tcPr>
          <w:p w:rsidR="007C0724" w:rsidRPr="005970A0" w:rsidRDefault="007C0724" w:rsidP="007C0724">
            <w:pPr>
              <w:spacing w:after="120"/>
              <w:jc w:val="both"/>
              <w:rPr>
                <w:rFonts w:ascii="Arial" w:hAnsi="Arial" w:cs="Arial"/>
                <w:sz w:val="20"/>
                <w:szCs w:val="20"/>
              </w:rPr>
            </w:pPr>
            <w:r w:rsidRPr="005970A0">
              <w:rPr>
                <w:rFonts w:ascii="Arial" w:hAnsi="Arial" w:cs="Arial"/>
                <w:sz w:val="20"/>
                <w:szCs w:val="20"/>
              </w:rPr>
              <w:t>The National Centre for Vocational Education Research (</w:t>
            </w:r>
            <w:proofErr w:type="spellStart"/>
            <w:r w:rsidRPr="005970A0">
              <w:rPr>
                <w:rFonts w:ascii="Arial" w:hAnsi="Arial" w:cs="Arial"/>
                <w:sz w:val="20"/>
                <w:szCs w:val="20"/>
              </w:rPr>
              <w:t>NCVER</w:t>
            </w:r>
            <w:proofErr w:type="spellEnd"/>
            <w:r w:rsidRPr="005970A0">
              <w:rPr>
                <w:rFonts w:ascii="Arial" w:hAnsi="Arial" w:cs="Arial"/>
                <w:sz w:val="20"/>
                <w:szCs w:val="20"/>
              </w:rPr>
              <w:t>) is a not for-profit company owned by the federal, state and territory ministers responsible for training.</w:t>
            </w:r>
          </w:p>
          <w:p w:rsidR="007C0724" w:rsidRPr="005970A0" w:rsidRDefault="007C0724" w:rsidP="007C0724">
            <w:pPr>
              <w:spacing w:after="120"/>
              <w:jc w:val="both"/>
              <w:rPr>
                <w:rFonts w:ascii="Arial" w:hAnsi="Arial" w:cs="Arial"/>
                <w:sz w:val="20"/>
                <w:szCs w:val="20"/>
              </w:rPr>
            </w:pPr>
            <w:proofErr w:type="spellStart"/>
            <w:r w:rsidRPr="005970A0">
              <w:rPr>
                <w:rFonts w:ascii="Arial" w:hAnsi="Arial" w:cs="Arial"/>
                <w:sz w:val="20"/>
                <w:szCs w:val="20"/>
              </w:rPr>
              <w:t>NCVER</w:t>
            </w:r>
            <w:proofErr w:type="spellEnd"/>
            <w:r w:rsidRPr="005970A0">
              <w:rPr>
                <w:rFonts w:ascii="Arial" w:hAnsi="Arial" w:cs="Arial"/>
                <w:sz w:val="20"/>
                <w:szCs w:val="20"/>
              </w:rPr>
              <w:t xml:space="preserve">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68457F" w:rsidRPr="005970A0" w:rsidRDefault="007C0724" w:rsidP="007C0724">
            <w:pPr>
              <w:spacing w:after="120"/>
              <w:jc w:val="both"/>
              <w:rPr>
                <w:rFonts w:ascii="Arial" w:hAnsi="Arial" w:cs="Arial"/>
                <w:sz w:val="20"/>
                <w:szCs w:val="20"/>
              </w:rPr>
            </w:pPr>
            <w:r w:rsidRPr="005970A0">
              <w:rPr>
                <w:rFonts w:ascii="Arial" w:hAnsi="Arial" w:cs="Arial"/>
                <w:sz w:val="20"/>
                <w:szCs w:val="20"/>
              </w:rPr>
              <w:t xml:space="preserve">For further information on the </w:t>
            </w:r>
            <w:proofErr w:type="spellStart"/>
            <w:r w:rsidRPr="005970A0">
              <w:rPr>
                <w:rFonts w:ascii="Arial" w:hAnsi="Arial" w:cs="Arial"/>
                <w:sz w:val="20"/>
                <w:szCs w:val="20"/>
              </w:rPr>
              <w:t>NCVER</w:t>
            </w:r>
            <w:proofErr w:type="spellEnd"/>
            <w:r w:rsidRPr="005970A0">
              <w:rPr>
                <w:rFonts w:ascii="Arial" w:hAnsi="Arial" w:cs="Arial"/>
                <w:sz w:val="20"/>
                <w:szCs w:val="20"/>
              </w:rPr>
              <w:t>, see [</w:t>
            </w:r>
            <w:proofErr w:type="spellStart"/>
            <w:r w:rsidRPr="005970A0">
              <w:rPr>
                <w:rFonts w:ascii="Arial" w:hAnsi="Arial" w:cs="Arial"/>
                <w:sz w:val="20"/>
                <w:szCs w:val="20"/>
              </w:rPr>
              <w:t>www.ncver.edu.au</w:t>
            </w:r>
            <w:proofErr w:type="spellEnd"/>
            <w:r w:rsidRPr="005970A0">
              <w:rPr>
                <w:rFonts w:ascii="Arial" w:hAnsi="Arial" w:cs="Arial"/>
                <w:sz w:val="20"/>
                <w:szCs w:val="20"/>
              </w:rPr>
              <w:t>/</w:t>
            </w:r>
            <w:proofErr w:type="spellStart"/>
            <w:r w:rsidRPr="005970A0">
              <w:rPr>
                <w:rFonts w:ascii="Arial" w:hAnsi="Arial" w:cs="Arial"/>
                <w:sz w:val="20"/>
                <w:szCs w:val="20"/>
              </w:rPr>
              <w:t>who.html</w:t>
            </w:r>
            <w:proofErr w:type="spellEnd"/>
            <w:r w:rsidRPr="005970A0">
              <w:rPr>
                <w:rFonts w:ascii="Arial" w:hAnsi="Arial" w:cs="Arial"/>
                <w:sz w:val="20"/>
                <w:szCs w:val="20"/>
              </w:rPr>
              <w:t>]</w:t>
            </w:r>
          </w:p>
        </w:tc>
      </w:tr>
    </w:tbl>
    <w:p w:rsidR="000A0BB0" w:rsidRPr="005970A0" w:rsidRDefault="000A0BB0">
      <w:r w:rsidRPr="005970A0">
        <w:br w:type="page"/>
      </w:r>
    </w:p>
    <w:tbl>
      <w:tblPr>
        <w:tblW w:w="5000" w:type="pct"/>
        <w:tblCellMar>
          <w:left w:w="0" w:type="dxa"/>
          <w:right w:w="0" w:type="dxa"/>
        </w:tblCellMar>
        <w:tblLook w:val="0000" w:firstRow="0" w:lastRow="0" w:firstColumn="0" w:lastColumn="0" w:noHBand="0" w:noVBand="0"/>
      </w:tblPr>
      <w:tblGrid>
        <w:gridCol w:w="1621"/>
        <w:gridCol w:w="7168"/>
      </w:tblGrid>
      <w:tr w:rsidR="005970A0" w:rsidRPr="005970A0" w:rsidTr="00395EF2">
        <w:tc>
          <w:tcPr>
            <w:tcW w:w="922" w:type="pct"/>
          </w:tcPr>
          <w:p w:rsidR="0068457F" w:rsidRPr="005970A0" w:rsidRDefault="0068457F" w:rsidP="007C0724">
            <w:pPr>
              <w:pStyle w:val="TableBodyText"/>
              <w:jc w:val="both"/>
              <w:rPr>
                <w:b/>
              </w:rPr>
            </w:pPr>
            <w:r w:rsidRPr="005970A0">
              <w:rPr>
                <w:b/>
              </w:rPr>
              <w:lastRenderedPageBreak/>
              <w:t>Relevance</w:t>
            </w:r>
          </w:p>
          <w:p w:rsidR="0068457F" w:rsidRPr="005970A0" w:rsidRDefault="0068457F" w:rsidP="007C0724">
            <w:pPr>
              <w:pStyle w:val="TableBodyText"/>
              <w:jc w:val="both"/>
              <w:rPr>
                <w:b/>
              </w:rPr>
            </w:pPr>
          </w:p>
        </w:tc>
        <w:tc>
          <w:tcPr>
            <w:tcW w:w="4078" w:type="pct"/>
          </w:tcPr>
          <w:p w:rsidR="007C0724" w:rsidRPr="005970A0" w:rsidRDefault="007C0724" w:rsidP="007C0724">
            <w:pPr>
              <w:spacing w:after="120"/>
              <w:jc w:val="both"/>
              <w:rPr>
                <w:rFonts w:ascii="Arial" w:hAnsi="Arial" w:cs="Arial"/>
                <w:sz w:val="20"/>
                <w:szCs w:val="20"/>
              </w:rPr>
            </w:pPr>
            <w:r w:rsidRPr="005970A0">
              <w:rPr>
                <w:rFonts w:ascii="Arial" w:hAnsi="Arial" w:cs="Arial"/>
                <w:sz w:val="20"/>
                <w:szCs w:val="20"/>
              </w:rPr>
              <w:t>The Survey of Employers’ Use and Views of the VET System collects information on employers’ use and views of the vocational education and training (VET) system.  Data are collected by computer assisted telephone interview.</w:t>
            </w:r>
          </w:p>
          <w:p w:rsidR="007C0724" w:rsidRPr="005970A0" w:rsidRDefault="007C0724" w:rsidP="007C0724">
            <w:pPr>
              <w:spacing w:after="120"/>
              <w:jc w:val="both"/>
              <w:rPr>
                <w:rFonts w:ascii="Arial" w:hAnsi="Arial" w:cs="Arial"/>
                <w:sz w:val="20"/>
                <w:szCs w:val="20"/>
              </w:rPr>
            </w:pPr>
            <w:r w:rsidRPr="005970A0">
              <w:rPr>
                <w:rFonts w:ascii="Arial" w:hAnsi="Arial" w:cs="Arial"/>
                <w:sz w:val="20"/>
                <w:szCs w:val="20"/>
              </w:rPr>
              <w:t>Information about the various ways in which Australian employers use the VET system and unaccredited training to meet their skill needs and their satisfaction with these methods of training is also collected.</w:t>
            </w:r>
          </w:p>
          <w:p w:rsidR="007C0724" w:rsidRPr="005970A0" w:rsidRDefault="007C0724" w:rsidP="007C0724">
            <w:pPr>
              <w:spacing w:after="120"/>
              <w:jc w:val="both"/>
              <w:rPr>
                <w:rFonts w:ascii="Arial" w:hAnsi="Arial" w:cs="Arial"/>
                <w:sz w:val="20"/>
                <w:szCs w:val="20"/>
              </w:rPr>
            </w:pPr>
            <w:r w:rsidRPr="005970A0">
              <w:rPr>
                <w:rFonts w:ascii="Arial" w:hAnsi="Arial" w:cs="Arial"/>
                <w:sz w:val="20"/>
                <w:szCs w:val="20"/>
              </w:rPr>
              <w:t>The scope of the survey is all organisations in Australia with at least one employee. For this survey, an employee is defined as “a person working in, or operating from, this organisation including full time, part time and casual employees.” An owner/operator is not classed as an employee, regardless of whether they pay themselves a wage.</w:t>
            </w:r>
          </w:p>
          <w:p w:rsidR="0068457F" w:rsidRPr="005970A0" w:rsidRDefault="007C0724" w:rsidP="00525FCB">
            <w:pPr>
              <w:spacing w:after="60"/>
              <w:jc w:val="both"/>
              <w:rPr>
                <w:rFonts w:ascii="Arial" w:hAnsi="Arial" w:cs="Arial"/>
                <w:sz w:val="20"/>
                <w:szCs w:val="20"/>
              </w:rPr>
            </w:pPr>
            <w:r w:rsidRPr="005970A0">
              <w:rPr>
                <w:rFonts w:ascii="Arial" w:hAnsi="Arial" w:cs="Arial"/>
                <w:sz w:val="20"/>
                <w:szCs w:val="20"/>
              </w:rPr>
              <w:t>The following organisations are out of scope of the survey:</w:t>
            </w:r>
          </w:p>
          <w:p w:rsidR="00525FCB" w:rsidRPr="005970A0" w:rsidRDefault="00525FCB" w:rsidP="00F664AB">
            <w:pPr>
              <w:numPr>
                <w:ilvl w:val="0"/>
                <w:numId w:val="20"/>
              </w:numPr>
              <w:tabs>
                <w:tab w:val="left" w:pos="222"/>
              </w:tabs>
              <w:spacing w:after="60"/>
              <w:ind w:left="222" w:hanging="222"/>
              <w:jc w:val="both"/>
              <w:rPr>
                <w:rFonts w:ascii="Arial" w:hAnsi="Arial" w:cs="Arial"/>
                <w:sz w:val="20"/>
                <w:szCs w:val="20"/>
              </w:rPr>
            </w:pPr>
            <w:r w:rsidRPr="005970A0">
              <w:rPr>
                <w:rFonts w:ascii="Arial" w:hAnsi="Arial" w:cs="Arial"/>
                <w:sz w:val="20"/>
                <w:szCs w:val="20"/>
              </w:rPr>
              <w:t>self-employed and not employing staff</w:t>
            </w:r>
          </w:p>
          <w:p w:rsidR="00525FCB" w:rsidRPr="005970A0" w:rsidRDefault="00525FCB" w:rsidP="00F664AB">
            <w:pPr>
              <w:numPr>
                <w:ilvl w:val="0"/>
                <w:numId w:val="20"/>
              </w:numPr>
              <w:tabs>
                <w:tab w:val="left" w:pos="222"/>
              </w:tabs>
              <w:spacing w:after="60"/>
              <w:ind w:left="222" w:hanging="222"/>
              <w:jc w:val="both"/>
              <w:rPr>
                <w:rFonts w:ascii="Arial" w:hAnsi="Arial" w:cs="Arial"/>
                <w:sz w:val="20"/>
                <w:szCs w:val="20"/>
              </w:rPr>
            </w:pPr>
            <w:r w:rsidRPr="005970A0">
              <w:rPr>
                <w:rFonts w:ascii="Arial" w:hAnsi="Arial" w:cs="Arial"/>
                <w:sz w:val="20"/>
                <w:szCs w:val="20"/>
              </w:rPr>
              <w:t>private households employing staff</w:t>
            </w:r>
          </w:p>
          <w:p w:rsidR="00525FCB" w:rsidRPr="005970A0" w:rsidRDefault="00525FCB" w:rsidP="00F664AB">
            <w:pPr>
              <w:numPr>
                <w:ilvl w:val="0"/>
                <w:numId w:val="20"/>
              </w:numPr>
              <w:tabs>
                <w:tab w:val="left" w:pos="222"/>
              </w:tabs>
              <w:spacing w:after="60"/>
              <w:ind w:left="222" w:hanging="222"/>
              <w:jc w:val="both"/>
              <w:rPr>
                <w:rFonts w:ascii="Arial" w:hAnsi="Arial" w:cs="Arial"/>
                <w:sz w:val="20"/>
                <w:szCs w:val="20"/>
              </w:rPr>
            </w:pPr>
            <w:r w:rsidRPr="005970A0">
              <w:rPr>
                <w:rFonts w:ascii="Arial" w:hAnsi="Arial" w:cs="Arial"/>
                <w:sz w:val="20"/>
                <w:szCs w:val="20"/>
              </w:rPr>
              <w:t>foreign diplomatic missions</w:t>
            </w:r>
          </w:p>
          <w:p w:rsidR="00525FCB" w:rsidRPr="005970A0" w:rsidRDefault="00525FCB" w:rsidP="00F664AB">
            <w:pPr>
              <w:numPr>
                <w:ilvl w:val="0"/>
                <w:numId w:val="20"/>
              </w:numPr>
              <w:tabs>
                <w:tab w:val="left" w:pos="222"/>
              </w:tabs>
              <w:spacing w:after="60"/>
              <w:ind w:left="222" w:hanging="222"/>
              <w:jc w:val="both"/>
              <w:rPr>
                <w:rFonts w:ascii="Arial" w:hAnsi="Arial" w:cs="Arial"/>
                <w:sz w:val="20"/>
                <w:szCs w:val="20"/>
              </w:rPr>
            </w:pPr>
            <w:r w:rsidRPr="005970A0">
              <w:rPr>
                <w:rFonts w:ascii="Arial" w:hAnsi="Arial" w:cs="Arial"/>
                <w:sz w:val="20"/>
                <w:szCs w:val="20"/>
              </w:rPr>
              <w:t>consulates in Australia</w:t>
            </w:r>
          </w:p>
          <w:p w:rsidR="00525FCB" w:rsidRPr="005970A0" w:rsidRDefault="00525FCB" w:rsidP="00F664AB">
            <w:pPr>
              <w:numPr>
                <w:ilvl w:val="0"/>
                <w:numId w:val="20"/>
              </w:numPr>
              <w:tabs>
                <w:tab w:val="left" w:pos="222"/>
              </w:tabs>
              <w:spacing w:after="60"/>
              <w:ind w:left="222" w:hanging="222"/>
              <w:jc w:val="both"/>
              <w:rPr>
                <w:rFonts w:ascii="Arial" w:hAnsi="Arial" w:cs="Arial"/>
                <w:sz w:val="20"/>
                <w:szCs w:val="20"/>
              </w:rPr>
            </w:pPr>
            <w:r w:rsidRPr="005970A0">
              <w:rPr>
                <w:rFonts w:ascii="Arial" w:hAnsi="Arial" w:cs="Arial"/>
                <w:sz w:val="20"/>
                <w:szCs w:val="20"/>
              </w:rPr>
              <w:t>defence force establishments</w:t>
            </w:r>
          </w:p>
          <w:p w:rsidR="0068457F" w:rsidRPr="005970A0" w:rsidRDefault="00525FCB" w:rsidP="00F664AB">
            <w:pPr>
              <w:numPr>
                <w:ilvl w:val="0"/>
                <w:numId w:val="20"/>
              </w:numPr>
              <w:tabs>
                <w:tab w:val="left" w:pos="222"/>
              </w:tabs>
              <w:spacing w:after="60"/>
              <w:ind w:left="222" w:hanging="222"/>
              <w:jc w:val="both"/>
              <w:rPr>
                <w:rFonts w:ascii="Arial" w:hAnsi="Arial" w:cs="Arial"/>
                <w:sz w:val="20"/>
                <w:szCs w:val="20"/>
              </w:rPr>
            </w:pPr>
            <w:r w:rsidRPr="005970A0">
              <w:rPr>
                <w:rFonts w:ascii="Arial" w:hAnsi="Arial" w:cs="Arial"/>
                <w:sz w:val="20"/>
                <w:szCs w:val="20"/>
              </w:rPr>
              <w:t>superannuation funds.</w:t>
            </w:r>
          </w:p>
        </w:tc>
      </w:tr>
      <w:tr w:rsidR="005970A0" w:rsidRPr="005970A0" w:rsidTr="00395EF2">
        <w:tc>
          <w:tcPr>
            <w:tcW w:w="922" w:type="pct"/>
          </w:tcPr>
          <w:p w:rsidR="0068457F" w:rsidRPr="005970A0" w:rsidRDefault="0068457F" w:rsidP="007C0724">
            <w:pPr>
              <w:pStyle w:val="TableBodyText"/>
              <w:jc w:val="both"/>
              <w:rPr>
                <w:b/>
              </w:rPr>
            </w:pPr>
            <w:r w:rsidRPr="005970A0">
              <w:rPr>
                <w:b/>
              </w:rPr>
              <w:t>Timeliness</w:t>
            </w:r>
          </w:p>
          <w:p w:rsidR="0068457F" w:rsidRPr="005970A0" w:rsidRDefault="0068457F" w:rsidP="007C0724">
            <w:pPr>
              <w:pStyle w:val="TableBodyText"/>
              <w:jc w:val="both"/>
              <w:rPr>
                <w:b/>
              </w:rPr>
            </w:pPr>
          </w:p>
        </w:tc>
        <w:tc>
          <w:tcPr>
            <w:tcW w:w="4078" w:type="pct"/>
          </w:tcPr>
          <w:p w:rsidR="0068457F" w:rsidRPr="005970A0" w:rsidRDefault="00525FCB" w:rsidP="006E0702">
            <w:pPr>
              <w:spacing w:after="120"/>
              <w:jc w:val="both"/>
              <w:rPr>
                <w:rFonts w:ascii="Arial" w:hAnsi="Arial" w:cs="Arial"/>
                <w:sz w:val="20"/>
                <w:szCs w:val="20"/>
              </w:rPr>
            </w:pPr>
            <w:r w:rsidRPr="005970A0">
              <w:rPr>
                <w:rFonts w:ascii="Arial" w:hAnsi="Arial" w:cs="Arial"/>
                <w:sz w:val="20"/>
                <w:szCs w:val="20"/>
              </w:rPr>
              <w:t xml:space="preserve">The Survey of Employers’ Use and Views of the VET System is conducted every second year. The survey is conducted by telephone interview between March and May and the results relate to employers’ training experiences in the 12 months preceding their interview. Results from the 2011 survey were released on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website on 1 November 2011.</w:t>
            </w:r>
          </w:p>
        </w:tc>
      </w:tr>
      <w:tr w:rsidR="005970A0" w:rsidRPr="005970A0" w:rsidTr="00395EF2">
        <w:tc>
          <w:tcPr>
            <w:tcW w:w="922" w:type="pct"/>
          </w:tcPr>
          <w:p w:rsidR="0068457F" w:rsidRPr="005970A0" w:rsidRDefault="0068457F" w:rsidP="007C0724">
            <w:pPr>
              <w:pStyle w:val="TableBodyText"/>
              <w:jc w:val="both"/>
              <w:rPr>
                <w:b/>
              </w:rPr>
            </w:pPr>
            <w:r w:rsidRPr="005970A0">
              <w:rPr>
                <w:b/>
              </w:rPr>
              <w:t>Accuracy</w:t>
            </w:r>
          </w:p>
          <w:p w:rsidR="0068457F" w:rsidRPr="005970A0" w:rsidRDefault="0068457F" w:rsidP="007C0724">
            <w:pPr>
              <w:pStyle w:val="TableBodyText"/>
              <w:jc w:val="both"/>
              <w:rPr>
                <w:b/>
              </w:rPr>
            </w:pPr>
          </w:p>
        </w:tc>
        <w:tc>
          <w:tcPr>
            <w:tcW w:w="4078" w:type="pct"/>
          </w:tcPr>
          <w:p w:rsidR="00525FCB" w:rsidRPr="005970A0" w:rsidRDefault="00525FCB" w:rsidP="00525FCB">
            <w:pPr>
              <w:pStyle w:val="TableBodyText"/>
              <w:spacing w:after="120"/>
              <w:jc w:val="both"/>
            </w:pPr>
            <w:r w:rsidRPr="005970A0">
              <w:t>The survey is designed to produce estimates at the state, industry and employer size levels, with the approximate relative standard errors:</w:t>
            </w:r>
          </w:p>
          <w:p w:rsidR="00525FCB" w:rsidRPr="005970A0" w:rsidRDefault="00F664AB" w:rsidP="00F664AB">
            <w:pPr>
              <w:pStyle w:val="TableBullet"/>
              <w:spacing w:after="60"/>
              <w:jc w:val="both"/>
            </w:pPr>
            <w:r w:rsidRPr="005970A0">
              <w:t>l</w:t>
            </w:r>
            <w:r w:rsidR="00525FCB" w:rsidRPr="005970A0">
              <w:t>ess than 8 per cent for state-level estimates</w:t>
            </w:r>
          </w:p>
          <w:p w:rsidR="00525FCB" w:rsidRPr="005970A0" w:rsidRDefault="00F664AB" w:rsidP="00F664AB">
            <w:pPr>
              <w:pStyle w:val="TableBullet"/>
              <w:spacing w:after="60"/>
              <w:jc w:val="both"/>
            </w:pPr>
            <w:r w:rsidRPr="005970A0">
              <w:t>l</w:t>
            </w:r>
            <w:r w:rsidR="00525FCB" w:rsidRPr="005970A0">
              <w:t>ess than 16 per cent for industry-level estimates</w:t>
            </w:r>
          </w:p>
          <w:p w:rsidR="00525FCB" w:rsidRPr="005970A0" w:rsidRDefault="00F664AB" w:rsidP="00F664AB">
            <w:pPr>
              <w:pStyle w:val="TableBullet"/>
              <w:spacing w:after="60"/>
              <w:jc w:val="both"/>
            </w:pPr>
            <w:r w:rsidRPr="005970A0">
              <w:t>l</w:t>
            </w:r>
            <w:r w:rsidR="00525FCB" w:rsidRPr="005970A0">
              <w:t>ess than 6 per cent for employer-size level estimates</w:t>
            </w:r>
          </w:p>
          <w:p w:rsidR="00525FCB" w:rsidRPr="005970A0" w:rsidRDefault="00F664AB" w:rsidP="00525FCB">
            <w:pPr>
              <w:pStyle w:val="TableBullet"/>
              <w:spacing w:after="120"/>
              <w:jc w:val="both"/>
            </w:pPr>
            <w:r w:rsidRPr="005970A0">
              <w:t>l</w:t>
            </w:r>
            <w:r w:rsidR="00525FCB" w:rsidRPr="005970A0">
              <w:t>ess than 3 per cent for Australia level estimates.</w:t>
            </w:r>
          </w:p>
          <w:p w:rsidR="00525FCB" w:rsidRPr="005970A0" w:rsidRDefault="00525FCB" w:rsidP="00525FCB">
            <w:pPr>
              <w:pStyle w:val="TableBodyText"/>
              <w:spacing w:after="120"/>
              <w:jc w:val="both"/>
              <w:rPr>
                <w:b/>
              </w:rPr>
            </w:pPr>
            <w:r w:rsidRPr="005970A0">
              <w:t>Employers in scope of the survey were randomly selected and stratified by:</w:t>
            </w:r>
          </w:p>
          <w:p w:rsidR="00525FCB" w:rsidRPr="005970A0" w:rsidRDefault="00525FCB" w:rsidP="00525FCB">
            <w:pPr>
              <w:pStyle w:val="TableBodyText"/>
              <w:spacing w:after="120"/>
              <w:jc w:val="both"/>
            </w:pPr>
            <w:r w:rsidRPr="005970A0">
              <w:t>State (each of the 8 states and territories)</w:t>
            </w:r>
          </w:p>
          <w:p w:rsidR="00525FCB" w:rsidRPr="005970A0" w:rsidRDefault="00525FCB" w:rsidP="00525FCB">
            <w:pPr>
              <w:pStyle w:val="TableBodyText"/>
              <w:spacing w:after="120"/>
              <w:jc w:val="both"/>
              <w:rPr>
                <w:bCs/>
              </w:rPr>
            </w:pPr>
            <w:r w:rsidRPr="005970A0">
              <w:t xml:space="preserve">Industry </w:t>
            </w:r>
            <w:r w:rsidRPr="005970A0">
              <w:rPr>
                <w:bCs/>
              </w:rPr>
              <w:t xml:space="preserve">(19 </w:t>
            </w:r>
            <w:proofErr w:type="spellStart"/>
            <w:r w:rsidRPr="005970A0">
              <w:rPr>
                <w:bCs/>
              </w:rPr>
              <w:t>ANZSIC</w:t>
            </w:r>
            <w:proofErr w:type="spellEnd"/>
            <w:r w:rsidRPr="005970A0">
              <w:rPr>
                <w:bCs/>
              </w:rPr>
              <w:t xml:space="preserve"> divisions)</w:t>
            </w:r>
          </w:p>
          <w:p w:rsidR="00525FCB" w:rsidRPr="005970A0" w:rsidRDefault="00525FCB" w:rsidP="00525FCB">
            <w:pPr>
              <w:pStyle w:val="TableBodyText"/>
              <w:spacing w:after="120"/>
              <w:jc w:val="both"/>
              <w:rPr>
                <w:bCs/>
              </w:rPr>
            </w:pPr>
            <w:r w:rsidRPr="005970A0">
              <w:t>Employer size</w:t>
            </w:r>
            <w:r w:rsidRPr="005970A0">
              <w:rPr>
                <w:b/>
              </w:rPr>
              <w:t xml:space="preserve"> </w:t>
            </w:r>
            <w:r w:rsidRPr="005970A0">
              <w:rPr>
                <w:bCs/>
              </w:rPr>
              <w:t>(small = 1-9 employees, medium = 10-99 employees, large = 100 or more employees).</w:t>
            </w:r>
          </w:p>
          <w:p w:rsidR="00525FCB" w:rsidRPr="005970A0" w:rsidRDefault="00525FCB" w:rsidP="00525FCB">
            <w:pPr>
              <w:pStyle w:val="TableBodyText"/>
              <w:spacing w:after="120"/>
              <w:jc w:val="both"/>
            </w:pPr>
            <w:r w:rsidRPr="005970A0">
              <w:t xml:space="preserve">Potential sources of error in survey data include failure to complete the survey or failure to answer every applicable question. Neither of these sources of error is considered, by </w:t>
            </w:r>
            <w:proofErr w:type="spellStart"/>
            <w:r w:rsidRPr="005970A0">
              <w:t>NCVER</w:t>
            </w:r>
            <w:proofErr w:type="spellEnd"/>
            <w:r w:rsidRPr="005970A0">
              <w:t xml:space="preserve">, to have affected the quality of data. </w:t>
            </w:r>
          </w:p>
          <w:p w:rsidR="001C7F97" w:rsidRPr="005970A0" w:rsidRDefault="001C7F97" w:rsidP="006E0702">
            <w:pPr>
              <w:autoSpaceDE w:val="0"/>
              <w:autoSpaceDN w:val="0"/>
              <w:adjustRightInd w:val="0"/>
              <w:spacing w:before="120" w:after="40" w:line="240" w:lineRule="atLeast"/>
              <w:jc w:val="both"/>
              <w:rPr>
                <w:rFonts w:ascii="Arial" w:hAnsi="Arial" w:cs="Arial"/>
                <w:b/>
                <w:sz w:val="17"/>
                <w:szCs w:val="17"/>
              </w:rPr>
            </w:pPr>
          </w:p>
          <w:p w:rsidR="001C7F97" w:rsidRPr="005970A0" w:rsidRDefault="001C7F97" w:rsidP="006E0702">
            <w:pPr>
              <w:autoSpaceDE w:val="0"/>
              <w:autoSpaceDN w:val="0"/>
              <w:adjustRightInd w:val="0"/>
              <w:spacing w:before="120" w:after="40" w:line="240" w:lineRule="atLeast"/>
              <w:jc w:val="both"/>
              <w:rPr>
                <w:rFonts w:ascii="Arial" w:hAnsi="Arial" w:cs="Arial"/>
                <w:b/>
                <w:sz w:val="17"/>
                <w:szCs w:val="17"/>
              </w:rPr>
            </w:pPr>
          </w:p>
          <w:p w:rsidR="001C7F97" w:rsidRPr="005970A0" w:rsidRDefault="001C7F97" w:rsidP="006E0702">
            <w:pPr>
              <w:autoSpaceDE w:val="0"/>
              <w:autoSpaceDN w:val="0"/>
              <w:adjustRightInd w:val="0"/>
              <w:spacing w:before="120" w:after="40" w:line="240" w:lineRule="atLeast"/>
              <w:jc w:val="both"/>
              <w:rPr>
                <w:rFonts w:ascii="Arial" w:hAnsi="Arial" w:cs="Arial"/>
                <w:b/>
                <w:sz w:val="17"/>
                <w:szCs w:val="17"/>
              </w:rPr>
            </w:pPr>
          </w:p>
          <w:p w:rsidR="00D21520" w:rsidRDefault="00D21520" w:rsidP="006E0702">
            <w:pPr>
              <w:autoSpaceDE w:val="0"/>
              <w:autoSpaceDN w:val="0"/>
              <w:adjustRightInd w:val="0"/>
              <w:spacing w:before="120" w:after="40" w:line="240" w:lineRule="atLeast"/>
              <w:jc w:val="both"/>
              <w:rPr>
                <w:rFonts w:ascii="Arial" w:hAnsi="Arial" w:cs="Arial"/>
                <w:b/>
                <w:sz w:val="17"/>
                <w:szCs w:val="17"/>
              </w:rPr>
            </w:pPr>
          </w:p>
          <w:p w:rsidR="00D21520" w:rsidRDefault="00D21520" w:rsidP="006E0702">
            <w:pPr>
              <w:autoSpaceDE w:val="0"/>
              <w:autoSpaceDN w:val="0"/>
              <w:adjustRightInd w:val="0"/>
              <w:spacing w:before="120" w:after="40" w:line="240" w:lineRule="atLeast"/>
              <w:jc w:val="both"/>
              <w:rPr>
                <w:rFonts w:ascii="Arial" w:hAnsi="Arial" w:cs="Arial"/>
                <w:b/>
                <w:sz w:val="17"/>
                <w:szCs w:val="17"/>
              </w:rPr>
            </w:pPr>
          </w:p>
          <w:p w:rsidR="00D21520" w:rsidRDefault="00D21520" w:rsidP="006E0702">
            <w:pPr>
              <w:autoSpaceDE w:val="0"/>
              <w:autoSpaceDN w:val="0"/>
              <w:adjustRightInd w:val="0"/>
              <w:spacing w:before="120" w:after="40" w:line="240" w:lineRule="atLeast"/>
              <w:jc w:val="both"/>
              <w:rPr>
                <w:rFonts w:ascii="Arial" w:hAnsi="Arial" w:cs="Arial"/>
                <w:b/>
                <w:sz w:val="17"/>
                <w:szCs w:val="17"/>
              </w:rPr>
            </w:pPr>
          </w:p>
          <w:p w:rsidR="00D21520" w:rsidRPr="005970A0" w:rsidRDefault="00D21520" w:rsidP="006E0702">
            <w:pPr>
              <w:autoSpaceDE w:val="0"/>
              <w:autoSpaceDN w:val="0"/>
              <w:adjustRightInd w:val="0"/>
              <w:spacing w:before="120" w:after="40" w:line="240" w:lineRule="atLeast"/>
              <w:jc w:val="both"/>
              <w:rPr>
                <w:rFonts w:ascii="Arial" w:hAnsi="Arial" w:cs="Arial"/>
                <w:b/>
                <w:sz w:val="17"/>
                <w:szCs w:val="17"/>
              </w:rPr>
            </w:pPr>
          </w:p>
          <w:p w:rsidR="001C7F97" w:rsidRPr="005970A0" w:rsidRDefault="001C7F97" w:rsidP="006E0702">
            <w:pPr>
              <w:autoSpaceDE w:val="0"/>
              <w:autoSpaceDN w:val="0"/>
              <w:adjustRightInd w:val="0"/>
              <w:spacing w:before="120" w:after="40" w:line="240" w:lineRule="atLeast"/>
              <w:jc w:val="both"/>
              <w:rPr>
                <w:rFonts w:ascii="Arial" w:hAnsi="Arial" w:cs="Arial"/>
                <w:b/>
                <w:sz w:val="17"/>
                <w:szCs w:val="17"/>
              </w:rPr>
            </w:pPr>
          </w:p>
          <w:p w:rsidR="00D21520" w:rsidRPr="005970A0" w:rsidRDefault="00D21520" w:rsidP="00D21520">
            <w:pPr>
              <w:pStyle w:val="TableBodyText"/>
              <w:spacing w:after="120"/>
              <w:jc w:val="both"/>
            </w:pPr>
            <w:r w:rsidRPr="005970A0">
              <w:lastRenderedPageBreak/>
              <w:t>In 2011, a total of 7 500 interviews were conducted. Response rates to the 2011 survey are shown in table 1.</w:t>
            </w:r>
          </w:p>
          <w:p w:rsidR="0068457F" w:rsidRPr="005970A0" w:rsidRDefault="0068457F" w:rsidP="006E0702">
            <w:pPr>
              <w:autoSpaceDE w:val="0"/>
              <w:autoSpaceDN w:val="0"/>
              <w:adjustRightInd w:val="0"/>
              <w:spacing w:before="120" w:after="40" w:line="240" w:lineRule="atLeast"/>
              <w:jc w:val="both"/>
              <w:rPr>
                <w:rFonts w:ascii="Arial" w:hAnsi="Arial" w:cs="Arial"/>
                <w:b/>
                <w:sz w:val="17"/>
                <w:szCs w:val="17"/>
              </w:rPr>
            </w:pPr>
            <w:r w:rsidRPr="005970A0">
              <w:rPr>
                <w:rFonts w:ascii="Arial" w:hAnsi="Arial" w:cs="Arial"/>
                <w:b/>
                <w:sz w:val="17"/>
                <w:szCs w:val="17"/>
              </w:rPr>
              <w:t>Table 1: Response rates to the 20</w:t>
            </w:r>
            <w:r w:rsidR="00525FCB" w:rsidRPr="005970A0">
              <w:rPr>
                <w:rFonts w:ascii="Arial" w:hAnsi="Arial" w:cs="Arial"/>
                <w:b/>
                <w:sz w:val="17"/>
                <w:szCs w:val="17"/>
              </w:rPr>
              <w:t>11</w:t>
            </w:r>
            <w:r w:rsidRPr="005970A0">
              <w:rPr>
                <w:rFonts w:ascii="Arial" w:hAnsi="Arial" w:cs="Arial"/>
                <w:b/>
                <w:sz w:val="17"/>
                <w:szCs w:val="17"/>
              </w:rPr>
              <w:t xml:space="preserve"> Survey of Employers’ Use and Views of VET by state</w:t>
            </w:r>
          </w:p>
          <w:tbl>
            <w:tblPr>
              <w:tblW w:w="2942" w:type="pct"/>
              <w:tblBorders>
                <w:top w:val="single" w:sz="4" w:space="0" w:color="auto"/>
                <w:bottom w:val="single" w:sz="4" w:space="0" w:color="auto"/>
              </w:tblBorders>
              <w:tblLook w:val="01E0" w:firstRow="1" w:lastRow="1" w:firstColumn="1" w:lastColumn="1" w:noHBand="0" w:noVBand="0"/>
            </w:tblPr>
            <w:tblGrid>
              <w:gridCol w:w="2361"/>
              <w:gridCol w:w="1857"/>
            </w:tblGrid>
            <w:tr w:rsidR="005970A0" w:rsidRPr="005970A0" w:rsidTr="00525FCB">
              <w:trPr>
                <w:trHeight w:val="170"/>
              </w:trPr>
              <w:tc>
                <w:tcPr>
                  <w:tcW w:w="2799" w:type="pct"/>
                  <w:tcBorders>
                    <w:top w:val="single" w:sz="4" w:space="0" w:color="auto"/>
                    <w:left w:val="nil"/>
                    <w:bottom w:val="single" w:sz="4" w:space="0" w:color="auto"/>
                    <w:right w:val="nil"/>
                  </w:tcBorders>
                </w:tcPr>
                <w:p w:rsidR="00525FCB" w:rsidRPr="005970A0" w:rsidRDefault="00525FCB" w:rsidP="00525FCB">
                  <w:pPr>
                    <w:autoSpaceDE w:val="0"/>
                    <w:autoSpaceDN w:val="0"/>
                    <w:adjustRightInd w:val="0"/>
                    <w:spacing w:before="80" w:line="240" w:lineRule="atLeast"/>
                    <w:jc w:val="both"/>
                    <w:rPr>
                      <w:rFonts w:ascii="Arial" w:hAnsi="Arial" w:cs="Arial"/>
                      <w:b/>
                      <w:sz w:val="16"/>
                      <w:szCs w:val="16"/>
                    </w:rPr>
                  </w:pPr>
                  <w:r w:rsidRPr="005970A0">
                    <w:rPr>
                      <w:rFonts w:ascii="Arial" w:hAnsi="Arial" w:cs="Arial"/>
                      <w:b/>
                      <w:sz w:val="16"/>
                      <w:szCs w:val="16"/>
                    </w:rPr>
                    <w:t>State/Territory</w:t>
                  </w:r>
                </w:p>
              </w:tc>
              <w:tc>
                <w:tcPr>
                  <w:tcW w:w="2201" w:type="pct"/>
                  <w:tcBorders>
                    <w:top w:val="single" w:sz="4" w:space="0" w:color="auto"/>
                    <w:left w:val="nil"/>
                    <w:bottom w:val="single" w:sz="4" w:space="0" w:color="auto"/>
                    <w:right w:val="nil"/>
                  </w:tcBorders>
                </w:tcPr>
                <w:p w:rsidR="00525FCB" w:rsidRPr="005970A0" w:rsidRDefault="00525FCB" w:rsidP="00525FCB">
                  <w:pPr>
                    <w:autoSpaceDE w:val="0"/>
                    <w:autoSpaceDN w:val="0"/>
                    <w:adjustRightInd w:val="0"/>
                    <w:spacing w:before="80" w:line="240" w:lineRule="atLeast"/>
                    <w:jc w:val="both"/>
                    <w:rPr>
                      <w:rFonts w:ascii="Arial" w:hAnsi="Arial" w:cs="Arial"/>
                      <w:b/>
                      <w:sz w:val="16"/>
                      <w:szCs w:val="16"/>
                    </w:rPr>
                  </w:pPr>
                  <w:r w:rsidRPr="005970A0">
                    <w:rPr>
                      <w:rFonts w:ascii="Arial" w:hAnsi="Arial" w:cs="Arial"/>
                      <w:b/>
                      <w:sz w:val="16"/>
                      <w:szCs w:val="16"/>
                    </w:rPr>
                    <w:t>Response rate (%)</w:t>
                  </w:r>
                </w:p>
              </w:tc>
            </w:tr>
            <w:tr w:rsidR="005970A0" w:rsidRPr="005970A0" w:rsidTr="00525FCB">
              <w:trPr>
                <w:trHeight w:val="227"/>
              </w:trPr>
              <w:tc>
                <w:tcPr>
                  <w:tcW w:w="2799" w:type="pct"/>
                  <w:tcBorders>
                    <w:top w:val="single" w:sz="4" w:space="0" w:color="auto"/>
                    <w:left w:val="nil"/>
                    <w:bottom w:val="nil"/>
                    <w:right w:val="nil"/>
                  </w:tcBorders>
                  <w:vAlign w:val="center"/>
                </w:tcPr>
                <w:p w:rsidR="00525FCB" w:rsidRPr="005970A0" w:rsidRDefault="00525FCB" w:rsidP="00525FCB">
                  <w:pPr>
                    <w:rPr>
                      <w:rFonts w:ascii="Arial" w:hAnsi="Arial" w:cs="Arial"/>
                      <w:sz w:val="16"/>
                      <w:szCs w:val="16"/>
                    </w:rPr>
                  </w:pPr>
                  <w:r w:rsidRPr="005970A0">
                    <w:rPr>
                      <w:rFonts w:ascii="Arial" w:hAnsi="Arial" w:cs="Arial"/>
                      <w:sz w:val="16"/>
                      <w:szCs w:val="16"/>
                    </w:rPr>
                    <w:t>New South Wales</w:t>
                  </w:r>
                </w:p>
              </w:tc>
              <w:tc>
                <w:tcPr>
                  <w:tcW w:w="2201" w:type="pct"/>
                  <w:tcBorders>
                    <w:top w:val="single" w:sz="4" w:space="0" w:color="auto"/>
                    <w:left w:val="nil"/>
                    <w:bottom w:val="nil"/>
                    <w:right w:val="nil"/>
                  </w:tcBorders>
                  <w:vAlign w:val="center"/>
                </w:tcPr>
                <w:p w:rsidR="00525FCB" w:rsidRPr="005970A0" w:rsidRDefault="00525FCB" w:rsidP="00525FCB">
                  <w:pPr>
                    <w:jc w:val="center"/>
                    <w:rPr>
                      <w:rFonts w:ascii="Arial" w:hAnsi="Arial" w:cs="Arial"/>
                      <w:sz w:val="16"/>
                      <w:szCs w:val="16"/>
                    </w:rPr>
                  </w:pPr>
                  <w:r w:rsidRPr="005970A0">
                    <w:rPr>
                      <w:rFonts w:ascii="Arial" w:hAnsi="Arial" w:cs="Arial"/>
                      <w:sz w:val="16"/>
                      <w:szCs w:val="16"/>
                    </w:rPr>
                    <w:t>69.1</w:t>
                  </w:r>
                </w:p>
              </w:tc>
            </w:tr>
            <w:tr w:rsidR="005970A0" w:rsidRPr="005970A0" w:rsidTr="00525FCB">
              <w:trPr>
                <w:trHeight w:val="227"/>
              </w:trPr>
              <w:tc>
                <w:tcPr>
                  <w:tcW w:w="2799" w:type="pct"/>
                  <w:tcBorders>
                    <w:top w:val="nil"/>
                    <w:left w:val="nil"/>
                    <w:bottom w:val="nil"/>
                    <w:right w:val="nil"/>
                  </w:tcBorders>
                  <w:vAlign w:val="center"/>
                </w:tcPr>
                <w:p w:rsidR="00525FCB" w:rsidRPr="005970A0" w:rsidRDefault="00525FCB" w:rsidP="00525FCB">
                  <w:pPr>
                    <w:rPr>
                      <w:rFonts w:ascii="Arial" w:hAnsi="Arial" w:cs="Arial"/>
                      <w:sz w:val="16"/>
                      <w:szCs w:val="16"/>
                    </w:rPr>
                  </w:pPr>
                  <w:r w:rsidRPr="005970A0">
                    <w:rPr>
                      <w:rFonts w:ascii="Arial" w:hAnsi="Arial" w:cs="Arial"/>
                      <w:sz w:val="16"/>
                      <w:szCs w:val="16"/>
                    </w:rPr>
                    <w:t>Victoria</w:t>
                  </w:r>
                </w:p>
              </w:tc>
              <w:tc>
                <w:tcPr>
                  <w:tcW w:w="2201" w:type="pct"/>
                  <w:tcBorders>
                    <w:top w:val="nil"/>
                    <w:left w:val="nil"/>
                    <w:bottom w:val="nil"/>
                    <w:right w:val="nil"/>
                  </w:tcBorders>
                  <w:vAlign w:val="center"/>
                </w:tcPr>
                <w:p w:rsidR="00525FCB" w:rsidRPr="005970A0" w:rsidRDefault="00525FCB" w:rsidP="00525FCB">
                  <w:pPr>
                    <w:jc w:val="center"/>
                    <w:rPr>
                      <w:rFonts w:ascii="Arial" w:hAnsi="Arial" w:cs="Arial"/>
                      <w:sz w:val="16"/>
                      <w:szCs w:val="16"/>
                    </w:rPr>
                  </w:pPr>
                  <w:r w:rsidRPr="005970A0">
                    <w:rPr>
                      <w:rFonts w:ascii="Arial" w:hAnsi="Arial" w:cs="Arial"/>
                      <w:sz w:val="16"/>
                      <w:szCs w:val="16"/>
                    </w:rPr>
                    <w:t>66.9</w:t>
                  </w:r>
                </w:p>
              </w:tc>
            </w:tr>
            <w:tr w:rsidR="005970A0" w:rsidRPr="005970A0" w:rsidTr="00525FCB">
              <w:trPr>
                <w:trHeight w:val="227"/>
              </w:trPr>
              <w:tc>
                <w:tcPr>
                  <w:tcW w:w="2799" w:type="pct"/>
                  <w:tcBorders>
                    <w:top w:val="nil"/>
                    <w:left w:val="nil"/>
                    <w:bottom w:val="nil"/>
                    <w:right w:val="nil"/>
                  </w:tcBorders>
                  <w:vAlign w:val="center"/>
                </w:tcPr>
                <w:p w:rsidR="00525FCB" w:rsidRPr="005970A0" w:rsidRDefault="00525FCB" w:rsidP="00525FCB">
                  <w:pPr>
                    <w:rPr>
                      <w:rFonts w:ascii="Arial" w:hAnsi="Arial" w:cs="Arial"/>
                      <w:sz w:val="16"/>
                      <w:szCs w:val="16"/>
                    </w:rPr>
                  </w:pPr>
                  <w:r w:rsidRPr="005970A0">
                    <w:rPr>
                      <w:rFonts w:ascii="Arial" w:hAnsi="Arial" w:cs="Arial"/>
                      <w:sz w:val="16"/>
                      <w:szCs w:val="16"/>
                    </w:rPr>
                    <w:t>Queensland</w:t>
                  </w:r>
                </w:p>
              </w:tc>
              <w:tc>
                <w:tcPr>
                  <w:tcW w:w="2201" w:type="pct"/>
                  <w:tcBorders>
                    <w:top w:val="nil"/>
                    <w:left w:val="nil"/>
                    <w:bottom w:val="nil"/>
                    <w:right w:val="nil"/>
                  </w:tcBorders>
                  <w:vAlign w:val="center"/>
                </w:tcPr>
                <w:p w:rsidR="00525FCB" w:rsidRPr="005970A0" w:rsidRDefault="00525FCB" w:rsidP="00525FCB">
                  <w:pPr>
                    <w:jc w:val="center"/>
                    <w:rPr>
                      <w:rFonts w:ascii="Arial" w:hAnsi="Arial" w:cs="Arial"/>
                      <w:sz w:val="16"/>
                      <w:szCs w:val="16"/>
                    </w:rPr>
                  </w:pPr>
                  <w:r w:rsidRPr="005970A0">
                    <w:rPr>
                      <w:rFonts w:ascii="Arial" w:hAnsi="Arial" w:cs="Arial"/>
                      <w:sz w:val="16"/>
                      <w:szCs w:val="16"/>
                    </w:rPr>
                    <w:t>69.4</w:t>
                  </w:r>
                </w:p>
              </w:tc>
            </w:tr>
            <w:tr w:rsidR="005970A0" w:rsidRPr="005970A0" w:rsidTr="00525FCB">
              <w:trPr>
                <w:trHeight w:val="227"/>
              </w:trPr>
              <w:tc>
                <w:tcPr>
                  <w:tcW w:w="2799" w:type="pct"/>
                  <w:tcBorders>
                    <w:top w:val="nil"/>
                    <w:left w:val="nil"/>
                    <w:bottom w:val="nil"/>
                    <w:right w:val="nil"/>
                  </w:tcBorders>
                  <w:vAlign w:val="center"/>
                </w:tcPr>
                <w:p w:rsidR="00525FCB" w:rsidRPr="005970A0" w:rsidRDefault="00525FCB" w:rsidP="00525FCB">
                  <w:pPr>
                    <w:rPr>
                      <w:rFonts w:ascii="Arial" w:hAnsi="Arial" w:cs="Arial"/>
                      <w:sz w:val="16"/>
                      <w:szCs w:val="16"/>
                    </w:rPr>
                  </w:pPr>
                  <w:r w:rsidRPr="005970A0">
                    <w:rPr>
                      <w:rFonts w:ascii="Arial" w:hAnsi="Arial" w:cs="Arial"/>
                      <w:sz w:val="16"/>
                      <w:szCs w:val="16"/>
                    </w:rPr>
                    <w:t>South Australia</w:t>
                  </w:r>
                </w:p>
              </w:tc>
              <w:tc>
                <w:tcPr>
                  <w:tcW w:w="2201" w:type="pct"/>
                  <w:tcBorders>
                    <w:top w:val="nil"/>
                    <w:left w:val="nil"/>
                    <w:bottom w:val="nil"/>
                    <w:right w:val="nil"/>
                  </w:tcBorders>
                  <w:vAlign w:val="center"/>
                </w:tcPr>
                <w:p w:rsidR="00525FCB" w:rsidRPr="005970A0" w:rsidRDefault="00525FCB" w:rsidP="00525FCB">
                  <w:pPr>
                    <w:jc w:val="center"/>
                    <w:rPr>
                      <w:rFonts w:ascii="Arial" w:hAnsi="Arial" w:cs="Arial"/>
                      <w:sz w:val="16"/>
                      <w:szCs w:val="16"/>
                    </w:rPr>
                  </w:pPr>
                  <w:r w:rsidRPr="005970A0">
                    <w:rPr>
                      <w:rFonts w:ascii="Arial" w:hAnsi="Arial" w:cs="Arial"/>
                      <w:sz w:val="16"/>
                      <w:szCs w:val="16"/>
                    </w:rPr>
                    <w:t>72.2</w:t>
                  </w:r>
                </w:p>
              </w:tc>
            </w:tr>
            <w:tr w:rsidR="005970A0" w:rsidRPr="005970A0" w:rsidTr="00525FCB">
              <w:trPr>
                <w:trHeight w:val="227"/>
              </w:trPr>
              <w:tc>
                <w:tcPr>
                  <w:tcW w:w="2799" w:type="pct"/>
                  <w:tcBorders>
                    <w:top w:val="nil"/>
                    <w:left w:val="nil"/>
                    <w:bottom w:val="nil"/>
                    <w:right w:val="nil"/>
                  </w:tcBorders>
                  <w:vAlign w:val="center"/>
                </w:tcPr>
                <w:p w:rsidR="00525FCB" w:rsidRPr="005970A0" w:rsidRDefault="00525FCB" w:rsidP="00525FCB">
                  <w:pPr>
                    <w:rPr>
                      <w:rFonts w:ascii="Arial" w:hAnsi="Arial" w:cs="Arial"/>
                      <w:sz w:val="16"/>
                      <w:szCs w:val="16"/>
                    </w:rPr>
                  </w:pPr>
                  <w:r w:rsidRPr="005970A0">
                    <w:rPr>
                      <w:rFonts w:ascii="Arial" w:hAnsi="Arial" w:cs="Arial"/>
                      <w:sz w:val="16"/>
                      <w:szCs w:val="16"/>
                    </w:rPr>
                    <w:t>Western Australia</w:t>
                  </w:r>
                </w:p>
              </w:tc>
              <w:tc>
                <w:tcPr>
                  <w:tcW w:w="2201" w:type="pct"/>
                  <w:tcBorders>
                    <w:top w:val="nil"/>
                    <w:left w:val="nil"/>
                    <w:bottom w:val="nil"/>
                    <w:right w:val="nil"/>
                  </w:tcBorders>
                  <w:vAlign w:val="center"/>
                </w:tcPr>
                <w:p w:rsidR="00525FCB" w:rsidRPr="005970A0" w:rsidRDefault="00525FCB" w:rsidP="00525FCB">
                  <w:pPr>
                    <w:jc w:val="center"/>
                    <w:rPr>
                      <w:rFonts w:ascii="Arial" w:hAnsi="Arial" w:cs="Arial"/>
                      <w:sz w:val="16"/>
                      <w:szCs w:val="16"/>
                    </w:rPr>
                  </w:pPr>
                  <w:r w:rsidRPr="005970A0">
                    <w:rPr>
                      <w:rFonts w:ascii="Arial" w:hAnsi="Arial" w:cs="Arial"/>
                      <w:sz w:val="16"/>
                      <w:szCs w:val="16"/>
                    </w:rPr>
                    <w:t>73.0</w:t>
                  </w:r>
                </w:p>
              </w:tc>
            </w:tr>
            <w:tr w:rsidR="005970A0" w:rsidRPr="005970A0" w:rsidTr="00525FCB">
              <w:trPr>
                <w:trHeight w:val="227"/>
              </w:trPr>
              <w:tc>
                <w:tcPr>
                  <w:tcW w:w="2799" w:type="pct"/>
                  <w:tcBorders>
                    <w:top w:val="nil"/>
                    <w:left w:val="nil"/>
                    <w:bottom w:val="nil"/>
                    <w:right w:val="nil"/>
                  </w:tcBorders>
                  <w:vAlign w:val="center"/>
                </w:tcPr>
                <w:p w:rsidR="00525FCB" w:rsidRPr="005970A0" w:rsidRDefault="00525FCB" w:rsidP="00525FCB">
                  <w:pPr>
                    <w:rPr>
                      <w:rFonts w:ascii="Arial" w:hAnsi="Arial" w:cs="Arial"/>
                      <w:sz w:val="16"/>
                      <w:szCs w:val="16"/>
                    </w:rPr>
                  </w:pPr>
                  <w:r w:rsidRPr="005970A0">
                    <w:rPr>
                      <w:rFonts w:ascii="Arial" w:hAnsi="Arial" w:cs="Arial"/>
                      <w:sz w:val="16"/>
                      <w:szCs w:val="16"/>
                    </w:rPr>
                    <w:t>Tasmania</w:t>
                  </w:r>
                </w:p>
              </w:tc>
              <w:tc>
                <w:tcPr>
                  <w:tcW w:w="2201" w:type="pct"/>
                  <w:tcBorders>
                    <w:top w:val="nil"/>
                    <w:left w:val="nil"/>
                    <w:bottom w:val="nil"/>
                    <w:right w:val="nil"/>
                  </w:tcBorders>
                  <w:vAlign w:val="center"/>
                </w:tcPr>
                <w:p w:rsidR="00525FCB" w:rsidRPr="005970A0" w:rsidRDefault="00525FCB" w:rsidP="00525FCB">
                  <w:pPr>
                    <w:jc w:val="center"/>
                    <w:rPr>
                      <w:rFonts w:ascii="Arial" w:hAnsi="Arial" w:cs="Arial"/>
                      <w:sz w:val="16"/>
                      <w:szCs w:val="16"/>
                    </w:rPr>
                  </w:pPr>
                  <w:r w:rsidRPr="005970A0">
                    <w:rPr>
                      <w:rFonts w:ascii="Arial" w:hAnsi="Arial" w:cs="Arial"/>
                      <w:sz w:val="16"/>
                      <w:szCs w:val="16"/>
                    </w:rPr>
                    <w:t>78.1</w:t>
                  </w:r>
                </w:p>
              </w:tc>
            </w:tr>
            <w:tr w:rsidR="005970A0" w:rsidRPr="005970A0" w:rsidTr="00525FCB">
              <w:trPr>
                <w:trHeight w:val="227"/>
              </w:trPr>
              <w:tc>
                <w:tcPr>
                  <w:tcW w:w="2799" w:type="pct"/>
                  <w:tcBorders>
                    <w:top w:val="nil"/>
                    <w:left w:val="nil"/>
                    <w:bottom w:val="nil"/>
                    <w:right w:val="nil"/>
                  </w:tcBorders>
                  <w:vAlign w:val="center"/>
                </w:tcPr>
                <w:p w:rsidR="00525FCB" w:rsidRPr="005970A0" w:rsidRDefault="00525FCB" w:rsidP="00525FCB">
                  <w:pPr>
                    <w:rPr>
                      <w:rFonts w:ascii="Arial" w:hAnsi="Arial" w:cs="Arial"/>
                      <w:sz w:val="16"/>
                      <w:szCs w:val="16"/>
                    </w:rPr>
                  </w:pPr>
                  <w:r w:rsidRPr="005970A0">
                    <w:rPr>
                      <w:rFonts w:ascii="Arial" w:hAnsi="Arial" w:cs="Arial"/>
                      <w:sz w:val="16"/>
                      <w:szCs w:val="16"/>
                    </w:rPr>
                    <w:t>Northern Territory</w:t>
                  </w:r>
                </w:p>
              </w:tc>
              <w:tc>
                <w:tcPr>
                  <w:tcW w:w="2201" w:type="pct"/>
                  <w:tcBorders>
                    <w:top w:val="nil"/>
                    <w:left w:val="nil"/>
                    <w:bottom w:val="nil"/>
                    <w:right w:val="nil"/>
                  </w:tcBorders>
                  <w:vAlign w:val="center"/>
                </w:tcPr>
                <w:p w:rsidR="00525FCB" w:rsidRPr="005970A0" w:rsidRDefault="00525FCB" w:rsidP="00525FCB">
                  <w:pPr>
                    <w:jc w:val="center"/>
                    <w:rPr>
                      <w:rFonts w:ascii="Arial" w:hAnsi="Arial" w:cs="Arial"/>
                      <w:sz w:val="16"/>
                      <w:szCs w:val="16"/>
                    </w:rPr>
                  </w:pPr>
                  <w:r w:rsidRPr="005970A0">
                    <w:rPr>
                      <w:rFonts w:ascii="Arial" w:hAnsi="Arial" w:cs="Arial"/>
                      <w:sz w:val="16"/>
                      <w:szCs w:val="16"/>
                    </w:rPr>
                    <w:t>81.6</w:t>
                  </w:r>
                </w:p>
              </w:tc>
            </w:tr>
            <w:tr w:rsidR="005970A0" w:rsidRPr="005970A0" w:rsidTr="00525FCB">
              <w:trPr>
                <w:trHeight w:val="227"/>
              </w:trPr>
              <w:tc>
                <w:tcPr>
                  <w:tcW w:w="2799" w:type="pct"/>
                  <w:tcBorders>
                    <w:top w:val="nil"/>
                    <w:left w:val="nil"/>
                    <w:bottom w:val="nil"/>
                    <w:right w:val="nil"/>
                  </w:tcBorders>
                  <w:vAlign w:val="center"/>
                </w:tcPr>
                <w:p w:rsidR="00525FCB" w:rsidRPr="005970A0" w:rsidRDefault="00525FCB" w:rsidP="00525FCB">
                  <w:pPr>
                    <w:rPr>
                      <w:rFonts w:ascii="Arial" w:hAnsi="Arial" w:cs="Arial"/>
                      <w:sz w:val="16"/>
                      <w:szCs w:val="16"/>
                    </w:rPr>
                  </w:pPr>
                  <w:r w:rsidRPr="005970A0">
                    <w:rPr>
                      <w:rFonts w:ascii="Arial" w:hAnsi="Arial" w:cs="Arial"/>
                      <w:sz w:val="16"/>
                      <w:szCs w:val="16"/>
                    </w:rPr>
                    <w:t>Australian Capital Territory</w:t>
                  </w:r>
                </w:p>
              </w:tc>
              <w:tc>
                <w:tcPr>
                  <w:tcW w:w="2201" w:type="pct"/>
                  <w:tcBorders>
                    <w:top w:val="nil"/>
                    <w:left w:val="nil"/>
                    <w:bottom w:val="nil"/>
                    <w:right w:val="nil"/>
                  </w:tcBorders>
                  <w:vAlign w:val="center"/>
                </w:tcPr>
                <w:p w:rsidR="00525FCB" w:rsidRPr="005970A0" w:rsidRDefault="00525FCB" w:rsidP="00525FCB">
                  <w:pPr>
                    <w:jc w:val="center"/>
                    <w:rPr>
                      <w:rFonts w:ascii="Arial" w:hAnsi="Arial" w:cs="Arial"/>
                      <w:sz w:val="16"/>
                      <w:szCs w:val="16"/>
                    </w:rPr>
                  </w:pPr>
                  <w:r w:rsidRPr="005970A0">
                    <w:rPr>
                      <w:rFonts w:ascii="Arial" w:hAnsi="Arial" w:cs="Arial"/>
                      <w:sz w:val="16"/>
                      <w:szCs w:val="16"/>
                    </w:rPr>
                    <w:t>76.5</w:t>
                  </w:r>
                </w:p>
              </w:tc>
            </w:tr>
            <w:tr w:rsidR="005970A0" w:rsidRPr="005970A0" w:rsidTr="00525FCB">
              <w:trPr>
                <w:trHeight w:val="227"/>
              </w:trPr>
              <w:tc>
                <w:tcPr>
                  <w:tcW w:w="2799" w:type="pct"/>
                  <w:tcBorders>
                    <w:top w:val="nil"/>
                    <w:left w:val="nil"/>
                    <w:bottom w:val="single" w:sz="4" w:space="0" w:color="auto"/>
                    <w:right w:val="nil"/>
                  </w:tcBorders>
                  <w:vAlign w:val="center"/>
                </w:tcPr>
                <w:p w:rsidR="00525FCB" w:rsidRPr="005970A0" w:rsidRDefault="00525FCB" w:rsidP="00525FCB">
                  <w:pPr>
                    <w:rPr>
                      <w:rFonts w:ascii="Arial" w:hAnsi="Arial" w:cs="Arial"/>
                      <w:b/>
                      <w:sz w:val="16"/>
                      <w:szCs w:val="16"/>
                    </w:rPr>
                  </w:pPr>
                  <w:r w:rsidRPr="005970A0">
                    <w:rPr>
                      <w:rFonts w:ascii="Arial" w:hAnsi="Arial" w:cs="Arial"/>
                      <w:b/>
                      <w:sz w:val="16"/>
                      <w:szCs w:val="16"/>
                    </w:rPr>
                    <w:t>Australia</w:t>
                  </w:r>
                </w:p>
              </w:tc>
              <w:tc>
                <w:tcPr>
                  <w:tcW w:w="2201" w:type="pct"/>
                  <w:tcBorders>
                    <w:top w:val="nil"/>
                    <w:left w:val="nil"/>
                    <w:bottom w:val="single" w:sz="4" w:space="0" w:color="auto"/>
                    <w:right w:val="nil"/>
                  </w:tcBorders>
                  <w:vAlign w:val="center"/>
                </w:tcPr>
                <w:p w:rsidR="00525FCB" w:rsidRPr="005970A0" w:rsidRDefault="00525FCB" w:rsidP="00525FCB">
                  <w:pPr>
                    <w:jc w:val="center"/>
                    <w:rPr>
                      <w:rFonts w:ascii="Arial" w:hAnsi="Arial" w:cs="Arial"/>
                      <w:sz w:val="16"/>
                      <w:szCs w:val="16"/>
                    </w:rPr>
                  </w:pPr>
                  <w:r w:rsidRPr="005970A0">
                    <w:rPr>
                      <w:rFonts w:ascii="Arial" w:hAnsi="Arial" w:cs="Arial"/>
                      <w:sz w:val="16"/>
                      <w:szCs w:val="16"/>
                    </w:rPr>
                    <w:t>71.0</w:t>
                  </w:r>
                </w:p>
              </w:tc>
            </w:tr>
          </w:tbl>
          <w:p w:rsidR="0068457F" w:rsidRPr="005970A0" w:rsidRDefault="0068457F" w:rsidP="00D21520">
            <w:pPr>
              <w:keepNext/>
              <w:keepLines/>
              <w:spacing w:after="120" w:line="220" w:lineRule="atLeast"/>
              <w:jc w:val="both"/>
              <w:rPr>
                <w:rFonts w:ascii="Arial" w:hAnsi="Arial" w:cs="Arial"/>
                <w:sz w:val="20"/>
                <w:szCs w:val="20"/>
              </w:rPr>
            </w:pPr>
            <w:r w:rsidRPr="005970A0">
              <w:rPr>
                <w:rFonts w:ascii="Arial" w:hAnsi="Arial" w:cs="Arial"/>
                <w:sz w:val="20"/>
                <w:szCs w:val="20"/>
              </w:rPr>
              <w:t>The indicator has acceptable (less than 25</w:t>
            </w:r>
            <w:r w:rsidR="008C50BE">
              <w:rPr>
                <w:rFonts w:ascii="Arial" w:hAnsi="Arial" w:cs="Arial"/>
                <w:sz w:val="20"/>
                <w:szCs w:val="20"/>
              </w:rPr>
              <w:t xml:space="preserve"> per cent</w:t>
            </w:r>
            <w:r w:rsidRPr="005970A0">
              <w:rPr>
                <w:rFonts w:ascii="Arial" w:hAnsi="Arial" w:cs="Arial"/>
                <w:sz w:val="20"/>
                <w:szCs w:val="20"/>
              </w:rPr>
              <w:t>) relative standard errors (</w:t>
            </w:r>
            <w:proofErr w:type="spellStart"/>
            <w:r w:rsidRPr="005970A0">
              <w:rPr>
                <w:rFonts w:ascii="Arial" w:hAnsi="Arial" w:cs="Arial"/>
                <w:sz w:val="20"/>
                <w:szCs w:val="20"/>
              </w:rPr>
              <w:t>RSEs</w:t>
            </w:r>
            <w:proofErr w:type="spellEnd"/>
            <w:r w:rsidRPr="005970A0">
              <w:rPr>
                <w:rFonts w:ascii="Arial" w:hAnsi="Arial" w:cs="Arial"/>
                <w:sz w:val="20"/>
                <w:szCs w:val="20"/>
              </w:rPr>
              <w:t>).</w:t>
            </w:r>
          </w:p>
        </w:tc>
      </w:tr>
      <w:tr w:rsidR="005970A0" w:rsidRPr="005970A0" w:rsidTr="00395EF2">
        <w:trPr>
          <w:trHeight w:val="87"/>
        </w:trPr>
        <w:tc>
          <w:tcPr>
            <w:tcW w:w="922" w:type="pct"/>
          </w:tcPr>
          <w:p w:rsidR="0068457F" w:rsidRPr="005970A0" w:rsidRDefault="0068457F" w:rsidP="007C0724">
            <w:pPr>
              <w:pStyle w:val="TableBodyText"/>
              <w:jc w:val="both"/>
              <w:rPr>
                <w:b/>
              </w:rPr>
            </w:pPr>
            <w:r w:rsidRPr="005970A0">
              <w:rPr>
                <w:b/>
              </w:rPr>
              <w:lastRenderedPageBreak/>
              <w:t>Coherence</w:t>
            </w:r>
          </w:p>
          <w:p w:rsidR="0068457F" w:rsidRPr="005970A0" w:rsidRDefault="0068457F" w:rsidP="007C0724">
            <w:pPr>
              <w:pStyle w:val="TableBodyText"/>
              <w:jc w:val="both"/>
              <w:rPr>
                <w:b/>
              </w:rPr>
            </w:pPr>
          </w:p>
        </w:tc>
        <w:tc>
          <w:tcPr>
            <w:tcW w:w="4078" w:type="pct"/>
          </w:tcPr>
          <w:p w:rsidR="0068457F" w:rsidRPr="005970A0" w:rsidRDefault="00525FCB" w:rsidP="006E0702">
            <w:pPr>
              <w:spacing w:after="120"/>
              <w:jc w:val="both"/>
              <w:rPr>
                <w:rFonts w:ascii="Arial" w:hAnsi="Arial" w:cs="Arial"/>
                <w:sz w:val="20"/>
                <w:szCs w:val="20"/>
              </w:rPr>
            </w:pPr>
            <w:r w:rsidRPr="005970A0">
              <w:rPr>
                <w:rFonts w:ascii="Arial" w:hAnsi="Arial" w:cs="Arial"/>
                <w:sz w:val="20"/>
                <w:szCs w:val="20"/>
              </w:rPr>
              <w:t>This is the fourth time the survey has been conducted in this form.  Previous surveys were conducted in 2005, 2007 and 2009. The majority of data items in the 2011 survey are directly comparable with those of the previous three surveys.</w:t>
            </w:r>
          </w:p>
        </w:tc>
      </w:tr>
      <w:tr w:rsidR="005970A0" w:rsidRPr="005970A0" w:rsidTr="00395EF2">
        <w:tc>
          <w:tcPr>
            <w:tcW w:w="922" w:type="pct"/>
          </w:tcPr>
          <w:p w:rsidR="0068457F" w:rsidRPr="005970A0" w:rsidRDefault="0068457F" w:rsidP="007C0724">
            <w:pPr>
              <w:pStyle w:val="TableBodyText"/>
              <w:jc w:val="both"/>
              <w:rPr>
                <w:b/>
              </w:rPr>
            </w:pPr>
            <w:r w:rsidRPr="005970A0">
              <w:rPr>
                <w:b/>
              </w:rPr>
              <w:t>Accessibility</w:t>
            </w:r>
          </w:p>
          <w:p w:rsidR="0068457F" w:rsidRPr="005970A0" w:rsidRDefault="0068457F" w:rsidP="007C0724">
            <w:pPr>
              <w:pStyle w:val="TableBodyText"/>
              <w:jc w:val="both"/>
              <w:rPr>
                <w:b/>
              </w:rPr>
            </w:pPr>
          </w:p>
        </w:tc>
        <w:tc>
          <w:tcPr>
            <w:tcW w:w="4078" w:type="pct"/>
          </w:tcPr>
          <w:p w:rsidR="00525FCB" w:rsidRPr="005970A0" w:rsidRDefault="00525FCB" w:rsidP="00525FCB">
            <w:pPr>
              <w:spacing w:after="120"/>
              <w:jc w:val="both"/>
              <w:rPr>
                <w:rFonts w:ascii="Arial" w:hAnsi="Arial" w:cs="Arial"/>
                <w:sz w:val="20"/>
                <w:szCs w:val="20"/>
              </w:rPr>
            </w:pPr>
            <w:r w:rsidRPr="005970A0">
              <w:rPr>
                <w:rFonts w:ascii="Arial" w:hAnsi="Arial" w:cs="Arial"/>
                <w:sz w:val="20"/>
                <w:szCs w:val="20"/>
              </w:rPr>
              <w:t xml:space="preserve">Results of the survey are available free of charge on </w:t>
            </w:r>
            <w:proofErr w:type="spellStart"/>
            <w:r w:rsidRPr="005970A0">
              <w:rPr>
                <w:rFonts w:ascii="Arial" w:hAnsi="Arial" w:cs="Arial"/>
                <w:sz w:val="20"/>
                <w:szCs w:val="20"/>
              </w:rPr>
              <w:t>NCVER’s</w:t>
            </w:r>
            <w:proofErr w:type="spellEnd"/>
            <w:r w:rsidRPr="005970A0">
              <w:rPr>
                <w:rFonts w:ascii="Arial" w:hAnsi="Arial" w:cs="Arial"/>
                <w:sz w:val="20"/>
                <w:szCs w:val="20"/>
              </w:rPr>
              <w:t xml:space="preserve"> website at: [</w:t>
            </w:r>
            <w:proofErr w:type="spellStart"/>
            <w:r w:rsidRPr="005970A0">
              <w:rPr>
                <w:rFonts w:ascii="Arial" w:hAnsi="Arial" w:cs="Arial"/>
                <w:sz w:val="20"/>
                <w:szCs w:val="20"/>
              </w:rPr>
              <w:t>www.ncver.edu.au</w:t>
            </w:r>
            <w:proofErr w:type="spellEnd"/>
            <w:r w:rsidRPr="005970A0">
              <w:rPr>
                <w:rFonts w:ascii="Arial" w:hAnsi="Arial" w:cs="Arial"/>
                <w:sz w:val="20"/>
                <w:szCs w:val="20"/>
              </w:rPr>
              <w:t>/statistic/</w:t>
            </w:r>
            <w:proofErr w:type="spellStart"/>
            <w:r w:rsidRPr="005970A0">
              <w:rPr>
                <w:rFonts w:ascii="Arial" w:hAnsi="Arial" w:cs="Arial"/>
                <w:sz w:val="20"/>
                <w:szCs w:val="20"/>
              </w:rPr>
              <w:t>21066.html</w:t>
            </w:r>
            <w:proofErr w:type="spellEnd"/>
            <w:r w:rsidRPr="005970A0">
              <w:rPr>
                <w:rFonts w:ascii="Arial" w:hAnsi="Arial" w:cs="Arial"/>
                <w:sz w:val="20"/>
                <w:szCs w:val="20"/>
              </w:rPr>
              <w:t xml:space="preserve">]. Requests for more detailed statistical information or further information about the Survey of Employers’ Use and Views of the VET System can be made to: </w:t>
            </w:r>
          </w:p>
          <w:p w:rsidR="00525FCB" w:rsidRPr="005970A0" w:rsidRDefault="00525FCB" w:rsidP="00525FCB">
            <w:pPr>
              <w:spacing w:after="120"/>
              <w:jc w:val="both"/>
              <w:rPr>
                <w:rFonts w:ascii="Arial" w:hAnsi="Arial" w:cs="Arial"/>
                <w:sz w:val="20"/>
                <w:szCs w:val="20"/>
              </w:rPr>
            </w:pPr>
            <w:proofErr w:type="spellStart"/>
            <w:r w:rsidRPr="005970A0">
              <w:rPr>
                <w:rFonts w:ascii="Arial" w:hAnsi="Arial" w:cs="Arial"/>
                <w:sz w:val="20"/>
                <w:szCs w:val="20"/>
              </w:rPr>
              <w:t>NCVER</w:t>
            </w:r>
            <w:proofErr w:type="spellEnd"/>
            <w:r w:rsidRPr="005970A0">
              <w:rPr>
                <w:rFonts w:ascii="Arial" w:hAnsi="Arial" w:cs="Arial"/>
                <w:sz w:val="20"/>
                <w:szCs w:val="20"/>
              </w:rPr>
              <w:t xml:space="preserve"> on (08) 8230 8400 or </w:t>
            </w:r>
            <w:proofErr w:type="spellStart"/>
            <w:r w:rsidRPr="005970A0">
              <w:rPr>
                <w:rFonts w:ascii="Arial" w:hAnsi="Arial" w:cs="Arial"/>
                <w:sz w:val="20"/>
                <w:szCs w:val="20"/>
              </w:rPr>
              <w:t>surveys_req@ncver.edu.au</w:t>
            </w:r>
            <w:proofErr w:type="spellEnd"/>
          </w:p>
          <w:p w:rsidR="0068457F" w:rsidRPr="005970A0" w:rsidRDefault="00525FCB" w:rsidP="00525FCB">
            <w:pPr>
              <w:spacing w:after="120"/>
              <w:jc w:val="both"/>
              <w:rPr>
                <w:rFonts w:ascii="Arial" w:hAnsi="Arial" w:cs="Arial"/>
                <w:sz w:val="20"/>
                <w:szCs w:val="20"/>
                <w:u w:val="single"/>
              </w:rPr>
            </w:pPr>
            <w:r w:rsidRPr="005970A0">
              <w:rPr>
                <w:rFonts w:ascii="Arial" w:hAnsi="Arial" w:cs="Arial"/>
                <w:sz w:val="20"/>
                <w:szCs w:val="20"/>
              </w:rPr>
              <w:t xml:space="preserve">A charge will be generally made by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for more complex requests for information. See </w:t>
            </w:r>
            <w:proofErr w:type="spellStart"/>
            <w:r w:rsidRPr="005970A0">
              <w:rPr>
                <w:rFonts w:ascii="Arial" w:hAnsi="Arial" w:cs="Arial"/>
                <w:sz w:val="20"/>
                <w:szCs w:val="20"/>
              </w:rPr>
              <w:t>NCVER’s</w:t>
            </w:r>
            <w:proofErr w:type="spellEnd"/>
            <w:r w:rsidRPr="005970A0">
              <w:rPr>
                <w:rFonts w:ascii="Arial" w:hAnsi="Arial" w:cs="Arial"/>
                <w:sz w:val="20"/>
                <w:szCs w:val="20"/>
              </w:rPr>
              <w:t xml:space="preserve"> fees and charges policy at [</w:t>
            </w:r>
            <w:proofErr w:type="spellStart"/>
            <w:r w:rsidRPr="005970A0">
              <w:rPr>
                <w:rFonts w:ascii="Arial" w:hAnsi="Arial" w:cs="Arial"/>
                <w:sz w:val="20"/>
                <w:szCs w:val="20"/>
              </w:rPr>
              <w:t>www.ncver.edu.au</w:t>
            </w:r>
            <w:proofErr w:type="spellEnd"/>
            <w:r w:rsidRPr="005970A0">
              <w:rPr>
                <w:rFonts w:ascii="Arial" w:hAnsi="Arial" w:cs="Arial"/>
                <w:sz w:val="20"/>
                <w:szCs w:val="20"/>
              </w:rPr>
              <w:t>/statistic/</w:t>
            </w:r>
            <w:proofErr w:type="spellStart"/>
            <w:r w:rsidRPr="005970A0">
              <w:rPr>
                <w:rFonts w:ascii="Arial" w:hAnsi="Arial" w:cs="Arial"/>
                <w:sz w:val="20"/>
                <w:szCs w:val="20"/>
              </w:rPr>
              <w:t>21075.html</w:t>
            </w:r>
            <w:proofErr w:type="spellEnd"/>
            <w:r w:rsidRPr="005970A0">
              <w:rPr>
                <w:rFonts w:ascii="Arial" w:hAnsi="Arial" w:cs="Arial"/>
                <w:sz w:val="20"/>
                <w:szCs w:val="20"/>
              </w:rPr>
              <w:t>]</w:t>
            </w:r>
          </w:p>
        </w:tc>
      </w:tr>
      <w:tr w:rsidR="005970A0" w:rsidRPr="005970A0" w:rsidTr="00395EF2">
        <w:tc>
          <w:tcPr>
            <w:tcW w:w="922" w:type="pct"/>
          </w:tcPr>
          <w:p w:rsidR="0068457F" w:rsidRPr="005970A0" w:rsidRDefault="0068457F" w:rsidP="007C0724">
            <w:pPr>
              <w:pStyle w:val="TableBodyText"/>
              <w:jc w:val="both"/>
              <w:rPr>
                <w:b/>
              </w:rPr>
            </w:pPr>
            <w:r w:rsidRPr="005970A0">
              <w:rPr>
                <w:b/>
              </w:rPr>
              <w:t>Interpretability</w:t>
            </w:r>
          </w:p>
          <w:p w:rsidR="0068457F" w:rsidRPr="005970A0" w:rsidRDefault="0068457F" w:rsidP="007C0724">
            <w:pPr>
              <w:pStyle w:val="TableBodyText"/>
              <w:jc w:val="both"/>
              <w:rPr>
                <w:b/>
              </w:rPr>
            </w:pPr>
          </w:p>
        </w:tc>
        <w:tc>
          <w:tcPr>
            <w:tcW w:w="4078" w:type="pct"/>
          </w:tcPr>
          <w:p w:rsidR="00525FCB" w:rsidRPr="005970A0" w:rsidRDefault="00525FCB" w:rsidP="00525FCB">
            <w:pPr>
              <w:spacing w:after="120"/>
              <w:jc w:val="both"/>
              <w:rPr>
                <w:rFonts w:ascii="Arial" w:hAnsi="Arial" w:cs="Arial"/>
                <w:sz w:val="20"/>
                <w:szCs w:val="20"/>
              </w:rPr>
            </w:pPr>
            <w:r w:rsidRPr="005970A0">
              <w:rPr>
                <w:rFonts w:ascii="Arial" w:hAnsi="Arial" w:cs="Arial"/>
                <w:sz w:val="20"/>
                <w:szCs w:val="20"/>
              </w:rPr>
              <w:t xml:space="preserve">To aid interpretation of the data, information on the Survey of Employers’ Use and Views of the VET System is available on 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website.</w:t>
            </w:r>
          </w:p>
          <w:p w:rsidR="0068457F" w:rsidRPr="005970A0" w:rsidRDefault="00525FCB" w:rsidP="00525FCB">
            <w:pPr>
              <w:spacing w:after="120"/>
              <w:jc w:val="both"/>
              <w:rPr>
                <w:rFonts w:ascii="Arial" w:hAnsi="Arial" w:cs="Arial"/>
                <w:sz w:val="20"/>
                <w:szCs w:val="20"/>
              </w:rPr>
            </w:pPr>
            <w:r w:rsidRPr="005970A0">
              <w:rPr>
                <w:rFonts w:ascii="Arial" w:hAnsi="Arial" w:cs="Arial"/>
                <w:sz w:val="20"/>
                <w:szCs w:val="20"/>
              </w:rPr>
              <w:t>The survey uses the Australian and New Zealand Standard Industry Classification (</w:t>
            </w:r>
            <w:proofErr w:type="spellStart"/>
            <w:r w:rsidRPr="005970A0">
              <w:rPr>
                <w:rFonts w:ascii="Arial" w:hAnsi="Arial" w:cs="Arial"/>
                <w:sz w:val="20"/>
                <w:szCs w:val="20"/>
              </w:rPr>
              <w:t>ANZSIC</w:t>
            </w:r>
            <w:proofErr w:type="spellEnd"/>
            <w:r w:rsidRPr="005970A0">
              <w:rPr>
                <w:rFonts w:ascii="Arial" w:hAnsi="Arial" w:cs="Arial"/>
                <w:sz w:val="20"/>
                <w:szCs w:val="20"/>
              </w:rPr>
              <w:t>)</w:t>
            </w:r>
          </w:p>
        </w:tc>
      </w:tr>
      <w:tr w:rsidR="005970A0" w:rsidRPr="005970A0" w:rsidTr="00395EF2">
        <w:tc>
          <w:tcPr>
            <w:tcW w:w="5000" w:type="pct"/>
            <w:gridSpan w:val="2"/>
            <w:shd w:val="clear" w:color="auto" w:fill="auto"/>
          </w:tcPr>
          <w:p w:rsidR="0068457F" w:rsidRPr="005970A0" w:rsidRDefault="0068457F" w:rsidP="006E0702">
            <w:pPr>
              <w:pStyle w:val="TableBodyText"/>
              <w:jc w:val="both"/>
              <w:rPr>
                <w:b/>
                <w:u w:val="single"/>
              </w:rPr>
            </w:pPr>
          </w:p>
          <w:p w:rsidR="0068457F" w:rsidRPr="005970A0" w:rsidRDefault="0068457F" w:rsidP="006E0702">
            <w:pPr>
              <w:pStyle w:val="TableBodyText"/>
              <w:jc w:val="both"/>
              <w:rPr>
                <w:b/>
                <w:u w:val="single"/>
              </w:rPr>
            </w:pPr>
            <w:r w:rsidRPr="005970A0">
              <w:rPr>
                <w:b/>
                <w:u w:val="single"/>
              </w:rPr>
              <w:t>Data Gaps/Issues Analysis</w:t>
            </w:r>
          </w:p>
        </w:tc>
      </w:tr>
      <w:tr w:rsidR="00525FCB" w:rsidRPr="005970A0" w:rsidTr="00525FCB">
        <w:tc>
          <w:tcPr>
            <w:tcW w:w="922" w:type="pct"/>
            <w:shd w:val="clear" w:color="auto" w:fill="auto"/>
          </w:tcPr>
          <w:p w:rsidR="00525FCB" w:rsidRPr="005970A0" w:rsidRDefault="00525FCB" w:rsidP="00525FCB">
            <w:pPr>
              <w:pStyle w:val="TableBodyText"/>
              <w:jc w:val="both"/>
              <w:rPr>
                <w:b/>
              </w:rPr>
            </w:pPr>
            <w:r w:rsidRPr="005970A0">
              <w:rPr>
                <w:b/>
              </w:rPr>
              <w:t>Key data gaps/ issues</w:t>
            </w:r>
          </w:p>
        </w:tc>
        <w:tc>
          <w:tcPr>
            <w:tcW w:w="4078" w:type="pct"/>
            <w:shd w:val="clear" w:color="auto" w:fill="auto"/>
          </w:tcPr>
          <w:p w:rsidR="00525FCB" w:rsidRPr="005970A0" w:rsidRDefault="00525FCB" w:rsidP="00525FCB">
            <w:pPr>
              <w:pStyle w:val="TableBodyText"/>
              <w:keepNext w:val="0"/>
              <w:keepLines w:val="0"/>
              <w:spacing w:after="120" w:line="240" w:lineRule="auto"/>
              <w:ind w:left="0" w:right="0"/>
              <w:jc w:val="both"/>
            </w:pPr>
            <w:r w:rsidRPr="005970A0">
              <w:t xml:space="preserve">The Steering Committee notes the following key data gaps/issues: </w:t>
            </w:r>
          </w:p>
          <w:p w:rsidR="00525FCB" w:rsidRPr="005970A0" w:rsidRDefault="00525FCB" w:rsidP="00664513">
            <w:pPr>
              <w:numPr>
                <w:ilvl w:val="0"/>
                <w:numId w:val="18"/>
              </w:numPr>
              <w:tabs>
                <w:tab w:val="left" w:pos="222"/>
              </w:tabs>
              <w:spacing w:after="60"/>
              <w:ind w:left="222" w:hanging="223"/>
              <w:jc w:val="both"/>
              <w:rPr>
                <w:rFonts w:ascii="Arial" w:hAnsi="Arial" w:cs="Arial"/>
                <w:sz w:val="20"/>
                <w:szCs w:val="20"/>
              </w:rPr>
            </w:pPr>
            <w:r w:rsidRPr="005970A0">
              <w:rPr>
                <w:rFonts w:ascii="Arial" w:hAnsi="Arial" w:cs="Arial"/>
                <w:sz w:val="20"/>
                <w:szCs w:val="20"/>
              </w:rPr>
              <w:t>Biennial data are available from the Survey of Employer Use and Views (</w:t>
            </w:r>
            <w:proofErr w:type="spellStart"/>
            <w:r w:rsidRPr="005970A0">
              <w:rPr>
                <w:rFonts w:ascii="Arial" w:hAnsi="Arial" w:cs="Arial"/>
                <w:sz w:val="20"/>
                <w:szCs w:val="20"/>
              </w:rPr>
              <w:t>SEUV</w:t>
            </w:r>
            <w:proofErr w:type="spellEnd"/>
            <w:r w:rsidRPr="005970A0">
              <w:rPr>
                <w:rFonts w:ascii="Arial" w:hAnsi="Arial" w:cs="Arial"/>
                <w:sz w:val="20"/>
                <w:szCs w:val="20"/>
              </w:rPr>
              <w:t xml:space="preserve">). The most recent data are for 2011. Data from 2009, 2007 and 2005 are available in the 2010 </w:t>
            </w:r>
            <w:proofErr w:type="spellStart"/>
            <w:r w:rsidRPr="005970A0">
              <w:rPr>
                <w:rFonts w:ascii="Arial" w:hAnsi="Arial" w:cs="Arial"/>
                <w:sz w:val="20"/>
                <w:szCs w:val="20"/>
              </w:rPr>
              <w:t>NASWD</w:t>
            </w:r>
            <w:proofErr w:type="spellEnd"/>
            <w:r w:rsidRPr="005970A0">
              <w:rPr>
                <w:rFonts w:ascii="Arial" w:hAnsi="Arial" w:cs="Arial"/>
                <w:sz w:val="20"/>
                <w:szCs w:val="20"/>
              </w:rPr>
              <w:t xml:space="preserve"> performance information report.</w:t>
            </w:r>
          </w:p>
          <w:p w:rsidR="00525FCB" w:rsidRPr="005970A0" w:rsidRDefault="00525FCB" w:rsidP="00664513">
            <w:pPr>
              <w:numPr>
                <w:ilvl w:val="0"/>
                <w:numId w:val="18"/>
              </w:numPr>
              <w:tabs>
                <w:tab w:val="left" w:pos="222"/>
              </w:tabs>
              <w:spacing w:after="60"/>
              <w:ind w:left="222" w:hanging="223"/>
              <w:jc w:val="both"/>
              <w:rPr>
                <w:rFonts w:ascii="Arial" w:hAnsi="Arial" w:cs="Arial"/>
                <w:sz w:val="20"/>
                <w:szCs w:val="20"/>
              </w:rPr>
            </w:pPr>
            <w:r w:rsidRPr="005970A0">
              <w:rPr>
                <w:rFonts w:ascii="Arial" w:hAnsi="Arial" w:cs="Arial"/>
                <w:sz w:val="20"/>
                <w:szCs w:val="20"/>
              </w:rPr>
              <w:t>Data are of acceptable accuracy at the State and Territory level.</w:t>
            </w:r>
          </w:p>
          <w:p w:rsidR="00525FCB" w:rsidRPr="005970A0" w:rsidRDefault="00525FCB" w:rsidP="00664513">
            <w:pPr>
              <w:numPr>
                <w:ilvl w:val="0"/>
                <w:numId w:val="18"/>
              </w:numPr>
              <w:tabs>
                <w:tab w:val="left" w:pos="222"/>
              </w:tabs>
              <w:spacing w:after="60"/>
              <w:ind w:left="222" w:hanging="223"/>
              <w:jc w:val="both"/>
              <w:rPr>
                <w:rFonts w:ascii="Arial" w:hAnsi="Arial" w:cs="Arial"/>
                <w:sz w:val="20"/>
                <w:szCs w:val="20"/>
              </w:rPr>
            </w:pPr>
            <w:r w:rsidRPr="005970A0">
              <w:rPr>
                <w:rFonts w:ascii="Arial" w:hAnsi="Arial" w:cs="Arial"/>
                <w:sz w:val="20"/>
                <w:szCs w:val="20"/>
              </w:rPr>
              <w:t>Detailed explanatory notes are publicly available to assist in the interpretation of results.</w:t>
            </w:r>
          </w:p>
          <w:p w:rsidR="00525FCB" w:rsidRPr="005970A0" w:rsidRDefault="00525FCB" w:rsidP="00664513">
            <w:pPr>
              <w:numPr>
                <w:ilvl w:val="0"/>
                <w:numId w:val="18"/>
              </w:numPr>
              <w:tabs>
                <w:tab w:val="left" w:pos="222"/>
              </w:tabs>
              <w:spacing w:after="60"/>
              <w:ind w:left="222" w:hanging="223"/>
              <w:jc w:val="both"/>
              <w:rPr>
                <w:rFonts w:ascii="Arial" w:hAnsi="Arial" w:cs="Arial"/>
                <w:sz w:val="20"/>
                <w:szCs w:val="20"/>
              </w:rPr>
            </w:pPr>
            <w:r w:rsidRPr="005970A0">
              <w:rPr>
                <w:rFonts w:ascii="Arial" w:hAnsi="Arial" w:cs="Arial"/>
                <w:sz w:val="20"/>
                <w:szCs w:val="20"/>
              </w:rPr>
              <w:t xml:space="preserve">Additional data from the data source are available </w:t>
            </w:r>
            <w:proofErr w:type="spellStart"/>
            <w:r w:rsidRPr="005970A0">
              <w:rPr>
                <w:rFonts w:ascii="Arial" w:hAnsi="Arial" w:cs="Arial"/>
                <w:sz w:val="20"/>
                <w:szCs w:val="20"/>
              </w:rPr>
              <w:t>on-line</w:t>
            </w:r>
            <w:proofErr w:type="spellEnd"/>
            <w:r w:rsidRPr="005970A0">
              <w:rPr>
                <w:rFonts w:ascii="Arial" w:hAnsi="Arial" w:cs="Arial"/>
                <w:sz w:val="20"/>
                <w:szCs w:val="20"/>
              </w:rPr>
              <w:t>, and on request.</w:t>
            </w:r>
          </w:p>
          <w:p w:rsidR="00525FCB" w:rsidRPr="005970A0" w:rsidRDefault="005C1818" w:rsidP="00664513">
            <w:pPr>
              <w:numPr>
                <w:ilvl w:val="0"/>
                <w:numId w:val="18"/>
              </w:numPr>
              <w:tabs>
                <w:tab w:val="left" w:pos="222"/>
              </w:tabs>
              <w:spacing w:after="60"/>
              <w:ind w:left="222" w:hanging="223"/>
              <w:jc w:val="both"/>
              <w:rPr>
                <w:rFonts w:ascii="Arial" w:hAnsi="Arial" w:cs="Arial"/>
                <w:sz w:val="20"/>
                <w:szCs w:val="20"/>
              </w:rPr>
            </w:pPr>
            <w:r w:rsidRPr="005970A0">
              <w:rPr>
                <w:rFonts w:ascii="Arial" w:hAnsi="Arial" w:cs="Arial"/>
                <w:sz w:val="20"/>
                <w:szCs w:val="20"/>
              </w:rPr>
              <w:t xml:space="preserve">The </w:t>
            </w:r>
            <w:proofErr w:type="spellStart"/>
            <w:r w:rsidRPr="005970A0">
              <w:rPr>
                <w:rFonts w:ascii="Arial" w:hAnsi="Arial" w:cs="Arial"/>
                <w:sz w:val="20"/>
                <w:szCs w:val="20"/>
              </w:rPr>
              <w:t>NCVER</w:t>
            </w:r>
            <w:proofErr w:type="spellEnd"/>
            <w:r w:rsidRPr="005970A0">
              <w:rPr>
                <w:rFonts w:ascii="Arial" w:hAnsi="Arial" w:cs="Arial"/>
                <w:sz w:val="20"/>
                <w:szCs w:val="20"/>
              </w:rPr>
              <w:t xml:space="preserve"> conducted a review of the </w:t>
            </w:r>
            <w:proofErr w:type="spellStart"/>
            <w:r w:rsidRPr="005970A0">
              <w:rPr>
                <w:rFonts w:ascii="Arial" w:hAnsi="Arial" w:cs="Arial"/>
                <w:sz w:val="20"/>
                <w:szCs w:val="20"/>
              </w:rPr>
              <w:t>SEUV</w:t>
            </w:r>
            <w:proofErr w:type="spellEnd"/>
            <w:r w:rsidRPr="005970A0">
              <w:rPr>
                <w:rFonts w:ascii="Arial" w:hAnsi="Arial" w:cs="Arial"/>
                <w:sz w:val="20"/>
                <w:szCs w:val="20"/>
              </w:rPr>
              <w:t xml:space="preserve"> during 2011, and as a result is currently developing and testing a new questionnaire and revised methodology. The sample for the next survey (to be conducted in 2013) will increase, and it is anticipated the reliability of the estimates will improve for this indicator. Results from the next survey will be available in late 2013.</w:t>
            </w:r>
          </w:p>
        </w:tc>
      </w:tr>
    </w:tbl>
    <w:p w:rsidR="00525FCB" w:rsidRPr="005970A0" w:rsidRDefault="00525FCB" w:rsidP="00525FCB">
      <w:pPr>
        <w:pStyle w:val="BodyText"/>
      </w:pPr>
    </w:p>
    <w:sectPr w:rsidR="00525FCB" w:rsidRPr="005970A0" w:rsidSect="007D21A0">
      <w:headerReference w:type="even" r:id="rId10"/>
      <w:headerReference w:type="default" r:id="rId11"/>
      <w:footerReference w:type="even" r:id="rId12"/>
      <w:footerReference w:type="default" r:id="rId13"/>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5E6" w:rsidRDefault="004A75E6">
      <w:r>
        <w:separator/>
      </w:r>
    </w:p>
  </w:endnote>
  <w:endnote w:type="continuationSeparator" w:id="0">
    <w:p w:rsidR="004A75E6" w:rsidRDefault="004A7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A75E6" w:rsidTr="0019293B">
      <w:trPr>
        <w:trHeight w:hRule="exact" w:val="740"/>
      </w:trPr>
      <w:tc>
        <w:tcPr>
          <w:tcW w:w="510" w:type="dxa"/>
          <w:tcBorders>
            <w:top w:val="single" w:sz="6" w:space="0" w:color="auto"/>
          </w:tcBorders>
        </w:tcPr>
        <w:p w:rsidR="004A75E6" w:rsidRDefault="004A75E6" w:rsidP="0019293B">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4C2D31">
            <w:rPr>
              <w:rStyle w:val="PageNumber"/>
              <w:noProof/>
            </w:rPr>
            <w:t>2</w:t>
          </w:r>
          <w:r>
            <w:rPr>
              <w:rStyle w:val="PageNumber"/>
            </w:rPr>
            <w:fldChar w:fldCharType="end"/>
          </w:r>
        </w:p>
      </w:tc>
      <w:tc>
        <w:tcPr>
          <w:tcW w:w="1644" w:type="dxa"/>
          <w:tcBorders>
            <w:top w:val="single" w:sz="6" w:space="0" w:color="auto"/>
          </w:tcBorders>
        </w:tcPr>
        <w:p w:rsidR="004A75E6" w:rsidRDefault="00784200" w:rsidP="0052242A">
          <w:pPr>
            <w:pStyle w:val="Footer"/>
          </w:pPr>
          <w:fldSimple w:instr=" SUBJECT  \* MERGEFORMAT ">
            <w:r w:rsidR="004A75E6">
              <w:t>Report on Government Services 2014</w:t>
            </w:r>
          </w:fldSimple>
        </w:p>
      </w:tc>
      <w:tc>
        <w:tcPr>
          <w:tcW w:w="6634" w:type="dxa"/>
        </w:tcPr>
        <w:p w:rsidR="004A75E6" w:rsidRDefault="004A75E6" w:rsidP="0019293B">
          <w:pPr>
            <w:pStyle w:val="Footer"/>
          </w:pPr>
        </w:p>
      </w:tc>
    </w:tr>
  </w:tbl>
  <w:p w:rsidR="004A75E6" w:rsidRDefault="004A75E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A75E6">
      <w:trPr>
        <w:trHeight w:hRule="exact" w:val="740"/>
      </w:trPr>
      <w:tc>
        <w:tcPr>
          <w:tcW w:w="6634" w:type="dxa"/>
        </w:tcPr>
        <w:p w:rsidR="004A75E6" w:rsidRDefault="004A75E6" w:rsidP="00DF3EEB">
          <w:pPr>
            <w:pStyle w:val="Footer"/>
            <w:ind w:right="360" w:firstLine="360"/>
          </w:pPr>
        </w:p>
      </w:tc>
      <w:tc>
        <w:tcPr>
          <w:tcW w:w="1644" w:type="dxa"/>
          <w:tcBorders>
            <w:top w:val="single" w:sz="6" w:space="0" w:color="auto"/>
          </w:tcBorders>
        </w:tcPr>
        <w:p w:rsidR="004A75E6" w:rsidRDefault="004549A9">
          <w:pPr>
            <w:pStyle w:val="Footer"/>
          </w:pPr>
          <w:r>
            <w:fldChar w:fldCharType="begin"/>
          </w:r>
          <w:r>
            <w:instrText xml:space="preserve"> TITLE  \* MERGEFORMAT </w:instrText>
          </w:r>
          <w:r>
            <w:fldChar w:fldCharType="separate"/>
          </w:r>
          <w:r w:rsidR="004A75E6">
            <w:t xml:space="preserve">Vocational Education and Training </w:t>
          </w:r>
          <w:proofErr w:type="spellStart"/>
          <w:r w:rsidR="004A75E6">
            <w:t>DQI</w:t>
          </w:r>
          <w:proofErr w:type="spellEnd"/>
          <w:r>
            <w:fldChar w:fldCharType="end"/>
          </w:r>
        </w:p>
      </w:tc>
      <w:tc>
        <w:tcPr>
          <w:tcW w:w="510" w:type="dxa"/>
          <w:tcBorders>
            <w:top w:val="single" w:sz="6" w:space="0" w:color="auto"/>
          </w:tcBorders>
        </w:tcPr>
        <w:p w:rsidR="004A75E6" w:rsidRDefault="004A75E6">
          <w:pPr>
            <w:pStyle w:val="Footer"/>
            <w:jc w:val="right"/>
          </w:pPr>
          <w:r>
            <w:rPr>
              <w:rStyle w:val="PageNumber"/>
            </w:rPr>
            <w:fldChar w:fldCharType="begin"/>
          </w:r>
          <w:r>
            <w:rPr>
              <w:rStyle w:val="PageNumber"/>
            </w:rPr>
            <w:instrText xml:space="preserve">PAGE  </w:instrText>
          </w:r>
          <w:r>
            <w:rPr>
              <w:rStyle w:val="PageNumber"/>
            </w:rPr>
            <w:fldChar w:fldCharType="separate"/>
          </w:r>
          <w:r w:rsidR="004C2D31">
            <w:rPr>
              <w:rStyle w:val="PageNumber"/>
              <w:noProof/>
            </w:rPr>
            <w:t>1</w:t>
          </w:r>
          <w:r>
            <w:rPr>
              <w:rStyle w:val="PageNumber"/>
            </w:rPr>
            <w:fldChar w:fldCharType="end"/>
          </w:r>
        </w:p>
      </w:tc>
    </w:tr>
  </w:tbl>
  <w:p w:rsidR="004A75E6" w:rsidRDefault="004A75E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5E6" w:rsidRDefault="004A75E6">
      <w:r>
        <w:separator/>
      </w:r>
    </w:p>
  </w:footnote>
  <w:footnote w:type="continuationSeparator" w:id="0">
    <w:p w:rsidR="004A75E6" w:rsidRDefault="004A75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A75E6" w:rsidRPr="004E577D" w:rsidTr="0019293B">
      <w:tc>
        <w:tcPr>
          <w:tcW w:w="2155" w:type="dxa"/>
          <w:tcBorders>
            <w:top w:val="single" w:sz="24" w:space="0" w:color="auto"/>
          </w:tcBorders>
        </w:tcPr>
        <w:p w:rsidR="004A75E6" w:rsidRDefault="004A75E6" w:rsidP="0019293B">
          <w:pPr>
            <w:pStyle w:val="HeaderEven"/>
          </w:pPr>
        </w:p>
      </w:tc>
      <w:tc>
        <w:tcPr>
          <w:tcW w:w="6634" w:type="dxa"/>
          <w:tcBorders>
            <w:top w:val="single" w:sz="6" w:space="0" w:color="auto"/>
          </w:tcBorders>
        </w:tcPr>
        <w:p w:rsidR="004A75E6" w:rsidRPr="004E577D" w:rsidRDefault="004A75E6" w:rsidP="004C2D31">
          <w:pPr>
            <w:pStyle w:val="HeaderEven"/>
            <w:jc w:val="right"/>
          </w:pPr>
        </w:p>
      </w:tc>
    </w:tr>
  </w:tbl>
  <w:p w:rsidR="004A75E6" w:rsidRDefault="004A75E6" w:rsidP="009564F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A75E6" w:rsidTr="00E669E2">
      <w:tc>
        <w:tcPr>
          <w:tcW w:w="6634" w:type="dxa"/>
          <w:tcBorders>
            <w:top w:val="single" w:sz="6" w:space="0" w:color="auto"/>
          </w:tcBorders>
        </w:tcPr>
        <w:p w:rsidR="004A75E6" w:rsidRDefault="004A75E6" w:rsidP="0055658E">
          <w:pPr>
            <w:pStyle w:val="HeaderOdd"/>
          </w:pPr>
        </w:p>
      </w:tc>
      <w:tc>
        <w:tcPr>
          <w:tcW w:w="2155" w:type="dxa"/>
          <w:tcBorders>
            <w:top w:val="single" w:sz="24" w:space="0" w:color="auto"/>
          </w:tcBorders>
        </w:tcPr>
        <w:p w:rsidR="004A75E6" w:rsidRDefault="004A75E6" w:rsidP="00E669E2">
          <w:pPr>
            <w:pStyle w:val="HeaderOdd"/>
          </w:pPr>
        </w:p>
      </w:tc>
    </w:tr>
  </w:tbl>
  <w:p w:rsidR="004A75E6" w:rsidRDefault="004A75E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3E51274"/>
    <w:multiLevelType w:val="hybridMultilevel"/>
    <w:tmpl w:val="E612055C"/>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47A7C39"/>
    <w:multiLevelType w:val="singleLevel"/>
    <w:tmpl w:val="080ADBB6"/>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6AF18B1"/>
    <w:multiLevelType w:val="hybridMultilevel"/>
    <w:tmpl w:val="FCEC700E"/>
    <w:lvl w:ilvl="0" w:tplc="0C09000F">
      <w:start w:val="1"/>
      <w:numFmt w:val="decimal"/>
      <w:lvlText w:val="%1."/>
      <w:lvlJc w:val="left"/>
      <w:pPr>
        <w:ind w:left="719" w:hanging="360"/>
      </w:pPr>
    </w:lvl>
    <w:lvl w:ilvl="1" w:tplc="0C090019" w:tentative="1">
      <w:start w:val="1"/>
      <w:numFmt w:val="lowerLetter"/>
      <w:lvlText w:val="%2."/>
      <w:lvlJc w:val="left"/>
      <w:pPr>
        <w:ind w:left="1439" w:hanging="360"/>
      </w:pPr>
    </w:lvl>
    <w:lvl w:ilvl="2" w:tplc="0C09001B" w:tentative="1">
      <w:start w:val="1"/>
      <w:numFmt w:val="lowerRoman"/>
      <w:lvlText w:val="%3."/>
      <w:lvlJc w:val="right"/>
      <w:pPr>
        <w:ind w:left="2159" w:hanging="180"/>
      </w:pPr>
    </w:lvl>
    <w:lvl w:ilvl="3" w:tplc="0C09000F" w:tentative="1">
      <w:start w:val="1"/>
      <w:numFmt w:val="decimal"/>
      <w:lvlText w:val="%4."/>
      <w:lvlJc w:val="left"/>
      <w:pPr>
        <w:ind w:left="2879" w:hanging="360"/>
      </w:pPr>
    </w:lvl>
    <w:lvl w:ilvl="4" w:tplc="0C090019" w:tentative="1">
      <w:start w:val="1"/>
      <w:numFmt w:val="lowerLetter"/>
      <w:lvlText w:val="%5."/>
      <w:lvlJc w:val="left"/>
      <w:pPr>
        <w:ind w:left="3599" w:hanging="360"/>
      </w:pPr>
    </w:lvl>
    <w:lvl w:ilvl="5" w:tplc="0C09001B" w:tentative="1">
      <w:start w:val="1"/>
      <w:numFmt w:val="lowerRoman"/>
      <w:lvlText w:val="%6."/>
      <w:lvlJc w:val="right"/>
      <w:pPr>
        <w:ind w:left="4319" w:hanging="180"/>
      </w:pPr>
    </w:lvl>
    <w:lvl w:ilvl="6" w:tplc="0C09000F" w:tentative="1">
      <w:start w:val="1"/>
      <w:numFmt w:val="decimal"/>
      <w:lvlText w:val="%7."/>
      <w:lvlJc w:val="left"/>
      <w:pPr>
        <w:ind w:left="5039" w:hanging="360"/>
      </w:pPr>
    </w:lvl>
    <w:lvl w:ilvl="7" w:tplc="0C090019" w:tentative="1">
      <w:start w:val="1"/>
      <w:numFmt w:val="lowerLetter"/>
      <w:lvlText w:val="%8."/>
      <w:lvlJc w:val="left"/>
      <w:pPr>
        <w:ind w:left="5759" w:hanging="360"/>
      </w:pPr>
    </w:lvl>
    <w:lvl w:ilvl="8" w:tplc="0C09001B" w:tentative="1">
      <w:start w:val="1"/>
      <w:numFmt w:val="lowerRoman"/>
      <w:lvlText w:val="%9."/>
      <w:lvlJc w:val="right"/>
      <w:pPr>
        <w:ind w:left="6479" w:hanging="180"/>
      </w:p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3026FDD"/>
    <w:multiLevelType w:val="hybridMultilevel"/>
    <w:tmpl w:val="98B008EC"/>
    <w:lvl w:ilvl="0" w:tplc="0C090001">
      <w:start w:val="1"/>
      <w:numFmt w:val="bullet"/>
      <w:lvlText w:val=""/>
      <w:lvlJc w:val="left"/>
      <w:pPr>
        <w:ind w:left="36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9">
    <w:nsid w:val="1DB90439"/>
    <w:multiLevelType w:val="hybridMultilevel"/>
    <w:tmpl w:val="62C831F4"/>
    <w:lvl w:ilvl="0" w:tplc="2174B71A">
      <w:start w:val="1"/>
      <w:numFmt w:val="bullet"/>
      <w:lvlText w:val=""/>
      <w:lvlJc w:val="left"/>
      <w:pPr>
        <w:tabs>
          <w:tab w:val="num" w:pos="363"/>
        </w:tabs>
        <w:ind w:left="426" w:hanging="426"/>
      </w:pPr>
      <w:rPr>
        <w:rFonts w:ascii="Symbol" w:hAnsi="Symbol" w:hint="default"/>
        <w:color w:val="auto"/>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21020FEA"/>
    <w:multiLevelType w:val="hybridMultilevel"/>
    <w:tmpl w:val="5EE613A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1">
    <w:nsid w:val="23FF358D"/>
    <w:multiLevelType w:val="singleLevel"/>
    <w:tmpl w:val="2278E24C"/>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4A2040B"/>
    <w:multiLevelType w:val="hybridMultilevel"/>
    <w:tmpl w:val="71C64C02"/>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3">
    <w:nsid w:val="28A86799"/>
    <w:multiLevelType w:val="hybridMultilevel"/>
    <w:tmpl w:val="3FF4F686"/>
    <w:lvl w:ilvl="0" w:tplc="0C090001">
      <w:start w:val="1"/>
      <w:numFmt w:val="bullet"/>
      <w:lvlText w:val=""/>
      <w:lvlJc w:val="left"/>
      <w:pPr>
        <w:ind w:left="36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4">
    <w:nsid w:val="29A00939"/>
    <w:multiLevelType w:val="hybridMultilevel"/>
    <w:tmpl w:val="231A08E6"/>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5">
    <w:nsid w:val="2BF46D4E"/>
    <w:multiLevelType w:val="hybridMultilevel"/>
    <w:tmpl w:val="4870490A"/>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4AA644B"/>
    <w:multiLevelType w:val="hybridMultilevel"/>
    <w:tmpl w:val="34EA6A9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46A30F01"/>
    <w:multiLevelType w:val="hybridMultilevel"/>
    <w:tmpl w:val="88244A88"/>
    <w:lvl w:ilvl="0" w:tplc="0C090001">
      <w:start w:val="1"/>
      <w:numFmt w:val="bullet"/>
      <w:lvlText w:val=""/>
      <w:lvlJc w:val="left"/>
      <w:pPr>
        <w:tabs>
          <w:tab w:val="num" w:pos="720"/>
        </w:tabs>
        <w:ind w:left="720" w:hanging="360"/>
      </w:pPr>
      <w:rPr>
        <w:rFonts w:ascii="Symbol" w:hAnsi="Symbol" w:hint="default"/>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2">
    <w:nsid w:val="578A0AD0"/>
    <w:multiLevelType w:val="hybridMultilevel"/>
    <w:tmpl w:val="E808FC58"/>
    <w:lvl w:ilvl="0" w:tplc="0C090001">
      <w:start w:val="1"/>
      <w:numFmt w:val="bullet"/>
      <w:lvlText w:val=""/>
      <w:lvlJc w:val="left"/>
      <w:pPr>
        <w:ind w:left="36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3">
    <w:nsid w:val="5A3D2259"/>
    <w:multiLevelType w:val="hybridMultilevel"/>
    <w:tmpl w:val="D81A048C"/>
    <w:lvl w:ilvl="0" w:tplc="ACE2E66C">
      <w:start w:val="1"/>
      <w:numFmt w:val="lowerLetter"/>
      <w:lvlText w:val="(%1)"/>
      <w:lvlJc w:val="left"/>
      <w:pPr>
        <w:tabs>
          <w:tab w:val="num" w:pos="720"/>
        </w:tabs>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nsid w:val="643516F3"/>
    <w:multiLevelType w:val="singleLevel"/>
    <w:tmpl w:val="96689D62"/>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5">
    <w:nsid w:val="65577BC8"/>
    <w:multiLevelType w:val="hybridMultilevel"/>
    <w:tmpl w:val="E04A3B3C"/>
    <w:lvl w:ilvl="0" w:tplc="0C090001">
      <w:start w:val="1"/>
      <w:numFmt w:val="bullet"/>
      <w:lvlText w:val=""/>
      <w:lvlJc w:val="left"/>
      <w:pPr>
        <w:ind w:left="36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6">
    <w:nsid w:val="68A37516"/>
    <w:multiLevelType w:val="hybridMultilevel"/>
    <w:tmpl w:val="4126A864"/>
    <w:lvl w:ilvl="0" w:tplc="0C090001">
      <w:start w:val="1"/>
      <w:numFmt w:val="bullet"/>
      <w:lvlText w:val=""/>
      <w:lvlJc w:val="left"/>
      <w:pPr>
        <w:ind w:left="718"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27">
    <w:nsid w:val="7A05588F"/>
    <w:multiLevelType w:val="hybridMultilevel"/>
    <w:tmpl w:val="5C9421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6"/>
  </w:num>
  <w:num w:numId="2">
    <w:abstractNumId w:val="3"/>
  </w:num>
  <w:num w:numId="3">
    <w:abstractNumId w:val="28"/>
  </w:num>
  <w:num w:numId="4">
    <w:abstractNumId w:val="0"/>
  </w:num>
  <w:num w:numId="5">
    <w:abstractNumId w:val="19"/>
  </w:num>
  <w:num w:numId="6">
    <w:abstractNumId w:val="2"/>
  </w:num>
  <w:num w:numId="7">
    <w:abstractNumId w:val="24"/>
  </w:num>
  <w:num w:numId="8">
    <w:abstractNumId w:val="21"/>
  </w:num>
  <w:num w:numId="9">
    <w:abstractNumId w:val="29"/>
  </w:num>
  <w:num w:numId="10">
    <w:abstractNumId w:val="7"/>
  </w:num>
  <w:num w:numId="11">
    <w:abstractNumId w:val="20"/>
  </w:num>
  <w:num w:numId="12">
    <w:abstractNumId w:val="6"/>
  </w:num>
  <w:num w:numId="13">
    <w:abstractNumId w:val="5"/>
  </w:num>
  <w:num w:numId="14">
    <w:abstractNumId w:val="11"/>
  </w:num>
  <w:num w:numId="1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7"/>
  </w:num>
  <w:num w:numId="26">
    <w:abstractNumId w:val="20"/>
  </w:num>
  <w:num w:numId="27">
    <w:abstractNumId w:val="20"/>
  </w:num>
  <w:num w:numId="28">
    <w:abstractNumId w:val="1"/>
  </w:num>
  <w:num w:numId="29">
    <w:abstractNumId w:val="20"/>
  </w:num>
  <w:num w:numId="30">
    <w:abstractNumId w:val="4"/>
  </w:num>
  <w:num w:numId="31">
    <w:abstractNumId w:val="20"/>
  </w:num>
  <w:num w:numId="32">
    <w:abstractNumId w:val="20"/>
  </w:num>
  <w:num w:numId="33">
    <w:abstractNumId w:val="23"/>
  </w:num>
  <w:num w:numId="34">
    <w:abstractNumId w:val="18"/>
  </w:num>
  <w:num w:numId="35">
    <w:abstractNumId w:val="27"/>
  </w:num>
  <w:num w:numId="36">
    <w:abstractNumId w:val="26"/>
  </w:num>
  <w:num w:numId="3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BodyText"/>
  <w:evenAndOddHeaders/>
  <w:characterSpacingControl w:val="doNotCompress"/>
  <w:hdrShapeDefaults>
    <o:shapedefaults v:ext="edit" spidmax="1116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Vocational Education and Training DQI"/>
    <w:docVar w:name="ShortReportTitle" w:val="Report on Government Services 2012"/>
  </w:docVars>
  <w:rsids>
    <w:rsidRoot w:val="00B96E3E"/>
    <w:rsid w:val="0000415A"/>
    <w:rsid w:val="00010854"/>
    <w:rsid w:val="0001085B"/>
    <w:rsid w:val="000153D0"/>
    <w:rsid w:val="000260A5"/>
    <w:rsid w:val="00032021"/>
    <w:rsid w:val="00033993"/>
    <w:rsid w:val="00035368"/>
    <w:rsid w:val="0003664B"/>
    <w:rsid w:val="00037CB0"/>
    <w:rsid w:val="0004111F"/>
    <w:rsid w:val="00043C13"/>
    <w:rsid w:val="00044DFB"/>
    <w:rsid w:val="00045013"/>
    <w:rsid w:val="00050B54"/>
    <w:rsid w:val="00055D1F"/>
    <w:rsid w:val="0005632F"/>
    <w:rsid w:val="00062BC0"/>
    <w:rsid w:val="00063E84"/>
    <w:rsid w:val="000659D4"/>
    <w:rsid w:val="00066833"/>
    <w:rsid w:val="0006762E"/>
    <w:rsid w:val="00070798"/>
    <w:rsid w:val="0007150B"/>
    <w:rsid w:val="00072B50"/>
    <w:rsid w:val="00075E0C"/>
    <w:rsid w:val="00081A86"/>
    <w:rsid w:val="000828AF"/>
    <w:rsid w:val="000878F0"/>
    <w:rsid w:val="00090401"/>
    <w:rsid w:val="000938F5"/>
    <w:rsid w:val="00096F99"/>
    <w:rsid w:val="000A0627"/>
    <w:rsid w:val="000A0BB0"/>
    <w:rsid w:val="000B601B"/>
    <w:rsid w:val="000C11D1"/>
    <w:rsid w:val="000C207E"/>
    <w:rsid w:val="000C263E"/>
    <w:rsid w:val="000C4901"/>
    <w:rsid w:val="000D08A8"/>
    <w:rsid w:val="000D1F3A"/>
    <w:rsid w:val="000D221E"/>
    <w:rsid w:val="000D4A50"/>
    <w:rsid w:val="000E3B7C"/>
    <w:rsid w:val="000E6F99"/>
    <w:rsid w:val="000F4744"/>
    <w:rsid w:val="000F64E7"/>
    <w:rsid w:val="00101653"/>
    <w:rsid w:val="00106F9F"/>
    <w:rsid w:val="00107F88"/>
    <w:rsid w:val="00110116"/>
    <w:rsid w:val="00126EB8"/>
    <w:rsid w:val="001305D2"/>
    <w:rsid w:val="00135150"/>
    <w:rsid w:val="001363AA"/>
    <w:rsid w:val="00156D50"/>
    <w:rsid w:val="00163E8D"/>
    <w:rsid w:val="001654FD"/>
    <w:rsid w:val="00165A9D"/>
    <w:rsid w:val="00173352"/>
    <w:rsid w:val="00173BD2"/>
    <w:rsid w:val="0018246A"/>
    <w:rsid w:val="00190192"/>
    <w:rsid w:val="0019293B"/>
    <w:rsid w:val="001939EA"/>
    <w:rsid w:val="00195291"/>
    <w:rsid w:val="00196EAD"/>
    <w:rsid w:val="0019761A"/>
    <w:rsid w:val="001A14AB"/>
    <w:rsid w:val="001A6E25"/>
    <w:rsid w:val="001A7053"/>
    <w:rsid w:val="001A7971"/>
    <w:rsid w:val="001B698F"/>
    <w:rsid w:val="001C0865"/>
    <w:rsid w:val="001C1401"/>
    <w:rsid w:val="001C3318"/>
    <w:rsid w:val="001C3ABA"/>
    <w:rsid w:val="001C4615"/>
    <w:rsid w:val="001C76AC"/>
    <w:rsid w:val="001C7F97"/>
    <w:rsid w:val="001D1BF0"/>
    <w:rsid w:val="001D35B6"/>
    <w:rsid w:val="001D3CBE"/>
    <w:rsid w:val="001E21E9"/>
    <w:rsid w:val="001E7BE8"/>
    <w:rsid w:val="001F0248"/>
    <w:rsid w:val="001F3829"/>
    <w:rsid w:val="001F424E"/>
    <w:rsid w:val="00202C2C"/>
    <w:rsid w:val="00203D32"/>
    <w:rsid w:val="00204533"/>
    <w:rsid w:val="00206097"/>
    <w:rsid w:val="00210245"/>
    <w:rsid w:val="00211652"/>
    <w:rsid w:val="00211855"/>
    <w:rsid w:val="0021260D"/>
    <w:rsid w:val="0021621B"/>
    <w:rsid w:val="00222A89"/>
    <w:rsid w:val="002242C5"/>
    <w:rsid w:val="00227152"/>
    <w:rsid w:val="0023416C"/>
    <w:rsid w:val="002371BA"/>
    <w:rsid w:val="00237E9A"/>
    <w:rsid w:val="00240478"/>
    <w:rsid w:val="00242279"/>
    <w:rsid w:val="00247F7B"/>
    <w:rsid w:val="00250E9B"/>
    <w:rsid w:val="002527FD"/>
    <w:rsid w:val="00256302"/>
    <w:rsid w:val="00256C31"/>
    <w:rsid w:val="00257902"/>
    <w:rsid w:val="002714B9"/>
    <w:rsid w:val="0027369E"/>
    <w:rsid w:val="0027495C"/>
    <w:rsid w:val="00276D92"/>
    <w:rsid w:val="00282B08"/>
    <w:rsid w:val="0029053E"/>
    <w:rsid w:val="00291B40"/>
    <w:rsid w:val="00291D34"/>
    <w:rsid w:val="002A02D9"/>
    <w:rsid w:val="002B126A"/>
    <w:rsid w:val="002B287E"/>
    <w:rsid w:val="002B4008"/>
    <w:rsid w:val="002B4CC9"/>
    <w:rsid w:val="002B7AF0"/>
    <w:rsid w:val="002D0E8E"/>
    <w:rsid w:val="002D2910"/>
    <w:rsid w:val="002D3C38"/>
    <w:rsid w:val="002E248B"/>
    <w:rsid w:val="002E6155"/>
    <w:rsid w:val="002E771E"/>
    <w:rsid w:val="002F3261"/>
    <w:rsid w:val="00301189"/>
    <w:rsid w:val="00302802"/>
    <w:rsid w:val="0030756B"/>
    <w:rsid w:val="003128CC"/>
    <w:rsid w:val="00313A9F"/>
    <w:rsid w:val="0032345F"/>
    <w:rsid w:val="00323E09"/>
    <w:rsid w:val="0033121A"/>
    <w:rsid w:val="00331500"/>
    <w:rsid w:val="003320B7"/>
    <w:rsid w:val="00333932"/>
    <w:rsid w:val="003427EC"/>
    <w:rsid w:val="0034473B"/>
    <w:rsid w:val="003518AA"/>
    <w:rsid w:val="00351D77"/>
    <w:rsid w:val="00353182"/>
    <w:rsid w:val="00356250"/>
    <w:rsid w:val="00357160"/>
    <w:rsid w:val="003602E1"/>
    <w:rsid w:val="00371240"/>
    <w:rsid w:val="003734AC"/>
    <w:rsid w:val="00374731"/>
    <w:rsid w:val="003756D7"/>
    <w:rsid w:val="00377BB6"/>
    <w:rsid w:val="00377E23"/>
    <w:rsid w:val="003831B0"/>
    <w:rsid w:val="003917CB"/>
    <w:rsid w:val="00391AC1"/>
    <w:rsid w:val="00395D4C"/>
    <w:rsid w:val="00395EF2"/>
    <w:rsid w:val="003968F4"/>
    <w:rsid w:val="003B11B3"/>
    <w:rsid w:val="003B2856"/>
    <w:rsid w:val="003B4408"/>
    <w:rsid w:val="003B6FF3"/>
    <w:rsid w:val="003B7067"/>
    <w:rsid w:val="003C2BC2"/>
    <w:rsid w:val="003C38B5"/>
    <w:rsid w:val="003C3B5D"/>
    <w:rsid w:val="003C3EC4"/>
    <w:rsid w:val="003C5D99"/>
    <w:rsid w:val="003D34A8"/>
    <w:rsid w:val="003D7904"/>
    <w:rsid w:val="003F0291"/>
    <w:rsid w:val="003F0789"/>
    <w:rsid w:val="003F51AC"/>
    <w:rsid w:val="00401882"/>
    <w:rsid w:val="004038B4"/>
    <w:rsid w:val="00404F8B"/>
    <w:rsid w:val="004052E5"/>
    <w:rsid w:val="004100C8"/>
    <w:rsid w:val="00412ACE"/>
    <w:rsid w:val="00414A47"/>
    <w:rsid w:val="00417A45"/>
    <w:rsid w:val="00425CF8"/>
    <w:rsid w:val="004279EE"/>
    <w:rsid w:val="00431249"/>
    <w:rsid w:val="00434C19"/>
    <w:rsid w:val="004366E5"/>
    <w:rsid w:val="00440520"/>
    <w:rsid w:val="00442BDE"/>
    <w:rsid w:val="00450810"/>
    <w:rsid w:val="004549A9"/>
    <w:rsid w:val="004633B4"/>
    <w:rsid w:val="004671F8"/>
    <w:rsid w:val="0046785D"/>
    <w:rsid w:val="00471309"/>
    <w:rsid w:val="0047376D"/>
    <w:rsid w:val="00477144"/>
    <w:rsid w:val="00477897"/>
    <w:rsid w:val="004812E7"/>
    <w:rsid w:val="004817C1"/>
    <w:rsid w:val="004821DF"/>
    <w:rsid w:val="00487576"/>
    <w:rsid w:val="0049304C"/>
    <w:rsid w:val="004932E5"/>
    <w:rsid w:val="0049459F"/>
    <w:rsid w:val="00495FF8"/>
    <w:rsid w:val="004A6E56"/>
    <w:rsid w:val="004A6FD8"/>
    <w:rsid w:val="004A75E6"/>
    <w:rsid w:val="004B3086"/>
    <w:rsid w:val="004B43AE"/>
    <w:rsid w:val="004B685E"/>
    <w:rsid w:val="004B7494"/>
    <w:rsid w:val="004C2D31"/>
    <w:rsid w:val="004C30ED"/>
    <w:rsid w:val="004C5787"/>
    <w:rsid w:val="004C7CE7"/>
    <w:rsid w:val="004D2892"/>
    <w:rsid w:val="004E5241"/>
    <w:rsid w:val="004E577D"/>
    <w:rsid w:val="004E6A74"/>
    <w:rsid w:val="004E6E5C"/>
    <w:rsid w:val="004E6E88"/>
    <w:rsid w:val="004F3723"/>
    <w:rsid w:val="004F37A7"/>
    <w:rsid w:val="004F62FD"/>
    <w:rsid w:val="004F6D5D"/>
    <w:rsid w:val="004F7C4C"/>
    <w:rsid w:val="00501EF8"/>
    <w:rsid w:val="00504F21"/>
    <w:rsid w:val="0050738F"/>
    <w:rsid w:val="00507BC7"/>
    <w:rsid w:val="00513314"/>
    <w:rsid w:val="005158B1"/>
    <w:rsid w:val="005167FD"/>
    <w:rsid w:val="0052242A"/>
    <w:rsid w:val="00525FCB"/>
    <w:rsid w:val="00530DD3"/>
    <w:rsid w:val="0053401B"/>
    <w:rsid w:val="005366F2"/>
    <w:rsid w:val="00544E63"/>
    <w:rsid w:val="005455AC"/>
    <w:rsid w:val="00546B24"/>
    <w:rsid w:val="0055658E"/>
    <w:rsid w:val="00557414"/>
    <w:rsid w:val="00560346"/>
    <w:rsid w:val="0056248A"/>
    <w:rsid w:val="00582208"/>
    <w:rsid w:val="00582497"/>
    <w:rsid w:val="00582952"/>
    <w:rsid w:val="00583C39"/>
    <w:rsid w:val="005909CF"/>
    <w:rsid w:val="00591E71"/>
    <w:rsid w:val="00593810"/>
    <w:rsid w:val="00593F78"/>
    <w:rsid w:val="005970A0"/>
    <w:rsid w:val="005A0D14"/>
    <w:rsid w:val="005A1D61"/>
    <w:rsid w:val="005A5ACB"/>
    <w:rsid w:val="005B11D7"/>
    <w:rsid w:val="005C1818"/>
    <w:rsid w:val="005C68B0"/>
    <w:rsid w:val="005C7CE6"/>
    <w:rsid w:val="005E066E"/>
    <w:rsid w:val="005E0963"/>
    <w:rsid w:val="005E2844"/>
    <w:rsid w:val="005E605C"/>
    <w:rsid w:val="005F03FC"/>
    <w:rsid w:val="005F2A29"/>
    <w:rsid w:val="00604F9C"/>
    <w:rsid w:val="00607BAA"/>
    <w:rsid w:val="00607BF1"/>
    <w:rsid w:val="00612D94"/>
    <w:rsid w:val="00630D4D"/>
    <w:rsid w:val="00632A74"/>
    <w:rsid w:val="006340A3"/>
    <w:rsid w:val="00635344"/>
    <w:rsid w:val="00636B8C"/>
    <w:rsid w:val="00636D68"/>
    <w:rsid w:val="00644B3E"/>
    <w:rsid w:val="00645C35"/>
    <w:rsid w:val="00647BAE"/>
    <w:rsid w:val="00654066"/>
    <w:rsid w:val="0066417F"/>
    <w:rsid w:val="00664513"/>
    <w:rsid w:val="00666D1D"/>
    <w:rsid w:val="0067365B"/>
    <w:rsid w:val="0068153D"/>
    <w:rsid w:val="006820B5"/>
    <w:rsid w:val="0068457F"/>
    <w:rsid w:val="00684DB8"/>
    <w:rsid w:val="0069744C"/>
    <w:rsid w:val="006A10EE"/>
    <w:rsid w:val="006A1137"/>
    <w:rsid w:val="006A12BD"/>
    <w:rsid w:val="006A4655"/>
    <w:rsid w:val="006A6DDF"/>
    <w:rsid w:val="006B0837"/>
    <w:rsid w:val="006B61B4"/>
    <w:rsid w:val="006C3528"/>
    <w:rsid w:val="006C4C8F"/>
    <w:rsid w:val="006C4D76"/>
    <w:rsid w:val="006C7038"/>
    <w:rsid w:val="006E0230"/>
    <w:rsid w:val="006E0702"/>
    <w:rsid w:val="006E6135"/>
    <w:rsid w:val="006E73EF"/>
    <w:rsid w:val="006F0D3C"/>
    <w:rsid w:val="006F1EBC"/>
    <w:rsid w:val="006F4072"/>
    <w:rsid w:val="006F5A92"/>
    <w:rsid w:val="00702250"/>
    <w:rsid w:val="007056F1"/>
    <w:rsid w:val="007064E9"/>
    <w:rsid w:val="007066FD"/>
    <w:rsid w:val="007137BC"/>
    <w:rsid w:val="00715A0B"/>
    <w:rsid w:val="00716CC0"/>
    <w:rsid w:val="00722AD4"/>
    <w:rsid w:val="00724E2A"/>
    <w:rsid w:val="00730827"/>
    <w:rsid w:val="00731481"/>
    <w:rsid w:val="00735300"/>
    <w:rsid w:val="007371E2"/>
    <w:rsid w:val="007444FB"/>
    <w:rsid w:val="00753515"/>
    <w:rsid w:val="00754F93"/>
    <w:rsid w:val="007553F3"/>
    <w:rsid w:val="007604BB"/>
    <w:rsid w:val="00765BDA"/>
    <w:rsid w:val="00772353"/>
    <w:rsid w:val="00772DAD"/>
    <w:rsid w:val="00783FDA"/>
    <w:rsid w:val="00784200"/>
    <w:rsid w:val="00794B4C"/>
    <w:rsid w:val="007A0D49"/>
    <w:rsid w:val="007A21EB"/>
    <w:rsid w:val="007A265A"/>
    <w:rsid w:val="007A3119"/>
    <w:rsid w:val="007A764E"/>
    <w:rsid w:val="007B3ABE"/>
    <w:rsid w:val="007B63F5"/>
    <w:rsid w:val="007C0724"/>
    <w:rsid w:val="007C36C9"/>
    <w:rsid w:val="007C43EC"/>
    <w:rsid w:val="007C736C"/>
    <w:rsid w:val="007C79D3"/>
    <w:rsid w:val="007C79DA"/>
    <w:rsid w:val="007D0BFD"/>
    <w:rsid w:val="007D21A0"/>
    <w:rsid w:val="007D66CA"/>
    <w:rsid w:val="007E01E4"/>
    <w:rsid w:val="007E1567"/>
    <w:rsid w:val="007E2755"/>
    <w:rsid w:val="007E364C"/>
    <w:rsid w:val="007E6B15"/>
    <w:rsid w:val="007E6C3A"/>
    <w:rsid w:val="007F080D"/>
    <w:rsid w:val="007F08C2"/>
    <w:rsid w:val="007F2378"/>
    <w:rsid w:val="007F7107"/>
    <w:rsid w:val="00801895"/>
    <w:rsid w:val="00803FAD"/>
    <w:rsid w:val="0081030F"/>
    <w:rsid w:val="008112E0"/>
    <w:rsid w:val="00813ABE"/>
    <w:rsid w:val="00814046"/>
    <w:rsid w:val="0082087D"/>
    <w:rsid w:val="00823B25"/>
    <w:rsid w:val="0082557D"/>
    <w:rsid w:val="00827604"/>
    <w:rsid w:val="00833D17"/>
    <w:rsid w:val="008353B9"/>
    <w:rsid w:val="008377E7"/>
    <w:rsid w:val="008404F2"/>
    <w:rsid w:val="008447A7"/>
    <w:rsid w:val="00853268"/>
    <w:rsid w:val="00854AF1"/>
    <w:rsid w:val="00857672"/>
    <w:rsid w:val="0086082C"/>
    <w:rsid w:val="00864ADC"/>
    <w:rsid w:val="00873488"/>
    <w:rsid w:val="00874DB4"/>
    <w:rsid w:val="0087737B"/>
    <w:rsid w:val="00880153"/>
    <w:rsid w:val="00880F97"/>
    <w:rsid w:val="0088133A"/>
    <w:rsid w:val="00883DCF"/>
    <w:rsid w:val="00885C6B"/>
    <w:rsid w:val="00887858"/>
    <w:rsid w:val="00891D67"/>
    <w:rsid w:val="0089285E"/>
    <w:rsid w:val="008929C7"/>
    <w:rsid w:val="0089436C"/>
    <w:rsid w:val="008A48B7"/>
    <w:rsid w:val="008C00BE"/>
    <w:rsid w:val="008C2EAF"/>
    <w:rsid w:val="008C50BE"/>
    <w:rsid w:val="008D00CF"/>
    <w:rsid w:val="008D3CEB"/>
    <w:rsid w:val="008D49F1"/>
    <w:rsid w:val="008E16E3"/>
    <w:rsid w:val="008F2084"/>
    <w:rsid w:val="008F229C"/>
    <w:rsid w:val="008F23A1"/>
    <w:rsid w:val="008F4871"/>
    <w:rsid w:val="008F7987"/>
    <w:rsid w:val="009012EA"/>
    <w:rsid w:val="00902803"/>
    <w:rsid w:val="009030BF"/>
    <w:rsid w:val="00905E38"/>
    <w:rsid w:val="00906994"/>
    <w:rsid w:val="009106F0"/>
    <w:rsid w:val="00910E51"/>
    <w:rsid w:val="009122D6"/>
    <w:rsid w:val="00914368"/>
    <w:rsid w:val="00916C50"/>
    <w:rsid w:val="00917109"/>
    <w:rsid w:val="009178BD"/>
    <w:rsid w:val="00921861"/>
    <w:rsid w:val="009309BB"/>
    <w:rsid w:val="00931076"/>
    <w:rsid w:val="009345D9"/>
    <w:rsid w:val="00934B15"/>
    <w:rsid w:val="00937F9F"/>
    <w:rsid w:val="00942B62"/>
    <w:rsid w:val="00944C01"/>
    <w:rsid w:val="00944D4A"/>
    <w:rsid w:val="00955B16"/>
    <w:rsid w:val="009564F2"/>
    <w:rsid w:val="00956A0C"/>
    <w:rsid w:val="00956BD9"/>
    <w:rsid w:val="00962489"/>
    <w:rsid w:val="009630F0"/>
    <w:rsid w:val="00964D1A"/>
    <w:rsid w:val="00965610"/>
    <w:rsid w:val="009661FD"/>
    <w:rsid w:val="00966CF5"/>
    <w:rsid w:val="0097125C"/>
    <w:rsid w:val="00972785"/>
    <w:rsid w:val="00980CE7"/>
    <w:rsid w:val="00984DC3"/>
    <w:rsid w:val="00986035"/>
    <w:rsid w:val="00991FB8"/>
    <w:rsid w:val="00995521"/>
    <w:rsid w:val="0099620F"/>
    <w:rsid w:val="0099785F"/>
    <w:rsid w:val="009A19A9"/>
    <w:rsid w:val="009A6E2F"/>
    <w:rsid w:val="009B18A0"/>
    <w:rsid w:val="009B1A18"/>
    <w:rsid w:val="009B3823"/>
    <w:rsid w:val="009B547D"/>
    <w:rsid w:val="009D2674"/>
    <w:rsid w:val="009D2BB2"/>
    <w:rsid w:val="009D5D88"/>
    <w:rsid w:val="009E27B8"/>
    <w:rsid w:val="009E4070"/>
    <w:rsid w:val="009E76E0"/>
    <w:rsid w:val="009F14EE"/>
    <w:rsid w:val="009F199D"/>
    <w:rsid w:val="009F696D"/>
    <w:rsid w:val="009F6BC6"/>
    <w:rsid w:val="00A00BBA"/>
    <w:rsid w:val="00A01AF2"/>
    <w:rsid w:val="00A0683E"/>
    <w:rsid w:val="00A12BEA"/>
    <w:rsid w:val="00A16EAC"/>
    <w:rsid w:val="00A17328"/>
    <w:rsid w:val="00A200CD"/>
    <w:rsid w:val="00A239BB"/>
    <w:rsid w:val="00A24340"/>
    <w:rsid w:val="00A2703A"/>
    <w:rsid w:val="00A31A65"/>
    <w:rsid w:val="00A3292F"/>
    <w:rsid w:val="00A33879"/>
    <w:rsid w:val="00A33DA6"/>
    <w:rsid w:val="00A33DFF"/>
    <w:rsid w:val="00A35115"/>
    <w:rsid w:val="00A3758E"/>
    <w:rsid w:val="00A377A9"/>
    <w:rsid w:val="00A44746"/>
    <w:rsid w:val="00A45370"/>
    <w:rsid w:val="00A50EE0"/>
    <w:rsid w:val="00A554AB"/>
    <w:rsid w:val="00A56B7B"/>
    <w:rsid w:val="00A71422"/>
    <w:rsid w:val="00A7432A"/>
    <w:rsid w:val="00A74624"/>
    <w:rsid w:val="00A75B94"/>
    <w:rsid w:val="00A81D68"/>
    <w:rsid w:val="00A918A7"/>
    <w:rsid w:val="00A91952"/>
    <w:rsid w:val="00A94726"/>
    <w:rsid w:val="00A94FA6"/>
    <w:rsid w:val="00A95137"/>
    <w:rsid w:val="00A95241"/>
    <w:rsid w:val="00A97467"/>
    <w:rsid w:val="00AA6710"/>
    <w:rsid w:val="00AB0681"/>
    <w:rsid w:val="00AB1021"/>
    <w:rsid w:val="00AC25DC"/>
    <w:rsid w:val="00AC6252"/>
    <w:rsid w:val="00AD211C"/>
    <w:rsid w:val="00AD22CA"/>
    <w:rsid w:val="00AD77E4"/>
    <w:rsid w:val="00AE2DAF"/>
    <w:rsid w:val="00AE2DD3"/>
    <w:rsid w:val="00AF194F"/>
    <w:rsid w:val="00AF737D"/>
    <w:rsid w:val="00B05A88"/>
    <w:rsid w:val="00B10B3B"/>
    <w:rsid w:val="00B216F7"/>
    <w:rsid w:val="00B22002"/>
    <w:rsid w:val="00B22C32"/>
    <w:rsid w:val="00B27699"/>
    <w:rsid w:val="00B303E8"/>
    <w:rsid w:val="00B32D65"/>
    <w:rsid w:val="00B50306"/>
    <w:rsid w:val="00B53114"/>
    <w:rsid w:val="00B5376F"/>
    <w:rsid w:val="00B53E7E"/>
    <w:rsid w:val="00B540BC"/>
    <w:rsid w:val="00B6318D"/>
    <w:rsid w:val="00B6342E"/>
    <w:rsid w:val="00B651D5"/>
    <w:rsid w:val="00B67DFA"/>
    <w:rsid w:val="00B70FFA"/>
    <w:rsid w:val="00B7113F"/>
    <w:rsid w:val="00B76C5D"/>
    <w:rsid w:val="00B82092"/>
    <w:rsid w:val="00B86549"/>
    <w:rsid w:val="00B86A90"/>
    <w:rsid w:val="00B9194C"/>
    <w:rsid w:val="00B95CAB"/>
    <w:rsid w:val="00B96E3E"/>
    <w:rsid w:val="00BA73B6"/>
    <w:rsid w:val="00BB2AD6"/>
    <w:rsid w:val="00BB4FCD"/>
    <w:rsid w:val="00BB52CD"/>
    <w:rsid w:val="00BB531B"/>
    <w:rsid w:val="00BC16F8"/>
    <w:rsid w:val="00BC2377"/>
    <w:rsid w:val="00BC3AA3"/>
    <w:rsid w:val="00BD13EA"/>
    <w:rsid w:val="00BE0209"/>
    <w:rsid w:val="00BE375B"/>
    <w:rsid w:val="00BE3808"/>
    <w:rsid w:val="00BE7173"/>
    <w:rsid w:val="00BE7FDB"/>
    <w:rsid w:val="00BF56E9"/>
    <w:rsid w:val="00BF5DA0"/>
    <w:rsid w:val="00C01491"/>
    <w:rsid w:val="00C039AF"/>
    <w:rsid w:val="00C062E9"/>
    <w:rsid w:val="00C1035B"/>
    <w:rsid w:val="00C13721"/>
    <w:rsid w:val="00C13C0D"/>
    <w:rsid w:val="00C13DB6"/>
    <w:rsid w:val="00C14CAD"/>
    <w:rsid w:val="00C168A1"/>
    <w:rsid w:val="00C17B56"/>
    <w:rsid w:val="00C23689"/>
    <w:rsid w:val="00C30F95"/>
    <w:rsid w:val="00C341A4"/>
    <w:rsid w:val="00C423F3"/>
    <w:rsid w:val="00C43E88"/>
    <w:rsid w:val="00C45D2C"/>
    <w:rsid w:val="00C52E9C"/>
    <w:rsid w:val="00C543F4"/>
    <w:rsid w:val="00C546CE"/>
    <w:rsid w:val="00C61376"/>
    <w:rsid w:val="00C6291C"/>
    <w:rsid w:val="00C633CB"/>
    <w:rsid w:val="00C66FA0"/>
    <w:rsid w:val="00C736D5"/>
    <w:rsid w:val="00C74137"/>
    <w:rsid w:val="00C744E0"/>
    <w:rsid w:val="00C82DF9"/>
    <w:rsid w:val="00C870FC"/>
    <w:rsid w:val="00C8762C"/>
    <w:rsid w:val="00C933F7"/>
    <w:rsid w:val="00C96230"/>
    <w:rsid w:val="00CA00F9"/>
    <w:rsid w:val="00CA2961"/>
    <w:rsid w:val="00CA481F"/>
    <w:rsid w:val="00CB2B41"/>
    <w:rsid w:val="00CB2BAA"/>
    <w:rsid w:val="00CB500D"/>
    <w:rsid w:val="00CB50D7"/>
    <w:rsid w:val="00CB6200"/>
    <w:rsid w:val="00CB7177"/>
    <w:rsid w:val="00CC0DC0"/>
    <w:rsid w:val="00CC1998"/>
    <w:rsid w:val="00CC3819"/>
    <w:rsid w:val="00CC4946"/>
    <w:rsid w:val="00CC5BFC"/>
    <w:rsid w:val="00CC6152"/>
    <w:rsid w:val="00CE7D3C"/>
    <w:rsid w:val="00CF189C"/>
    <w:rsid w:val="00CF5B72"/>
    <w:rsid w:val="00D010B7"/>
    <w:rsid w:val="00D0281A"/>
    <w:rsid w:val="00D03D6B"/>
    <w:rsid w:val="00D1110B"/>
    <w:rsid w:val="00D15ADD"/>
    <w:rsid w:val="00D20DCB"/>
    <w:rsid w:val="00D21520"/>
    <w:rsid w:val="00D2412D"/>
    <w:rsid w:val="00D25CC8"/>
    <w:rsid w:val="00D270A4"/>
    <w:rsid w:val="00D27589"/>
    <w:rsid w:val="00D34E1B"/>
    <w:rsid w:val="00D37ACC"/>
    <w:rsid w:val="00D406AF"/>
    <w:rsid w:val="00D46AC0"/>
    <w:rsid w:val="00D54CFC"/>
    <w:rsid w:val="00D57375"/>
    <w:rsid w:val="00D6179F"/>
    <w:rsid w:val="00D63C78"/>
    <w:rsid w:val="00D63D73"/>
    <w:rsid w:val="00D66CEF"/>
    <w:rsid w:val="00D66E1E"/>
    <w:rsid w:val="00D67303"/>
    <w:rsid w:val="00D738E2"/>
    <w:rsid w:val="00D74546"/>
    <w:rsid w:val="00D75722"/>
    <w:rsid w:val="00D76509"/>
    <w:rsid w:val="00D867B1"/>
    <w:rsid w:val="00D86CD7"/>
    <w:rsid w:val="00D91108"/>
    <w:rsid w:val="00D94226"/>
    <w:rsid w:val="00D94811"/>
    <w:rsid w:val="00D95B0F"/>
    <w:rsid w:val="00DA1CC9"/>
    <w:rsid w:val="00DA54DD"/>
    <w:rsid w:val="00DB67C9"/>
    <w:rsid w:val="00DC0C95"/>
    <w:rsid w:val="00DC71EF"/>
    <w:rsid w:val="00DD3D61"/>
    <w:rsid w:val="00DD55B0"/>
    <w:rsid w:val="00DD6580"/>
    <w:rsid w:val="00DE36F2"/>
    <w:rsid w:val="00DF031A"/>
    <w:rsid w:val="00DF3EEB"/>
    <w:rsid w:val="00E014F2"/>
    <w:rsid w:val="00E01646"/>
    <w:rsid w:val="00E01822"/>
    <w:rsid w:val="00E05501"/>
    <w:rsid w:val="00E063FF"/>
    <w:rsid w:val="00E10C9C"/>
    <w:rsid w:val="00E12BB7"/>
    <w:rsid w:val="00E16D0A"/>
    <w:rsid w:val="00E17082"/>
    <w:rsid w:val="00E17C72"/>
    <w:rsid w:val="00E24E83"/>
    <w:rsid w:val="00E2640B"/>
    <w:rsid w:val="00E2757D"/>
    <w:rsid w:val="00E33D8F"/>
    <w:rsid w:val="00E40F74"/>
    <w:rsid w:val="00E44806"/>
    <w:rsid w:val="00E50019"/>
    <w:rsid w:val="00E669E2"/>
    <w:rsid w:val="00E67440"/>
    <w:rsid w:val="00E72DFC"/>
    <w:rsid w:val="00E7451F"/>
    <w:rsid w:val="00E76135"/>
    <w:rsid w:val="00E7685D"/>
    <w:rsid w:val="00E76E98"/>
    <w:rsid w:val="00E83B0B"/>
    <w:rsid w:val="00E862F3"/>
    <w:rsid w:val="00E86448"/>
    <w:rsid w:val="00E865AC"/>
    <w:rsid w:val="00E877F6"/>
    <w:rsid w:val="00E90398"/>
    <w:rsid w:val="00E91148"/>
    <w:rsid w:val="00E91CDA"/>
    <w:rsid w:val="00EA2AAB"/>
    <w:rsid w:val="00EB1CE3"/>
    <w:rsid w:val="00EB36A1"/>
    <w:rsid w:val="00EC5697"/>
    <w:rsid w:val="00EC5E2C"/>
    <w:rsid w:val="00EC651C"/>
    <w:rsid w:val="00ED1E9C"/>
    <w:rsid w:val="00ED3AA8"/>
    <w:rsid w:val="00ED58B3"/>
    <w:rsid w:val="00ED5D0D"/>
    <w:rsid w:val="00EE3D80"/>
    <w:rsid w:val="00EF5328"/>
    <w:rsid w:val="00EF71BA"/>
    <w:rsid w:val="00EF7BAE"/>
    <w:rsid w:val="00F056FC"/>
    <w:rsid w:val="00F104FC"/>
    <w:rsid w:val="00F127FA"/>
    <w:rsid w:val="00F135D8"/>
    <w:rsid w:val="00F26C33"/>
    <w:rsid w:val="00F26D5B"/>
    <w:rsid w:val="00F30B63"/>
    <w:rsid w:val="00F30C6C"/>
    <w:rsid w:val="00F31299"/>
    <w:rsid w:val="00F3263B"/>
    <w:rsid w:val="00F32BC8"/>
    <w:rsid w:val="00F3534A"/>
    <w:rsid w:val="00F4327E"/>
    <w:rsid w:val="00F46117"/>
    <w:rsid w:val="00F47708"/>
    <w:rsid w:val="00F56081"/>
    <w:rsid w:val="00F63519"/>
    <w:rsid w:val="00F65E9A"/>
    <w:rsid w:val="00F664AB"/>
    <w:rsid w:val="00F66F58"/>
    <w:rsid w:val="00F72A6A"/>
    <w:rsid w:val="00F85325"/>
    <w:rsid w:val="00F90328"/>
    <w:rsid w:val="00F92B6F"/>
    <w:rsid w:val="00F96165"/>
    <w:rsid w:val="00FA05D6"/>
    <w:rsid w:val="00FA20C6"/>
    <w:rsid w:val="00FA50E5"/>
    <w:rsid w:val="00FB2435"/>
    <w:rsid w:val="00FC157D"/>
    <w:rsid w:val="00FC5421"/>
    <w:rsid w:val="00FC66C8"/>
    <w:rsid w:val="00FD1AEB"/>
    <w:rsid w:val="00FD22B1"/>
    <w:rsid w:val="00FD3878"/>
    <w:rsid w:val="00FD4528"/>
    <w:rsid w:val="00FD6ED4"/>
    <w:rsid w:val="00FE30C9"/>
    <w:rsid w:val="00FE33AA"/>
    <w:rsid w:val="00FE57FB"/>
    <w:rsid w:val="00FE69F9"/>
    <w:rsid w:val="00FF186A"/>
    <w:rsid w:val="00FF24E3"/>
    <w:rsid w:val="00FF27CE"/>
    <w:rsid w:val="00FF516F"/>
    <w:rsid w:val="00FF7E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2952"/>
    <w:rPr>
      <w:sz w:val="26"/>
      <w:szCs w:val="24"/>
    </w:rPr>
  </w:style>
  <w:style w:type="paragraph" w:styleId="Heading1">
    <w:name w:val="heading 1"/>
    <w:basedOn w:val="Normal"/>
    <w:next w:val="BodyText"/>
    <w:qForma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qFormat/>
    <w:rsid w:val="00A17328"/>
    <w:pPr>
      <w:spacing w:after="60"/>
      <w:jc w:val="left"/>
      <w:outlineLvl w:val="5"/>
    </w:pPr>
    <w:rPr>
      <w:i/>
      <w:sz w:val="22"/>
    </w:rPr>
  </w:style>
  <w:style w:type="paragraph" w:styleId="Heading7">
    <w:name w:val="heading 7"/>
    <w:basedOn w:val="BodyText"/>
    <w:next w:val="BodyText"/>
    <w:qFormat/>
    <w:rsid w:val="00A17328"/>
    <w:pPr>
      <w:spacing w:after="60" w:line="240" w:lineRule="auto"/>
      <w:jc w:val="left"/>
      <w:outlineLvl w:val="6"/>
    </w:pPr>
    <w:rPr>
      <w:rFonts w:ascii="Arial" w:hAnsi="Arial"/>
      <w:sz w:val="20"/>
    </w:rPr>
  </w:style>
  <w:style w:type="paragraph" w:styleId="Heading8">
    <w:name w:val="heading 8"/>
    <w:basedOn w:val="BodyText"/>
    <w:next w:val="BodyText"/>
    <w:qFormat/>
    <w:rsid w:val="00A17328"/>
    <w:pPr>
      <w:spacing w:after="60" w:line="240" w:lineRule="auto"/>
      <w:jc w:val="left"/>
      <w:outlineLvl w:val="7"/>
    </w:pPr>
    <w:rPr>
      <w:rFonts w:ascii="Arial" w:hAnsi="Arial"/>
      <w:i/>
      <w:sz w:val="20"/>
    </w:rPr>
  </w:style>
  <w:style w:type="paragraph" w:styleId="Heading9">
    <w:name w:val="heading 9"/>
    <w:basedOn w:val="BodyText"/>
    <w:next w:val="BodyText"/>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055D1F"/>
    <w:rPr>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character" w:styleId="Hyperlink">
    <w:name w:val="Hyperlink"/>
    <w:basedOn w:val="DefaultParagraphFont"/>
    <w:uiPriority w:val="99"/>
    <w:rsid w:val="00B96E3E"/>
    <w:rPr>
      <w:color w:val="0000FF"/>
      <w:u w:val="single"/>
    </w:rPr>
  </w:style>
  <w:style w:type="paragraph" w:customStyle="1" w:styleId="Text">
    <w:name w:val="Text"/>
    <w:link w:val="TextChar"/>
    <w:rsid w:val="00222A89"/>
    <w:pPr>
      <w:spacing w:before="200" w:line="260" w:lineRule="exact"/>
    </w:pPr>
    <w:rPr>
      <w:rFonts w:ascii="Garamond" w:hAnsi="Garamond"/>
      <w:sz w:val="22"/>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extChar">
    <w:name w:val="Text Char"/>
    <w:basedOn w:val="DefaultParagraphFont"/>
    <w:link w:val="Text"/>
    <w:locked/>
    <w:rsid w:val="00222A89"/>
    <w:rPr>
      <w:rFonts w:ascii="Garamond" w:hAnsi="Garamond"/>
      <w:sz w:val="22"/>
      <w:lang w:val="en-AU" w:eastAsia="en-AU" w:bidi="ar-SA"/>
    </w:rPr>
  </w:style>
  <w:style w:type="paragraph" w:customStyle="1" w:styleId="tabletitle0">
    <w:name w:val="tabletitle"/>
    <w:next w:val="Text"/>
    <w:rsid w:val="00222A89"/>
    <w:pPr>
      <w:tabs>
        <w:tab w:val="left" w:pos="992"/>
      </w:tabs>
      <w:spacing w:before="360" w:after="80"/>
    </w:pPr>
    <w:rPr>
      <w:rFonts w:ascii="Arial" w:hAnsi="Arial"/>
      <w:b/>
      <w:sz w:val="17"/>
    </w:rPr>
  </w:style>
  <w:style w:type="paragraph" w:customStyle="1" w:styleId="Tablehead1">
    <w:name w:val="Tablehead1"/>
    <w:rsid w:val="00222A89"/>
    <w:pPr>
      <w:spacing w:before="80" w:after="80"/>
    </w:pPr>
    <w:rPr>
      <w:rFonts w:ascii="Arial" w:hAnsi="Arial"/>
      <w:b/>
      <w:sz w:val="17"/>
    </w:rPr>
  </w:style>
  <w:style w:type="paragraph" w:customStyle="1" w:styleId="Tablehead2">
    <w:name w:val="Tablehead2"/>
    <w:basedOn w:val="Tablehead1"/>
    <w:rsid w:val="00222A89"/>
    <w:pPr>
      <w:tabs>
        <w:tab w:val="left" w:pos="992"/>
      </w:tabs>
      <w:spacing w:before="20" w:after="20"/>
    </w:pPr>
    <w:rPr>
      <w:b w:val="0"/>
    </w:rPr>
  </w:style>
  <w:style w:type="paragraph" w:customStyle="1" w:styleId="Tabletext">
    <w:name w:val="Table text"/>
    <w:next w:val="Text"/>
    <w:rsid w:val="00D03D6B"/>
    <w:pPr>
      <w:spacing w:before="80"/>
    </w:pPr>
    <w:rPr>
      <w:rFonts w:ascii="Arial" w:hAnsi="Arial"/>
      <w:sz w:val="16"/>
    </w:rPr>
  </w:style>
  <w:style w:type="paragraph" w:styleId="CommentSubject">
    <w:name w:val="annotation subject"/>
    <w:basedOn w:val="CommentText"/>
    <w:next w:val="CommentText"/>
    <w:link w:val="CommentSubjectChar"/>
    <w:rsid w:val="0068457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8457F"/>
    <w:rPr>
      <w:szCs w:val="24"/>
      <w:lang w:val="en-AU" w:eastAsia="en-AU" w:bidi="ar-SA"/>
    </w:rPr>
  </w:style>
  <w:style w:type="character" w:customStyle="1" w:styleId="CommentSubjectChar">
    <w:name w:val="Comment Subject Char"/>
    <w:basedOn w:val="CommentTextChar"/>
    <w:link w:val="CommentSubject"/>
    <w:rsid w:val="0068457F"/>
    <w:rPr>
      <w:b/>
      <w:bCs/>
      <w:szCs w:val="24"/>
      <w:lang w:val="en-AU" w:eastAsia="en-AU" w:bidi="ar-SA"/>
    </w:rPr>
  </w:style>
  <w:style w:type="paragraph" w:styleId="BalloonText">
    <w:name w:val="Balloon Text"/>
    <w:basedOn w:val="Normal"/>
    <w:link w:val="BalloonTextChar"/>
    <w:rsid w:val="0068457F"/>
    <w:rPr>
      <w:rFonts w:ascii="Tahoma" w:hAnsi="Tahoma" w:cs="Tahoma"/>
      <w:sz w:val="16"/>
      <w:szCs w:val="16"/>
    </w:rPr>
  </w:style>
  <w:style w:type="character" w:customStyle="1" w:styleId="BalloonTextChar">
    <w:name w:val="Balloon Text Char"/>
    <w:basedOn w:val="DefaultParagraphFont"/>
    <w:link w:val="BalloonText"/>
    <w:rsid w:val="0068457F"/>
    <w:rPr>
      <w:rFonts w:ascii="Tahoma" w:hAnsi="Tahoma" w:cs="Tahoma"/>
      <w:sz w:val="16"/>
      <w:szCs w:val="16"/>
      <w:lang w:val="en-AU" w:eastAsia="en-AU" w:bidi="ar-SA"/>
    </w:rPr>
  </w:style>
  <w:style w:type="character" w:customStyle="1" w:styleId="BoxChar">
    <w:name w:val="Box Char"/>
    <w:basedOn w:val="DefaultParagraphFont"/>
    <w:link w:val="Box"/>
    <w:rsid w:val="0068457F"/>
    <w:rPr>
      <w:rFonts w:ascii="Arial" w:hAnsi="Arial"/>
      <w:sz w:val="22"/>
      <w:lang w:val="en-AU" w:eastAsia="en-AU" w:bidi="ar-SA"/>
    </w:rPr>
  </w:style>
  <w:style w:type="character" w:styleId="FollowedHyperlink">
    <w:name w:val="FollowedHyperlink"/>
    <w:basedOn w:val="DefaultParagraphFont"/>
    <w:rsid w:val="00256C31"/>
    <w:rPr>
      <w:color w:val="800080" w:themeColor="followedHyperlink"/>
      <w:u w:val="single"/>
    </w:rPr>
  </w:style>
  <w:style w:type="paragraph" w:customStyle="1" w:styleId="Default">
    <w:name w:val="Default"/>
    <w:rsid w:val="008C2EAF"/>
    <w:pPr>
      <w:autoSpaceDE w:val="0"/>
      <w:autoSpaceDN w:val="0"/>
      <w:adjustRightInd w:val="0"/>
    </w:pPr>
    <w:rPr>
      <w:rFonts w:ascii="Arial" w:hAnsi="Arial" w:cs="Arial"/>
      <w:color w:val="000000"/>
      <w:sz w:val="24"/>
      <w:szCs w:val="24"/>
    </w:rPr>
  </w:style>
  <w:style w:type="character" w:customStyle="1" w:styleId="TableBodyTextChar">
    <w:name w:val="Table Body Text Char"/>
    <w:link w:val="TableBodyText"/>
    <w:locked/>
    <w:rsid w:val="005A1D61"/>
    <w:rPr>
      <w:rFonts w:ascii="Arial" w:hAnsi="Arial"/>
    </w:rPr>
  </w:style>
  <w:style w:type="character" w:customStyle="1" w:styleId="TableBulletChar">
    <w:name w:val="Table Bullet Char"/>
    <w:basedOn w:val="TableBodyTextChar"/>
    <w:link w:val="TableBullet"/>
    <w:locked/>
    <w:rsid w:val="005A1D61"/>
    <w:rPr>
      <w:rFonts w:ascii="Arial" w:hAnsi="Arial"/>
    </w:rPr>
  </w:style>
  <w:style w:type="table" w:styleId="TableGrid">
    <w:name w:val="Table Grid"/>
    <w:basedOn w:val="TableNormal"/>
    <w:rsid w:val="00504F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2952"/>
    <w:rPr>
      <w:sz w:val="26"/>
      <w:szCs w:val="24"/>
    </w:rPr>
  </w:style>
  <w:style w:type="paragraph" w:styleId="Heading1">
    <w:name w:val="heading 1"/>
    <w:basedOn w:val="Normal"/>
    <w:next w:val="BodyText"/>
    <w:qForma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qFormat/>
    <w:rsid w:val="00A17328"/>
    <w:pPr>
      <w:spacing w:after="60"/>
      <w:jc w:val="left"/>
      <w:outlineLvl w:val="5"/>
    </w:pPr>
    <w:rPr>
      <w:i/>
      <w:sz w:val="22"/>
    </w:rPr>
  </w:style>
  <w:style w:type="paragraph" w:styleId="Heading7">
    <w:name w:val="heading 7"/>
    <w:basedOn w:val="BodyText"/>
    <w:next w:val="BodyText"/>
    <w:qFormat/>
    <w:rsid w:val="00A17328"/>
    <w:pPr>
      <w:spacing w:after="60" w:line="240" w:lineRule="auto"/>
      <w:jc w:val="left"/>
      <w:outlineLvl w:val="6"/>
    </w:pPr>
    <w:rPr>
      <w:rFonts w:ascii="Arial" w:hAnsi="Arial"/>
      <w:sz w:val="20"/>
    </w:rPr>
  </w:style>
  <w:style w:type="paragraph" w:styleId="Heading8">
    <w:name w:val="heading 8"/>
    <w:basedOn w:val="BodyText"/>
    <w:next w:val="BodyText"/>
    <w:qFormat/>
    <w:rsid w:val="00A17328"/>
    <w:pPr>
      <w:spacing w:after="60" w:line="240" w:lineRule="auto"/>
      <w:jc w:val="left"/>
      <w:outlineLvl w:val="7"/>
    </w:pPr>
    <w:rPr>
      <w:rFonts w:ascii="Arial" w:hAnsi="Arial"/>
      <w:i/>
      <w:sz w:val="20"/>
    </w:rPr>
  </w:style>
  <w:style w:type="paragraph" w:styleId="Heading9">
    <w:name w:val="heading 9"/>
    <w:basedOn w:val="BodyText"/>
    <w:next w:val="BodyText"/>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055D1F"/>
    <w:rPr>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character" w:styleId="Hyperlink">
    <w:name w:val="Hyperlink"/>
    <w:basedOn w:val="DefaultParagraphFont"/>
    <w:uiPriority w:val="99"/>
    <w:rsid w:val="00B96E3E"/>
    <w:rPr>
      <w:color w:val="0000FF"/>
      <w:u w:val="single"/>
    </w:rPr>
  </w:style>
  <w:style w:type="paragraph" w:customStyle="1" w:styleId="Text">
    <w:name w:val="Text"/>
    <w:link w:val="TextChar"/>
    <w:rsid w:val="00222A89"/>
    <w:pPr>
      <w:spacing w:before="200" w:line="260" w:lineRule="exact"/>
    </w:pPr>
    <w:rPr>
      <w:rFonts w:ascii="Garamond" w:hAnsi="Garamond"/>
      <w:sz w:val="22"/>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extChar">
    <w:name w:val="Text Char"/>
    <w:basedOn w:val="DefaultParagraphFont"/>
    <w:link w:val="Text"/>
    <w:locked/>
    <w:rsid w:val="00222A89"/>
    <w:rPr>
      <w:rFonts w:ascii="Garamond" w:hAnsi="Garamond"/>
      <w:sz w:val="22"/>
      <w:lang w:val="en-AU" w:eastAsia="en-AU" w:bidi="ar-SA"/>
    </w:rPr>
  </w:style>
  <w:style w:type="paragraph" w:customStyle="1" w:styleId="tabletitle0">
    <w:name w:val="tabletitle"/>
    <w:next w:val="Text"/>
    <w:rsid w:val="00222A89"/>
    <w:pPr>
      <w:tabs>
        <w:tab w:val="left" w:pos="992"/>
      </w:tabs>
      <w:spacing w:before="360" w:after="80"/>
    </w:pPr>
    <w:rPr>
      <w:rFonts w:ascii="Arial" w:hAnsi="Arial"/>
      <w:b/>
      <w:sz w:val="17"/>
    </w:rPr>
  </w:style>
  <w:style w:type="paragraph" w:customStyle="1" w:styleId="Tablehead1">
    <w:name w:val="Tablehead1"/>
    <w:rsid w:val="00222A89"/>
    <w:pPr>
      <w:spacing w:before="80" w:after="80"/>
    </w:pPr>
    <w:rPr>
      <w:rFonts w:ascii="Arial" w:hAnsi="Arial"/>
      <w:b/>
      <w:sz w:val="17"/>
    </w:rPr>
  </w:style>
  <w:style w:type="paragraph" w:customStyle="1" w:styleId="Tablehead2">
    <w:name w:val="Tablehead2"/>
    <w:basedOn w:val="Tablehead1"/>
    <w:rsid w:val="00222A89"/>
    <w:pPr>
      <w:tabs>
        <w:tab w:val="left" w:pos="992"/>
      </w:tabs>
      <w:spacing w:before="20" w:after="20"/>
    </w:pPr>
    <w:rPr>
      <w:b w:val="0"/>
    </w:rPr>
  </w:style>
  <w:style w:type="paragraph" w:customStyle="1" w:styleId="Tabletext">
    <w:name w:val="Table text"/>
    <w:next w:val="Text"/>
    <w:rsid w:val="00D03D6B"/>
    <w:pPr>
      <w:spacing w:before="80"/>
    </w:pPr>
    <w:rPr>
      <w:rFonts w:ascii="Arial" w:hAnsi="Arial"/>
      <w:sz w:val="16"/>
    </w:rPr>
  </w:style>
  <w:style w:type="paragraph" w:styleId="CommentSubject">
    <w:name w:val="annotation subject"/>
    <w:basedOn w:val="CommentText"/>
    <w:next w:val="CommentText"/>
    <w:link w:val="CommentSubjectChar"/>
    <w:rsid w:val="0068457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8457F"/>
    <w:rPr>
      <w:szCs w:val="24"/>
      <w:lang w:val="en-AU" w:eastAsia="en-AU" w:bidi="ar-SA"/>
    </w:rPr>
  </w:style>
  <w:style w:type="character" w:customStyle="1" w:styleId="CommentSubjectChar">
    <w:name w:val="Comment Subject Char"/>
    <w:basedOn w:val="CommentTextChar"/>
    <w:link w:val="CommentSubject"/>
    <w:rsid w:val="0068457F"/>
    <w:rPr>
      <w:b/>
      <w:bCs/>
      <w:szCs w:val="24"/>
      <w:lang w:val="en-AU" w:eastAsia="en-AU" w:bidi="ar-SA"/>
    </w:rPr>
  </w:style>
  <w:style w:type="paragraph" w:styleId="BalloonText">
    <w:name w:val="Balloon Text"/>
    <w:basedOn w:val="Normal"/>
    <w:link w:val="BalloonTextChar"/>
    <w:rsid w:val="0068457F"/>
    <w:rPr>
      <w:rFonts w:ascii="Tahoma" w:hAnsi="Tahoma" w:cs="Tahoma"/>
      <w:sz w:val="16"/>
      <w:szCs w:val="16"/>
    </w:rPr>
  </w:style>
  <w:style w:type="character" w:customStyle="1" w:styleId="BalloonTextChar">
    <w:name w:val="Balloon Text Char"/>
    <w:basedOn w:val="DefaultParagraphFont"/>
    <w:link w:val="BalloonText"/>
    <w:rsid w:val="0068457F"/>
    <w:rPr>
      <w:rFonts w:ascii="Tahoma" w:hAnsi="Tahoma" w:cs="Tahoma"/>
      <w:sz w:val="16"/>
      <w:szCs w:val="16"/>
      <w:lang w:val="en-AU" w:eastAsia="en-AU" w:bidi="ar-SA"/>
    </w:rPr>
  </w:style>
  <w:style w:type="character" w:customStyle="1" w:styleId="BoxChar">
    <w:name w:val="Box Char"/>
    <w:basedOn w:val="DefaultParagraphFont"/>
    <w:link w:val="Box"/>
    <w:rsid w:val="0068457F"/>
    <w:rPr>
      <w:rFonts w:ascii="Arial" w:hAnsi="Arial"/>
      <w:sz w:val="22"/>
      <w:lang w:val="en-AU" w:eastAsia="en-AU" w:bidi="ar-SA"/>
    </w:rPr>
  </w:style>
  <w:style w:type="character" w:styleId="FollowedHyperlink">
    <w:name w:val="FollowedHyperlink"/>
    <w:basedOn w:val="DefaultParagraphFont"/>
    <w:rsid w:val="00256C31"/>
    <w:rPr>
      <w:color w:val="800080" w:themeColor="followedHyperlink"/>
      <w:u w:val="single"/>
    </w:rPr>
  </w:style>
  <w:style w:type="paragraph" w:customStyle="1" w:styleId="Default">
    <w:name w:val="Default"/>
    <w:rsid w:val="008C2EAF"/>
    <w:pPr>
      <w:autoSpaceDE w:val="0"/>
      <w:autoSpaceDN w:val="0"/>
      <w:adjustRightInd w:val="0"/>
    </w:pPr>
    <w:rPr>
      <w:rFonts w:ascii="Arial" w:hAnsi="Arial" w:cs="Arial"/>
      <w:color w:val="000000"/>
      <w:sz w:val="24"/>
      <w:szCs w:val="24"/>
    </w:rPr>
  </w:style>
  <w:style w:type="character" w:customStyle="1" w:styleId="TableBodyTextChar">
    <w:name w:val="Table Body Text Char"/>
    <w:link w:val="TableBodyText"/>
    <w:locked/>
    <w:rsid w:val="005A1D61"/>
    <w:rPr>
      <w:rFonts w:ascii="Arial" w:hAnsi="Arial"/>
    </w:rPr>
  </w:style>
  <w:style w:type="character" w:customStyle="1" w:styleId="TableBulletChar">
    <w:name w:val="Table Bullet Char"/>
    <w:basedOn w:val="TableBodyTextChar"/>
    <w:link w:val="TableBullet"/>
    <w:locked/>
    <w:rsid w:val="005A1D61"/>
    <w:rPr>
      <w:rFonts w:ascii="Arial" w:hAnsi="Arial"/>
    </w:rPr>
  </w:style>
  <w:style w:type="table" w:styleId="TableGrid">
    <w:name w:val="Table Grid"/>
    <w:basedOn w:val="TableNormal"/>
    <w:rsid w:val="00504F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90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c%20template\Chap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FCFD5-FA5A-48F2-A5AD-03FEB29C9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Template>
  <TotalTime>85</TotalTime>
  <Pages>70</Pages>
  <Words>23595</Words>
  <Characters>141765</Characters>
  <Application>Microsoft Office Word</Application>
  <DocSecurity>0</DocSecurity>
  <Lines>1181</Lines>
  <Paragraphs>330</Paragraphs>
  <ScaleCrop>false</ScaleCrop>
  <HeadingPairs>
    <vt:vector size="2" baseType="variant">
      <vt:variant>
        <vt:lpstr>Title</vt:lpstr>
      </vt:variant>
      <vt:variant>
        <vt:i4>1</vt:i4>
      </vt:variant>
    </vt:vector>
  </HeadingPairs>
  <TitlesOfParts>
    <vt:vector size="1" baseType="lpstr">
      <vt:lpstr>Vocational Education and Training DQI</vt:lpstr>
    </vt:vector>
  </TitlesOfParts>
  <Company>Productivity Commission</Company>
  <LinksUpToDate>false</LinksUpToDate>
  <CharactersWithSpaces>165030</CharactersWithSpaces>
  <SharedDoc>false</SharedDoc>
  <HLinks>
    <vt:vector size="462" baseType="variant">
      <vt:variant>
        <vt:i4>1703961</vt:i4>
      </vt:variant>
      <vt:variant>
        <vt:i4>270</vt:i4>
      </vt:variant>
      <vt:variant>
        <vt:i4>0</vt:i4>
      </vt:variant>
      <vt:variant>
        <vt:i4>5</vt:i4>
      </vt:variant>
      <vt:variant>
        <vt:lpwstr>http://www.ncver.edu.au/statistic/21075.html</vt:lpwstr>
      </vt:variant>
      <vt:variant>
        <vt:lpwstr/>
      </vt:variant>
      <vt:variant>
        <vt:i4>7143464</vt:i4>
      </vt:variant>
      <vt:variant>
        <vt:i4>267</vt:i4>
      </vt:variant>
      <vt:variant>
        <vt:i4>0</vt:i4>
      </vt:variant>
      <vt:variant>
        <vt:i4>5</vt:i4>
      </vt:variant>
      <vt:variant>
        <vt:lpwstr>mailto:surveys_req@ncver.edu.au</vt:lpwstr>
      </vt:variant>
      <vt:variant>
        <vt:lpwstr/>
      </vt:variant>
      <vt:variant>
        <vt:i4>1769498</vt:i4>
      </vt:variant>
      <vt:variant>
        <vt:i4>264</vt:i4>
      </vt:variant>
      <vt:variant>
        <vt:i4>0</vt:i4>
      </vt:variant>
      <vt:variant>
        <vt:i4>5</vt:i4>
      </vt:variant>
      <vt:variant>
        <vt:lpwstr>http://www.ncver.edu.au/statistic/21066.html</vt:lpwstr>
      </vt:variant>
      <vt:variant>
        <vt:lpwstr/>
      </vt:variant>
      <vt:variant>
        <vt:i4>8323110</vt:i4>
      </vt:variant>
      <vt:variant>
        <vt:i4>261</vt:i4>
      </vt:variant>
      <vt:variant>
        <vt:i4>0</vt:i4>
      </vt:variant>
      <vt:variant>
        <vt:i4>5</vt:i4>
      </vt:variant>
      <vt:variant>
        <vt:lpwstr>http://www.ncver.edu.au/aboutncver/who.html</vt:lpwstr>
      </vt:variant>
      <vt:variant>
        <vt:lpwstr/>
      </vt:variant>
      <vt:variant>
        <vt:i4>1703961</vt:i4>
      </vt:variant>
      <vt:variant>
        <vt:i4>258</vt:i4>
      </vt:variant>
      <vt:variant>
        <vt:i4>0</vt:i4>
      </vt:variant>
      <vt:variant>
        <vt:i4>5</vt:i4>
      </vt:variant>
      <vt:variant>
        <vt:lpwstr>http://www.ncver.edu.au/statistic/21075.html</vt:lpwstr>
      </vt:variant>
      <vt:variant>
        <vt:lpwstr/>
      </vt:variant>
      <vt:variant>
        <vt:i4>7143464</vt:i4>
      </vt:variant>
      <vt:variant>
        <vt:i4>255</vt:i4>
      </vt:variant>
      <vt:variant>
        <vt:i4>0</vt:i4>
      </vt:variant>
      <vt:variant>
        <vt:i4>5</vt:i4>
      </vt:variant>
      <vt:variant>
        <vt:lpwstr>mailto:surveys_req@ncver.edu.au</vt:lpwstr>
      </vt:variant>
      <vt:variant>
        <vt:lpwstr/>
      </vt:variant>
      <vt:variant>
        <vt:i4>1769498</vt:i4>
      </vt:variant>
      <vt:variant>
        <vt:i4>252</vt:i4>
      </vt:variant>
      <vt:variant>
        <vt:i4>0</vt:i4>
      </vt:variant>
      <vt:variant>
        <vt:i4>5</vt:i4>
      </vt:variant>
      <vt:variant>
        <vt:lpwstr>http://www.ncver.edu.au/statistic/21066.html</vt:lpwstr>
      </vt:variant>
      <vt:variant>
        <vt:lpwstr/>
      </vt:variant>
      <vt:variant>
        <vt:i4>8323110</vt:i4>
      </vt:variant>
      <vt:variant>
        <vt:i4>249</vt:i4>
      </vt:variant>
      <vt:variant>
        <vt:i4>0</vt:i4>
      </vt:variant>
      <vt:variant>
        <vt:i4>5</vt:i4>
      </vt:variant>
      <vt:variant>
        <vt:lpwstr>http://www.ncver.edu.au/aboutncver/who.html</vt:lpwstr>
      </vt:variant>
      <vt:variant>
        <vt:lpwstr/>
      </vt:variant>
      <vt:variant>
        <vt:i4>6029437</vt:i4>
      </vt:variant>
      <vt:variant>
        <vt:i4>246</vt:i4>
      </vt:variant>
      <vt:variant>
        <vt:i4>0</vt:i4>
      </vt:variant>
      <vt:variant>
        <vt:i4>5</vt:i4>
      </vt:variant>
      <vt:variant>
        <vt:lpwstr>http://www.abs.gov.au/ausstats/abs@.nsf/mf/1272.0</vt:lpwstr>
      </vt:variant>
      <vt:variant>
        <vt:lpwstr/>
      </vt:variant>
      <vt:variant>
        <vt:i4>1703961</vt:i4>
      </vt:variant>
      <vt:variant>
        <vt:i4>243</vt:i4>
      </vt:variant>
      <vt:variant>
        <vt:i4>0</vt:i4>
      </vt:variant>
      <vt:variant>
        <vt:i4>5</vt:i4>
      </vt:variant>
      <vt:variant>
        <vt:lpwstr>http://www.ncver.edu.au/statistic/21075.html</vt:lpwstr>
      </vt:variant>
      <vt:variant>
        <vt:lpwstr/>
      </vt:variant>
      <vt:variant>
        <vt:i4>7143464</vt:i4>
      </vt:variant>
      <vt:variant>
        <vt:i4>240</vt:i4>
      </vt:variant>
      <vt:variant>
        <vt:i4>0</vt:i4>
      </vt:variant>
      <vt:variant>
        <vt:i4>5</vt:i4>
      </vt:variant>
      <vt:variant>
        <vt:lpwstr>mailto:surveys_req@ncver.edu.au</vt:lpwstr>
      </vt:variant>
      <vt:variant>
        <vt:lpwstr/>
      </vt:variant>
      <vt:variant>
        <vt:i4>1769497</vt:i4>
      </vt:variant>
      <vt:variant>
        <vt:i4>237</vt:i4>
      </vt:variant>
      <vt:variant>
        <vt:i4>0</vt:i4>
      </vt:variant>
      <vt:variant>
        <vt:i4>5</vt:i4>
      </vt:variant>
      <vt:variant>
        <vt:lpwstr>http://www.ncver.edu.au/statistic/21065.html</vt:lpwstr>
      </vt:variant>
      <vt:variant>
        <vt:lpwstr/>
      </vt:variant>
      <vt:variant>
        <vt:i4>8323110</vt:i4>
      </vt:variant>
      <vt:variant>
        <vt:i4>234</vt:i4>
      </vt:variant>
      <vt:variant>
        <vt:i4>0</vt:i4>
      </vt:variant>
      <vt:variant>
        <vt:i4>5</vt:i4>
      </vt:variant>
      <vt:variant>
        <vt:lpwstr>http://www.ncver.edu.au/aboutncver/who.html</vt:lpwstr>
      </vt:variant>
      <vt:variant>
        <vt:lpwstr/>
      </vt:variant>
      <vt:variant>
        <vt:i4>6029437</vt:i4>
      </vt:variant>
      <vt:variant>
        <vt:i4>231</vt:i4>
      </vt:variant>
      <vt:variant>
        <vt:i4>0</vt:i4>
      </vt:variant>
      <vt:variant>
        <vt:i4>5</vt:i4>
      </vt:variant>
      <vt:variant>
        <vt:lpwstr>http://www.abs.gov.au/ausstats/abs@.nsf/mf/1272.0</vt:lpwstr>
      </vt:variant>
      <vt:variant>
        <vt:lpwstr/>
      </vt:variant>
      <vt:variant>
        <vt:i4>1703961</vt:i4>
      </vt:variant>
      <vt:variant>
        <vt:i4>228</vt:i4>
      </vt:variant>
      <vt:variant>
        <vt:i4>0</vt:i4>
      </vt:variant>
      <vt:variant>
        <vt:i4>5</vt:i4>
      </vt:variant>
      <vt:variant>
        <vt:lpwstr>http://www.ncver.edu.au/statistic/21075.html</vt:lpwstr>
      </vt:variant>
      <vt:variant>
        <vt:lpwstr/>
      </vt:variant>
      <vt:variant>
        <vt:i4>7143464</vt:i4>
      </vt:variant>
      <vt:variant>
        <vt:i4>225</vt:i4>
      </vt:variant>
      <vt:variant>
        <vt:i4>0</vt:i4>
      </vt:variant>
      <vt:variant>
        <vt:i4>5</vt:i4>
      </vt:variant>
      <vt:variant>
        <vt:lpwstr>mailto:surveys_req@ncver.edu.au</vt:lpwstr>
      </vt:variant>
      <vt:variant>
        <vt:lpwstr/>
      </vt:variant>
      <vt:variant>
        <vt:i4>1769497</vt:i4>
      </vt:variant>
      <vt:variant>
        <vt:i4>222</vt:i4>
      </vt:variant>
      <vt:variant>
        <vt:i4>0</vt:i4>
      </vt:variant>
      <vt:variant>
        <vt:i4>5</vt:i4>
      </vt:variant>
      <vt:variant>
        <vt:lpwstr>http://www.ncver.edu.au/statistic/21065.html</vt:lpwstr>
      </vt:variant>
      <vt:variant>
        <vt:lpwstr/>
      </vt:variant>
      <vt:variant>
        <vt:i4>8323110</vt:i4>
      </vt:variant>
      <vt:variant>
        <vt:i4>219</vt:i4>
      </vt:variant>
      <vt:variant>
        <vt:i4>0</vt:i4>
      </vt:variant>
      <vt:variant>
        <vt:i4>5</vt:i4>
      </vt:variant>
      <vt:variant>
        <vt:lpwstr>http://www.ncver.edu.au/aboutncver/who.html</vt:lpwstr>
      </vt:variant>
      <vt:variant>
        <vt:lpwstr/>
      </vt:variant>
      <vt:variant>
        <vt:i4>5111809</vt:i4>
      </vt:variant>
      <vt:variant>
        <vt:i4>216</vt:i4>
      </vt:variant>
      <vt:variant>
        <vt:i4>0</vt:i4>
      </vt:variant>
      <vt:variant>
        <vt:i4>5</vt:i4>
      </vt:variant>
      <vt:variant>
        <vt:lpwstr>http://www.gisca.adelaide.edu.au/</vt:lpwstr>
      </vt:variant>
      <vt:variant>
        <vt:lpwstr/>
      </vt:variant>
      <vt:variant>
        <vt:i4>5111809</vt:i4>
      </vt:variant>
      <vt:variant>
        <vt:i4>213</vt:i4>
      </vt:variant>
      <vt:variant>
        <vt:i4>0</vt:i4>
      </vt:variant>
      <vt:variant>
        <vt:i4>5</vt:i4>
      </vt:variant>
      <vt:variant>
        <vt:lpwstr>http://www.gisca.adelaide.edu.au/</vt:lpwstr>
      </vt:variant>
      <vt:variant>
        <vt:lpwstr/>
      </vt:variant>
      <vt:variant>
        <vt:i4>6029437</vt:i4>
      </vt:variant>
      <vt:variant>
        <vt:i4>210</vt:i4>
      </vt:variant>
      <vt:variant>
        <vt:i4>0</vt:i4>
      </vt:variant>
      <vt:variant>
        <vt:i4>5</vt:i4>
      </vt:variant>
      <vt:variant>
        <vt:lpwstr>http://www.abs.gov.au/ausstats/abs@.nsf/mf/1272.0</vt:lpwstr>
      </vt:variant>
      <vt:variant>
        <vt:lpwstr/>
      </vt:variant>
      <vt:variant>
        <vt:i4>1703961</vt:i4>
      </vt:variant>
      <vt:variant>
        <vt:i4>207</vt:i4>
      </vt:variant>
      <vt:variant>
        <vt:i4>0</vt:i4>
      </vt:variant>
      <vt:variant>
        <vt:i4>5</vt:i4>
      </vt:variant>
      <vt:variant>
        <vt:lpwstr>http://www.ncver.edu.au/statistic/21075.html</vt:lpwstr>
      </vt:variant>
      <vt:variant>
        <vt:lpwstr/>
      </vt:variant>
      <vt:variant>
        <vt:i4>1572895</vt:i4>
      </vt:variant>
      <vt:variant>
        <vt:i4>204</vt:i4>
      </vt:variant>
      <vt:variant>
        <vt:i4>0</vt:i4>
      </vt:variant>
      <vt:variant>
        <vt:i4>5</vt:i4>
      </vt:variant>
      <vt:variant>
        <vt:lpwstr>http://www.ncver.edu.au/statistic/21053.html</vt:lpwstr>
      </vt:variant>
      <vt:variant>
        <vt:lpwstr/>
      </vt:variant>
      <vt:variant>
        <vt:i4>1572895</vt:i4>
      </vt:variant>
      <vt:variant>
        <vt:i4>201</vt:i4>
      </vt:variant>
      <vt:variant>
        <vt:i4>0</vt:i4>
      </vt:variant>
      <vt:variant>
        <vt:i4>5</vt:i4>
      </vt:variant>
      <vt:variant>
        <vt:lpwstr>http://www.ncver.edu.au/statistic/21053.html</vt:lpwstr>
      </vt:variant>
      <vt:variant>
        <vt:lpwstr/>
      </vt:variant>
      <vt:variant>
        <vt:i4>3473452</vt:i4>
      </vt:variant>
      <vt:variant>
        <vt:i4>198</vt:i4>
      </vt:variant>
      <vt:variant>
        <vt:i4>0</vt:i4>
      </vt:variant>
      <vt:variant>
        <vt:i4>5</vt:i4>
      </vt:variant>
      <vt:variant>
        <vt:lpwstr>http://www.ncver.edu.au/avetmiss/21055.html</vt:lpwstr>
      </vt:variant>
      <vt:variant>
        <vt:lpwstr/>
      </vt:variant>
      <vt:variant>
        <vt:i4>3473452</vt:i4>
      </vt:variant>
      <vt:variant>
        <vt:i4>195</vt:i4>
      </vt:variant>
      <vt:variant>
        <vt:i4>0</vt:i4>
      </vt:variant>
      <vt:variant>
        <vt:i4>5</vt:i4>
      </vt:variant>
      <vt:variant>
        <vt:lpwstr>http://www.ncver.edu.au/avetmiss/21055.html</vt:lpwstr>
      </vt:variant>
      <vt:variant>
        <vt:lpwstr/>
      </vt:variant>
      <vt:variant>
        <vt:i4>1572895</vt:i4>
      </vt:variant>
      <vt:variant>
        <vt:i4>192</vt:i4>
      </vt:variant>
      <vt:variant>
        <vt:i4>0</vt:i4>
      </vt:variant>
      <vt:variant>
        <vt:i4>5</vt:i4>
      </vt:variant>
      <vt:variant>
        <vt:lpwstr>http://www.ncver.edu.au/statistic/21053.html</vt:lpwstr>
      </vt:variant>
      <vt:variant>
        <vt:lpwstr/>
      </vt:variant>
      <vt:variant>
        <vt:i4>8323110</vt:i4>
      </vt:variant>
      <vt:variant>
        <vt:i4>189</vt:i4>
      </vt:variant>
      <vt:variant>
        <vt:i4>0</vt:i4>
      </vt:variant>
      <vt:variant>
        <vt:i4>5</vt:i4>
      </vt:variant>
      <vt:variant>
        <vt:lpwstr>http://www.ncver.edu.au/aboutncver/who.html</vt:lpwstr>
      </vt:variant>
      <vt:variant>
        <vt:lpwstr/>
      </vt:variant>
      <vt:variant>
        <vt:i4>6029437</vt:i4>
      </vt:variant>
      <vt:variant>
        <vt:i4>186</vt:i4>
      </vt:variant>
      <vt:variant>
        <vt:i4>0</vt:i4>
      </vt:variant>
      <vt:variant>
        <vt:i4>5</vt:i4>
      </vt:variant>
      <vt:variant>
        <vt:lpwstr>http://www.abs.gov.au/ausstats/abs@.nsf/mf/1272.0</vt:lpwstr>
      </vt:variant>
      <vt:variant>
        <vt:lpwstr/>
      </vt:variant>
      <vt:variant>
        <vt:i4>1703961</vt:i4>
      </vt:variant>
      <vt:variant>
        <vt:i4>183</vt:i4>
      </vt:variant>
      <vt:variant>
        <vt:i4>0</vt:i4>
      </vt:variant>
      <vt:variant>
        <vt:i4>5</vt:i4>
      </vt:variant>
      <vt:variant>
        <vt:lpwstr>http://www.ncver.edu.au/statistic/21075.html</vt:lpwstr>
      </vt:variant>
      <vt:variant>
        <vt:lpwstr/>
      </vt:variant>
      <vt:variant>
        <vt:i4>7143464</vt:i4>
      </vt:variant>
      <vt:variant>
        <vt:i4>180</vt:i4>
      </vt:variant>
      <vt:variant>
        <vt:i4>0</vt:i4>
      </vt:variant>
      <vt:variant>
        <vt:i4>5</vt:i4>
      </vt:variant>
      <vt:variant>
        <vt:lpwstr>mailto:surveys_req@ncver.edu.au</vt:lpwstr>
      </vt:variant>
      <vt:variant>
        <vt:lpwstr/>
      </vt:variant>
      <vt:variant>
        <vt:i4>1769497</vt:i4>
      </vt:variant>
      <vt:variant>
        <vt:i4>177</vt:i4>
      </vt:variant>
      <vt:variant>
        <vt:i4>0</vt:i4>
      </vt:variant>
      <vt:variant>
        <vt:i4>5</vt:i4>
      </vt:variant>
      <vt:variant>
        <vt:lpwstr>http://www.ncver.edu.au/statistic/21065.html</vt:lpwstr>
      </vt:variant>
      <vt:variant>
        <vt:lpwstr/>
      </vt:variant>
      <vt:variant>
        <vt:i4>8323110</vt:i4>
      </vt:variant>
      <vt:variant>
        <vt:i4>174</vt:i4>
      </vt:variant>
      <vt:variant>
        <vt:i4>0</vt:i4>
      </vt:variant>
      <vt:variant>
        <vt:i4>5</vt:i4>
      </vt:variant>
      <vt:variant>
        <vt:lpwstr>http://www.ncver.edu.au/aboutncver/who.html</vt:lpwstr>
      </vt:variant>
      <vt:variant>
        <vt:lpwstr/>
      </vt:variant>
      <vt:variant>
        <vt:i4>6029437</vt:i4>
      </vt:variant>
      <vt:variant>
        <vt:i4>171</vt:i4>
      </vt:variant>
      <vt:variant>
        <vt:i4>0</vt:i4>
      </vt:variant>
      <vt:variant>
        <vt:i4>5</vt:i4>
      </vt:variant>
      <vt:variant>
        <vt:lpwstr>http://www.abs.gov.au/ausstats/abs@.nsf/mf/1272.0</vt:lpwstr>
      </vt:variant>
      <vt:variant>
        <vt:lpwstr/>
      </vt:variant>
      <vt:variant>
        <vt:i4>1703961</vt:i4>
      </vt:variant>
      <vt:variant>
        <vt:i4>168</vt:i4>
      </vt:variant>
      <vt:variant>
        <vt:i4>0</vt:i4>
      </vt:variant>
      <vt:variant>
        <vt:i4>5</vt:i4>
      </vt:variant>
      <vt:variant>
        <vt:lpwstr>http://www.ncver.edu.au/statistic/21075.html</vt:lpwstr>
      </vt:variant>
      <vt:variant>
        <vt:lpwstr/>
      </vt:variant>
      <vt:variant>
        <vt:i4>7143464</vt:i4>
      </vt:variant>
      <vt:variant>
        <vt:i4>165</vt:i4>
      </vt:variant>
      <vt:variant>
        <vt:i4>0</vt:i4>
      </vt:variant>
      <vt:variant>
        <vt:i4>5</vt:i4>
      </vt:variant>
      <vt:variant>
        <vt:lpwstr>mailto:surveys_req@ncver.edu.au</vt:lpwstr>
      </vt:variant>
      <vt:variant>
        <vt:lpwstr/>
      </vt:variant>
      <vt:variant>
        <vt:i4>1769497</vt:i4>
      </vt:variant>
      <vt:variant>
        <vt:i4>162</vt:i4>
      </vt:variant>
      <vt:variant>
        <vt:i4>0</vt:i4>
      </vt:variant>
      <vt:variant>
        <vt:i4>5</vt:i4>
      </vt:variant>
      <vt:variant>
        <vt:lpwstr>http://www.ncver.edu.au/statistic/21065.html</vt:lpwstr>
      </vt:variant>
      <vt:variant>
        <vt:lpwstr/>
      </vt:variant>
      <vt:variant>
        <vt:i4>8323110</vt:i4>
      </vt:variant>
      <vt:variant>
        <vt:i4>159</vt:i4>
      </vt:variant>
      <vt:variant>
        <vt:i4>0</vt:i4>
      </vt:variant>
      <vt:variant>
        <vt:i4>5</vt:i4>
      </vt:variant>
      <vt:variant>
        <vt:lpwstr>http://www.ncver.edu.au/aboutncver/who.html</vt:lpwstr>
      </vt:variant>
      <vt:variant>
        <vt:lpwstr/>
      </vt:variant>
      <vt:variant>
        <vt:i4>6029437</vt:i4>
      </vt:variant>
      <vt:variant>
        <vt:i4>156</vt:i4>
      </vt:variant>
      <vt:variant>
        <vt:i4>0</vt:i4>
      </vt:variant>
      <vt:variant>
        <vt:i4>5</vt:i4>
      </vt:variant>
      <vt:variant>
        <vt:lpwstr>http://www.abs.gov.au/ausstats/abs@.nsf/mf/1272.0</vt:lpwstr>
      </vt:variant>
      <vt:variant>
        <vt:lpwstr/>
      </vt:variant>
      <vt:variant>
        <vt:i4>1703961</vt:i4>
      </vt:variant>
      <vt:variant>
        <vt:i4>153</vt:i4>
      </vt:variant>
      <vt:variant>
        <vt:i4>0</vt:i4>
      </vt:variant>
      <vt:variant>
        <vt:i4>5</vt:i4>
      </vt:variant>
      <vt:variant>
        <vt:lpwstr>http://www.ncver.edu.au/statistic/21075.html</vt:lpwstr>
      </vt:variant>
      <vt:variant>
        <vt:lpwstr/>
      </vt:variant>
      <vt:variant>
        <vt:i4>7143464</vt:i4>
      </vt:variant>
      <vt:variant>
        <vt:i4>150</vt:i4>
      </vt:variant>
      <vt:variant>
        <vt:i4>0</vt:i4>
      </vt:variant>
      <vt:variant>
        <vt:i4>5</vt:i4>
      </vt:variant>
      <vt:variant>
        <vt:lpwstr>mailto:surveys_req@ncver.edu.au</vt:lpwstr>
      </vt:variant>
      <vt:variant>
        <vt:lpwstr/>
      </vt:variant>
      <vt:variant>
        <vt:i4>1769497</vt:i4>
      </vt:variant>
      <vt:variant>
        <vt:i4>147</vt:i4>
      </vt:variant>
      <vt:variant>
        <vt:i4>0</vt:i4>
      </vt:variant>
      <vt:variant>
        <vt:i4>5</vt:i4>
      </vt:variant>
      <vt:variant>
        <vt:lpwstr>http://www.ncver.edu.au/statistic/21065.html</vt:lpwstr>
      </vt:variant>
      <vt:variant>
        <vt:lpwstr/>
      </vt:variant>
      <vt:variant>
        <vt:i4>8323110</vt:i4>
      </vt:variant>
      <vt:variant>
        <vt:i4>144</vt:i4>
      </vt:variant>
      <vt:variant>
        <vt:i4>0</vt:i4>
      </vt:variant>
      <vt:variant>
        <vt:i4>5</vt:i4>
      </vt:variant>
      <vt:variant>
        <vt:lpwstr>http://www.ncver.edu.au/aboutncver/who.html</vt:lpwstr>
      </vt:variant>
      <vt:variant>
        <vt:lpwstr/>
      </vt:variant>
      <vt:variant>
        <vt:i4>6029437</vt:i4>
      </vt:variant>
      <vt:variant>
        <vt:i4>141</vt:i4>
      </vt:variant>
      <vt:variant>
        <vt:i4>0</vt:i4>
      </vt:variant>
      <vt:variant>
        <vt:i4>5</vt:i4>
      </vt:variant>
      <vt:variant>
        <vt:lpwstr>http://www.abs.gov.au/ausstats/abs@.nsf/mf/1272.0</vt:lpwstr>
      </vt:variant>
      <vt:variant>
        <vt:lpwstr/>
      </vt:variant>
      <vt:variant>
        <vt:i4>1703961</vt:i4>
      </vt:variant>
      <vt:variant>
        <vt:i4>138</vt:i4>
      </vt:variant>
      <vt:variant>
        <vt:i4>0</vt:i4>
      </vt:variant>
      <vt:variant>
        <vt:i4>5</vt:i4>
      </vt:variant>
      <vt:variant>
        <vt:lpwstr>http://www.ncver.edu.au/statistic/21075.html</vt:lpwstr>
      </vt:variant>
      <vt:variant>
        <vt:lpwstr/>
      </vt:variant>
      <vt:variant>
        <vt:i4>7143464</vt:i4>
      </vt:variant>
      <vt:variant>
        <vt:i4>135</vt:i4>
      </vt:variant>
      <vt:variant>
        <vt:i4>0</vt:i4>
      </vt:variant>
      <vt:variant>
        <vt:i4>5</vt:i4>
      </vt:variant>
      <vt:variant>
        <vt:lpwstr>mailto:surveys_req@ncver.edu.au</vt:lpwstr>
      </vt:variant>
      <vt:variant>
        <vt:lpwstr/>
      </vt:variant>
      <vt:variant>
        <vt:i4>1769497</vt:i4>
      </vt:variant>
      <vt:variant>
        <vt:i4>132</vt:i4>
      </vt:variant>
      <vt:variant>
        <vt:i4>0</vt:i4>
      </vt:variant>
      <vt:variant>
        <vt:i4>5</vt:i4>
      </vt:variant>
      <vt:variant>
        <vt:lpwstr>http://www.ncver.edu.au/statistic/21065.html</vt:lpwstr>
      </vt:variant>
      <vt:variant>
        <vt:lpwstr/>
      </vt:variant>
      <vt:variant>
        <vt:i4>8323110</vt:i4>
      </vt:variant>
      <vt:variant>
        <vt:i4>129</vt:i4>
      </vt:variant>
      <vt:variant>
        <vt:i4>0</vt:i4>
      </vt:variant>
      <vt:variant>
        <vt:i4>5</vt:i4>
      </vt:variant>
      <vt:variant>
        <vt:lpwstr>http://www.ncver.edu.au/aboutncver/who.html</vt:lpwstr>
      </vt:variant>
      <vt:variant>
        <vt:lpwstr/>
      </vt:variant>
      <vt:variant>
        <vt:i4>3407919</vt:i4>
      </vt:variant>
      <vt:variant>
        <vt:i4>126</vt:i4>
      </vt:variant>
      <vt:variant>
        <vt:i4>0</vt:i4>
      </vt:variant>
      <vt:variant>
        <vt:i4>5</vt:i4>
      </vt:variant>
      <vt:variant>
        <vt:lpwstr>http://www.ncver.edu.au/avetmiss/21064.html</vt:lpwstr>
      </vt:variant>
      <vt:variant>
        <vt:lpwstr/>
      </vt:variant>
      <vt:variant>
        <vt:i4>1703961</vt:i4>
      </vt:variant>
      <vt:variant>
        <vt:i4>123</vt:i4>
      </vt:variant>
      <vt:variant>
        <vt:i4>0</vt:i4>
      </vt:variant>
      <vt:variant>
        <vt:i4>5</vt:i4>
      </vt:variant>
      <vt:variant>
        <vt:lpwstr>http://www.ncver.edu.au/statistic/21075.html</vt:lpwstr>
      </vt:variant>
      <vt:variant>
        <vt:lpwstr/>
      </vt:variant>
      <vt:variant>
        <vt:i4>1572893</vt:i4>
      </vt:variant>
      <vt:variant>
        <vt:i4>120</vt:i4>
      </vt:variant>
      <vt:variant>
        <vt:i4>0</vt:i4>
      </vt:variant>
      <vt:variant>
        <vt:i4>5</vt:i4>
      </vt:variant>
      <vt:variant>
        <vt:lpwstr>http://www.ncver.edu.au/statistic/21051.html</vt:lpwstr>
      </vt:variant>
      <vt:variant>
        <vt:lpwstr/>
      </vt:variant>
      <vt:variant>
        <vt:i4>3407919</vt:i4>
      </vt:variant>
      <vt:variant>
        <vt:i4>117</vt:i4>
      </vt:variant>
      <vt:variant>
        <vt:i4>0</vt:i4>
      </vt:variant>
      <vt:variant>
        <vt:i4>5</vt:i4>
      </vt:variant>
      <vt:variant>
        <vt:lpwstr>http://www.ncver.edu.au/avetmiss/21064.html</vt:lpwstr>
      </vt:variant>
      <vt:variant>
        <vt:lpwstr/>
      </vt:variant>
      <vt:variant>
        <vt:i4>3407919</vt:i4>
      </vt:variant>
      <vt:variant>
        <vt:i4>114</vt:i4>
      </vt:variant>
      <vt:variant>
        <vt:i4>0</vt:i4>
      </vt:variant>
      <vt:variant>
        <vt:i4>5</vt:i4>
      </vt:variant>
      <vt:variant>
        <vt:lpwstr>http://www.ncver.edu.au/avetmiss/21064.html</vt:lpwstr>
      </vt:variant>
      <vt:variant>
        <vt:lpwstr/>
      </vt:variant>
      <vt:variant>
        <vt:i4>1703961</vt:i4>
      </vt:variant>
      <vt:variant>
        <vt:i4>111</vt:i4>
      </vt:variant>
      <vt:variant>
        <vt:i4>0</vt:i4>
      </vt:variant>
      <vt:variant>
        <vt:i4>5</vt:i4>
      </vt:variant>
      <vt:variant>
        <vt:lpwstr>http://www.ncver.edu.au/statistic/21075.html</vt:lpwstr>
      </vt:variant>
      <vt:variant>
        <vt:lpwstr/>
      </vt:variant>
      <vt:variant>
        <vt:i4>1572893</vt:i4>
      </vt:variant>
      <vt:variant>
        <vt:i4>108</vt:i4>
      </vt:variant>
      <vt:variant>
        <vt:i4>0</vt:i4>
      </vt:variant>
      <vt:variant>
        <vt:i4>5</vt:i4>
      </vt:variant>
      <vt:variant>
        <vt:lpwstr>http://www.ncver.edu.au/statistic/21051.html</vt:lpwstr>
      </vt:variant>
      <vt:variant>
        <vt:lpwstr/>
      </vt:variant>
      <vt:variant>
        <vt:i4>3407919</vt:i4>
      </vt:variant>
      <vt:variant>
        <vt:i4>105</vt:i4>
      </vt:variant>
      <vt:variant>
        <vt:i4>0</vt:i4>
      </vt:variant>
      <vt:variant>
        <vt:i4>5</vt:i4>
      </vt:variant>
      <vt:variant>
        <vt:lpwstr>http://www.ncver.edu.au/avetmiss/21064.html</vt:lpwstr>
      </vt:variant>
      <vt:variant>
        <vt:lpwstr/>
      </vt:variant>
      <vt:variant>
        <vt:i4>3407919</vt:i4>
      </vt:variant>
      <vt:variant>
        <vt:i4>102</vt:i4>
      </vt:variant>
      <vt:variant>
        <vt:i4>0</vt:i4>
      </vt:variant>
      <vt:variant>
        <vt:i4>5</vt:i4>
      </vt:variant>
      <vt:variant>
        <vt:lpwstr>http://www.ncver.edu.au/avetmiss/21064.html</vt:lpwstr>
      </vt:variant>
      <vt:variant>
        <vt:lpwstr/>
      </vt:variant>
      <vt:variant>
        <vt:i4>1703961</vt:i4>
      </vt:variant>
      <vt:variant>
        <vt:i4>99</vt:i4>
      </vt:variant>
      <vt:variant>
        <vt:i4>0</vt:i4>
      </vt:variant>
      <vt:variant>
        <vt:i4>5</vt:i4>
      </vt:variant>
      <vt:variant>
        <vt:lpwstr>http://www.ncver.edu.au/statistic/21075.html</vt:lpwstr>
      </vt:variant>
      <vt:variant>
        <vt:lpwstr/>
      </vt:variant>
      <vt:variant>
        <vt:i4>1572893</vt:i4>
      </vt:variant>
      <vt:variant>
        <vt:i4>96</vt:i4>
      </vt:variant>
      <vt:variant>
        <vt:i4>0</vt:i4>
      </vt:variant>
      <vt:variant>
        <vt:i4>5</vt:i4>
      </vt:variant>
      <vt:variant>
        <vt:lpwstr>http://www.ncver.edu.au/statistic/21051.html</vt:lpwstr>
      </vt:variant>
      <vt:variant>
        <vt:lpwstr/>
      </vt:variant>
      <vt:variant>
        <vt:i4>3407919</vt:i4>
      </vt:variant>
      <vt:variant>
        <vt:i4>93</vt:i4>
      </vt:variant>
      <vt:variant>
        <vt:i4>0</vt:i4>
      </vt:variant>
      <vt:variant>
        <vt:i4>5</vt:i4>
      </vt:variant>
      <vt:variant>
        <vt:lpwstr>http://www.ncver.edu.au/avetmiss/21064.html</vt:lpwstr>
      </vt:variant>
      <vt:variant>
        <vt:lpwstr/>
      </vt:variant>
      <vt:variant>
        <vt:i4>3407919</vt:i4>
      </vt:variant>
      <vt:variant>
        <vt:i4>90</vt:i4>
      </vt:variant>
      <vt:variant>
        <vt:i4>0</vt:i4>
      </vt:variant>
      <vt:variant>
        <vt:i4>5</vt:i4>
      </vt:variant>
      <vt:variant>
        <vt:lpwstr>http://www.ncver.edu.au/avetmiss/21064.html</vt:lpwstr>
      </vt:variant>
      <vt:variant>
        <vt:lpwstr/>
      </vt:variant>
      <vt:variant>
        <vt:i4>1703961</vt:i4>
      </vt:variant>
      <vt:variant>
        <vt:i4>87</vt:i4>
      </vt:variant>
      <vt:variant>
        <vt:i4>0</vt:i4>
      </vt:variant>
      <vt:variant>
        <vt:i4>5</vt:i4>
      </vt:variant>
      <vt:variant>
        <vt:lpwstr>http://www.ncver.edu.au/statistic/21075.html</vt:lpwstr>
      </vt:variant>
      <vt:variant>
        <vt:lpwstr/>
      </vt:variant>
      <vt:variant>
        <vt:i4>1572893</vt:i4>
      </vt:variant>
      <vt:variant>
        <vt:i4>84</vt:i4>
      </vt:variant>
      <vt:variant>
        <vt:i4>0</vt:i4>
      </vt:variant>
      <vt:variant>
        <vt:i4>5</vt:i4>
      </vt:variant>
      <vt:variant>
        <vt:lpwstr>http://www.ncver.edu.au/statistic/21051.html</vt:lpwstr>
      </vt:variant>
      <vt:variant>
        <vt:lpwstr/>
      </vt:variant>
      <vt:variant>
        <vt:i4>3407919</vt:i4>
      </vt:variant>
      <vt:variant>
        <vt:i4>81</vt:i4>
      </vt:variant>
      <vt:variant>
        <vt:i4>0</vt:i4>
      </vt:variant>
      <vt:variant>
        <vt:i4>5</vt:i4>
      </vt:variant>
      <vt:variant>
        <vt:lpwstr>http://www.ncver.edu.au/avetmiss/21064.html</vt:lpwstr>
      </vt:variant>
      <vt:variant>
        <vt:lpwstr/>
      </vt:variant>
      <vt:variant>
        <vt:i4>1376309</vt:i4>
      </vt:variant>
      <vt:variant>
        <vt:i4>74</vt:i4>
      </vt:variant>
      <vt:variant>
        <vt:i4>0</vt:i4>
      </vt:variant>
      <vt:variant>
        <vt:i4>5</vt:i4>
      </vt:variant>
      <vt:variant>
        <vt:lpwstr/>
      </vt:variant>
      <vt:variant>
        <vt:lpwstr>_Toc310341216</vt:lpwstr>
      </vt:variant>
      <vt:variant>
        <vt:i4>1376309</vt:i4>
      </vt:variant>
      <vt:variant>
        <vt:i4>68</vt:i4>
      </vt:variant>
      <vt:variant>
        <vt:i4>0</vt:i4>
      </vt:variant>
      <vt:variant>
        <vt:i4>5</vt:i4>
      </vt:variant>
      <vt:variant>
        <vt:lpwstr/>
      </vt:variant>
      <vt:variant>
        <vt:lpwstr>_Toc310341215</vt:lpwstr>
      </vt:variant>
      <vt:variant>
        <vt:i4>1376309</vt:i4>
      </vt:variant>
      <vt:variant>
        <vt:i4>62</vt:i4>
      </vt:variant>
      <vt:variant>
        <vt:i4>0</vt:i4>
      </vt:variant>
      <vt:variant>
        <vt:i4>5</vt:i4>
      </vt:variant>
      <vt:variant>
        <vt:lpwstr/>
      </vt:variant>
      <vt:variant>
        <vt:lpwstr>_Toc310341214</vt:lpwstr>
      </vt:variant>
      <vt:variant>
        <vt:i4>1376309</vt:i4>
      </vt:variant>
      <vt:variant>
        <vt:i4>56</vt:i4>
      </vt:variant>
      <vt:variant>
        <vt:i4>0</vt:i4>
      </vt:variant>
      <vt:variant>
        <vt:i4>5</vt:i4>
      </vt:variant>
      <vt:variant>
        <vt:lpwstr/>
      </vt:variant>
      <vt:variant>
        <vt:lpwstr>_Toc310341213</vt:lpwstr>
      </vt:variant>
      <vt:variant>
        <vt:i4>1376309</vt:i4>
      </vt:variant>
      <vt:variant>
        <vt:i4>50</vt:i4>
      </vt:variant>
      <vt:variant>
        <vt:i4>0</vt:i4>
      </vt:variant>
      <vt:variant>
        <vt:i4>5</vt:i4>
      </vt:variant>
      <vt:variant>
        <vt:lpwstr/>
      </vt:variant>
      <vt:variant>
        <vt:lpwstr>_Toc310341212</vt:lpwstr>
      </vt:variant>
      <vt:variant>
        <vt:i4>1376309</vt:i4>
      </vt:variant>
      <vt:variant>
        <vt:i4>44</vt:i4>
      </vt:variant>
      <vt:variant>
        <vt:i4>0</vt:i4>
      </vt:variant>
      <vt:variant>
        <vt:i4>5</vt:i4>
      </vt:variant>
      <vt:variant>
        <vt:lpwstr/>
      </vt:variant>
      <vt:variant>
        <vt:lpwstr>_Toc310341211</vt:lpwstr>
      </vt:variant>
      <vt:variant>
        <vt:i4>1376309</vt:i4>
      </vt:variant>
      <vt:variant>
        <vt:i4>38</vt:i4>
      </vt:variant>
      <vt:variant>
        <vt:i4>0</vt:i4>
      </vt:variant>
      <vt:variant>
        <vt:i4>5</vt:i4>
      </vt:variant>
      <vt:variant>
        <vt:lpwstr/>
      </vt:variant>
      <vt:variant>
        <vt:lpwstr>_Toc310341210</vt:lpwstr>
      </vt:variant>
      <vt:variant>
        <vt:i4>1310773</vt:i4>
      </vt:variant>
      <vt:variant>
        <vt:i4>32</vt:i4>
      </vt:variant>
      <vt:variant>
        <vt:i4>0</vt:i4>
      </vt:variant>
      <vt:variant>
        <vt:i4>5</vt:i4>
      </vt:variant>
      <vt:variant>
        <vt:lpwstr/>
      </vt:variant>
      <vt:variant>
        <vt:lpwstr>_Toc310341209</vt:lpwstr>
      </vt:variant>
      <vt:variant>
        <vt:i4>1310773</vt:i4>
      </vt:variant>
      <vt:variant>
        <vt:i4>26</vt:i4>
      </vt:variant>
      <vt:variant>
        <vt:i4>0</vt:i4>
      </vt:variant>
      <vt:variant>
        <vt:i4>5</vt:i4>
      </vt:variant>
      <vt:variant>
        <vt:lpwstr/>
      </vt:variant>
      <vt:variant>
        <vt:lpwstr>_Toc310341208</vt:lpwstr>
      </vt:variant>
      <vt:variant>
        <vt:i4>1310773</vt:i4>
      </vt:variant>
      <vt:variant>
        <vt:i4>20</vt:i4>
      </vt:variant>
      <vt:variant>
        <vt:i4>0</vt:i4>
      </vt:variant>
      <vt:variant>
        <vt:i4>5</vt:i4>
      </vt:variant>
      <vt:variant>
        <vt:lpwstr/>
      </vt:variant>
      <vt:variant>
        <vt:lpwstr>_Toc310341207</vt:lpwstr>
      </vt:variant>
      <vt:variant>
        <vt:i4>1310773</vt:i4>
      </vt:variant>
      <vt:variant>
        <vt:i4>14</vt:i4>
      </vt:variant>
      <vt:variant>
        <vt:i4>0</vt:i4>
      </vt:variant>
      <vt:variant>
        <vt:i4>5</vt:i4>
      </vt:variant>
      <vt:variant>
        <vt:lpwstr/>
      </vt:variant>
      <vt:variant>
        <vt:lpwstr>_Toc310341206</vt:lpwstr>
      </vt:variant>
      <vt:variant>
        <vt:i4>1310773</vt:i4>
      </vt:variant>
      <vt:variant>
        <vt:i4>8</vt:i4>
      </vt:variant>
      <vt:variant>
        <vt:i4>0</vt:i4>
      </vt:variant>
      <vt:variant>
        <vt:i4>5</vt:i4>
      </vt:variant>
      <vt:variant>
        <vt:lpwstr/>
      </vt:variant>
      <vt:variant>
        <vt:lpwstr>_Toc310341205</vt:lpwstr>
      </vt:variant>
      <vt:variant>
        <vt:i4>1310773</vt:i4>
      </vt:variant>
      <vt:variant>
        <vt:i4>2</vt:i4>
      </vt:variant>
      <vt:variant>
        <vt:i4>0</vt:i4>
      </vt:variant>
      <vt:variant>
        <vt:i4>5</vt:i4>
      </vt:variant>
      <vt:variant>
        <vt:lpwstr/>
      </vt:variant>
      <vt:variant>
        <vt:lpwstr>_Toc310341204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Education and Training DQI</dc:title>
  <dc:subject>Report on Government Services 2014</dc:subject>
  <dc:creator>Steering Committee for the Review of Government Service Provision</dc:creator>
  <dc:description>1.</dc:description>
  <cp:lastModifiedBy>Frech, Tanya</cp:lastModifiedBy>
  <cp:revision>27</cp:revision>
  <cp:lastPrinted>2013-10-25T03:07:00Z</cp:lastPrinted>
  <dcterms:created xsi:type="dcterms:W3CDTF">2013-10-24T05:12:00Z</dcterms:created>
  <dcterms:modified xsi:type="dcterms:W3CDTF">2014-01-21T00:56:00Z</dcterms:modified>
</cp:coreProperties>
</file>