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charts/chart12.xml" ContentType="application/vnd.openxmlformats-officedocument.drawingml.chart+xml"/>
  <Override PartName="/word/theme/themeOverride12.xml" ContentType="application/vnd.openxmlformats-officedocument.themeOverride+xml"/>
  <Override PartName="/word/charts/chart13.xml" ContentType="application/vnd.openxmlformats-officedocument.drawingml.chart+xml"/>
  <Override PartName="/word/theme/themeOverride13.xml" ContentType="application/vnd.openxmlformats-officedocument.themeOverride+xml"/>
  <Override PartName="/word/charts/chart14.xml" ContentType="application/vnd.openxmlformats-officedocument.drawingml.chart+xml"/>
  <Override PartName="/word/theme/themeOverride14.xml" ContentType="application/vnd.openxmlformats-officedocument.themeOverride+xml"/>
  <Override PartName="/word/charts/chart15.xml" ContentType="application/vnd.openxmlformats-officedocument.drawingml.chart+xml"/>
  <Override PartName="/word/theme/themeOverride15.xml" ContentType="application/vnd.openxmlformats-officedocument.themeOverride+xml"/>
  <Override PartName="/word/charts/chart16.xml" ContentType="application/vnd.openxmlformats-officedocument.drawingml.chart+xml"/>
  <Override PartName="/word/theme/themeOverride16.xml" ContentType="application/vnd.openxmlformats-officedocument.themeOverride+xml"/>
  <Override PartName="/word/charts/chart17.xml" ContentType="application/vnd.openxmlformats-officedocument.drawingml.chart+xml"/>
  <Override PartName="/word/theme/themeOverride17.xml" ContentType="application/vnd.openxmlformats-officedocument.themeOverride+xml"/>
  <Override PartName="/word/charts/chart18.xml" ContentType="application/vnd.openxmlformats-officedocument.drawingml.chart+xml"/>
  <Override PartName="/word/theme/themeOverride18.xml" ContentType="application/vnd.openxmlformats-officedocument.themeOverride+xml"/>
  <Override PartName="/word/charts/chart19.xml" ContentType="application/vnd.openxmlformats-officedocument.drawingml.chart+xml"/>
  <Override PartName="/word/theme/themeOverride19.xml" ContentType="application/vnd.openxmlformats-officedocument.themeOverride+xml"/>
  <Override PartName="/word/charts/chart20.xml" ContentType="application/vnd.openxmlformats-officedocument.drawingml.chart+xml"/>
  <Override PartName="/word/theme/themeOverride20.xml" ContentType="application/vnd.openxmlformats-officedocument.themeOverride+xml"/>
  <Override PartName="/word/charts/chart21.xml" ContentType="application/vnd.openxmlformats-officedocument.drawingml.chart+xml"/>
  <Override PartName="/word/theme/themeOverride21.xml" ContentType="application/vnd.openxmlformats-officedocument.themeOverride+xml"/>
  <Override PartName="/word/charts/chart22.xml" ContentType="application/vnd.openxmlformats-officedocument.drawingml.chart+xml"/>
  <Override PartName="/word/theme/themeOverride22.xml" ContentType="application/vnd.openxmlformats-officedocument.themeOverride+xml"/>
  <Override PartName="/word/charts/chart23.xml" ContentType="application/vnd.openxmlformats-officedocument.drawingml.chart+xml"/>
  <Override PartName="/word/theme/themeOverride23.xml" ContentType="application/vnd.openxmlformats-officedocument.themeOverride+xml"/>
  <Override PartName="/word/charts/chart24.xml" ContentType="application/vnd.openxmlformats-officedocument.drawingml.chart+xml"/>
  <Override PartName="/word/theme/themeOverride24.xml" ContentType="application/vnd.openxmlformats-officedocument.themeOverride+xml"/>
  <Override PartName="/word/charts/chart25.xml" ContentType="application/vnd.openxmlformats-officedocument.drawingml.chart+xml"/>
  <Override PartName="/word/theme/themeOverride25.xml" ContentType="application/vnd.openxmlformats-officedocument.themeOverride+xml"/>
  <Override PartName="/word/charts/chart26.xml" ContentType="application/vnd.openxmlformats-officedocument.drawingml.chart+xml"/>
  <Override PartName="/word/theme/themeOverride26.xml" ContentType="application/vnd.openxmlformats-officedocument.themeOverride+xml"/>
  <Override PartName="/word/charts/chart27.xml" ContentType="application/vnd.openxmlformats-officedocument.drawingml.chart+xml"/>
  <Override PartName="/word/theme/themeOverride27.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391" w:rsidRPr="00CD33DD" w:rsidRDefault="00891AAF" w:rsidP="00891AAF">
      <w:pPr>
        <w:pStyle w:val="Chapter"/>
        <w:ind w:left="907" w:hanging="907"/>
      </w:pPr>
      <w:bookmarkStart w:id="0" w:name="ChapterNumber"/>
      <w:bookmarkStart w:id="1" w:name="_GoBack"/>
      <w:bookmarkEnd w:id="1"/>
      <w:r>
        <w:t>B</w:t>
      </w:r>
      <w:bookmarkEnd w:id="0"/>
      <w:r>
        <w:tab/>
      </w:r>
      <w:bookmarkStart w:id="2" w:name="_Appendix"/>
      <w:bookmarkStart w:id="3" w:name="ChapterTitle"/>
      <w:bookmarkEnd w:id="2"/>
      <w:r>
        <w:t xml:space="preserve">Child care, education and training </w:t>
      </w:r>
      <w:bookmarkEnd w:id="3"/>
      <w:r w:rsidR="002C7751">
        <w:t xml:space="preserve">sector </w:t>
      </w:r>
      <w:r w:rsidR="001F572D">
        <w:t>overview</w:t>
      </w:r>
    </w:p>
    <w:p w:rsidR="00B32791" w:rsidRPr="00CD33DD" w:rsidRDefault="00B32791" w:rsidP="001F2DAE">
      <w:pPr>
        <w:pStyle w:val="TOC2"/>
      </w:pPr>
      <w:bookmarkStart w:id="4" w:name="begin"/>
      <w:bookmarkEnd w:id="4"/>
      <w:r w:rsidRPr="00CD33DD">
        <w:rPr>
          <w:caps/>
        </w:rPr>
        <w:t>contents</w:t>
      </w:r>
    </w:p>
    <w:p w:rsidR="00ED5BBD" w:rsidRDefault="00ED5BBD">
      <w:pPr>
        <w:pStyle w:val="TOC2"/>
        <w:rPr>
          <w:rFonts w:asciiTheme="minorHAnsi" w:eastAsiaTheme="minorEastAsia" w:hAnsiTheme="minorHAnsi" w:cstheme="minorBidi"/>
          <w:b w:val="0"/>
          <w:noProof/>
          <w:sz w:val="22"/>
          <w:szCs w:val="22"/>
        </w:rPr>
      </w:pPr>
      <w:r w:rsidRPr="00277022">
        <w:rPr>
          <w:noProof/>
        </w:rPr>
        <w:t>B.1</w:t>
      </w:r>
      <w:r>
        <w:rPr>
          <w:rFonts w:asciiTheme="minorHAnsi" w:eastAsiaTheme="minorEastAsia" w:hAnsiTheme="minorHAnsi" w:cstheme="minorBidi"/>
          <w:b w:val="0"/>
          <w:noProof/>
          <w:sz w:val="22"/>
          <w:szCs w:val="22"/>
        </w:rPr>
        <w:tab/>
      </w:r>
      <w:r w:rsidRPr="00277022">
        <w:rPr>
          <w:noProof/>
        </w:rPr>
        <w:t>Introduction</w:t>
      </w:r>
      <w:r>
        <w:rPr>
          <w:noProof/>
          <w:webHidden/>
        </w:rPr>
        <w:tab/>
        <w:t>B.</w:t>
      </w:r>
      <w:r w:rsidR="005C0C17">
        <w:rPr>
          <w:noProof/>
          <w:webHidden/>
        </w:rPr>
        <w:t>1</w:t>
      </w:r>
    </w:p>
    <w:p w:rsidR="00ED5BBD" w:rsidRDefault="00ED5BBD">
      <w:pPr>
        <w:pStyle w:val="TOC2"/>
        <w:rPr>
          <w:rFonts w:asciiTheme="minorHAnsi" w:eastAsiaTheme="minorEastAsia" w:hAnsiTheme="minorHAnsi" w:cstheme="minorBidi"/>
          <w:b w:val="0"/>
          <w:noProof/>
          <w:sz w:val="22"/>
          <w:szCs w:val="22"/>
        </w:rPr>
      </w:pPr>
      <w:r w:rsidRPr="00277022">
        <w:rPr>
          <w:noProof/>
        </w:rPr>
        <w:t>B.2</w:t>
      </w:r>
      <w:r>
        <w:rPr>
          <w:rFonts w:asciiTheme="minorHAnsi" w:eastAsiaTheme="minorEastAsia" w:hAnsiTheme="minorHAnsi" w:cstheme="minorBidi"/>
          <w:b w:val="0"/>
          <w:noProof/>
          <w:sz w:val="22"/>
          <w:szCs w:val="22"/>
        </w:rPr>
        <w:tab/>
      </w:r>
      <w:r w:rsidRPr="00277022">
        <w:rPr>
          <w:noProof/>
        </w:rPr>
        <w:t>Sector performance indicator framework</w:t>
      </w:r>
      <w:r>
        <w:rPr>
          <w:noProof/>
          <w:webHidden/>
        </w:rPr>
        <w:tab/>
        <w:t>B.</w:t>
      </w:r>
      <w:r w:rsidR="005C0C17">
        <w:rPr>
          <w:noProof/>
          <w:webHidden/>
        </w:rPr>
        <w:t>20</w:t>
      </w:r>
    </w:p>
    <w:p w:rsidR="00ED5BBD" w:rsidRDefault="00ED5BBD">
      <w:pPr>
        <w:pStyle w:val="TOC2"/>
        <w:rPr>
          <w:rFonts w:asciiTheme="minorHAnsi" w:eastAsiaTheme="minorEastAsia" w:hAnsiTheme="minorHAnsi" w:cstheme="minorBidi"/>
          <w:b w:val="0"/>
          <w:noProof/>
          <w:sz w:val="22"/>
          <w:szCs w:val="22"/>
        </w:rPr>
      </w:pPr>
      <w:r w:rsidRPr="00277022">
        <w:rPr>
          <w:noProof/>
        </w:rPr>
        <w:t>B.3</w:t>
      </w:r>
      <w:r>
        <w:rPr>
          <w:rFonts w:asciiTheme="minorHAnsi" w:eastAsiaTheme="minorEastAsia" w:hAnsiTheme="minorHAnsi" w:cstheme="minorBidi"/>
          <w:b w:val="0"/>
          <w:noProof/>
          <w:sz w:val="22"/>
          <w:szCs w:val="22"/>
        </w:rPr>
        <w:tab/>
      </w:r>
      <w:r w:rsidRPr="00277022">
        <w:rPr>
          <w:noProof/>
        </w:rPr>
        <w:t>Cross-cutting and interface issues</w:t>
      </w:r>
      <w:r>
        <w:rPr>
          <w:noProof/>
          <w:webHidden/>
        </w:rPr>
        <w:tab/>
        <w:t>B.</w:t>
      </w:r>
      <w:r w:rsidR="005C0C17">
        <w:rPr>
          <w:noProof/>
          <w:webHidden/>
        </w:rPr>
        <w:t>59</w:t>
      </w:r>
    </w:p>
    <w:p w:rsidR="00ED5BBD" w:rsidRDefault="00ED5BBD">
      <w:pPr>
        <w:pStyle w:val="TOC2"/>
        <w:rPr>
          <w:rFonts w:asciiTheme="minorHAnsi" w:eastAsiaTheme="minorEastAsia" w:hAnsiTheme="minorHAnsi" w:cstheme="minorBidi"/>
          <w:b w:val="0"/>
          <w:noProof/>
          <w:sz w:val="22"/>
          <w:szCs w:val="22"/>
        </w:rPr>
      </w:pPr>
      <w:r w:rsidRPr="00277022">
        <w:rPr>
          <w:noProof/>
        </w:rPr>
        <w:t>B.4</w:t>
      </w:r>
      <w:r>
        <w:rPr>
          <w:rFonts w:asciiTheme="minorHAnsi" w:eastAsiaTheme="minorEastAsia" w:hAnsiTheme="minorHAnsi" w:cstheme="minorBidi"/>
          <w:b w:val="0"/>
          <w:noProof/>
          <w:sz w:val="22"/>
          <w:szCs w:val="22"/>
        </w:rPr>
        <w:tab/>
      </w:r>
      <w:r w:rsidRPr="00277022">
        <w:rPr>
          <w:noProof/>
        </w:rPr>
        <w:t>Future directions</w:t>
      </w:r>
      <w:r>
        <w:rPr>
          <w:noProof/>
          <w:webHidden/>
        </w:rPr>
        <w:tab/>
        <w:t>B.</w:t>
      </w:r>
      <w:r w:rsidR="005C0C17">
        <w:rPr>
          <w:noProof/>
          <w:webHidden/>
        </w:rPr>
        <w:t>61</w:t>
      </w:r>
    </w:p>
    <w:p w:rsidR="00ED5BBD" w:rsidRDefault="00ED5BBD">
      <w:pPr>
        <w:pStyle w:val="TOC2"/>
        <w:rPr>
          <w:rFonts w:asciiTheme="minorHAnsi" w:eastAsiaTheme="minorEastAsia" w:hAnsiTheme="minorHAnsi" w:cstheme="minorBidi"/>
          <w:b w:val="0"/>
          <w:noProof/>
          <w:sz w:val="22"/>
          <w:szCs w:val="22"/>
        </w:rPr>
      </w:pPr>
      <w:r w:rsidRPr="00277022">
        <w:rPr>
          <w:noProof/>
        </w:rPr>
        <w:t>B.5</w:t>
      </w:r>
      <w:r>
        <w:rPr>
          <w:rFonts w:asciiTheme="minorHAnsi" w:eastAsiaTheme="minorEastAsia" w:hAnsiTheme="minorHAnsi" w:cstheme="minorBidi"/>
          <w:b w:val="0"/>
          <w:noProof/>
          <w:sz w:val="22"/>
          <w:szCs w:val="22"/>
        </w:rPr>
        <w:tab/>
      </w:r>
      <w:r w:rsidRPr="00277022">
        <w:rPr>
          <w:noProof/>
        </w:rPr>
        <w:t>List of attachment tables</w:t>
      </w:r>
      <w:r>
        <w:rPr>
          <w:noProof/>
          <w:webHidden/>
        </w:rPr>
        <w:tab/>
        <w:t>B.</w:t>
      </w:r>
      <w:r w:rsidR="005C0C17">
        <w:rPr>
          <w:noProof/>
          <w:webHidden/>
        </w:rPr>
        <w:t>61</w:t>
      </w:r>
    </w:p>
    <w:p w:rsidR="00ED5BBD" w:rsidRDefault="00ED5BBD">
      <w:pPr>
        <w:pStyle w:val="TOC2"/>
        <w:rPr>
          <w:noProof/>
          <w:webHidden/>
        </w:rPr>
      </w:pPr>
      <w:r w:rsidRPr="00277022">
        <w:rPr>
          <w:noProof/>
        </w:rPr>
        <w:t>B.6</w:t>
      </w:r>
      <w:r>
        <w:rPr>
          <w:rFonts w:asciiTheme="minorHAnsi" w:eastAsiaTheme="minorEastAsia" w:hAnsiTheme="minorHAnsi" w:cstheme="minorBidi"/>
          <w:b w:val="0"/>
          <w:noProof/>
          <w:sz w:val="22"/>
          <w:szCs w:val="22"/>
        </w:rPr>
        <w:tab/>
      </w:r>
      <w:r w:rsidRPr="00277022">
        <w:rPr>
          <w:noProof/>
        </w:rPr>
        <w:t>References</w:t>
      </w:r>
      <w:r>
        <w:rPr>
          <w:noProof/>
          <w:webHidden/>
        </w:rPr>
        <w:tab/>
        <w:t>B.</w:t>
      </w:r>
      <w:r w:rsidR="005C0C17">
        <w:rPr>
          <w:noProof/>
          <w:webHidden/>
        </w:rPr>
        <w:t>63</w:t>
      </w:r>
    </w:p>
    <w:p w:rsidR="00621E44" w:rsidRDefault="00621E44">
      <w:pPr>
        <w:pStyle w:val="TOC2"/>
        <w:rPr>
          <w:rFonts w:asciiTheme="minorHAnsi" w:eastAsiaTheme="minorEastAsia" w:hAnsiTheme="minorHAnsi" w:cstheme="minorBidi"/>
          <w:b w:val="0"/>
          <w:noProof/>
          <w:sz w:val="22"/>
          <w:szCs w:val="22"/>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32791" w:rsidRPr="00CD33DD" w:rsidTr="00C315D4">
        <w:tc>
          <w:tcPr>
            <w:tcW w:w="8771" w:type="dxa"/>
            <w:tcBorders>
              <w:top w:val="single" w:sz="6" w:space="0" w:color="auto"/>
              <w:bottom w:val="nil"/>
            </w:tcBorders>
            <w:shd w:val="clear" w:color="auto" w:fill="E0E0E0"/>
          </w:tcPr>
          <w:p w:rsidR="00B32791" w:rsidRPr="00CD33DD" w:rsidRDefault="00B32791" w:rsidP="001F2DAE">
            <w:pPr>
              <w:pStyle w:val="BoxTitle"/>
            </w:pPr>
            <w:r w:rsidRPr="00CD33DD">
              <w:t>Attachment tables</w:t>
            </w:r>
          </w:p>
        </w:tc>
      </w:tr>
      <w:tr w:rsidR="00B32791" w:rsidRPr="00CD33DD" w:rsidTr="00C315D4">
        <w:trPr>
          <w:cantSplit/>
        </w:trPr>
        <w:tc>
          <w:tcPr>
            <w:tcW w:w="8771" w:type="dxa"/>
            <w:tcBorders>
              <w:top w:val="nil"/>
              <w:left w:val="single" w:sz="6" w:space="0" w:color="auto"/>
              <w:bottom w:val="nil"/>
              <w:right w:val="single" w:sz="6" w:space="0" w:color="auto"/>
            </w:tcBorders>
            <w:shd w:val="clear" w:color="auto" w:fill="E0E0E0"/>
          </w:tcPr>
          <w:p w:rsidR="00B32791" w:rsidRPr="00CD33DD" w:rsidRDefault="006F1E06" w:rsidP="00A77F79">
            <w:pPr>
              <w:pStyle w:val="Box"/>
            </w:pPr>
            <w:r w:rsidRPr="00E175F0">
              <w:t>Attachment tables are identified in references throug</w:t>
            </w:r>
            <w:r>
              <w:t xml:space="preserve">hout this sector </w:t>
            </w:r>
            <w:r w:rsidR="001F572D">
              <w:t>overview</w:t>
            </w:r>
            <w:r>
              <w:t xml:space="preserve"> by a ‘BA’ </w:t>
            </w:r>
            <w:r w:rsidR="000214D6">
              <w:t>pref</w:t>
            </w:r>
            <w:r>
              <w:t>ix (for example, table B</w:t>
            </w:r>
            <w:r w:rsidRPr="00E175F0">
              <w:t xml:space="preserve">A.1). A full list of attachment tables is provided at the end of this sector </w:t>
            </w:r>
            <w:r w:rsidR="00A77F79">
              <w:t>overview</w:t>
            </w:r>
            <w:r w:rsidRPr="00E175F0">
              <w:t xml:space="preserve">, and the attachment tables are available from the Review website at </w:t>
            </w:r>
            <w:proofErr w:type="spellStart"/>
            <w:r w:rsidRPr="00E175F0">
              <w:t>www.pc.gov.au</w:t>
            </w:r>
            <w:proofErr w:type="spellEnd"/>
            <w:r w:rsidRPr="00E175F0">
              <w:t>/</w:t>
            </w:r>
            <w:proofErr w:type="spellStart"/>
            <w:r w:rsidRPr="00E175F0">
              <w:t>gsp</w:t>
            </w:r>
            <w:proofErr w:type="spellEnd"/>
            <w:r w:rsidRPr="00E175F0">
              <w:t>.</w:t>
            </w:r>
          </w:p>
        </w:tc>
      </w:tr>
      <w:tr w:rsidR="00B32791" w:rsidRPr="00CD33DD" w:rsidTr="00C315D4">
        <w:trPr>
          <w:cantSplit/>
        </w:trPr>
        <w:tc>
          <w:tcPr>
            <w:tcW w:w="8771" w:type="dxa"/>
            <w:tcBorders>
              <w:top w:val="nil"/>
              <w:left w:val="single" w:sz="6" w:space="0" w:color="auto"/>
              <w:bottom w:val="single" w:sz="6" w:space="0" w:color="auto"/>
              <w:right w:val="single" w:sz="6" w:space="0" w:color="auto"/>
            </w:tcBorders>
            <w:shd w:val="clear" w:color="auto" w:fill="E0E0E0"/>
          </w:tcPr>
          <w:p w:rsidR="00B32791" w:rsidRPr="00CD33DD" w:rsidRDefault="00B32791" w:rsidP="001F2DAE">
            <w:pPr>
              <w:pStyle w:val="Box"/>
              <w:spacing w:before="0" w:line="120" w:lineRule="exact"/>
            </w:pPr>
          </w:p>
        </w:tc>
      </w:tr>
      <w:tr w:rsidR="00B32791" w:rsidRPr="00CD33DD" w:rsidTr="00C315D4">
        <w:tc>
          <w:tcPr>
            <w:tcW w:w="8771" w:type="dxa"/>
            <w:tcBorders>
              <w:top w:val="nil"/>
              <w:left w:val="nil"/>
              <w:bottom w:val="nil"/>
              <w:right w:val="nil"/>
            </w:tcBorders>
          </w:tcPr>
          <w:p w:rsidR="00B32791" w:rsidRPr="00CD33DD" w:rsidRDefault="00B32791" w:rsidP="001F2DAE">
            <w:pPr>
              <w:pStyle w:val="Box"/>
              <w:keepNext w:val="0"/>
              <w:spacing w:before="60" w:after="60" w:line="80" w:lineRule="exact"/>
              <w:rPr>
                <w:b/>
                <w:sz w:val="14"/>
              </w:rPr>
            </w:pPr>
          </w:p>
        </w:tc>
      </w:tr>
    </w:tbl>
    <w:p w:rsidR="00C32684" w:rsidRDefault="00891AAF" w:rsidP="00C32684">
      <w:pPr>
        <w:pStyle w:val="Heading2"/>
      </w:pPr>
      <w:bookmarkStart w:id="5" w:name="_Toc369871805"/>
      <w:r>
        <w:t>B.</w:t>
      </w:r>
      <w:r w:rsidR="005C0C17">
        <w:rPr>
          <w:noProof/>
        </w:rPr>
        <w:t>1</w:t>
      </w:r>
      <w:r w:rsidR="00AE67DB">
        <w:tab/>
      </w:r>
      <w:r w:rsidR="00C32684">
        <w:t>Introduction</w:t>
      </w:r>
      <w:bookmarkEnd w:id="5"/>
    </w:p>
    <w:p w:rsidR="00A0590B" w:rsidRDefault="003867DF" w:rsidP="003867DF">
      <w:pPr>
        <w:pStyle w:val="BodyText"/>
      </w:pPr>
      <w:r>
        <w:t>Th</w:t>
      </w:r>
      <w:r w:rsidR="008E28C6">
        <w:t>is</w:t>
      </w:r>
      <w:r>
        <w:t xml:space="preserve"> sector </w:t>
      </w:r>
      <w:r w:rsidR="00A77F79">
        <w:t>overview</w:t>
      </w:r>
      <w:r>
        <w:t xml:space="preserve"> provides an introduction to the </w:t>
      </w:r>
      <w:r w:rsidR="00F048B0">
        <w:t>Child care, education and training</w:t>
      </w:r>
      <w:r>
        <w:t xml:space="preserve"> (</w:t>
      </w:r>
      <w:proofErr w:type="spellStart"/>
      <w:r w:rsidR="00F048B0">
        <w:t>CCET</w:t>
      </w:r>
      <w:proofErr w:type="spellEnd"/>
      <w:r>
        <w:t xml:space="preserve">) </w:t>
      </w:r>
      <w:r w:rsidR="00A0590B">
        <w:t>chapters of this Report</w:t>
      </w:r>
      <w:r w:rsidR="00142AFA">
        <w:t>:</w:t>
      </w:r>
      <w:r w:rsidR="00A0590B">
        <w:t xml:space="preserve"> </w:t>
      </w:r>
      <w:r w:rsidR="00A77F79">
        <w:t>Early childhood education and care</w:t>
      </w:r>
      <w:r w:rsidR="00A0590B">
        <w:t xml:space="preserve"> </w:t>
      </w:r>
      <w:r w:rsidR="00142AFA">
        <w:t>(</w:t>
      </w:r>
      <w:r w:rsidR="0033546B">
        <w:t>c</w:t>
      </w:r>
      <w:r w:rsidR="00A0590B">
        <w:t>hapter 3</w:t>
      </w:r>
      <w:r w:rsidR="00142AFA">
        <w:t>)</w:t>
      </w:r>
      <w:r w:rsidR="00A0590B">
        <w:t xml:space="preserve">, School education </w:t>
      </w:r>
      <w:r w:rsidR="00142AFA">
        <w:t>(</w:t>
      </w:r>
      <w:r w:rsidR="0033546B">
        <w:t>c</w:t>
      </w:r>
      <w:r w:rsidR="00A0590B">
        <w:t>hapter 4</w:t>
      </w:r>
      <w:r w:rsidR="00142AFA">
        <w:t>)</w:t>
      </w:r>
      <w:r w:rsidR="00A0590B">
        <w:t xml:space="preserve"> and Vo</w:t>
      </w:r>
      <w:r w:rsidR="00142AFA">
        <w:t>cational education and training</w:t>
      </w:r>
      <w:r w:rsidR="00A0590B">
        <w:t xml:space="preserve"> </w:t>
      </w:r>
      <w:r w:rsidR="00142AFA">
        <w:t>(</w:t>
      </w:r>
      <w:r w:rsidR="0033546B">
        <w:t>c</w:t>
      </w:r>
      <w:r w:rsidR="00A0590B">
        <w:t>hapter 5)</w:t>
      </w:r>
      <w:r w:rsidR="00740602">
        <w:t xml:space="preserve">. </w:t>
      </w:r>
      <w:r w:rsidR="00A0590B">
        <w:t xml:space="preserve">It provides an overview of the </w:t>
      </w:r>
      <w:proofErr w:type="spellStart"/>
      <w:r w:rsidR="00F048B0">
        <w:t>CCET</w:t>
      </w:r>
      <w:proofErr w:type="spellEnd"/>
      <w:r w:rsidR="00A0590B">
        <w:t xml:space="preserve"> </w:t>
      </w:r>
      <w:r>
        <w:t>sector</w:t>
      </w:r>
      <w:r w:rsidR="008E28C6">
        <w:t>,</w:t>
      </w:r>
      <w:r>
        <w:t xml:space="preserve"> </w:t>
      </w:r>
      <w:r w:rsidR="00A0590B">
        <w:t>presenting both contextual information and high</w:t>
      </w:r>
      <w:r w:rsidR="008A6CE2">
        <w:t xml:space="preserve"> level performance information.</w:t>
      </w:r>
    </w:p>
    <w:p w:rsidR="00A0590B" w:rsidRDefault="00A0590B" w:rsidP="003867DF">
      <w:pPr>
        <w:pStyle w:val="BodyText"/>
      </w:pPr>
      <w:r>
        <w:t xml:space="preserve">Major improvements in reporting in the </w:t>
      </w:r>
      <w:proofErr w:type="spellStart"/>
      <w:r w:rsidR="00F048B0">
        <w:t>CCET</w:t>
      </w:r>
      <w:proofErr w:type="spellEnd"/>
      <w:r>
        <w:t xml:space="preserve"> sector this year are identified in each service-specific </w:t>
      </w:r>
      <w:proofErr w:type="spellStart"/>
      <w:r w:rsidR="00F048B0">
        <w:t>CCET</w:t>
      </w:r>
      <w:proofErr w:type="spellEnd"/>
      <w:r w:rsidR="00310602">
        <w:t xml:space="preserve"> chapter</w:t>
      </w:r>
      <w:r>
        <w:t>.</w:t>
      </w:r>
    </w:p>
    <w:p w:rsidR="000D3385" w:rsidRDefault="000D3385" w:rsidP="000D3385">
      <w:pPr>
        <w:pStyle w:val="Heading3"/>
      </w:pPr>
      <w:r>
        <w:lastRenderedPageBreak/>
        <w:t>Policy context</w:t>
      </w:r>
    </w:p>
    <w:p w:rsidR="000D3385" w:rsidRPr="0084291E" w:rsidRDefault="000D3385" w:rsidP="000D3385">
      <w:pPr>
        <w:pStyle w:val="BodyText"/>
      </w:pPr>
      <w:r>
        <w:t xml:space="preserve">The Australian, State and Territory governments are working cooperatively to undertake national reforms in the </w:t>
      </w:r>
      <w:r w:rsidR="00F048B0">
        <w:t>Child care, education and training</w:t>
      </w:r>
      <w:r>
        <w:t xml:space="preserve"> sector. </w:t>
      </w:r>
      <w:r w:rsidRPr="0084291E">
        <w:t xml:space="preserve">In 2008, the importance of early childhood development and education and training was formally acknowledged when </w:t>
      </w:r>
      <w:proofErr w:type="spellStart"/>
      <w:r w:rsidRPr="0084291E">
        <w:t>COAG</w:t>
      </w:r>
      <w:proofErr w:type="spellEnd"/>
      <w:r w:rsidRPr="0084291E">
        <w:t xml:space="preserve"> agreed to the following aspirations for the </w:t>
      </w:r>
      <w:proofErr w:type="spellStart"/>
      <w:r w:rsidR="00F048B0">
        <w:t>CCET</w:t>
      </w:r>
      <w:proofErr w:type="spellEnd"/>
      <w:r w:rsidRPr="0084291E">
        <w:t xml:space="preserve"> sector:</w:t>
      </w:r>
      <w:r w:rsidRPr="00A419EE">
        <w:t xml:space="preserve"> </w:t>
      </w:r>
    </w:p>
    <w:p w:rsidR="000D3385" w:rsidRPr="00192163" w:rsidRDefault="00746FE6" w:rsidP="000D3385">
      <w:pPr>
        <w:pStyle w:val="ListBullet"/>
      </w:pPr>
      <w:r>
        <w:t xml:space="preserve">to ensure </w:t>
      </w:r>
      <w:r w:rsidR="000E3539">
        <w:t xml:space="preserve">that all </w:t>
      </w:r>
      <w:r w:rsidR="000E3539" w:rsidRPr="00192163">
        <w:t>children have the best start in life to create a better future for themselves and for the nation</w:t>
      </w:r>
      <w:r w:rsidR="007A0434">
        <w:t>,</w:t>
      </w:r>
      <w:r w:rsidR="000E3539" w:rsidRPr="00192163">
        <w:t xml:space="preserve"> </w:t>
      </w:r>
      <w:r w:rsidRPr="00192163">
        <w:t>universal access to quality early childhood education in the year before school (</w:t>
      </w:r>
      <w:proofErr w:type="spellStart"/>
      <w:r w:rsidRPr="00192163">
        <w:t>COAG</w:t>
      </w:r>
      <w:proofErr w:type="spellEnd"/>
      <w:r w:rsidRPr="00192163">
        <w:t xml:space="preserve"> 200</w:t>
      </w:r>
      <w:r w:rsidR="000E3539" w:rsidRPr="00192163">
        <w:t>9</w:t>
      </w:r>
      <w:r w:rsidRPr="00192163">
        <w:t xml:space="preserve">; </w:t>
      </w:r>
      <w:r w:rsidR="000E3539" w:rsidRPr="00192163">
        <w:rPr>
          <w:i/>
        </w:rPr>
        <w:t>Investing in the early years: A n</w:t>
      </w:r>
      <w:r w:rsidRPr="00192163">
        <w:rPr>
          <w:i/>
        </w:rPr>
        <w:t xml:space="preserve">ational </w:t>
      </w:r>
      <w:r w:rsidR="000E3539" w:rsidRPr="00192163">
        <w:rPr>
          <w:i/>
        </w:rPr>
        <w:t>early c</w:t>
      </w:r>
      <w:r w:rsidRPr="00192163">
        <w:rPr>
          <w:i/>
        </w:rPr>
        <w:t xml:space="preserve">hildhood </w:t>
      </w:r>
      <w:r w:rsidR="000E3539" w:rsidRPr="00192163">
        <w:rPr>
          <w:i/>
        </w:rPr>
        <w:t>development strategy</w:t>
      </w:r>
      <w:r w:rsidRPr="00192163">
        <w:t>)</w:t>
      </w:r>
    </w:p>
    <w:p w:rsidR="000D3385" w:rsidRPr="00192163" w:rsidRDefault="00746FE6" w:rsidP="000D3385">
      <w:pPr>
        <w:pStyle w:val="ListBullet"/>
        <w:autoSpaceDE w:val="0"/>
        <w:autoSpaceDN w:val="0"/>
        <w:adjustRightInd w:val="0"/>
        <w:rPr>
          <w:rFonts w:ascii="TimesNewRomanPSMT" w:hAnsi="TimesNewRomanPSMT" w:cs="TimesNewRomanPSMT"/>
          <w:szCs w:val="26"/>
        </w:rPr>
      </w:pPr>
      <w:r w:rsidRPr="00192163">
        <w:t xml:space="preserve">that </w:t>
      </w:r>
      <w:r w:rsidR="000D3385" w:rsidRPr="00192163">
        <w:t>all Australian school students acquire the knowledge and skills to participate effectively in society and employment in a globalised economy</w:t>
      </w:r>
      <w:r w:rsidRPr="00192163">
        <w:t xml:space="preserve"> (</w:t>
      </w:r>
      <w:proofErr w:type="spellStart"/>
      <w:r w:rsidRPr="00192163">
        <w:t>COAG</w:t>
      </w:r>
      <w:proofErr w:type="spellEnd"/>
      <w:r w:rsidRPr="00192163">
        <w:t xml:space="preserve"> 2008</w:t>
      </w:r>
      <w:r w:rsidR="000E3539" w:rsidRPr="00192163">
        <w:t>a</w:t>
      </w:r>
      <w:r w:rsidRPr="00192163">
        <w:t xml:space="preserve">; </w:t>
      </w:r>
      <w:r w:rsidRPr="00192163">
        <w:rPr>
          <w:i/>
        </w:rPr>
        <w:t>National Education Agreement</w:t>
      </w:r>
      <w:r w:rsidRPr="00192163">
        <w:t>)</w:t>
      </w:r>
    </w:p>
    <w:p w:rsidR="000D3385" w:rsidRPr="00192163" w:rsidRDefault="00746FE6" w:rsidP="000D3385">
      <w:pPr>
        <w:pStyle w:val="ListBullet"/>
        <w:autoSpaceDE w:val="0"/>
        <w:autoSpaceDN w:val="0"/>
        <w:adjustRightInd w:val="0"/>
        <w:rPr>
          <w:rFonts w:ascii="TimesNewRomanPSMT" w:hAnsi="TimesNewRomanPSMT" w:cs="TimesNewRomanPSMT"/>
          <w:szCs w:val="26"/>
        </w:rPr>
      </w:pPr>
      <w:r w:rsidRPr="00192163">
        <w:rPr>
          <w:rFonts w:ascii="TimesNewRomanPSMT" w:hAnsi="TimesNewRomanPSMT" w:cs="TimesNewRomanPSMT"/>
          <w:szCs w:val="26"/>
        </w:rPr>
        <w:t xml:space="preserve">to achieve a vocational education and training (VET) system that delivers a more productive and highly skilled workforce, enabling all working age Australian’s to participate effectively in the labour market and contribute to Australia’s economic future </w:t>
      </w:r>
      <w:r w:rsidR="000D3385" w:rsidRPr="00192163">
        <w:rPr>
          <w:rFonts w:ascii="TimesNewRomanPSMT" w:hAnsi="TimesNewRomanPSMT" w:cs="TimesNewRomanPSMT"/>
          <w:szCs w:val="26"/>
        </w:rPr>
        <w:t>(</w:t>
      </w:r>
      <w:proofErr w:type="spellStart"/>
      <w:r w:rsidR="000D3385" w:rsidRPr="00192163">
        <w:rPr>
          <w:rFonts w:ascii="TimesNewRomanPSMT" w:hAnsi="TimesNewRomanPSMT" w:cs="TimesNewRomanPSMT"/>
          <w:szCs w:val="26"/>
        </w:rPr>
        <w:t>COAG</w:t>
      </w:r>
      <w:proofErr w:type="spellEnd"/>
      <w:r w:rsidR="000D3385" w:rsidRPr="00192163">
        <w:rPr>
          <w:rFonts w:ascii="TimesNewRomanPSMT" w:hAnsi="TimesNewRomanPSMT" w:cs="TimesNewRomanPSMT"/>
          <w:szCs w:val="26"/>
        </w:rPr>
        <w:t xml:space="preserve"> 2008</w:t>
      </w:r>
      <w:r w:rsidR="000E3539" w:rsidRPr="00192163">
        <w:rPr>
          <w:rFonts w:ascii="TimesNewRomanPSMT" w:hAnsi="TimesNewRomanPSMT" w:cs="TimesNewRomanPSMT"/>
          <w:szCs w:val="26"/>
        </w:rPr>
        <w:t>b</w:t>
      </w:r>
      <w:r w:rsidRPr="00192163">
        <w:rPr>
          <w:rFonts w:ascii="TimesNewRomanPSMT" w:hAnsi="TimesNewRomanPSMT" w:cs="TimesNewRomanPSMT"/>
          <w:szCs w:val="26"/>
        </w:rPr>
        <w:t xml:space="preserve">; </w:t>
      </w:r>
      <w:r w:rsidRPr="00192163">
        <w:rPr>
          <w:rFonts w:ascii="TimesNewRomanPSMT" w:hAnsi="TimesNewRomanPSMT" w:cs="TimesNewRomanPSMT"/>
          <w:i/>
          <w:szCs w:val="26"/>
        </w:rPr>
        <w:t>National Agreement for Skills and Workforce Development</w:t>
      </w:r>
      <w:r w:rsidR="000D3385" w:rsidRPr="00192163">
        <w:rPr>
          <w:rFonts w:ascii="TimesNewRomanPSMT" w:hAnsi="TimesNewRomanPSMT" w:cs="TimesNewRomanPSMT"/>
          <w:szCs w:val="26"/>
        </w:rPr>
        <w:t>).</w:t>
      </w:r>
    </w:p>
    <w:p w:rsidR="000D3385" w:rsidRDefault="000D3385" w:rsidP="000D3385">
      <w:pPr>
        <w:pStyle w:val="BodyText"/>
      </w:pPr>
      <w:r w:rsidRPr="00192163">
        <w:t xml:space="preserve">To achieve the </w:t>
      </w:r>
      <w:proofErr w:type="spellStart"/>
      <w:r w:rsidRPr="00192163">
        <w:t>COAG</w:t>
      </w:r>
      <w:proofErr w:type="spellEnd"/>
      <w:r w:rsidRPr="00192163">
        <w:t xml:space="preserve"> aspirations</w:t>
      </w:r>
      <w:r w:rsidR="008E28C6" w:rsidRPr="00192163">
        <w:t>,</w:t>
      </w:r>
      <w:r w:rsidRPr="00192163">
        <w:t xml:space="preserve"> governments</w:t>
      </w:r>
      <w:r>
        <w:t xml:space="preserve"> have endorsed a number of major funding agreements and initiatives. </w:t>
      </w:r>
      <w:r w:rsidR="008E28C6">
        <w:t>T</w:t>
      </w:r>
      <w:r>
        <w:t xml:space="preserve">he broadest of these </w:t>
      </w:r>
      <w:proofErr w:type="spellStart"/>
      <w:r>
        <w:t>COAG</w:t>
      </w:r>
      <w:proofErr w:type="spellEnd"/>
      <w:r w:rsidRPr="0084291E">
        <w:t xml:space="preserve"> initiatives </w:t>
      </w:r>
      <w:r>
        <w:t xml:space="preserve">are outlined in box </w:t>
      </w:r>
      <w:r w:rsidR="005E45C2">
        <w:t>B.1</w:t>
      </w:r>
      <w:r w:rsidR="008E28C6">
        <w:t>, with additional detail in the service specific chapters</w:t>
      </w:r>
      <w:r w:rsidRPr="0084291E">
        <w:t>.</w:t>
      </w:r>
      <w:r w:rsidRPr="00AD4C99">
        <w:t xml:space="preserve"> </w:t>
      </w:r>
      <w:r>
        <w:t xml:space="preserve">There </w:t>
      </w:r>
      <w:r w:rsidR="00446480">
        <w:t xml:space="preserve">are </w:t>
      </w:r>
      <w:r>
        <w:t xml:space="preserve">also a range of State and Territory based policy initiatives across the </w:t>
      </w:r>
      <w:r w:rsidR="00F048B0">
        <w:t>Child care, education and training</w:t>
      </w:r>
      <w:r>
        <w:t xml:space="preserve"> sector t</w:t>
      </w:r>
      <w:r w:rsidR="008E28C6">
        <w:t>hat</w:t>
      </w:r>
      <w:r>
        <w:t xml:space="preserve"> support these broader </w:t>
      </w:r>
      <w:proofErr w:type="spellStart"/>
      <w:r>
        <w:t>COAG</w:t>
      </w:r>
      <w:proofErr w:type="spellEnd"/>
      <w:r>
        <w:t xml:space="preserve"> initiatives.</w:t>
      </w:r>
    </w:p>
    <w:p w:rsidR="00FA2D64" w:rsidRDefault="00FA2D6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A2D64">
        <w:tc>
          <w:tcPr>
            <w:tcW w:w="8771" w:type="dxa"/>
            <w:tcBorders>
              <w:top w:val="single" w:sz="6" w:space="0" w:color="auto"/>
              <w:bottom w:val="nil"/>
            </w:tcBorders>
          </w:tcPr>
          <w:p w:rsidR="00FA2D64" w:rsidRDefault="00FA2D64">
            <w:pPr>
              <w:pStyle w:val="BoxTitle"/>
            </w:pPr>
            <w:r>
              <w:rPr>
                <w:b w:val="0"/>
              </w:rPr>
              <w:t xml:space="preserve">Box </w:t>
            </w:r>
            <w:bookmarkStart w:id="6" w:name="OLE_LINK3"/>
            <w:r w:rsidR="00891AAF">
              <w:rPr>
                <w:b w:val="0"/>
              </w:rPr>
              <w:t>B.</w:t>
            </w:r>
            <w:r w:rsidR="005C0C17">
              <w:rPr>
                <w:b w:val="0"/>
                <w:noProof/>
              </w:rPr>
              <w:t>1</w:t>
            </w:r>
            <w:bookmarkEnd w:id="6"/>
            <w:r>
              <w:tab/>
            </w:r>
            <w:proofErr w:type="spellStart"/>
            <w:r>
              <w:t>COAG</w:t>
            </w:r>
            <w:proofErr w:type="spellEnd"/>
            <w:r>
              <w:t xml:space="preserve"> initiatives in the </w:t>
            </w:r>
            <w:proofErr w:type="spellStart"/>
            <w:r w:rsidR="00F048B0">
              <w:t>CCET</w:t>
            </w:r>
            <w:proofErr w:type="spellEnd"/>
            <w:r>
              <w:t xml:space="preserve"> sector</w:t>
            </w:r>
          </w:p>
        </w:tc>
      </w:tr>
      <w:tr w:rsidR="00FA2D64">
        <w:trPr>
          <w:cantSplit/>
        </w:trPr>
        <w:tc>
          <w:tcPr>
            <w:tcW w:w="8771" w:type="dxa"/>
            <w:tcBorders>
              <w:top w:val="nil"/>
              <w:left w:val="single" w:sz="6" w:space="0" w:color="auto"/>
              <w:bottom w:val="nil"/>
              <w:right w:val="single" w:sz="6" w:space="0" w:color="auto"/>
            </w:tcBorders>
          </w:tcPr>
          <w:p w:rsidR="004E25BD" w:rsidRDefault="004E25BD" w:rsidP="004E25BD">
            <w:pPr>
              <w:pStyle w:val="BoxListBullet"/>
            </w:pPr>
            <w:r>
              <w:t xml:space="preserve">The </w:t>
            </w:r>
            <w:r w:rsidRPr="00E85C14">
              <w:rPr>
                <w:i/>
              </w:rPr>
              <w:t>National Early Childhood Development Strategy</w:t>
            </w:r>
            <w:r>
              <w:t xml:space="preserve"> aims to improve outcomes for all chi</w:t>
            </w:r>
            <w:r w:rsidR="00740F28">
              <w:t>ldren and their families</w:t>
            </w:r>
            <w:r w:rsidR="008E28C6">
              <w:t>,</w:t>
            </w:r>
            <w:r w:rsidR="00740F28">
              <w:t xml:space="preserve"> and includes</w:t>
            </w:r>
            <w:r>
              <w:t xml:space="preserve"> the following initiatives:</w:t>
            </w:r>
          </w:p>
          <w:p w:rsidR="004E25BD" w:rsidRPr="001F2D7B" w:rsidRDefault="004E25BD" w:rsidP="00723EBD">
            <w:pPr>
              <w:pStyle w:val="BoxListBullet2"/>
            </w:pPr>
            <w:r>
              <w:t>t</w:t>
            </w:r>
            <w:r w:rsidRPr="00356525">
              <w:t>he</w:t>
            </w:r>
            <w:r>
              <w:rPr>
                <w:i/>
              </w:rPr>
              <w:t xml:space="preserve"> </w:t>
            </w:r>
            <w:r w:rsidRPr="001F2D7B">
              <w:rPr>
                <w:i/>
              </w:rPr>
              <w:t>National Partnership Agreement on Early Childhood Education</w:t>
            </w:r>
            <w:r w:rsidRPr="001F2D7B">
              <w:t xml:space="preserve"> </w:t>
            </w:r>
            <w:r w:rsidR="007A0434" w:rsidRPr="001F2D7B">
              <w:t xml:space="preserve">which aims </w:t>
            </w:r>
            <w:r w:rsidRPr="001F2D7B">
              <w:t xml:space="preserve">to achieve universal access to </w:t>
            </w:r>
            <w:r w:rsidR="007A0434" w:rsidRPr="001F2D7B">
              <w:t xml:space="preserve">quality </w:t>
            </w:r>
            <w:r w:rsidRPr="001F2D7B">
              <w:t>early childhood education for all children in the year</w:t>
            </w:r>
            <w:r w:rsidR="00AE7E8B" w:rsidRPr="001F2D7B">
              <w:t xml:space="preserve"> bef</w:t>
            </w:r>
            <w:r w:rsidR="00863E5C" w:rsidRPr="001F2D7B">
              <w:t>ore full time school</w:t>
            </w:r>
            <w:r w:rsidR="007A0434" w:rsidRPr="001F2D7B">
              <w:t xml:space="preserve"> by June 2013</w:t>
            </w:r>
          </w:p>
          <w:p w:rsidR="007A0434" w:rsidRPr="001F2D7B" w:rsidRDefault="007A0434" w:rsidP="00723EBD">
            <w:pPr>
              <w:pStyle w:val="BoxListBullet2"/>
            </w:pPr>
            <w:r w:rsidRPr="001F2D7B">
              <w:t xml:space="preserve">a new </w:t>
            </w:r>
            <w:r w:rsidRPr="001F2D7B">
              <w:rPr>
                <w:i/>
              </w:rPr>
              <w:t>National Partnership Agreement on Universal Access to Early Childhood Education</w:t>
            </w:r>
            <w:r w:rsidRPr="001F2D7B">
              <w:t xml:space="preserve"> for the period July 2013 to December 2014 to support universal access to and improved participation by children in quality early childhood education in the year before full time schooling, with a focus on vulnerable and disadvantaged children</w:t>
            </w:r>
          </w:p>
          <w:p w:rsidR="00BE1ABC" w:rsidRPr="001F2D7B" w:rsidRDefault="004E25BD" w:rsidP="00723EBD">
            <w:pPr>
              <w:pStyle w:val="BoxListBullet2"/>
            </w:pPr>
            <w:r w:rsidRPr="001F2D7B">
              <w:t xml:space="preserve">the </w:t>
            </w:r>
            <w:r w:rsidRPr="001F2D7B">
              <w:rPr>
                <w:i/>
              </w:rPr>
              <w:t>National Partnership Agreement on Indigeno</w:t>
            </w:r>
            <w:r w:rsidR="00BE1ABC" w:rsidRPr="001F2D7B">
              <w:rPr>
                <w:i/>
              </w:rPr>
              <w:t>us Early Childhood Development</w:t>
            </w:r>
          </w:p>
          <w:p w:rsidR="00BE1ABC" w:rsidRPr="00BE1ABC" w:rsidRDefault="00BE1ABC" w:rsidP="00723EBD">
            <w:pPr>
              <w:pStyle w:val="BoxListBullet2"/>
            </w:pPr>
            <w:r w:rsidRPr="001F2D7B">
              <w:t xml:space="preserve">the </w:t>
            </w:r>
            <w:r w:rsidR="004E25BD" w:rsidRPr="001F2D7B">
              <w:rPr>
                <w:i/>
              </w:rPr>
              <w:t xml:space="preserve">National Quality </w:t>
            </w:r>
            <w:r w:rsidRPr="001F2D7B">
              <w:rPr>
                <w:i/>
              </w:rPr>
              <w:t>Framework</w:t>
            </w:r>
            <w:r w:rsidRPr="001F2D7B">
              <w:t xml:space="preserve"> (</w:t>
            </w:r>
            <w:proofErr w:type="spellStart"/>
            <w:r w:rsidRPr="001F2D7B">
              <w:t>NQF</w:t>
            </w:r>
            <w:proofErr w:type="spellEnd"/>
            <w:r w:rsidRPr="001F2D7B">
              <w:t xml:space="preserve">) </w:t>
            </w:r>
            <w:r w:rsidR="008E28C6" w:rsidRPr="001F2D7B">
              <w:t>which</w:t>
            </w:r>
            <w:r w:rsidRPr="001F2D7B">
              <w:t xml:space="preserve"> incorporates a new </w:t>
            </w:r>
            <w:r w:rsidRPr="001F2D7B">
              <w:rPr>
                <w:i/>
              </w:rPr>
              <w:t>National Quality Standard</w:t>
            </w:r>
            <w:r w:rsidRPr="001F2D7B">
              <w:t xml:space="preserve"> to ensure high</w:t>
            </w:r>
            <w:r w:rsidRPr="00BE1ABC">
              <w:t xml:space="preserve"> quality and consistent care across Australia. The </w:t>
            </w:r>
            <w:proofErr w:type="spellStart"/>
            <w:r w:rsidRPr="00BE1ABC">
              <w:t>NQF</w:t>
            </w:r>
            <w:proofErr w:type="spellEnd"/>
            <w:r w:rsidRPr="00BE1ABC">
              <w:t xml:space="preserve"> will be implemented via the </w:t>
            </w:r>
            <w:r w:rsidRPr="00BE1ABC">
              <w:rPr>
                <w:i/>
              </w:rPr>
              <w:t xml:space="preserve">National Partnership Agreement on the National Quality </w:t>
            </w:r>
            <w:r w:rsidR="00D90BD2" w:rsidRPr="00BE1ABC">
              <w:rPr>
                <w:i/>
              </w:rPr>
              <w:t>Agenda for Early Childhood Education and Care</w:t>
            </w:r>
          </w:p>
          <w:p w:rsidR="00FA2D64" w:rsidRPr="00BE1ABC" w:rsidRDefault="00BE1ABC" w:rsidP="005B1170">
            <w:pPr>
              <w:pStyle w:val="BoxListBullet2"/>
            </w:pPr>
            <w:r w:rsidRPr="00BE1ABC">
              <w:t>workforce initiatives for the early childhood education and care workforce</w:t>
            </w:r>
            <w:r>
              <w:t>.</w:t>
            </w:r>
          </w:p>
          <w:p w:rsidR="00335E0D" w:rsidRDefault="005E1A67" w:rsidP="005B1170">
            <w:pPr>
              <w:pStyle w:val="BoxListBullet"/>
            </w:pPr>
            <w:r>
              <w:t xml:space="preserve">The </w:t>
            </w:r>
            <w:r w:rsidRPr="00933151">
              <w:rPr>
                <w:i/>
              </w:rPr>
              <w:t>National Education Agreement</w:t>
            </w:r>
            <w:r>
              <w:t xml:space="preserve"> (NEA) covers school education, consisting of </w:t>
            </w:r>
            <w:r w:rsidRPr="00A21E42">
              <w:t>objectives and outcomes for all schools and school systems, including the roles and responsibilities</w:t>
            </w:r>
            <w:r w:rsidR="00D50F16">
              <w:t xml:space="preserve"> of</w:t>
            </w:r>
            <w:r w:rsidRPr="00A21E42">
              <w:t xml:space="preserve"> </w:t>
            </w:r>
            <w:r w:rsidR="009A14D9">
              <w:t xml:space="preserve">the </w:t>
            </w:r>
            <w:r w:rsidR="00DD329E">
              <w:t xml:space="preserve">Australian </w:t>
            </w:r>
            <w:r w:rsidR="009A14D9">
              <w:t xml:space="preserve">and State and Territory </w:t>
            </w:r>
            <w:r w:rsidR="00D50F16">
              <w:t>g</w:t>
            </w:r>
            <w:r w:rsidR="009A14D9">
              <w:t xml:space="preserve">overnments </w:t>
            </w:r>
            <w:r w:rsidRPr="00A21E42">
              <w:t>and a fram</w:t>
            </w:r>
            <w:r>
              <w:t>e</w:t>
            </w:r>
            <w:r w:rsidR="006F5B3E">
              <w:t>work for performance reporting.</w:t>
            </w:r>
          </w:p>
          <w:p w:rsidR="00933151" w:rsidRDefault="00933151" w:rsidP="005B1170">
            <w:pPr>
              <w:pStyle w:val="BoxListBullet"/>
            </w:pPr>
            <w:r w:rsidRPr="006C5C24">
              <w:t xml:space="preserve">The </w:t>
            </w:r>
            <w:r w:rsidRPr="00E85C14">
              <w:rPr>
                <w:i/>
              </w:rPr>
              <w:t>National Agreement for Skills and Workforce Development</w:t>
            </w:r>
            <w:r w:rsidRPr="006C5C24">
              <w:t xml:space="preserve"> (</w:t>
            </w:r>
            <w:proofErr w:type="spellStart"/>
            <w:r w:rsidRPr="006C5C24">
              <w:t>NASWD</w:t>
            </w:r>
            <w:proofErr w:type="spellEnd"/>
            <w:r w:rsidRPr="006C5C24">
              <w:t xml:space="preserve">) sets out the commitment between the </w:t>
            </w:r>
            <w:r w:rsidR="00142AFA">
              <w:t xml:space="preserve">Australian government </w:t>
            </w:r>
            <w:r w:rsidRPr="006C5C24">
              <w:t xml:space="preserve">and the </w:t>
            </w:r>
            <w:r w:rsidR="008E28C6">
              <w:t>S</w:t>
            </w:r>
            <w:r w:rsidR="00142AFA">
              <w:t xml:space="preserve">tate and </w:t>
            </w:r>
            <w:r w:rsidR="008E28C6">
              <w:t>T</w:t>
            </w:r>
            <w:r w:rsidR="00142AFA">
              <w:t>erritory governments</w:t>
            </w:r>
            <w:r w:rsidRPr="006C5C24">
              <w:t xml:space="preserve"> to work towards increasing the skill levels of all Australians.</w:t>
            </w:r>
          </w:p>
          <w:p w:rsidR="00933151" w:rsidRDefault="00933151" w:rsidP="005B1170">
            <w:pPr>
              <w:pStyle w:val="BoxListBullet"/>
            </w:pPr>
            <w:r w:rsidRPr="00E85C14">
              <w:t xml:space="preserve">The </w:t>
            </w:r>
            <w:r w:rsidRPr="00E85C14">
              <w:rPr>
                <w:i/>
              </w:rPr>
              <w:t xml:space="preserve">National Indigenous Reform Agreement </w:t>
            </w:r>
            <w:r w:rsidRPr="00E85C14">
              <w:t>(</w:t>
            </w:r>
            <w:proofErr w:type="spellStart"/>
            <w:r w:rsidRPr="00E85C14">
              <w:t>NIRA</w:t>
            </w:r>
            <w:proofErr w:type="spellEnd"/>
            <w:r w:rsidRPr="00E85C14">
              <w:t>) provides an integrated framework for closing the gap in Indigenous disadvantage</w:t>
            </w:r>
            <w:r w:rsidR="008E28C6">
              <w:t>,</w:t>
            </w:r>
            <w:r w:rsidRPr="00E85C14">
              <w:t xml:space="preserve"> based on the seven b</w:t>
            </w:r>
            <w:r>
              <w:t>uilding blocks of early childhood</w:t>
            </w:r>
            <w:r w:rsidRPr="00E85C14">
              <w:t xml:space="preserve"> schooling</w:t>
            </w:r>
            <w:r>
              <w:t>,</w:t>
            </w:r>
            <w:r w:rsidRPr="00E85C14">
              <w:t xml:space="preserve"> health</w:t>
            </w:r>
            <w:r>
              <w:t>,</w:t>
            </w:r>
            <w:r w:rsidRPr="00E85C14">
              <w:t xml:space="preserve"> economic participation</w:t>
            </w:r>
            <w:r>
              <w:t>,</w:t>
            </w:r>
            <w:r w:rsidRPr="00E85C14">
              <w:t xml:space="preserve"> healthy homes</w:t>
            </w:r>
            <w:r>
              <w:t>,</w:t>
            </w:r>
            <w:r w:rsidRPr="00E85C14">
              <w:t xml:space="preserve"> safe communities</w:t>
            </w:r>
            <w:r>
              <w:t>,</w:t>
            </w:r>
            <w:r w:rsidRPr="00E85C14">
              <w:t xml:space="preserve"> and governance and leadership.</w:t>
            </w:r>
          </w:p>
          <w:p w:rsidR="00933151" w:rsidRDefault="00933151" w:rsidP="005B1170">
            <w:pPr>
              <w:pStyle w:val="BoxListBullet"/>
            </w:pPr>
            <w:r>
              <w:t xml:space="preserve">The </w:t>
            </w:r>
            <w:r w:rsidR="006F5B3E">
              <w:t xml:space="preserve">Australian Government </w:t>
            </w:r>
            <w:r>
              <w:t xml:space="preserve">and </w:t>
            </w:r>
            <w:r w:rsidR="00BD4EDA">
              <w:t>S</w:t>
            </w:r>
            <w:r w:rsidR="00740F28">
              <w:t>tate</w:t>
            </w:r>
            <w:r>
              <w:t xml:space="preserve"> and </w:t>
            </w:r>
            <w:r w:rsidR="00BD4EDA">
              <w:t>T</w:t>
            </w:r>
            <w:r w:rsidR="00142AFA">
              <w:t>erritory governments</w:t>
            </w:r>
            <w:r>
              <w:t xml:space="preserve"> have also agreed to a number of National Partnerships</w:t>
            </w:r>
            <w:r w:rsidR="006625D0">
              <w:t xml:space="preserve"> and other agreements</w:t>
            </w:r>
            <w:r>
              <w:t xml:space="preserve"> related to education and training, including:</w:t>
            </w:r>
          </w:p>
          <w:p w:rsidR="00933151" w:rsidRDefault="00933151" w:rsidP="005B1170">
            <w:pPr>
              <w:pStyle w:val="BoxListBullet2"/>
            </w:pPr>
            <w:r>
              <w:t>T</w:t>
            </w:r>
            <w:r w:rsidRPr="00F47042">
              <w:t xml:space="preserve">he </w:t>
            </w:r>
            <w:r w:rsidRPr="00933151">
              <w:rPr>
                <w:i/>
              </w:rPr>
              <w:t>Smarter Schools National Partnership</w:t>
            </w:r>
            <w:r w:rsidRPr="00F47042">
              <w:t xml:space="preserve"> </w:t>
            </w:r>
            <w:r>
              <w:t xml:space="preserve">which incorporates: the </w:t>
            </w:r>
            <w:r w:rsidRPr="00933151">
              <w:rPr>
                <w:i/>
              </w:rPr>
              <w:t>National Partnership on Literacy and Numeracy</w:t>
            </w:r>
            <w:r>
              <w:t>;</w:t>
            </w:r>
            <w:r w:rsidRPr="00F47042">
              <w:t xml:space="preserve"> </w:t>
            </w:r>
            <w:r>
              <w:t>t</w:t>
            </w:r>
            <w:r w:rsidRPr="00F47042">
              <w:t xml:space="preserve">he </w:t>
            </w:r>
            <w:r w:rsidRPr="00933151">
              <w:rPr>
                <w:i/>
              </w:rPr>
              <w:t>Na</w:t>
            </w:r>
            <w:r w:rsidR="006F5B3E">
              <w:rPr>
                <w:i/>
              </w:rPr>
              <w:t>tional Partnership on Low Socio</w:t>
            </w:r>
            <w:r w:rsidR="006F5B3E">
              <w:rPr>
                <w:i/>
              </w:rPr>
              <w:noBreakHyphen/>
              <w:t>E</w:t>
            </w:r>
            <w:r w:rsidRPr="00933151">
              <w:rPr>
                <w:i/>
              </w:rPr>
              <w:t>conomic Status School Communities</w:t>
            </w:r>
            <w:r w:rsidR="008E28C6">
              <w:rPr>
                <w:i/>
              </w:rPr>
              <w:t>;</w:t>
            </w:r>
            <w:r>
              <w:t xml:space="preserve"> and the </w:t>
            </w:r>
            <w:r w:rsidRPr="00933151">
              <w:rPr>
                <w:i/>
              </w:rPr>
              <w:t>National Partnership on Improving Teacher Quality</w:t>
            </w:r>
          </w:p>
          <w:p w:rsidR="00913409" w:rsidRDefault="00913409" w:rsidP="00723EBD">
            <w:pPr>
              <w:pStyle w:val="Box"/>
            </w:pPr>
          </w:p>
        </w:tc>
      </w:tr>
      <w:tr w:rsidR="00FA2D64">
        <w:trPr>
          <w:cantSplit/>
        </w:trPr>
        <w:tc>
          <w:tcPr>
            <w:tcW w:w="8771" w:type="dxa"/>
            <w:tcBorders>
              <w:top w:val="nil"/>
              <w:left w:val="single" w:sz="6" w:space="0" w:color="auto"/>
              <w:bottom w:val="single" w:sz="6" w:space="0" w:color="auto"/>
              <w:right w:val="single" w:sz="6" w:space="0" w:color="auto"/>
            </w:tcBorders>
          </w:tcPr>
          <w:p w:rsidR="00913409" w:rsidRPr="002245D9" w:rsidRDefault="008B273C" w:rsidP="002245D9">
            <w:pPr>
              <w:pStyle w:val="BoxSource"/>
              <w:jc w:val="right"/>
            </w:pPr>
            <w:r>
              <w:t>(Continued next page)</w:t>
            </w:r>
          </w:p>
        </w:tc>
      </w:tr>
      <w:tr w:rsidR="00FA2D64">
        <w:tc>
          <w:tcPr>
            <w:tcW w:w="8771" w:type="dxa"/>
            <w:tcBorders>
              <w:top w:val="nil"/>
              <w:left w:val="nil"/>
              <w:bottom w:val="nil"/>
              <w:right w:val="nil"/>
            </w:tcBorders>
          </w:tcPr>
          <w:p w:rsidR="00FA2D64" w:rsidRDefault="00FA2D64">
            <w:pPr>
              <w:pStyle w:val="Box"/>
              <w:keepNext w:val="0"/>
              <w:spacing w:before="60" w:after="60" w:line="80" w:lineRule="exact"/>
              <w:rPr>
                <w:b/>
                <w:color w:val="FF00FF"/>
                <w:sz w:val="14"/>
              </w:rPr>
            </w:pPr>
          </w:p>
        </w:tc>
      </w:tr>
    </w:tbl>
    <w:p w:rsidR="007A0434" w:rsidRDefault="007A0434" w:rsidP="000D3385">
      <w:pPr>
        <w:pStyle w:val="Heading3"/>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A0434" w:rsidTr="007A0434">
        <w:tc>
          <w:tcPr>
            <w:tcW w:w="8771" w:type="dxa"/>
            <w:tcBorders>
              <w:top w:val="single" w:sz="6" w:space="0" w:color="auto"/>
              <w:bottom w:val="nil"/>
            </w:tcBorders>
          </w:tcPr>
          <w:p w:rsidR="007A0434" w:rsidRDefault="007A0434" w:rsidP="007A0434">
            <w:pPr>
              <w:pStyle w:val="BoxTitle"/>
            </w:pPr>
            <w:r>
              <w:rPr>
                <w:b w:val="0"/>
              </w:rPr>
              <w:t>Box B.</w:t>
            </w:r>
            <w:r w:rsidR="005C0C17">
              <w:rPr>
                <w:b w:val="0"/>
                <w:noProof/>
              </w:rPr>
              <w:t>2</w:t>
            </w:r>
            <w:r>
              <w:tab/>
            </w:r>
            <w:r w:rsidR="008B273C" w:rsidRPr="002F5C97">
              <w:rPr>
                <w:rStyle w:val="ContinuedChar"/>
              </w:rPr>
              <w:t>(continued)</w:t>
            </w:r>
          </w:p>
        </w:tc>
      </w:tr>
      <w:tr w:rsidR="007A0434" w:rsidTr="007A0434">
        <w:trPr>
          <w:cantSplit/>
        </w:trPr>
        <w:tc>
          <w:tcPr>
            <w:tcW w:w="8771" w:type="dxa"/>
            <w:tcBorders>
              <w:top w:val="nil"/>
              <w:left w:val="single" w:sz="6" w:space="0" w:color="auto"/>
              <w:bottom w:val="nil"/>
              <w:right w:val="single" w:sz="6" w:space="0" w:color="auto"/>
            </w:tcBorders>
          </w:tcPr>
          <w:p w:rsidR="002245D9" w:rsidRDefault="002245D9" w:rsidP="002245D9">
            <w:pPr>
              <w:pStyle w:val="BoxListBullet2"/>
            </w:pPr>
            <w:r>
              <w:t>The National Partnership Agreement on the Nation Building and Jobs Plan: Building Prosperity for the Future and Supporting Jobs Now, which facilitates payments by the Australian Government for the Building the Education Revolution</w:t>
            </w:r>
          </w:p>
          <w:p w:rsidR="002245D9" w:rsidRDefault="002245D9" w:rsidP="002245D9">
            <w:pPr>
              <w:pStyle w:val="BoxListBullet2"/>
            </w:pPr>
            <w:r>
              <w:t xml:space="preserve">The Digital Education Revolution </w:t>
            </w:r>
          </w:p>
          <w:p w:rsidR="002245D9" w:rsidRDefault="002245D9" w:rsidP="002245D9">
            <w:pPr>
              <w:pStyle w:val="BoxListBullet2"/>
            </w:pPr>
            <w:r>
              <w:t>The Trade Training Centres in Schools Program</w:t>
            </w:r>
          </w:p>
          <w:p w:rsidR="002245D9" w:rsidRDefault="002245D9" w:rsidP="002245D9">
            <w:pPr>
              <w:pStyle w:val="BoxListBullet2"/>
            </w:pPr>
            <w:r>
              <w:t>The National Partnership on Youth Attainment and Transitions</w:t>
            </w:r>
          </w:p>
          <w:p w:rsidR="002245D9" w:rsidRDefault="002245D9" w:rsidP="002245D9">
            <w:pPr>
              <w:pStyle w:val="BoxListBullet2"/>
            </w:pPr>
            <w:r>
              <w:t>The National Partnership Agreement for Productivity Places Program</w:t>
            </w:r>
          </w:p>
          <w:p w:rsidR="007A0434" w:rsidRDefault="002245D9" w:rsidP="002245D9">
            <w:pPr>
              <w:pStyle w:val="TableBodyText"/>
              <w:spacing w:before="120"/>
              <w:jc w:val="left"/>
            </w:pPr>
            <w:r w:rsidRPr="002245D9">
              <w:rPr>
                <w:sz w:val="22"/>
              </w:rPr>
              <w:t xml:space="preserve">Further information on </w:t>
            </w:r>
            <w:proofErr w:type="spellStart"/>
            <w:r w:rsidRPr="002245D9">
              <w:rPr>
                <w:sz w:val="22"/>
              </w:rPr>
              <w:t>COAG</w:t>
            </w:r>
            <w:proofErr w:type="spellEnd"/>
            <w:r w:rsidRPr="002245D9">
              <w:rPr>
                <w:sz w:val="22"/>
              </w:rPr>
              <w:t xml:space="preserve"> National Agreements and National Partnerships is available at </w:t>
            </w:r>
            <w:proofErr w:type="spellStart"/>
            <w:r w:rsidRPr="002245D9">
              <w:rPr>
                <w:sz w:val="22"/>
              </w:rPr>
              <w:t>www.federalfinancialrelations.gov.au</w:t>
            </w:r>
            <w:proofErr w:type="spellEnd"/>
            <w:r w:rsidRPr="002245D9">
              <w:rPr>
                <w:sz w:val="22"/>
              </w:rPr>
              <w:t>.</w:t>
            </w:r>
          </w:p>
        </w:tc>
      </w:tr>
      <w:tr w:rsidR="007A0434" w:rsidTr="007A0434">
        <w:trPr>
          <w:cantSplit/>
        </w:trPr>
        <w:tc>
          <w:tcPr>
            <w:tcW w:w="8771" w:type="dxa"/>
            <w:tcBorders>
              <w:top w:val="nil"/>
              <w:left w:val="single" w:sz="6" w:space="0" w:color="auto"/>
              <w:bottom w:val="single" w:sz="6" w:space="0" w:color="auto"/>
              <w:right w:val="single" w:sz="6" w:space="0" w:color="auto"/>
            </w:tcBorders>
          </w:tcPr>
          <w:p w:rsidR="007A0434" w:rsidRPr="00913409" w:rsidRDefault="007A0434" w:rsidP="007A0434">
            <w:pPr>
              <w:pStyle w:val="BoxSource"/>
              <w:rPr>
                <w:i/>
              </w:rPr>
            </w:pPr>
            <w:r w:rsidRPr="00913409">
              <w:rPr>
                <w:i/>
              </w:rPr>
              <w:t xml:space="preserve">Source: </w:t>
            </w:r>
            <w:proofErr w:type="spellStart"/>
            <w:r>
              <w:rPr>
                <w:rStyle w:val="SourceChar"/>
              </w:rPr>
              <w:t>COAG</w:t>
            </w:r>
            <w:proofErr w:type="spellEnd"/>
            <w:r>
              <w:rPr>
                <w:rStyle w:val="SourceChar"/>
              </w:rPr>
              <w:t xml:space="preserve"> (2009)</w:t>
            </w:r>
          </w:p>
        </w:tc>
      </w:tr>
      <w:tr w:rsidR="007A0434" w:rsidTr="007A0434">
        <w:tc>
          <w:tcPr>
            <w:tcW w:w="8771" w:type="dxa"/>
            <w:tcBorders>
              <w:top w:val="nil"/>
              <w:left w:val="nil"/>
              <w:bottom w:val="nil"/>
              <w:right w:val="nil"/>
            </w:tcBorders>
          </w:tcPr>
          <w:p w:rsidR="007A0434" w:rsidRDefault="007A0434" w:rsidP="007A0434">
            <w:pPr>
              <w:pStyle w:val="Box"/>
              <w:keepNext w:val="0"/>
              <w:spacing w:before="60" w:after="60" w:line="80" w:lineRule="exact"/>
              <w:rPr>
                <w:b/>
                <w:color w:val="FF00FF"/>
                <w:sz w:val="14"/>
              </w:rPr>
            </w:pPr>
          </w:p>
        </w:tc>
      </w:tr>
    </w:tbl>
    <w:p w:rsidR="00A0590B" w:rsidRDefault="000D3385" w:rsidP="000D3385">
      <w:pPr>
        <w:pStyle w:val="Heading3"/>
      </w:pPr>
      <w:r>
        <w:t>Sector scope</w:t>
      </w:r>
    </w:p>
    <w:p w:rsidR="00C64A18" w:rsidRDefault="00C64A18" w:rsidP="00C64A18">
      <w:pPr>
        <w:pStyle w:val="BodyText"/>
      </w:pPr>
      <w:r w:rsidRPr="00CD33DD">
        <w:t xml:space="preserve">Education is a life-long activity, beginning with learning and development in the </w:t>
      </w:r>
      <w:r>
        <w:t>home through to formal settings</w:t>
      </w:r>
      <w:r w:rsidRPr="00CD33DD">
        <w:t xml:space="preserve"> inc</w:t>
      </w:r>
      <w:r>
        <w:t>luding child care, preschool,</w:t>
      </w:r>
      <w:r w:rsidRPr="00CD33DD">
        <w:t xml:space="preserve"> school education, vocational education and training (V</w:t>
      </w:r>
      <w:r>
        <w:t>ET) and higher education</w:t>
      </w:r>
      <w:r w:rsidRPr="00CD33DD">
        <w:t>.</w:t>
      </w:r>
      <w:r>
        <w:t xml:space="preserve"> Education and training aims to develop </w:t>
      </w:r>
      <w:r w:rsidR="008E28C6">
        <w:t xml:space="preserve">the </w:t>
      </w:r>
      <w:r>
        <w:t>capacities and talents of students, to ensure necessary knowledge, understanding</w:t>
      </w:r>
      <w:r w:rsidR="00446480">
        <w:t>,</w:t>
      </w:r>
      <w:r>
        <w:t xml:space="preserve"> skills and values for a productive and rewarding life.</w:t>
      </w:r>
    </w:p>
    <w:p w:rsidR="00C64A18" w:rsidRDefault="00610455" w:rsidP="008E47E9">
      <w:pPr>
        <w:pStyle w:val="BodyText"/>
      </w:pPr>
      <w:r>
        <w:t>Quality e</w:t>
      </w:r>
      <w:r w:rsidR="00C64A18" w:rsidRPr="00410E94">
        <w:t>arly childhood education</w:t>
      </w:r>
      <w:r w:rsidR="008D51E3">
        <w:t xml:space="preserve"> and care</w:t>
      </w:r>
      <w:r w:rsidR="00C64A18" w:rsidRPr="00410E94">
        <w:t xml:space="preserve"> </w:t>
      </w:r>
      <w:r w:rsidR="00C64A18">
        <w:t xml:space="preserve">programs </w:t>
      </w:r>
      <w:r w:rsidR="00D90BD2">
        <w:t xml:space="preserve">can </w:t>
      </w:r>
      <w:r w:rsidR="00C64A18" w:rsidRPr="00410E94">
        <w:t xml:space="preserve">assist children </w:t>
      </w:r>
      <w:r w:rsidR="00C64A18">
        <w:t xml:space="preserve">with </w:t>
      </w:r>
      <w:r w:rsidR="00C64A18" w:rsidRPr="00410E94">
        <w:t>the transition to formal schooling</w:t>
      </w:r>
      <w:r w:rsidR="00C64A18">
        <w:t>,</w:t>
      </w:r>
      <w:r w:rsidR="00C64A18" w:rsidRPr="00410E94">
        <w:t xml:space="preserve"> </w:t>
      </w:r>
      <w:r w:rsidR="00C64A18">
        <w:t xml:space="preserve">preparing them emotionally </w:t>
      </w:r>
      <w:r w:rsidR="008E47E9">
        <w:t xml:space="preserve">and socially for the school environment, </w:t>
      </w:r>
      <w:r w:rsidR="00C64A18">
        <w:t xml:space="preserve">and </w:t>
      </w:r>
      <w:r w:rsidR="00C64A18" w:rsidRPr="00410E94">
        <w:t>assisting with motor skills, language, cognitiv</w:t>
      </w:r>
      <w:r w:rsidR="008E47E9">
        <w:t xml:space="preserve">e development and concentration. </w:t>
      </w:r>
      <w:r w:rsidR="00C64A18">
        <w:t>The benefits of quality early childhood services for children from disadvantaged backgrounds are particularly significant (</w:t>
      </w:r>
      <w:proofErr w:type="spellStart"/>
      <w:r w:rsidR="00C64A18">
        <w:t>AIHW</w:t>
      </w:r>
      <w:proofErr w:type="spellEnd"/>
      <w:r w:rsidR="00C64A18">
        <w:t xml:space="preserve"> 2011; </w:t>
      </w:r>
      <w:proofErr w:type="spellStart"/>
      <w:r w:rsidR="00C64A18">
        <w:t>COAG</w:t>
      </w:r>
      <w:proofErr w:type="spellEnd"/>
      <w:r w:rsidR="00C64A18">
        <w:t xml:space="preserve"> 2008</w:t>
      </w:r>
      <w:r w:rsidR="002533BD">
        <w:t>c</w:t>
      </w:r>
      <w:r w:rsidR="00C64A18">
        <w:t>).</w:t>
      </w:r>
    </w:p>
    <w:p w:rsidR="00C64A18" w:rsidRDefault="00C64A18" w:rsidP="00C64A18">
      <w:pPr>
        <w:pStyle w:val="BodyText"/>
      </w:pPr>
      <w:r>
        <w:t>Regular primary s</w:t>
      </w:r>
      <w:r w:rsidRPr="002B07F0">
        <w:t>chool attendance provide</w:t>
      </w:r>
      <w:r>
        <w:t>s</w:t>
      </w:r>
      <w:r w:rsidRPr="002B07F0">
        <w:t xml:space="preserve"> children with the basic skills for learning and educational </w:t>
      </w:r>
      <w:r>
        <w:t xml:space="preserve">outcomes, </w:t>
      </w:r>
      <w:r w:rsidRPr="002B07F0">
        <w:t>and assists social skill</w:t>
      </w:r>
      <w:r>
        <w:t>s development</w:t>
      </w:r>
      <w:r w:rsidR="008E28C6">
        <w:t>,</w:t>
      </w:r>
      <w:r>
        <w:t xml:space="preserve"> including</w:t>
      </w:r>
      <w:r w:rsidRPr="002B07F0">
        <w:t xml:space="preserve"> communication, self-esteem, teamwork and friendship building</w:t>
      </w:r>
      <w:r>
        <w:t>:</w:t>
      </w:r>
    </w:p>
    <w:p w:rsidR="00C64A18" w:rsidRDefault="00C64A18" w:rsidP="00C64A18">
      <w:pPr>
        <w:pStyle w:val="ListBullet"/>
      </w:pPr>
      <w:r>
        <w:t>C</w:t>
      </w:r>
      <w:r w:rsidRPr="002B07F0">
        <w:t xml:space="preserve">hildren absent from </w:t>
      </w:r>
      <w:r>
        <w:t xml:space="preserve">primary and secondary </w:t>
      </w:r>
      <w:r w:rsidRPr="002B07F0">
        <w:t>school risk missing out on critical development</w:t>
      </w:r>
      <w:r w:rsidR="008E28C6">
        <w:t>, which</w:t>
      </w:r>
      <w:r>
        <w:t xml:space="preserve"> may </w:t>
      </w:r>
      <w:r w:rsidRPr="002B07F0">
        <w:t>result in long-term difficulties with learning</w:t>
      </w:r>
      <w:r>
        <w:t xml:space="preserve"> and </w:t>
      </w:r>
      <w:r w:rsidRPr="002B07F0">
        <w:t>lead to fewer education</w:t>
      </w:r>
      <w:r>
        <w:t>al and employment opportunities.</w:t>
      </w:r>
    </w:p>
    <w:p w:rsidR="00C64A18" w:rsidRDefault="00C64A18" w:rsidP="00C64A18">
      <w:pPr>
        <w:pStyle w:val="ListBullet"/>
      </w:pPr>
      <w:r>
        <w:t>Literacy and numeracy skills acquired during schooling are crucial for further educational attainment, social development and employment outcomes. N</w:t>
      </w:r>
      <w:r w:rsidRPr="002672B9">
        <w:t xml:space="preserve">ational minimum standards in literacy and numeracy represent the </w:t>
      </w:r>
      <w:r>
        <w:t xml:space="preserve">level </w:t>
      </w:r>
      <w:r w:rsidRPr="002672B9">
        <w:t xml:space="preserve">below which a </w:t>
      </w:r>
      <w:r w:rsidRPr="002672B9">
        <w:lastRenderedPageBreak/>
        <w:t>student will have difficulty making sufficient progress during schooling years (</w:t>
      </w:r>
      <w:proofErr w:type="spellStart"/>
      <w:r w:rsidRPr="002B07F0">
        <w:t>AIHW</w:t>
      </w:r>
      <w:proofErr w:type="spellEnd"/>
      <w:r w:rsidRPr="002B07F0">
        <w:t xml:space="preserve"> 2009</w:t>
      </w:r>
      <w:r>
        <w:t xml:space="preserve">; </w:t>
      </w:r>
      <w:r w:rsidRPr="002672B9">
        <w:t>2011</w:t>
      </w:r>
      <w:r>
        <w:t>).</w:t>
      </w:r>
    </w:p>
    <w:p w:rsidR="00C64A18" w:rsidRDefault="00C64A18" w:rsidP="00723EBD">
      <w:pPr>
        <w:pStyle w:val="BodyText"/>
      </w:pPr>
      <w:r>
        <w:t xml:space="preserve">Post-school education and training allows individuals to gain </w:t>
      </w:r>
      <w:r w:rsidR="008E28C6">
        <w:t>technical and professional skills and</w:t>
      </w:r>
      <w:r>
        <w:t xml:space="preserve"> knowledge:</w:t>
      </w:r>
    </w:p>
    <w:p w:rsidR="00C64A18" w:rsidRDefault="00C64A18" w:rsidP="00C64A18">
      <w:pPr>
        <w:pStyle w:val="ListBullet"/>
      </w:pPr>
      <w:r>
        <w:t xml:space="preserve">VET plays </w:t>
      </w:r>
      <w:r w:rsidRPr="002672B9">
        <w:t>a key role in building human capital</w:t>
      </w:r>
      <w:r>
        <w:t>,</w:t>
      </w:r>
      <w:r w:rsidRPr="002672B9">
        <w:t xml:space="preserve"> providing </w:t>
      </w:r>
      <w:r>
        <w:t xml:space="preserve">students </w:t>
      </w:r>
      <w:r w:rsidR="00736B40">
        <w:t xml:space="preserve">with </w:t>
      </w:r>
      <w:r w:rsidRPr="002672B9">
        <w:t xml:space="preserve">new </w:t>
      </w:r>
      <w:r>
        <w:t>and/o</w:t>
      </w:r>
      <w:r w:rsidRPr="002672B9">
        <w:t xml:space="preserve">r improved competencies that can </w:t>
      </w:r>
      <w:r>
        <w:t xml:space="preserve">make them more </w:t>
      </w:r>
      <w:r w:rsidRPr="002672B9">
        <w:t>pr</w:t>
      </w:r>
      <w:r>
        <w:t>oductive and innovative workers</w:t>
      </w:r>
      <w:r w:rsidR="005E1A67">
        <w:t>.</w:t>
      </w:r>
    </w:p>
    <w:p w:rsidR="00C64A18" w:rsidRDefault="001B3C24" w:rsidP="00142AFA">
      <w:pPr>
        <w:pStyle w:val="ListBullet"/>
      </w:pPr>
      <w:r>
        <w:t>Higher education</w:t>
      </w:r>
      <w:r w:rsidR="00C64A18">
        <w:t xml:space="preserve"> is central to boosting productivity and equipping Australians with the knowledge needed for th</w:t>
      </w:r>
      <w:r w:rsidR="00770366">
        <w:t>e workforce (</w:t>
      </w:r>
      <w:proofErr w:type="spellStart"/>
      <w:r w:rsidR="00770366">
        <w:t>DEEWR</w:t>
      </w:r>
      <w:proofErr w:type="spellEnd"/>
      <w:r w:rsidR="00770366">
        <w:t xml:space="preserve"> 2011</w:t>
      </w:r>
      <w:r w:rsidR="005C0D07">
        <w:t>;</w:t>
      </w:r>
      <w:r w:rsidR="005C0D07" w:rsidRPr="005C0D07">
        <w:t xml:space="preserve"> </w:t>
      </w:r>
      <w:r w:rsidR="005C0D07">
        <w:t>PC 2011</w:t>
      </w:r>
      <w:r w:rsidR="00C64A18">
        <w:t>).</w:t>
      </w:r>
    </w:p>
    <w:p w:rsidR="000D3385" w:rsidRDefault="000D3385" w:rsidP="00723EBD">
      <w:pPr>
        <w:pStyle w:val="BodyText"/>
      </w:pPr>
      <w:r>
        <w:t>Informa</w:t>
      </w:r>
      <w:r w:rsidR="00142AFA">
        <w:t>tion on the scope of the</w:t>
      </w:r>
      <w:r w:rsidR="00580D37">
        <w:t xml:space="preserve"> chapters </w:t>
      </w:r>
      <w:r w:rsidR="00142AFA">
        <w:t>that comprise</w:t>
      </w:r>
      <w:r w:rsidR="009E0AFC">
        <w:t xml:space="preserve"> section B of the Report (</w:t>
      </w:r>
      <w:r w:rsidR="00F048B0">
        <w:t>Child care, education and training</w:t>
      </w:r>
      <w:r w:rsidR="00142AFA">
        <w:t xml:space="preserve">) </w:t>
      </w:r>
      <w:r w:rsidR="00580D37">
        <w:t xml:space="preserve">is detailed in box </w:t>
      </w:r>
      <w:r w:rsidR="005E45C2">
        <w:t>B.2</w:t>
      </w:r>
      <w:r>
        <w:t>. Th</w:t>
      </w:r>
      <w:r w:rsidR="008E28C6">
        <w:t>is</w:t>
      </w:r>
      <w:r>
        <w:t xml:space="preserve"> sector </w:t>
      </w:r>
      <w:r w:rsidR="00A77F79">
        <w:t>overview</w:t>
      </w:r>
      <w:r>
        <w:t xml:space="preserve"> includes information on the broader sector</w:t>
      </w:r>
      <w:r w:rsidR="008E28C6">
        <w:t>,</w:t>
      </w:r>
      <w:r>
        <w:t xml:space="preserve"> including higher education.</w:t>
      </w:r>
    </w:p>
    <w:p w:rsidR="00CB6B0F" w:rsidRDefault="00CB6B0F" w:rsidP="00CB6B0F">
      <w:pPr>
        <w:pStyle w:val="BoxSpace"/>
      </w:pPr>
    </w:p>
    <w:tbl>
      <w:tblPr>
        <w:tblW w:w="0" w:type="auto"/>
        <w:tblInd w:w="164" w:type="dxa"/>
        <w:tblBorders>
          <w:top w:val="single" w:sz="4" w:space="0" w:color="auto"/>
          <w:left w:val="single" w:sz="4" w:space="0" w:color="auto"/>
          <w:bottom w:val="single" w:sz="4" w:space="0" w:color="auto"/>
          <w:right w:val="single" w:sz="4" w:space="0" w:color="auto"/>
        </w:tblBorders>
        <w:tblLayout w:type="fixed"/>
        <w:tblCellMar>
          <w:left w:w="142" w:type="dxa"/>
          <w:right w:w="142" w:type="dxa"/>
        </w:tblCellMar>
        <w:tblLook w:val="0000" w:firstRow="0" w:lastRow="0" w:firstColumn="0" w:lastColumn="0" w:noHBand="0" w:noVBand="0"/>
      </w:tblPr>
      <w:tblGrid>
        <w:gridCol w:w="8771"/>
      </w:tblGrid>
      <w:tr w:rsidR="003F6C13" w:rsidTr="007A4E51">
        <w:tc>
          <w:tcPr>
            <w:tcW w:w="8771" w:type="dxa"/>
          </w:tcPr>
          <w:p w:rsidR="003F6C13" w:rsidRDefault="003F6C13" w:rsidP="002D2924">
            <w:pPr>
              <w:pStyle w:val="BoxTitle"/>
            </w:pPr>
            <w:r>
              <w:rPr>
                <w:b w:val="0"/>
              </w:rPr>
              <w:t xml:space="preserve">Box </w:t>
            </w:r>
            <w:bookmarkStart w:id="7" w:name="OLE_LINK4"/>
            <w:r w:rsidR="00891AAF">
              <w:rPr>
                <w:b w:val="0"/>
              </w:rPr>
              <w:t>B.</w:t>
            </w:r>
            <w:r w:rsidR="005C0C17">
              <w:rPr>
                <w:b w:val="0"/>
                <w:noProof/>
              </w:rPr>
              <w:t>3</w:t>
            </w:r>
            <w:bookmarkEnd w:id="7"/>
            <w:r>
              <w:tab/>
              <w:t xml:space="preserve">Scope of the </w:t>
            </w:r>
            <w:proofErr w:type="spellStart"/>
            <w:r w:rsidR="00F048B0">
              <w:t>CCET</w:t>
            </w:r>
            <w:proofErr w:type="spellEnd"/>
            <w:r w:rsidR="007F7175">
              <w:t xml:space="preserve"> </w:t>
            </w:r>
            <w:r>
              <w:t>sect</w:t>
            </w:r>
            <w:r w:rsidR="002D2924">
              <w:t>or</w:t>
            </w:r>
            <w:r>
              <w:t xml:space="preserve"> service level chapters</w:t>
            </w:r>
          </w:p>
        </w:tc>
      </w:tr>
      <w:tr w:rsidR="003F6C13" w:rsidTr="007A4E51">
        <w:trPr>
          <w:cantSplit/>
        </w:trPr>
        <w:tc>
          <w:tcPr>
            <w:tcW w:w="8771" w:type="dxa"/>
          </w:tcPr>
          <w:p w:rsidR="003F6C13" w:rsidRDefault="003F6C13" w:rsidP="00E742C4">
            <w:pPr>
              <w:pStyle w:val="Box"/>
            </w:pPr>
            <w:r>
              <w:t xml:space="preserve">The </w:t>
            </w:r>
            <w:r w:rsidR="00A77F79">
              <w:t>Early childhood education and care</w:t>
            </w:r>
            <w:r w:rsidR="00954DC3">
              <w:t xml:space="preserve"> chapter (chapter </w:t>
            </w:r>
            <w:r w:rsidR="00FC7620">
              <w:t>3)</w:t>
            </w:r>
            <w:r>
              <w:t xml:space="preserve"> </w:t>
            </w:r>
            <w:r w:rsidR="005857F2">
              <w:t>reports on</w:t>
            </w:r>
            <w:r>
              <w:t xml:space="preserve"> services relating to early childhood</w:t>
            </w:r>
            <w:r w:rsidR="000F53C5">
              <w:t>,</w:t>
            </w:r>
            <w:r>
              <w:t xml:space="preserve"> comp</w:t>
            </w:r>
            <w:r w:rsidR="008E0C1D">
              <w:t>rising child care and preschool</w:t>
            </w:r>
            <w:r w:rsidR="00142AFA">
              <w:t xml:space="preserve"> services</w:t>
            </w:r>
            <w:r>
              <w:t>. Child care services a</w:t>
            </w:r>
            <w:r w:rsidR="007B2970">
              <w:t>re reported for children aged 0–</w:t>
            </w:r>
            <w:r>
              <w:t>12 years and preschool services are reported for ch</w:t>
            </w:r>
            <w:r w:rsidR="00414587">
              <w:t xml:space="preserve">ildren in the years </w:t>
            </w:r>
            <w:r>
              <w:t>prior to the commencement of full time schooling.</w:t>
            </w:r>
            <w:r w:rsidR="007B2970">
              <w:t xml:space="preserve"> Child care and preschool </w:t>
            </w:r>
            <w:r w:rsidR="008E0C1D">
              <w:t xml:space="preserve">services </w:t>
            </w:r>
            <w:r w:rsidR="007B2970">
              <w:t>are</w:t>
            </w:r>
            <w:r>
              <w:t xml:space="preserve"> administered </w:t>
            </w:r>
            <w:r w:rsidR="005857F2">
              <w:t xml:space="preserve">by </w:t>
            </w:r>
            <w:r>
              <w:t>a wide range of providers</w:t>
            </w:r>
            <w:r w:rsidR="008E28C6">
              <w:t>,</w:t>
            </w:r>
            <w:r>
              <w:t xml:space="preserve"> including government, local government, community</w:t>
            </w:r>
            <w:r w:rsidR="007B2970">
              <w:t xml:space="preserve"> organisations</w:t>
            </w:r>
            <w:r>
              <w:t>, schools (both government and non</w:t>
            </w:r>
            <w:r w:rsidR="000028F8">
              <w:noBreakHyphen/>
            </w:r>
            <w:r>
              <w:t>governm</w:t>
            </w:r>
            <w:r w:rsidR="00863E5C">
              <w:t>ent) and private organisations.</w:t>
            </w:r>
          </w:p>
          <w:p w:rsidR="00A73053" w:rsidRDefault="003F6C13" w:rsidP="00A73053">
            <w:pPr>
              <w:pStyle w:val="Box"/>
            </w:pPr>
            <w:r w:rsidRPr="0016191F">
              <w:t xml:space="preserve">The </w:t>
            </w:r>
            <w:r w:rsidR="008E0C1D">
              <w:t>S</w:t>
            </w:r>
            <w:r w:rsidRPr="0016191F">
              <w:t xml:space="preserve">chool education </w:t>
            </w:r>
            <w:r w:rsidR="00FC7620">
              <w:t xml:space="preserve">chapter (chapter 4) </w:t>
            </w:r>
            <w:r w:rsidRPr="0016191F">
              <w:t>reports on formal schooling</w:t>
            </w:r>
            <w:r w:rsidR="008E28C6">
              <w:t>,</w:t>
            </w:r>
            <w:r w:rsidRPr="0016191F">
              <w:t xml:space="preserve"> consisting of six to eight years of primary school education followed by five to six years of secondary schooling.</w:t>
            </w:r>
            <w:r w:rsidR="00A73053">
              <w:t xml:space="preserve"> </w:t>
            </w:r>
            <w:r w:rsidR="00570816">
              <w:t>D</w:t>
            </w:r>
            <w:r>
              <w:t xml:space="preserve">ata in </w:t>
            </w:r>
            <w:r w:rsidR="00FC7620">
              <w:t xml:space="preserve">the </w:t>
            </w:r>
            <w:r>
              <w:t>chapter relate to government funded school education in Australia. State and Territory governments are directly responsible for the administration of government schools, for which they provide the majority of government expenditure. Non-government schools also receive government funding</w:t>
            </w:r>
            <w:r w:rsidR="007B2970">
              <w:t>,</w:t>
            </w:r>
            <w:r>
              <w:t xml:space="preserve"> the majority of which</w:t>
            </w:r>
            <w:r w:rsidR="004B64AF">
              <w:t xml:space="preserve"> is provided by the Australian Government</w:t>
            </w:r>
            <w:r w:rsidR="007B2970">
              <w:t>.</w:t>
            </w:r>
          </w:p>
          <w:p w:rsidR="003F6C13" w:rsidRDefault="003F6C13" w:rsidP="006625D0">
            <w:pPr>
              <w:pStyle w:val="Box"/>
            </w:pPr>
            <w:r>
              <w:t xml:space="preserve">The </w:t>
            </w:r>
            <w:r w:rsidR="006625D0">
              <w:t>VET</w:t>
            </w:r>
            <w:r>
              <w:t xml:space="preserve"> chapter </w:t>
            </w:r>
            <w:r w:rsidR="00FC7620">
              <w:t xml:space="preserve">(chapter 5) </w:t>
            </w:r>
            <w:r>
              <w:t>focuses on services delivered by providers receiving government funding</w:t>
            </w:r>
            <w:r>
              <w:rPr>
                <w:i/>
              </w:rPr>
              <w:t>.</w:t>
            </w:r>
            <w:r>
              <w:t xml:space="preserve"> These services include the provision of VET programs in government owned technical and further education (TAFE) institutes and universities with TAFE divisions</w:t>
            </w:r>
            <w:r w:rsidR="00570816">
              <w:t>,</w:t>
            </w:r>
            <w:r>
              <w:t xml:space="preserve"> and other government and community institutions, and government funded activity by private registered training organisations (</w:t>
            </w:r>
            <w:proofErr w:type="spellStart"/>
            <w:r>
              <w:t>RTOs</w:t>
            </w:r>
            <w:proofErr w:type="spellEnd"/>
            <w:r>
              <w:t>).</w:t>
            </w:r>
            <w:r w:rsidR="005857F2">
              <w:t xml:space="preserve"> S</w:t>
            </w:r>
            <w:r w:rsidR="005454E6">
              <w:t>ome data on total VET provision</w:t>
            </w:r>
            <w:r w:rsidR="005857F2">
              <w:t xml:space="preserve"> </w:t>
            </w:r>
            <w:r w:rsidR="004B64AF">
              <w:t xml:space="preserve">is </w:t>
            </w:r>
            <w:r w:rsidR="005857F2">
              <w:t>also reported.</w:t>
            </w:r>
          </w:p>
        </w:tc>
      </w:tr>
      <w:tr w:rsidR="003F6C13" w:rsidTr="007A4E51">
        <w:trPr>
          <w:cantSplit/>
          <w:trHeight w:val="199"/>
        </w:trPr>
        <w:tc>
          <w:tcPr>
            <w:tcW w:w="8771" w:type="dxa"/>
          </w:tcPr>
          <w:p w:rsidR="003F6C13" w:rsidRDefault="003F6C13" w:rsidP="00E742C4">
            <w:pPr>
              <w:pStyle w:val="BoxSource"/>
            </w:pPr>
            <w:r>
              <w:rPr>
                <w:i/>
              </w:rPr>
              <w:t>Source</w:t>
            </w:r>
            <w:r w:rsidRPr="00167F06">
              <w:t xml:space="preserve">: </w:t>
            </w:r>
            <w:r>
              <w:t xml:space="preserve">Chapters 3, 4 and 5. </w:t>
            </w:r>
          </w:p>
        </w:tc>
      </w:tr>
    </w:tbl>
    <w:p w:rsidR="00FC4675" w:rsidRDefault="00FC4675" w:rsidP="000D3385">
      <w:pPr>
        <w:pStyle w:val="Heading3"/>
      </w:pPr>
      <w:r>
        <w:lastRenderedPageBreak/>
        <w:t>Profile</w:t>
      </w:r>
    </w:p>
    <w:p w:rsidR="00FC3F6C" w:rsidRDefault="00FC3F6C" w:rsidP="00FC3F6C">
      <w:pPr>
        <w:pStyle w:val="BodyText"/>
      </w:pPr>
      <w:r w:rsidRPr="00AC617B">
        <w:t xml:space="preserve">This section examines the size and scope of the </w:t>
      </w:r>
      <w:proofErr w:type="spellStart"/>
      <w:r w:rsidR="00F048B0">
        <w:t>CCET</w:t>
      </w:r>
      <w:proofErr w:type="spellEnd"/>
      <w:r w:rsidRPr="00AC617B">
        <w:t xml:space="preserve"> sector and the role of government in providing </w:t>
      </w:r>
      <w:proofErr w:type="spellStart"/>
      <w:r w:rsidR="00F048B0">
        <w:t>CCET</w:t>
      </w:r>
      <w:proofErr w:type="spellEnd"/>
      <w:r>
        <w:t xml:space="preserve"> </w:t>
      </w:r>
      <w:r w:rsidRPr="00AC617B">
        <w:t>services.</w:t>
      </w:r>
      <w:r>
        <w:t xml:space="preserve"> Detailed profiles for</w:t>
      </w:r>
      <w:r w:rsidRPr="00AC617B">
        <w:t xml:space="preserve"> the </w:t>
      </w:r>
      <w:r>
        <w:t>services within</w:t>
      </w:r>
      <w:r w:rsidRPr="00AC617B">
        <w:t xml:space="preserve"> the </w:t>
      </w:r>
      <w:proofErr w:type="spellStart"/>
      <w:r w:rsidR="00F048B0">
        <w:t>CCET</w:t>
      </w:r>
      <w:proofErr w:type="spellEnd"/>
      <w:r w:rsidRPr="00AC617B">
        <w:t xml:space="preserve"> sector </w:t>
      </w:r>
      <w:r>
        <w:t>are reported in</w:t>
      </w:r>
      <w:r w:rsidDel="00D9267F">
        <w:t xml:space="preserve"> </w:t>
      </w:r>
      <w:r>
        <w:t>chapters 3, 4 and 5, and cover:</w:t>
      </w:r>
    </w:p>
    <w:p w:rsidR="00FC3F6C" w:rsidRDefault="00FC3F6C" w:rsidP="00FC3F6C">
      <w:pPr>
        <w:pStyle w:val="ListBullet"/>
      </w:pPr>
      <w:r>
        <w:t>size and scope of the individual service types</w:t>
      </w:r>
    </w:p>
    <w:p w:rsidR="00FC3F6C" w:rsidRPr="00AC617B" w:rsidRDefault="00FC3F6C" w:rsidP="00FC3F6C">
      <w:pPr>
        <w:pStyle w:val="ListBullet"/>
      </w:pPr>
      <w:r>
        <w:t>funding and expenditure.</w:t>
      </w:r>
    </w:p>
    <w:p w:rsidR="008163F4" w:rsidRDefault="000D3385" w:rsidP="000D3385">
      <w:pPr>
        <w:pStyle w:val="Heading4"/>
      </w:pPr>
      <w:r>
        <w:t>Sector outline</w:t>
      </w:r>
    </w:p>
    <w:p w:rsidR="00570816" w:rsidRDefault="00570816" w:rsidP="00570816">
      <w:pPr>
        <w:pStyle w:val="BodyText"/>
      </w:pPr>
      <w:r>
        <w:t>Box B.3</w:t>
      </w:r>
      <w:r w:rsidRPr="00CD33DD">
        <w:t xml:space="preserve"> </w:t>
      </w:r>
      <w:r>
        <w:t xml:space="preserve">provides an outline of the </w:t>
      </w:r>
      <w:r w:rsidR="00F048B0">
        <w:t>education and training</w:t>
      </w:r>
      <w:r>
        <w:t xml:space="preserve"> system, from </w:t>
      </w:r>
      <w:r w:rsidRPr="00437223">
        <w:t xml:space="preserve">preschool through the years of compulsory schooling and </w:t>
      </w:r>
      <w:r>
        <w:t>to post school education</w:t>
      </w:r>
      <w:r w:rsidRPr="00437223">
        <w:t>.</w:t>
      </w:r>
    </w:p>
    <w:p w:rsidR="008163F4" w:rsidRDefault="00570816" w:rsidP="005B1170">
      <w:pPr>
        <w:pStyle w:val="BodyText"/>
      </w:pPr>
      <w:r>
        <w:t xml:space="preserve">Child care services meet a child’s care, education and development needs by a person other than the child’s parent or guardian. </w:t>
      </w:r>
      <w:r w:rsidR="008163F4">
        <w:t>Preschools provide a range of educational and developmental programs (generally on a sessional basis) to children in the year immediately before they commence full time schooling (generally children aged 4 years) and also, in some jurisdictions, to younger children.</w:t>
      </w:r>
      <w:r w:rsidR="008163F4" w:rsidRPr="00CD33DD">
        <w:t xml:space="preserve"> Depending on the </w:t>
      </w:r>
      <w:r w:rsidR="004D164B">
        <w:t>S</w:t>
      </w:r>
      <w:r w:rsidR="008163F4" w:rsidRPr="00CD33DD">
        <w:t xml:space="preserve">tate or </w:t>
      </w:r>
      <w:r w:rsidR="004D164B">
        <w:t>T</w:t>
      </w:r>
      <w:r w:rsidR="008163F4" w:rsidRPr="00CD33DD">
        <w:t xml:space="preserve">erritory, the compulsory years of </w:t>
      </w:r>
      <w:r w:rsidR="00446480">
        <w:t>full time</w:t>
      </w:r>
      <w:r w:rsidR="008163F4" w:rsidRPr="00CD33DD">
        <w:t xml:space="preserve"> schooling in Australia</w:t>
      </w:r>
      <w:r w:rsidR="008163F4">
        <w:t xml:space="preserve"> in 201</w:t>
      </w:r>
      <w:r w:rsidR="00863E5C">
        <w:t>2</w:t>
      </w:r>
      <w:r w:rsidR="008163F4" w:rsidRPr="00DE49AD">
        <w:t xml:space="preserve"> </w:t>
      </w:r>
      <w:r w:rsidR="008D51E3">
        <w:t xml:space="preserve">commenced </w:t>
      </w:r>
      <w:r w:rsidR="008163F4" w:rsidRPr="00DE49AD">
        <w:t>from 5 or 6 years</w:t>
      </w:r>
      <w:r w:rsidR="004D164B">
        <w:t xml:space="preserve"> of age</w:t>
      </w:r>
      <w:r w:rsidR="008D51E3">
        <w:t>.</w:t>
      </w:r>
      <w:r w:rsidR="008163F4" w:rsidRPr="00DE49AD">
        <w:t xml:space="preserve"> </w:t>
      </w:r>
      <w:r w:rsidR="008D51E3">
        <w:t xml:space="preserve">The National Youth Participation Requirement includes a mandatory requirement for young people to participate in schooling (in school or an approved equivalent) until they complete year 10 </w:t>
      </w:r>
      <w:r w:rsidR="008163F4" w:rsidRPr="00DE49AD">
        <w:t xml:space="preserve">(see section 4.1 </w:t>
      </w:r>
      <w:r w:rsidR="00494AEA">
        <w:t xml:space="preserve">of the School education chapter </w:t>
      </w:r>
      <w:r w:rsidR="008163F4" w:rsidRPr="00DE49AD">
        <w:t>for</w:t>
      </w:r>
      <w:r w:rsidR="008D51E3">
        <w:t xml:space="preserve"> more details).</w:t>
      </w:r>
    </w:p>
    <w:p w:rsidR="00312553" w:rsidRDefault="00665D92" w:rsidP="00723EBD">
      <w:pPr>
        <w:pStyle w:val="BodyText"/>
      </w:pPr>
      <w:r w:rsidRPr="00C457E9">
        <w:t xml:space="preserve">The traditional view that formal learning progresses in a linear fashion from secondary school to either VET or university has shifted over the </w:t>
      </w:r>
      <w:r w:rsidR="002D2924">
        <w:t>p</w:t>
      </w:r>
      <w:r w:rsidRPr="00C457E9">
        <w:t xml:space="preserve">ast decade. </w:t>
      </w:r>
      <w:r>
        <w:t>Research indicates that t</w:t>
      </w:r>
      <w:r w:rsidRPr="00C457E9">
        <w:t>oday there are many learning pathways that an individual m</w:t>
      </w:r>
      <w:r w:rsidR="002D2924">
        <w:t>ight</w:t>
      </w:r>
      <w:r w:rsidRPr="00C457E9">
        <w:t xml:space="preserve"> take</w:t>
      </w:r>
      <w:r w:rsidR="00312553">
        <w:t xml:space="preserve"> </w:t>
      </w:r>
      <w:r w:rsidR="00142AFA">
        <w:t xml:space="preserve">over their lifetime </w:t>
      </w:r>
      <w:r w:rsidR="00312553">
        <w:t xml:space="preserve">between </w:t>
      </w:r>
      <w:r w:rsidR="00142AFA">
        <w:t xml:space="preserve">the </w:t>
      </w:r>
      <w:r w:rsidR="00312553">
        <w:t>school, VET and university</w:t>
      </w:r>
      <w:r w:rsidR="00142AFA">
        <w:t xml:space="preserve"> sectors</w:t>
      </w:r>
      <w:r w:rsidR="008E0C1D">
        <w:t>.</w:t>
      </w:r>
      <w:r w:rsidRPr="00C457E9">
        <w:t xml:space="preserve"> </w:t>
      </w:r>
      <w:r w:rsidR="00312553">
        <w:t>In addition</w:t>
      </w:r>
      <w:r w:rsidR="00570816">
        <w:t>,</w:t>
      </w:r>
      <w:r w:rsidR="00312553">
        <w:t xml:space="preserve"> p</w:t>
      </w:r>
      <w:r w:rsidRPr="00C457E9">
        <w:t xml:space="preserve">eople may </w:t>
      </w:r>
      <w:r w:rsidR="00142AFA">
        <w:t xml:space="preserve">work in </w:t>
      </w:r>
      <w:r w:rsidRPr="00C457E9">
        <w:t xml:space="preserve">a range of </w:t>
      </w:r>
      <w:r w:rsidR="00142AFA">
        <w:t xml:space="preserve">roles and industries </w:t>
      </w:r>
      <w:r w:rsidRPr="00C457E9">
        <w:t xml:space="preserve">and continue to learn throughout </w:t>
      </w:r>
      <w:r w:rsidR="00A20477">
        <w:t>their lives</w:t>
      </w:r>
      <w:r>
        <w:t xml:space="preserve"> </w:t>
      </w:r>
      <w:r w:rsidR="00312553">
        <w:t>including</w:t>
      </w:r>
      <w:r w:rsidR="00142AFA">
        <w:t>,</w:t>
      </w:r>
      <w:r w:rsidR="00312553">
        <w:t xml:space="preserve"> for example</w:t>
      </w:r>
      <w:r w:rsidR="00142AFA">
        <w:t>,</w:t>
      </w:r>
      <w:r w:rsidR="00312553">
        <w:t xml:space="preserve"> mature age students return</w:t>
      </w:r>
      <w:r w:rsidR="00C22C6A">
        <w:t>ing</w:t>
      </w:r>
      <w:r w:rsidR="00312553">
        <w:t xml:space="preserve"> to complete senior schooling qualifications</w:t>
      </w:r>
      <w:r w:rsidR="00C24C75">
        <w:t>.</w:t>
      </w:r>
      <w:r w:rsidR="00C22C6A">
        <w:t xml:space="preserve"> </w:t>
      </w:r>
      <w:r w:rsidR="00C24C75">
        <w:t xml:space="preserve">This shift reflects the changing needs of individuals and the workplace and the recognition that education and training is a dynamic process, which has been facilitated by government funded policy initiatives </w:t>
      </w:r>
      <w:r>
        <w:t>(</w:t>
      </w:r>
      <w:proofErr w:type="spellStart"/>
      <w:r w:rsidRPr="00631782">
        <w:t>NCVER</w:t>
      </w:r>
      <w:proofErr w:type="spellEnd"/>
      <w:r w:rsidRPr="00631782">
        <w:t xml:space="preserve"> </w:t>
      </w:r>
      <w:r w:rsidR="00631782" w:rsidRPr="00631782">
        <w:t>2011</w:t>
      </w:r>
      <w:r w:rsidRPr="00631782">
        <w:t>).</w:t>
      </w:r>
    </w:p>
    <w:p w:rsidR="00665D92" w:rsidRDefault="00356525" w:rsidP="00723EBD">
      <w:pPr>
        <w:pStyle w:val="BodyText"/>
      </w:pPr>
      <w:r>
        <w:t>R</w:t>
      </w:r>
      <w:r w:rsidR="00665D92">
        <w:t xml:space="preserve">esearch also shows that most disadvantaged students are more likely to follow </w:t>
      </w:r>
      <w:proofErr w:type="spellStart"/>
      <w:r w:rsidR="00665D92">
        <w:t>non-linear</w:t>
      </w:r>
      <w:proofErr w:type="spellEnd"/>
      <w:r w:rsidR="00665D92">
        <w:t xml:space="preserve"> or fragmented pathways of education (Abbott</w:t>
      </w:r>
      <w:r w:rsidR="000959B3">
        <w:t>-Chapman</w:t>
      </w:r>
      <w:r w:rsidR="00665D92">
        <w:t xml:space="preserve"> 2011).</w:t>
      </w:r>
    </w:p>
    <w:p w:rsidR="00665D92" w:rsidRDefault="00665D92" w:rsidP="00665D92">
      <w:pPr>
        <w:pStyle w:val="BodyText"/>
      </w:pPr>
      <w:r w:rsidRPr="004A713E">
        <w:t xml:space="preserve">In addition to the formal learning outlined in box </w:t>
      </w:r>
      <w:r w:rsidR="005E45C2">
        <w:t>B.3</w:t>
      </w:r>
      <w:r>
        <w:t>,</w:t>
      </w:r>
      <w:r w:rsidRPr="004A713E">
        <w:t xml:space="preserve"> people </w:t>
      </w:r>
      <w:r w:rsidR="00356525">
        <w:t xml:space="preserve">can </w:t>
      </w:r>
      <w:r w:rsidRPr="004A713E">
        <w:t>also develop skills through engagement in informal learning. Informal learning occurs outside the education and training system and d</w:t>
      </w:r>
      <w:r>
        <w:t xml:space="preserve">oes not lead to a qualification. It may </w:t>
      </w:r>
      <w:r w:rsidRPr="004A713E">
        <w:t xml:space="preserve">occur </w:t>
      </w:r>
      <w:r w:rsidRPr="004A713E">
        <w:lastRenderedPageBreak/>
        <w:t>through a range of activities including on-the-job training</w:t>
      </w:r>
      <w:r>
        <w:t>, individual learning, and everyday family or leisure activities</w:t>
      </w:r>
      <w:r w:rsidRPr="004A713E">
        <w:t xml:space="preserve"> </w:t>
      </w:r>
      <w:r>
        <w:t>(</w:t>
      </w:r>
      <w:proofErr w:type="spellStart"/>
      <w:r w:rsidRPr="00631782">
        <w:t>NCVER</w:t>
      </w:r>
      <w:proofErr w:type="spellEnd"/>
      <w:r w:rsidRPr="00631782">
        <w:t xml:space="preserve"> </w:t>
      </w:r>
      <w:r w:rsidR="00631782" w:rsidRPr="00631782">
        <w:t>2011</w:t>
      </w:r>
      <w:r w:rsidRPr="00631782">
        <w:t>).</w:t>
      </w:r>
    </w:p>
    <w:p w:rsidR="00BA68B8" w:rsidRPr="00BA68B8" w:rsidRDefault="00BA68B8" w:rsidP="00BA68B8">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163F4" w:rsidRPr="00CD33DD" w:rsidTr="008345CA">
        <w:tc>
          <w:tcPr>
            <w:tcW w:w="8771" w:type="dxa"/>
            <w:tcBorders>
              <w:top w:val="single" w:sz="6" w:space="0" w:color="auto"/>
              <w:bottom w:val="nil"/>
            </w:tcBorders>
          </w:tcPr>
          <w:p w:rsidR="008163F4" w:rsidRPr="006F4B98" w:rsidRDefault="008163F4" w:rsidP="008345CA">
            <w:pPr>
              <w:pStyle w:val="BoxTitle"/>
              <w:spacing w:before="80"/>
              <w:rPr>
                <w:rStyle w:val="DraftingNote"/>
                <w:b/>
                <w:color w:val="auto"/>
                <w:position w:val="6"/>
                <w:sz w:val="18"/>
                <w:u w:val="none"/>
              </w:rPr>
            </w:pPr>
            <w:r w:rsidRPr="00E42CA5">
              <w:rPr>
                <w:b w:val="0"/>
              </w:rPr>
              <w:t>Box</w:t>
            </w:r>
            <w:r w:rsidRPr="00CD33DD">
              <w:t xml:space="preserve"> </w:t>
            </w:r>
            <w:bookmarkStart w:id="8" w:name="OLE_LINK5"/>
            <w:r w:rsidR="00891AAF">
              <w:rPr>
                <w:b w:val="0"/>
              </w:rPr>
              <w:t>B.</w:t>
            </w:r>
            <w:r w:rsidR="005C0C17">
              <w:rPr>
                <w:b w:val="0"/>
                <w:noProof/>
              </w:rPr>
              <w:t>4</w:t>
            </w:r>
            <w:bookmarkEnd w:id="8"/>
            <w:r w:rsidRPr="00CD33DD">
              <w:tab/>
              <w:t>Outline of the Australian education and training system</w:t>
            </w:r>
            <w:r w:rsidRPr="00CD33DD">
              <w:rPr>
                <w:rStyle w:val="NoteLabel"/>
                <w:b/>
              </w:rPr>
              <w:t>a, b</w:t>
            </w:r>
          </w:p>
        </w:tc>
      </w:tr>
      <w:tr w:rsidR="008163F4" w:rsidRPr="00CD33DD" w:rsidTr="008345CA">
        <w:trPr>
          <w:cantSplit/>
        </w:trPr>
        <w:tc>
          <w:tcPr>
            <w:tcW w:w="8771" w:type="dxa"/>
            <w:tcBorders>
              <w:top w:val="nil"/>
              <w:left w:val="single" w:sz="6" w:space="0" w:color="auto"/>
              <w:bottom w:val="nil"/>
              <w:right w:val="single" w:sz="6" w:space="0" w:color="auto"/>
            </w:tcBorders>
          </w:tcPr>
          <w:p w:rsidR="008163F4" w:rsidRPr="00576836" w:rsidRDefault="00354AF8" w:rsidP="008345CA">
            <w:pPr>
              <w:pStyle w:val="Box"/>
              <w:keepLines/>
              <w:spacing w:before="0"/>
              <w:rPr>
                <w:rStyle w:val="DraftingNote"/>
                <w:b w:val="0"/>
                <w:color w:val="auto"/>
                <w:sz w:val="22"/>
                <w:u w:val="none"/>
              </w:rPr>
            </w:pPr>
            <w:r>
              <w:rPr>
                <w:noProof/>
              </w:rPr>
              <w:drawing>
                <wp:inline distT="0" distB="0" distL="0" distR="0" wp14:anchorId="5976AFEB" wp14:editId="3947B3A6">
                  <wp:extent cx="5193030" cy="5995670"/>
                  <wp:effectExtent l="0" t="0" r="7620" b="5080"/>
                  <wp:docPr id="1" name="Picture 1" descr="Box B.4 Outline of the Australian education and training system&#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93030" cy="5995670"/>
                          </a:xfrm>
                          <a:prstGeom prst="rect">
                            <a:avLst/>
                          </a:prstGeom>
                          <a:noFill/>
                          <a:ln>
                            <a:noFill/>
                          </a:ln>
                        </pic:spPr>
                      </pic:pic>
                    </a:graphicData>
                  </a:graphic>
                </wp:inline>
              </w:drawing>
            </w:r>
          </w:p>
        </w:tc>
      </w:tr>
      <w:tr w:rsidR="008163F4" w:rsidRPr="00CD33DD" w:rsidTr="008345CA">
        <w:trPr>
          <w:cantSplit/>
        </w:trPr>
        <w:tc>
          <w:tcPr>
            <w:tcW w:w="8771" w:type="dxa"/>
            <w:tcBorders>
              <w:top w:val="nil"/>
              <w:left w:val="single" w:sz="4" w:space="0" w:color="auto"/>
              <w:bottom w:val="nil"/>
              <w:right w:val="single" w:sz="4" w:space="0" w:color="auto"/>
            </w:tcBorders>
          </w:tcPr>
          <w:p w:rsidR="008163F4" w:rsidRPr="00CD33DD" w:rsidRDefault="008163F4" w:rsidP="008345CA">
            <w:pPr>
              <w:pStyle w:val="BoxSource"/>
              <w:spacing w:before="120"/>
            </w:pPr>
            <w:proofErr w:type="spellStart"/>
            <w:r w:rsidRPr="00CD33DD">
              <w:rPr>
                <w:rStyle w:val="NoteLabel"/>
              </w:rPr>
              <w:t>a</w:t>
            </w:r>
            <w:proofErr w:type="spellEnd"/>
            <w:r w:rsidRPr="00CD33DD">
              <w:t xml:space="preserve"> </w:t>
            </w:r>
            <w:r>
              <w:t xml:space="preserve">There are different starting ages for </w:t>
            </w:r>
            <w:r w:rsidRPr="00BB33B4">
              <w:t>preschool (see table 3A.1) and school education (see section 4.1)</w:t>
            </w:r>
            <w:r>
              <w:t xml:space="preserve"> across jurisdictions. The name of the first year of primary education (Pre-Year 1) also varies across jurisdictions. </w:t>
            </w:r>
            <w:r w:rsidRPr="00CD33DD">
              <w:rPr>
                <w:rStyle w:val="NoteLabel"/>
              </w:rPr>
              <w:t xml:space="preserve">b </w:t>
            </w:r>
            <w:r w:rsidRPr="00CD33DD">
              <w:t>Providers deliver qualifications in more than one sector. Schools, for example, are delivering certificates I–II</w:t>
            </w:r>
            <w:r>
              <w:t xml:space="preserve"> and in some cases </w:t>
            </w:r>
            <w:r w:rsidR="008F4839">
              <w:t>C</w:t>
            </w:r>
            <w:r w:rsidRPr="00CD33DD">
              <w:t>ertificate I</w:t>
            </w:r>
            <w:r>
              <w:t>II</w:t>
            </w:r>
            <w:r w:rsidRPr="00CD33DD">
              <w:t xml:space="preserve">, universities are delivering certificates II–IV, and VET providers are delivering undergraduate degrees, graduate certificates and graduate diplomas (higher education qualifications in some jurisdictions, but in others also VET), all subject to meeting the relevant quality assurance requirements. </w:t>
            </w:r>
          </w:p>
        </w:tc>
      </w:tr>
      <w:tr w:rsidR="008163F4" w:rsidRPr="00CD33DD" w:rsidTr="008345CA">
        <w:trPr>
          <w:cantSplit/>
        </w:trPr>
        <w:tc>
          <w:tcPr>
            <w:tcW w:w="8771" w:type="dxa"/>
            <w:tcBorders>
              <w:top w:val="nil"/>
              <w:left w:val="single" w:sz="6" w:space="0" w:color="auto"/>
              <w:bottom w:val="nil"/>
              <w:right w:val="single" w:sz="6" w:space="0" w:color="auto"/>
            </w:tcBorders>
          </w:tcPr>
          <w:p w:rsidR="008163F4" w:rsidRPr="00CD33DD" w:rsidRDefault="008163F4" w:rsidP="008345CA">
            <w:pPr>
              <w:pStyle w:val="BoxSource"/>
              <w:spacing w:before="120"/>
              <w:rPr>
                <w:i/>
              </w:rPr>
            </w:pPr>
            <w:r w:rsidRPr="00CD33DD">
              <w:rPr>
                <w:i/>
              </w:rPr>
              <w:t>Source</w:t>
            </w:r>
            <w:r w:rsidRPr="00CD33DD">
              <w:t xml:space="preserve">: </w:t>
            </w:r>
            <w:r>
              <w:t xml:space="preserve">Australian, State and Territory governments </w:t>
            </w:r>
            <w:r w:rsidRPr="00CD33DD">
              <w:t>(</w:t>
            </w:r>
            <w:r>
              <w:t>unpublished</w:t>
            </w:r>
            <w:r w:rsidRPr="00CD33DD">
              <w:t>).</w:t>
            </w:r>
          </w:p>
        </w:tc>
      </w:tr>
      <w:tr w:rsidR="008163F4" w:rsidRPr="00CD33DD" w:rsidTr="008345CA">
        <w:trPr>
          <w:cantSplit/>
        </w:trPr>
        <w:tc>
          <w:tcPr>
            <w:tcW w:w="8771" w:type="dxa"/>
            <w:tcBorders>
              <w:top w:val="nil"/>
              <w:left w:val="single" w:sz="6" w:space="0" w:color="auto"/>
              <w:bottom w:val="single" w:sz="6" w:space="0" w:color="auto"/>
              <w:right w:val="single" w:sz="6" w:space="0" w:color="auto"/>
            </w:tcBorders>
          </w:tcPr>
          <w:p w:rsidR="008163F4" w:rsidRPr="00CD33DD" w:rsidRDefault="008163F4" w:rsidP="008345CA">
            <w:pPr>
              <w:pStyle w:val="Box"/>
              <w:keepLines/>
              <w:spacing w:before="0" w:line="120" w:lineRule="exact"/>
            </w:pPr>
          </w:p>
        </w:tc>
      </w:tr>
      <w:tr w:rsidR="008163F4" w:rsidRPr="00CD33DD" w:rsidTr="008345CA">
        <w:tc>
          <w:tcPr>
            <w:tcW w:w="8771" w:type="dxa"/>
            <w:tcBorders>
              <w:top w:val="nil"/>
              <w:left w:val="nil"/>
              <w:bottom w:val="nil"/>
              <w:right w:val="nil"/>
            </w:tcBorders>
          </w:tcPr>
          <w:p w:rsidR="008163F4" w:rsidRPr="00CD33DD" w:rsidRDefault="008163F4" w:rsidP="008345CA">
            <w:pPr>
              <w:pStyle w:val="Box"/>
              <w:keepNext w:val="0"/>
              <w:spacing w:before="0" w:line="80" w:lineRule="exact"/>
              <w:rPr>
                <w:b/>
                <w:sz w:val="14"/>
              </w:rPr>
            </w:pPr>
          </w:p>
        </w:tc>
      </w:tr>
    </w:tbl>
    <w:p w:rsidR="00B21445" w:rsidRDefault="008165D3" w:rsidP="000D3385">
      <w:pPr>
        <w:pStyle w:val="Heading4"/>
      </w:pPr>
      <w:r>
        <w:lastRenderedPageBreak/>
        <w:t>Government r</w:t>
      </w:r>
      <w:r w:rsidR="00B21445">
        <w:t>oles and responsibilit</w:t>
      </w:r>
      <w:r w:rsidR="0093541B">
        <w:t>ies</w:t>
      </w:r>
    </w:p>
    <w:p w:rsidR="00903D75" w:rsidRDefault="00B21445" w:rsidP="004E3B4D">
      <w:pPr>
        <w:pStyle w:val="BodyText"/>
      </w:pPr>
      <w:r w:rsidRPr="00CD33DD">
        <w:t xml:space="preserve">Different levels of government </w:t>
      </w:r>
      <w:r w:rsidRPr="00B40417">
        <w:t>fulfil</w:t>
      </w:r>
      <w:r>
        <w:t xml:space="preserve"> different </w:t>
      </w:r>
      <w:r w:rsidRPr="00CD33DD">
        <w:t xml:space="preserve">roles </w:t>
      </w:r>
      <w:r>
        <w:t xml:space="preserve">with regard to </w:t>
      </w:r>
      <w:proofErr w:type="spellStart"/>
      <w:r w:rsidR="00F048B0">
        <w:t>CCET</w:t>
      </w:r>
      <w:proofErr w:type="spellEnd"/>
      <w:r>
        <w:t xml:space="preserve"> services</w:t>
      </w:r>
      <w:r w:rsidRPr="00CD33DD">
        <w:t>.</w:t>
      </w:r>
      <w:r>
        <w:t xml:space="preserve"> </w:t>
      </w:r>
      <w:r w:rsidR="007F1FA3">
        <w:t>A broad overview of the Australian</w:t>
      </w:r>
      <w:r w:rsidR="00356525">
        <w:t>,</w:t>
      </w:r>
      <w:r w:rsidR="007F1FA3">
        <w:t xml:space="preserve"> and State and Territory </w:t>
      </w:r>
      <w:r w:rsidR="00570816">
        <w:t>g</w:t>
      </w:r>
      <w:r w:rsidR="007F1FA3">
        <w:t xml:space="preserve">overnment involvement in the </w:t>
      </w:r>
      <w:proofErr w:type="spellStart"/>
      <w:r w:rsidR="00F048B0">
        <w:t>CCET</w:t>
      </w:r>
      <w:proofErr w:type="spellEnd"/>
      <w:r w:rsidR="007F1FA3">
        <w:t xml:space="preserve"> sector is provided in box </w:t>
      </w:r>
      <w:r w:rsidR="005E45C2">
        <w:t>B.4</w:t>
      </w:r>
      <w:r w:rsidR="007F1FA3">
        <w:t>.</w:t>
      </w:r>
      <w:r w:rsidR="00FB131B">
        <w:t xml:space="preserve"> </w:t>
      </w:r>
      <w:r w:rsidR="00356525">
        <w:t>A</w:t>
      </w:r>
      <w:r w:rsidR="007F1FA3">
        <w:t>dditional</w:t>
      </w:r>
      <w:r w:rsidR="00356525">
        <w:t>,</w:t>
      </w:r>
      <w:r w:rsidR="007F1FA3">
        <w:t xml:space="preserve"> detailed information on the </w:t>
      </w:r>
      <w:r>
        <w:t xml:space="preserve">roles and responsibilities </w:t>
      </w:r>
      <w:r w:rsidR="00AE36D2">
        <w:t xml:space="preserve">of </w:t>
      </w:r>
      <w:r>
        <w:t xml:space="preserve">governments </w:t>
      </w:r>
      <w:r w:rsidR="00635818">
        <w:t xml:space="preserve">is </w:t>
      </w:r>
      <w:r>
        <w:t>outl</w:t>
      </w:r>
      <w:r w:rsidR="004E3B4D">
        <w:t>ined in individual chapters.</w:t>
      </w:r>
    </w:p>
    <w:p w:rsidR="009054A0" w:rsidRDefault="009054A0">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054A0">
        <w:tc>
          <w:tcPr>
            <w:tcW w:w="8771" w:type="dxa"/>
            <w:tcBorders>
              <w:top w:val="single" w:sz="6" w:space="0" w:color="auto"/>
              <w:bottom w:val="nil"/>
            </w:tcBorders>
          </w:tcPr>
          <w:p w:rsidR="009054A0" w:rsidRDefault="009054A0">
            <w:pPr>
              <w:pStyle w:val="BoxTitle"/>
            </w:pPr>
            <w:r>
              <w:rPr>
                <w:b w:val="0"/>
              </w:rPr>
              <w:t xml:space="preserve">Box </w:t>
            </w:r>
            <w:bookmarkStart w:id="9" w:name="OLE_LINK29"/>
            <w:r w:rsidR="00891AAF">
              <w:rPr>
                <w:b w:val="0"/>
              </w:rPr>
              <w:t>B.</w:t>
            </w:r>
            <w:r w:rsidR="005C0C17">
              <w:rPr>
                <w:b w:val="0"/>
                <w:noProof/>
              </w:rPr>
              <w:t>5</w:t>
            </w:r>
            <w:bookmarkEnd w:id="9"/>
            <w:r>
              <w:tab/>
              <w:t xml:space="preserve">Government roles and responsibilities in the </w:t>
            </w:r>
            <w:proofErr w:type="spellStart"/>
            <w:r w:rsidR="00F048B0">
              <w:t>CCET</w:t>
            </w:r>
            <w:proofErr w:type="spellEnd"/>
            <w:r>
              <w:t xml:space="preserve"> sector</w:t>
            </w:r>
          </w:p>
        </w:tc>
      </w:tr>
      <w:tr w:rsidR="009054A0">
        <w:trPr>
          <w:cantSplit/>
        </w:trPr>
        <w:tc>
          <w:tcPr>
            <w:tcW w:w="8771" w:type="dxa"/>
            <w:tcBorders>
              <w:top w:val="nil"/>
              <w:left w:val="single" w:sz="6" w:space="0" w:color="auto"/>
              <w:bottom w:val="nil"/>
              <w:right w:val="single" w:sz="6" w:space="0" w:color="auto"/>
            </w:tcBorders>
          </w:tcPr>
          <w:p w:rsidR="009054A0" w:rsidRPr="004419C7" w:rsidRDefault="00A77F79" w:rsidP="009054A0">
            <w:pPr>
              <w:pStyle w:val="Box"/>
              <w:rPr>
                <w:b/>
              </w:rPr>
            </w:pPr>
            <w:r>
              <w:rPr>
                <w:b/>
              </w:rPr>
              <w:t>Early childhood education and care</w:t>
            </w:r>
          </w:p>
          <w:p w:rsidR="00570816" w:rsidRPr="004419C7" w:rsidRDefault="009054A0" w:rsidP="009054A0">
            <w:pPr>
              <w:pStyle w:val="Box"/>
            </w:pPr>
            <w:r w:rsidRPr="004419C7">
              <w:t xml:space="preserve">Responsibility for child care and preschool is shared between the Australian </w:t>
            </w:r>
            <w:r w:rsidR="002D2924">
              <w:t xml:space="preserve">Government </w:t>
            </w:r>
            <w:r w:rsidRPr="004419C7">
              <w:t xml:space="preserve">and </w:t>
            </w:r>
            <w:r>
              <w:t xml:space="preserve">State and Territory governments. </w:t>
            </w:r>
            <w:r w:rsidRPr="004419C7">
              <w:t xml:space="preserve">The Australian </w:t>
            </w:r>
            <w:r>
              <w:t>G</w:t>
            </w:r>
            <w:r w:rsidRPr="004419C7">
              <w:t xml:space="preserve">overnment has policy responsibility for formal care (long day care, family day care, outside school hours care, and some occasional care). It administers a fee subsidy (Child Care Benefit), an out-of-pocket subsidy (Child Care Rebate) and provides some funding to </w:t>
            </w:r>
            <w:r>
              <w:t xml:space="preserve">Australian Government </w:t>
            </w:r>
            <w:r w:rsidRPr="004419C7">
              <w:t xml:space="preserve">approved services for specific purposes. </w:t>
            </w:r>
            <w:r>
              <w:t xml:space="preserve">It </w:t>
            </w:r>
            <w:r w:rsidRPr="004419C7">
              <w:t>also oversees quality accreditation systems and</w:t>
            </w:r>
            <w:r>
              <w:t xml:space="preserve"> </w:t>
            </w:r>
            <w:r w:rsidRPr="004419C7">
              <w:t>supports specialised preschool for Indigenous Australians.</w:t>
            </w:r>
            <w:r w:rsidR="00570816">
              <w:t xml:space="preserve"> </w:t>
            </w:r>
          </w:p>
          <w:p w:rsidR="009054A0" w:rsidRDefault="009054A0" w:rsidP="009054A0">
            <w:pPr>
              <w:pStyle w:val="Box"/>
            </w:pPr>
            <w:r>
              <w:t xml:space="preserve">Preschool education is delivered using a variety of funding and delivery models. </w:t>
            </w:r>
            <w:r w:rsidRPr="004419C7">
              <w:t>State and Territory governments are responsible for the policy and funding of preschools and some occasional care centres</w:t>
            </w:r>
            <w:r w:rsidR="00570816">
              <w:t>,</w:t>
            </w:r>
            <w:r w:rsidRPr="004419C7">
              <w:t xml:space="preserve"> with some governments also contributing financially to outside school hours care, long day care and other such services. </w:t>
            </w:r>
          </w:p>
          <w:p w:rsidR="00570816" w:rsidRPr="00494AEA" w:rsidRDefault="00767BBA" w:rsidP="00570816">
            <w:pPr>
              <w:pStyle w:val="Box"/>
              <w:rPr>
                <w:szCs w:val="22"/>
              </w:rPr>
            </w:pPr>
            <w:r>
              <w:t>Strategic d</w:t>
            </w:r>
            <w:r w:rsidR="00570816">
              <w:t xml:space="preserve">irection </w:t>
            </w:r>
            <w:r>
              <w:t>for</w:t>
            </w:r>
            <w:r w:rsidR="00570816">
              <w:t xml:space="preserve"> early childhood education and care is provided through the Standing Council on School </w:t>
            </w:r>
            <w:r w:rsidR="001E4FD1">
              <w:t>E</w:t>
            </w:r>
            <w:r w:rsidR="00570816">
              <w:t>ducation and Early Childhood (</w:t>
            </w:r>
            <w:proofErr w:type="spellStart"/>
            <w:r w:rsidR="00570816">
              <w:t>SCSEEC</w:t>
            </w:r>
            <w:proofErr w:type="spellEnd"/>
            <w:r w:rsidR="00570816">
              <w:t>).</w:t>
            </w:r>
          </w:p>
          <w:p w:rsidR="009054A0" w:rsidRPr="004419C7" w:rsidRDefault="009054A0" w:rsidP="009054A0">
            <w:pPr>
              <w:pStyle w:val="Box"/>
              <w:rPr>
                <w:b/>
              </w:rPr>
            </w:pPr>
            <w:r w:rsidRPr="004419C7">
              <w:rPr>
                <w:b/>
              </w:rPr>
              <w:t>School education</w:t>
            </w:r>
          </w:p>
          <w:p w:rsidR="009054A0" w:rsidRDefault="009054A0" w:rsidP="00570816">
            <w:pPr>
              <w:pStyle w:val="Box"/>
            </w:pPr>
            <w:r w:rsidRPr="00494AEA">
              <w:t>The Australian Government and State and Territory governments are jointly responsible for school education and share responsibility for developing, progressing and reviewing national objectives and outcomes for schooling and the national curriculum.</w:t>
            </w:r>
            <w:r w:rsidR="00570816">
              <w:t xml:space="preserve"> </w:t>
            </w:r>
            <w:r w:rsidRPr="004419C7">
              <w:t xml:space="preserve">Under constitutional arrangements, State and Territory governments are responsible for ensuring all school aged children have the opportunity to enrol in a safe and supportive school that provides a </w:t>
            </w:r>
            <w:r>
              <w:t xml:space="preserve">high </w:t>
            </w:r>
            <w:r w:rsidRPr="004419C7">
              <w:t xml:space="preserve">quality education, including where students have particular needs. States and </w:t>
            </w:r>
            <w:r>
              <w:t>t</w:t>
            </w:r>
            <w:r w:rsidRPr="004419C7">
              <w:t xml:space="preserve">erritories are also responsible for ensuring </w:t>
            </w:r>
            <w:r>
              <w:t xml:space="preserve">that </w:t>
            </w:r>
            <w:r w:rsidRPr="004419C7">
              <w:t>children of compulsory school-age attend school</w:t>
            </w:r>
            <w:r>
              <w:t xml:space="preserve"> and for: developing policy, delivering services</w:t>
            </w:r>
            <w:r w:rsidRPr="004419C7">
              <w:t xml:space="preserve">, monitoring and reviewing performance of individual schools, regulating schools, and implementing the </w:t>
            </w:r>
            <w:r>
              <w:t>n</w:t>
            </w:r>
            <w:r w:rsidRPr="004419C7">
              <w:t xml:space="preserve">ational </w:t>
            </w:r>
            <w:r>
              <w:t>c</w:t>
            </w:r>
            <w:r w:rsidRPr="004419C7">
              <w:t>urriculum.</w:t>
            </w:r>
            <w:r>
              <w:t xml:space="preserve"> State and Territory governments</w:t>
            </w:r>
            <w:r w:rsidRPr="004419C7">
              <w:t xml:space="preserve"> are responsible for the administration of government schools, for which they provide the majority</w:t>
            </w:r>
            <w:r>
              <w:t xml:space="preserve"> of government funding. Non</w:t>
            </w:r>
            <w:r>
              <w:noBreakHyphen/>
            </w:r>
            <w:r w:rsidRPr="004419C7">
              <w:t xml:space="preserve">government schools operate under conditions determined by State and Territory government registration authorities and receive </w:t>
            </w:r>
            <w:r>
              <w:t xml:space="preserve">Australian, </w:t>
            </w:r>
            <w:r w:rsidRPr="004419C7">
              <w:t>State an</w:t>
            </w:r>
            <w:r>
              <w:t>d Territory government funding.</w:t>
            </w:r>
          </w:p>
        </w:tc>
      </w:tr>
      <w:tr w:rsidR="009054A0">
        <w:trPr>
          <w:cantSplit/>
        </w:trPr>
        <w:tc>
          <w:tcPr>
            <w:tcW w:w="8771" w:type="dxa"/>
            <w:tcBorders>
              <w:top w:val="nil"/>
              <w:left w:val="single" w:sz="6" w:space="0" w:color="auto"/>
              <w:bottom w:val="nil"/>
              <w:right w:val="single" w:sz="6" w:space="0" w:color="auto"/>
            </w:tcBorders>
          </w:tcPr>
          <w:p w:rsidR="009054A0" w:rsidRDefault="009054A0" w:rsidP="009054A0">
            <w:pPr>
              <w:pStyle w:val="BoxSource"/>
              <w:jc w:val="right"/>
            </w:pPr>
            <w:r>
              <w:t>(Continued next page)</w:t>
            </w:r>
          </w:p>
        </w:tc>
      </w:tr>
      <w:tr w:rsidR="009054A0">
        <w:trPr>
          <w:cantSplit/>
        </w:trPr>
        <w:tc>
          <w:tcPr>
            <w:tcW w:w="8771" w:type="dxa"/>
            <w:tcBorders>
              <w:top w:val="nil"/>
              <w:left w:val="single" w:sz="6" w:space="0" w:color="auto"/>
              <w:bottom w:val="single" w:sz="6" w:space="0" w:color="auto"/>
              <w:right w:val="single" w:sz="6" w:space="0" w:color="auto"/>
            </w:tcBorders>
          </w:tcPr>
          <w:p w:rsidR="009054A0" w:rsidRDefault="009054A0">
            <w:pPr>
              <w:pStyle w:val="Box"/>
              <w:spacing w:before="0" w:line="120" w:lineRule="exact"/>
            </w:pPr>
          </w:p>
        </w:tc>
      </w:tr>
      <w:tr w:rsidR="009054A0">
        <w:tc>
          <w:tcPr>
            <w:tcW w:w="8771" w:type="dxa"/>
            <w:tcBorders>
              <w:top w:val="nil"/>
              <w:left w:val="nil"/>
              <w:bottom w:val="nil"/>
              <w:right w:val="nil"/>
            </w:tcBorders>
          </w:tcPr>
          <w:p w:rsidR="009054A0" w:rsidRDefault="009054A0">
            <w:pPr>
              <w:pStyle w:val="Box"/>
              <w:keepNext w:val="0"/>
              <w:spacing w:before="60" w:after="60" w:line="80" w:lineRule="exact"/>
              <w:rPr>
                <w:b/>
                <w:color w:val="FF00FF"/>
                <w:sz w:val="14"/>
              </w:rPr>
            </w:pPr>
          </w:p>
        </w:tc>
      </w:tr>
    </w:tbl>
    <w:p w:rsidR="002F5C97" w:rsidRDefault="002F5C97">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F5C97">
        <w:tc>
          <w:tcPr>
            <w:tcW w:w="8771" w:type="dxa"/>
            <w:tcBorders>
              <w:top w:val="single" w:sz="6" w:space="0" w:color="auto"/>
              <w:bottom w:val="nil"/>
            </w:tcBorders>
          </w:tcPr>
          <w:p w:rsidR="002F5C97" w:rsidRDefault="002F5C97">
            <w:pPr>
              <w:pStyle w:val="BoxTitle"/>
            </w:pPr>
            <w:r>
              <w:rPr>
                <w:b w:val="0"/>
              </w:rPr>
              <w:t xml:space="preserve">Box </w:t>
            </w:r>
            <w:r w:rsidR="009054A0" w:rsidRPr="009054A0">
              <w:rPr>
                <w:b w:val="0"/>
              </w:rPr>
              <w:t>B.4</w:t>
            </w:r>
            <w:r>
              <w:tab/>
            </w:r>
            <w:r w:rsidRPr="002F5C97">
              <w:rPr>
                <w:rStyle w:val="ContinuedChar"/>
              </w:rPr>
              <w:t>(continued)</w:t>
            </w:r>
          </w:p>
        </w:tc>
      </w:tr>
      <w:tr w:rsidR="002F5C97">
        <w:trPr>
          <w:cantSplit/>
        </w:trPr>
        <w:tc>
          <w:tcPr>
            <w:tcW w:w="8771" w:type="dxa"/>
            <w:tcBorders>
              <w:top w:val="nil"/>
              <w:left w:val="single" w:sz="6" w:space="0" w:color="auto"/>
              <w:bottom w:val="nil"/>
              <w:right w:val="single" w:sz="6" w:space="0" w:color="auto"/>
            </w:tcBorders>
          </w:tcPr>
          <w:p w:rsidR="002F5C97" w:rsidRDefault="002F5C97" w:rsidP="002F5C97">
            <w:pPr>
              <w:pStyle w:val="Box"/>
            </w:pPr>
            <w:r w:rsidRPr="004419C7">
              <w:t xml:space="preserve">The Australian </w:t>
            </w:r>
            <w:r>
              <w:t>Government</w:t>
            </w:r>
            <w:r w:rsidRPr="004419C7">
              <w:t xml:space="preserve"> </w:t>
            </w:r>
            <w:r>
              <w:t xml:space="preserve">is </w:t>
            </w:r>
            <w:r w:rsidRPr="004419C7">
              <w:t xml:space="preserve">responsible for allocating funding to </w:t>
            </w:r>
            <w:r>
              <w:t>s</w:t>
            </w:r>
            <w:r w:rsidRPr="004419C7">
              <w:t xml:space="preserve">tates and </w:t>
            </w:r>
            <w:r>
              <w:t>t</w:t>
            </w:r>
            <w:r w:rsidRPr="004419C7">
              <w:t xml:space="preserve">erritories to support improved service delivery and reform to meet nationally agreed outcomes, including for </w:t>
            </w:r>
            <w:r>
              <w:t xml:space="preserve">students with particular needs. It </w:t>
            </w:r>
            <w:r w:rsidRPr="004419C7">
              <w:t xml:space="preserve">is also responsible for ensuring that the funding arrangements for </w:t>
            </w:r>
            <w:r>
              <w:t xml:space="preserve">the </w:t>
            </w:r>
            <w:r w:rsidRPr="004419C7">
              <w:t>non-government school system and schools are consistent with, and support</w:t>
            </w:r>
            <w:r>
              <w:t>,</w:t>
            </w:r>
            <w:r w:rsidRPr="004419C7">
              <w:t xml:space="preserve"> the responsibilities of the </w:t>
            </w:r>
            <w:r>
              <w:t>s</w:t>
            </w:r>
            <w:r w:rsidRPr="004419C7">
              <w:t xml:space="preserve">tates and </w:t>
            </w:r>
            <w:r>
              <w:t>t</w:t>
            </w:r>
            <w:r w:rsidRPr="004419C7">
              <w:t>erritories in regulation, educational quality, performance and reporting on educational outcomes.</w:t>
            </w:r>
          </w:p>
          <w:p w:rsidR="00570816" w:rsidRPr="00494AEA" w:rsidRDefault="00767BBA" w:rsidP="00570816">
            <w:pPr>
              <w:pStyle w:val="Box"/>
              <w:rPr>
                <w:szCs w:val="22"/>
              </w:rPr>
            </w:pPr>
            <w:r>
              <w:t>Strategic d</w:t>
            </w:r>
            <w:r w:rsidR="00570816">
              <w:t xml:space="preserve">irection </w:t>
            </w:r>
            <w:r w:rsidR="00D4299B">
              <w:t xml:space="preserve">for </w:t>
            </w:r>
            <w:r w:rsidR="00570816">
              <w:t xml:space="preserve">school education is also provided through </w:t>
            </w:r>
            <w:proofErr w:type="spellStart"/>
            <w:r w:rsidR="00570816">
              <w:t>SCSEEC</w:t>
            </w:r>
            <w:proofErr w:type="spellEnd"/>
            <w:r w:rsidR="00570816">
              <w:t>.</w:t>
            </w:r>
          </w:p>
          <w:p w:rsidR="0038659E" w:rsidRPr="0038659E" w:rsidRDefault="0038659E" w:rsidP="00723EBD">
            <w:pPr>
              <w:pStyle w:val="Box"/>
            </w:pPr>
            <w:r w:rsidRPr="0038659E">
              <w:t xml:space="preserve">The major element of Australian Government funding is provided through the National Schools Specific Purpose Payment </w:t>
            </w:r>
            <w:r w:rsidR="00570816">
              <w:t>(</w:t>
            </w:r>
            <w:proofErr w:type="spellStart"/>
            <w:r w:rsidR="00570816">
              <w:t>SPP</w:t>
            </w:r>
            <w:proofErr w:type="spellEnd"/>
            <w:r w:rsidR="00570816">
              <w:t xml:space="preserve">) </w:t>
            </w:r>
            <w:r w:rsidRPr="0038659E">
              <w:t>under the Intergovernmental</w:t>
            </w:r>
            <w:r>
              <w:t xml:space="preserve"> </w:t>
            </w:r>
            <w:r w:rsidRPr="0038659E">
              <w:t>Agreement (IGA) on Federal Financial Re</w:t>
            </w:r>
            <w:r w:rsidR="00735D75">
              <w:t>lations</w:t>
            </w:r>
            <w:r w:rsidRPr="0038659E">
              <w:t xml:space="preserve">. The non-government schools funding component of the National Schools </w:t>
            </w:r>
            <w:proofErr w:type="spellStart"/>
            <w:r w:rsidRPr="0038659E">
              <w:t>SPP</w:t>
            </w:r>
            <w:proofErr w:type="spellEnd"/>
            <w:r w:rsidRPr="0038659E">
              <w:t xml:space="preserve"> is determined by the </w:t>
            </w:r>
            <w:r w:rsidRPr="0038659E">
              <w:rPr>
                <w:i/>
                <w:iCs/>
              </w:rPr>
              <w:t>Schools Assistance Act 2008</w:t>
            </w:r>
            <w:r w:rsidRPr="0038659E">
              <w:t>.</w:t>
            </w:r>
          </w:p>
          <w:p w:rsidR="002F5C97" w:rsidRDefault="002F5C97" w:rsidP="00723EBD">
            <w:pPr>
              <w:pStyle w:val="Box"/>
              <w:rPr>
                <w:b/>
              </w:rPr>
            </w:pPr>
            <w:r>
              <w:t xml:space="preserve">The Australian Government also </w:t>
            </w:r>
            <w:r w:rsidRPr="004419C7">
              <w:t xml:space="preserve">provides supplementary funding for government schools </w:t>
            </w:r>
            <w:r w:rsidR="00ED767F">
              <w:t>and non</w:t>
            </w:r>
            <w:r w:rsidR="0038659E">
              <w:t xml:space="preserve">–government schools </w:t>
            </w:r>
            <w:r w:rsidRPr="004419C7">
              <w:t xml:space="preserve">through </w:t>
            </w:r>
            <w:r w:rsidR="0038659E">
              <w:t xml:space="preserve">National Partnerships associated with </w:t>
            </w:r>
            <w:r w:rsidRPr="004419C7">
              <w:t xml:space="preserve">the </w:t>
            </w:r>
            <w:r w:rsidRPr="004419C7">
              <w:rPr>
                <w:i/>
              </w:rPr>
              <w:t>National Education Agreement</w:t>
            </w:r>
            <w:r w:rsidR="0038659E">
              <w:rPr>
                <w:i/>
              </w:rPr>
              <w:t>.</w:t>
            </w:r>
            <w:r w:rsidRPr="004419C7">
              <w:t xml:space="preserve"> Other payments are made directly to school communities, students and other organisations</w:t>
            </w:r>
            <w:r>
              <w:t xml:space="preserve"> to support schooling (</w:t>
            </w:r>
            <w:proofErr w:type="spellStart"/>
            <w:r>
              <w:t>COAG</w:t>
            </w:r>
            <w:proofErr w:type="spellEnd"/>
            <w:r>
              <w:t xml:space="preserve"> 2008</w:t>
            </w:r>
            <w:r w:rsidR="00B4338F">
              <w:t>a</w:t>
            </w:r>
            <w:r>
              <w:t>).</w:t>
            </w:r>
          </w:p>
          <w:p w:rsidR="002F5C97" w:rsidRPr="004419C7" w:rsidRDefault="002F5C97" w:rsidP="002F5C97">
            <w:pPr>
              <w:pStyle w:val="Box"/>
              <w:rPr>
                <w:b/>
              </w:rPr>
            </w:pPr>
            <w:r w:rsidRPr="004419C7">
              <w:rPr>
                <w:b/>
              </w:rPr>
              <w:t>Vocational education and training</w:t>
            </w:r>
          </w:p>
          <w:p w:rsidR="002F5C97" w:rsidRPr="004419C7" w:rsidRDefault="00D4299B" w:rsidP="005B1170">
            <w:pPr>
              <w:pStyle w:val="Box"/>
            </w:pPr>
            <w:r>
              <w:t xml:space="preserve">Strategic </w:t>
            </w:r>
            <w:r w:rsidR="004D164B">
              <w:t xml:space="preserve">direction </w:t>
            </w:r>
            <w:r>
              <w:t xml:space="preserve">for </w:t>
            </w:r>
            <w:r w:rsidR="004D164B">
              <w:t>v</w:t>
            </w:r>
            <w:r w:rsidR="002F5C97" w:rsidRPr="004419C7">
              <w:t xml:space="preserve">ocational </w:t>
            </w:r>
            <w:r w:rsidR="004D164B">
              <w:t>e</w:t>
            </w:r>
            <w:r w:rsidR="002F5C97" w:rsidRPr="004419C7">
              <w:t xml:space="preserve">ducation and </w:t>
            </w:r>
            <w:r w:rsidR="004D164B">
              <w:t>t</w:t>
            </w:r>
            <w:r w:rsidR="002F5C97" w:rsidRPr="004419C7">
              <w:t xml:space="preserve">raining </w:t>
            </w:r>
            <w:r w:rsidR="004D164B">
              <w:t xml:space="preserve">(VET) </w:t>
            </w:r>
            <w:r>
              <w:t xml:space="preserve">is provided </w:t>
            </w:r>
            <w:r w:rsidR="002F5C97" w:rsidRPr="004419C7">
              <w:t xml:space="preserve">through the </w:t>
            </w:r>
            <w:r w:rsidR="001F36ED">
              <w:t>Standing Council on Tertiary Education, Skills and Employment (</w:t>
            </w:r>
            <w:proofErr w:type="spellStart"/>
            <w:r w:rsidR="001F36ED">
              <w:t>SCOTESE</w:t>
            </w:r>
            <w:proofErr w:type="spellEnd"/>
            <w:r w:rsidR="001F36ED">
              <w:t xml:space="preserve">) </w:t>
            </w:r>
            <w:r w:rsidR="002F5C97" w:rsidRPr="004419C7">
              <w:t xml:space="preserve">on national policy, strategy priorities, goals and objectives, in partnership with industry </w:t>
            </w:r>
            <w:r w:rsidR="002F5C97">
              <w:t>and private training providers.</w:t>
            </w:r>
            <w:r w:rsidR="0027412E">
              <w:t xml:space="preserve"> Outcomes are monitored through the National Agreement on Skills and Workforce Development (</w:t>
            </w:r>
            <w:proofErr w:type="spellStart"/>
            <w:r w:rsidR="0027412E">
              <w:t>NASWD</w:t>
            </w:r>
            <w:proofErr w:type="spellEnd"/>
            <w:r w:rsidR="0027412E">
              <w:t>).</w:t>
            </w:r>
          </w:p>
          <w:p w:rsidR="002F5C97" w:rsidRDefault="001F36ED" w:rsidP="002F5C97">
            <w:pPr>
              <w:pStyle w:val="Box"/>
            </w:pPr>
            <w:r>
              <w:t xml:space="preserve">Australian and </w:t>
            </w:r>
            <w:r w:rsidR="002F5C97" w:rsidRPr="004419C7">
              <w:t>State and Territory governments allocate funding for VET services and to support the maintenance of public training infrastructure. They oversee the delivery of publicly funded training and facilitate the development and training of the public VET workforce. State and Territory governments ensure the effective op</w:t>
            </w:r>
            <w:r>
              <w:t>eration of the training market.</w:t>
            </w:r>
            <w:r w:rsidR="00570816">
              <w:t xml:space="preserve"> </w:t>
            </w:r>
          </w:p>
          <w:p w:rsidR="002F5C97" w:rsidRPr="004419C7" w:rsidRDefault="002F5C97" w:rsidP="002F5C97">
            <w:pPr>
              <w:pStyle w:val="Box"/>
            </w:pPr>
            <w:r w:rsidRPr="004419C7">
              <w:t xml:space="preserve">The Australian Government provides funding to </w:t>
            </w:r>
            <w:r>
              <w:t>State</w:t>
            </w:r>
            <w:r w:rsidRPr="004419C7">
              <w:t xml:space="preserve"> and </w:t>
            </w:r>
            <w:r>
              <w:t>Territory governments</w:t>
            </w:r>
            <w:r w:rsidRPr="004419C7">
              <w:t xml:space="preserve"> to support training systems and </w:t>
            </w:r>
            <w:r>
              <w:t>provide</w:t>
            </w:r>
            <w:r w:rsidRPr="004419C7">
              <w:t xml:space="preserve"> specific incentives, interventions and assistance for national priority areas.</w:t>
            </w:r>
          </w:p>
          <w:p w:rsidR="002F5C97" w:rsidRDefault="002F5C97" w:rsidP="002F5C97">
            <w:pPr>
              <w:pStyle w:val="Box"/>
              <w:rPr>
                <w:b/>
              </w:rPr>
            </w:pPr>
            <w:r>
              <w:rPr>
                <w:b/>
              </w:rPr>
              <w:t>Higher education</w:t>
            </w:r>
          </w:p>
          <w:p w:rsidR="002F5C97" w:rsidRDefault="002F5C97" w:rsidP="00336057">
            <w:pPr>
              <w:pStyle w:val="Box"/>
            </w:pPr>
            <w:r>
              <w:t>R</w:t>
            </w:r>
            <w:r w:rsidRPr="005C22FF">
              <w:t xml:space="preserve">egulation and governance for higher education are shared </w:t>
            </w:r>
            <w:r>
              <w:t xml:space="preserve">between </w:t>
            </w:r>
            <w:r w:rsidRPr="005C22FF">
              <w:t>the Australian</w:t>
            </w:r>
            <w:r>
              <w:t xml:space="preserve"> and</w:t>
            </w:r>
            <w:r w:rsidRPr="005C22FF">
              <w:t xml:space="preserve"> State and Territory </w:t>
            </w:r>
            <w:r>
              <w:t>g</w:t>
            </w:r>
            <w:r w:rsidRPr="005C22FF">
              <w:t xml:space="preserve">overnments and the </w:t>
            </w:r>
            <w:r>
              <w:t xml:space="preserve">higher education </w:t>
            </w:r>
            <w:r w:rsidRPr="005C22FF">
              <w:t xml:space="preserve">institutions. </w:t>
            </w:r>
            <w:r>
              <w:t>U</w:t>
            </w:r>
            <w:r w:rsidRPr="004E3B4D">
              <w:t>niversities are generally established under State or Territory legislation and</w:t>
            </w:r>
            <w:r w:rsidR="0027412E">
              <w:t>,</w:t>
            </w:r>
            <w:r w:rsidRPr="004E3B4D">
              <w:t xml:space="preserve"> once established</w:t>
            </w:r>
            <w:r w:rsidR="0027412E">
              <w:t>,</w:t>
            </w:r>
            <w:r w:rsidRPr="004E3B4D">
              <w:t xml:space="preserve"> become self-accrediting and responsible for their own standards.</w:t>
            </w:r>
            <w:r>
              <w:t xml:space="preserve"> The Australian Government has the primary responsibility for public funding of higher education through the </w:t>
            </w:r>
            <w:r w:rsidRPr="005C22FF">
              <w:rPr>
                <w:i/>
              </w:rPr>
              <w:t>Higher Education Support Act 2003</w:t>
            </w:r>
            <w:r>
              <w:t xml:space="preserve"> (</w:t>
            </w:r>
            <w:proofErr w:type="spellStart"/>
            <w:r>
              <w:t>DEEWR</w:t>
            </w:r>
            <w:proofErr w:type="spellEnd"/>
            <w:r>
              <w:t xml:space="preserve"> 2011).</w:t>
            </w:r>
          </w:p>
        </w:tc>
      </w:tr>
      <w:tr w:rsidR="002F5C97">
        <w:trPr>
          <w:cantSplit/>
        </w:trPr>
        <w:tc>
          <w:tcPr>
            <w:tcW w:w="8771" w:type="dxa"/>
            <w:tcBorders>
              <w:top w:val="nil"/>
              <w:left w:val="single" w:sz="6" w:space="0" w:color="auto"/>
              <w:bottom w:val="single" w:sz="6" w:space="0" w:color="auto"/>
              <w:right w:val="single" w:sz="6" w:space="0" w:color="auto"/>
            </w:tcBorders>
          </w:tcPr>
          <w:p w:rsidR="002F5C97" w:rsidRDefault="002F5C97">
            <w:pPr>
              <w:pStyle w:val="Box"/>
              <w:spacing w:before="0" w:line="120" w:lineRule="exact"/>
            </w:pPr>
          </w:p>
        </w:tc>
      </w:tr>
      <w:tr w:rsidR="002F5C97" w:rsidRPr="002F5C97">
        <w:tc>
          <w:tcPr>
            <w:tcW w:w="8771" w:type="dxa"/>
            <w:tcBorders>
              <w:top w:val="nil"/>
              <w:left w:val="nil"/>
              <w:bottom w:val="nil"/>
              <w:right w:val="nil"/>
            </w:tcBorders>
          </w:tcPr>
          <w:p w:rsidR="002F5C97" w:rsidRPr="002F5C97" w:rsidRDefault="002F5C97">
            <w:pPr>
              <w:pStyle w:val="Box"/>
              <w:keepNext w:val="0"/>
              <w:spacing w:before="60" w:after="60" w:line="80" w:lineRule="exact"/>
              <w:rPr>
                <w:b/>
                <w:sz w:val="14"/>
              </w:rPr>
            </w:pPr>
          </w:p>
        </w:tc>
      </w:tr>
    </w:tbl>
    <w:p w:rsidR="008B55A6" w:rsidRPr="00FA7B04" w:rsidRDefault="00CA6684" w:rsidP="000D3385">
      <w:pPr>
        <w:pStyle w:val="Heading4"/>
      </w:pPr>
      <w:r>
        <w:lastRenderedPageBreak/>
        <w:t xml:space="preserve">Descriptive information on the </w:t>
      </w:r>
      <w:proofErr w:type="spellStart"/>
      <w:r w:rsidR="00F048B0">
        <w:t>CCET</w:t>
      </w:r>
      <w:proofErr w:type="spellEnd"/>
      <w:r>
        <w:t xml:space="preserve"> sector </w:t>
      </w:r>
      <w:r w:rsidR="003B20EA">
        <w:t>in Australia</w:t>
      </w:r>
      <w:r w:rsidR="00D400FA">
        <w:t xml:space="preserve"> </w:t>
      </w:r>
    </w:p>
    <w:p w:rsidR="009B1E0C" w:rsidRDefault="001F5419" w:rsidP="000D3385">
      <w:pPr>
        <w:pStyle w:val="Heading5"/>
      </w:pPr>
      <w:r>
        <w:t xml:space="preserve">Engagement </w:t>
      </w:r>
      <w:r w:rsidR="009B1E0C">
        <w:t xml:space="preserve">in </w:t>
      </w:r>
      <w:r w:rsidR="00E336BA">
        <w:t>c</w:t>
      </w:r>
      <w:r w:rsidR="00F048B0">
        <w:t>hild care, education and training</w:t>
      </w:r>
    </w:p>
    <w:p w:rsidR="0027412E" w:rsidRPr="00CD33DD" w:rsidRDefault="0027412E" w:rsidP="0027412E">
      <w:pPr>
        <w:pStyle w:val="BodyText"/>
      </w:pPr>
      <w:r w:rsidRPr="00CD33DD">
        <w:t>There is a distinction between the number of places provided</w:t>
      </w:r>
      <w:r>
        <w:t xml:space="preserve"> in early childhood education and care</w:t>
      </w:r>
      <w:r w:rsidRPr="00CD33DD">
        <w:t xml:space="preserve">, and the number of children who attend </w:t>
      </w:r>
      <w:r>
        <w:t xml:space="preserve">these </w:t>
      </w:r>
      <w:r w:rsidRPr="00CD33DD">
        <w:t>services. Due to the sessional or episodic nature of some services, it is possible for one place to accommodate more than one child</w:t>
      </w:r>
      <w:r>
        <w:t xml:space="preserve">, and for one child to occupy more than one place over time </w:t>
      </w:r>
      <w:r w:rsidRPr="00CD33DD">
        <w:t>(see chapter 3 for more information on children attending services).</w:t>
      </w:r>
    </w:p>
    <w:p w:rsidR="00A05C8C" w:rsidRPr="001F2D7B" w:rsidRDefault="00A05C8C" w:rsidP="00E433C4">
      <w:pPr>
        <w:pStyle w:val="BodyText"/>
        <w:shd w:val="clear" w:color="auto" w:fill="FFFFFF" w:themeFill="background1"/>
      </w:pPr>
      <w:r w:rsidRPr="00E433C4">
        <w:rPr>
          <w:shd w:val="clear" w:color="auto" w:fill="FFFFFF" w:themeFill="background1"/>
        </w:rPr>
        <w:t xml:space="preserve">In </w:t>
      </w:r>
      <w:r w:rsidR="00771B21" w:rsidRPr="00E433C4">
        <w:rPr>
          <w:shd w:val="clear" w:color="auto" w:fill="FFFFFF" w:themeFill="background1"/>
        </w:rPr>
        <w:t>201</w:t>
      </w:r>
      <w:r w:rsidR="00407C24">
        <w:rPr>
          <w:shd w:val="clear" w:color="auto" w:fill="FFFFFF" w:themeFill="background1"/>
        </w:rPr>
        <w:t>2-13</w:t>
      </w:r>
      <w:r w:rsidR="001F36ED" w:rsidRPr="00E433C4">
        <w:rPr>
          <w:shd w:val="clear" w:color="auto" w:fill="FFFFFF" w:themeFill="background1"/>
        </w:rPr>
        <w:t xml:space="preserve">, </w:t>
      </w:r>
      <w:r w:rsidR="00771B21" w:rsidRPr="00E433C4">
        <w:rPr>
          <w:shd w:val="clear" w:color="auto" w:fill="FFFFFF" w:themeFill="background1"/>
        </w:rPr>
        <w:t>1.</w:t>
      </w:r>
      <w:r w:rsidR="00407C24">
        <w:rPr>
          <w:shd w:val="clear" w:color="auto" w:fill="FFFFFF" w:themeFill="background1"/>
        </w:rPr>
        <w:t>0</w:t>
      </w:r>
      <w:r w:rsidR="00771B21" w:rsidRPr="00E433C4">
        <w:rPr>
          <w:shd w:val="clear" w:color="auto" w:fill="FFFFFF" w:themeFill="background1"/>
        </w:rPr>
        <w:t xml:space="preserve"> million</w:t>
      </w:r>
      <w:r w:rsidRPr="00E433C4">
        <w:rPr>
          <w:shd w:val="clear" w:color="auto" w:fill="FFFFFF" w:themeFill="background1"/>
        </w:rPr>
        <w:t xml:space="preserve"> children aged 12 years or younger attended Australian Government </w:t>
      </w:r>
      <w:r w:rsidRPr="001F2D7B">
        <w:rPr>
          <w:shd w:val="clear" w:color="auto" w:fill="FFFFFF" w:themeFill="background1"/>
        </w:rPr>
        <w:t>approved child care services</w:t>
      </w:r>
      <w:r w:rsidR="00771B21" w:rsidRPr="001F2D7B">
        <w:rPr>
          <w:shd w:val="clear" w:color="auto" w:fill="FFFFFF" w:themeFill="background1"/>
        </w:rPr>
        <w:t xml:space="preserve"> (</w:t>
      </w:r>
      <w:proofErr w:type="spellStart"/>
      <w:r w:rsidR="00771B21" w:rsidRPr="001F2D7B">
        <w:rPr>
          <w:shd w:val="clear" w:color="auto" w:fill="FFFFFF" w:themeFill="background1"/>
        </w:rPr>
        <w:t>DEEWR</w:t>
      </w:r>
      <w:proofErr w:type="spellEnd"/>
      <w:r w:rsidR="00771B21" w:rsidRPr="001F2D7B">
        <w:rPr>
          <w:shd w:val="clear" w:color="auto" w:fill="FFFFFF" w:themeFill="background1"/>
        </w:rPr>
        <w:t xml:space="preserve"> unpublished)</w:t>
      </w:r>
      <w:r w:rsidRPr="001F2D7B">
        <w:rPr>
          <w:shd w:val="clear" w:color="auto" w:fill="FFFFFF" w:themeFill="background1"/>
        </w:rPr>
        <w:t>.</w:t>
      </w:r>
      <w:r w:rsidRPr="001F2D7B">
        <w:t xml:space="preserve"> </w:t>
      </w:r>
      <w:r w:rsidR="00735D75" w:rsidRPr="001F2D7B">
        <w:t>In 201</w:t>
      </w:r>
      <w:r w:rsidR="00300EDA" w:rsidRPr="001F2D7B">
        <w:t>2</w:t>
      </w:r>
      <w:r w:rsidR="00407C24" w:rsidRPr="001F2D7B">
        <w:t>-13</w:t>
      </w:r>
      <w:r w:rsidR="0027412E" w:rsidRPr="001F2D7B">
        <w:t xml:space="preserve">, </w:t>
      </w:r>
      <w:r w:rsidR="00E45D97" w:rsidRPr="001F2D7B">
        <w:t>1</w:t>
      </w:r>
      <w:r w:rsidR="00407C24" w:rsidRPr="001F2D7B">
        <w:t>22</w:t>
      </w:r>
      <w:r w:rsidRPr="001F2D7B">
        <w:t> </w:t>
      </w:r>
      <w:r w:rsidR="00407C24" w:rsidRPr="001F2D7B">
        <w:t>329</w:t>
      </w:r>
      <w:r w:rsidRPr="001F2D7B">
        <w:t xml:space="preserve"> children</w:t>
      </w:r>
      <w:r w:rsidR="00735D75" w:rsidRPr="001F2D7B">
        <w:t xml:space="preserve"> </w:t>
      </w:r>
      <w:r w:rsidR="00407C24" w:rsidRPr="001F2D7B">
        <w:t xml:space="preserve">aged 12 years or younger </w:t>
      </w:r>
      <w:r w:rsidRPr="001F2D7B">
        <w:t>attended State and Territory funded and/or provided child care services</w:t>
      </w:r>
      <w:r w:rsidRPr="001F2D7B" w:rsidDel="00CD3915">
        <w:t xml:space="preserve"> </w:t>
      </w:r>
      <w:r w:rsidRPr="001F2D7B">
        <w:t>(</w:t>
      </w:r>
      <w:r w:rsidR="001A27C6" w:rsidRPr="001F2D7B">
        <w:t xml:space="preserve">table </w:t>
      </w:r>
      <w:r w:rsidR="00407C24" w:rsidRPr="001F2D7B">
        <w:t>3A.1</w:t>
      </w:r>
      <w:r w:rsidR="005A354B" w:rsidRPr="001F2D7B">
        <w:t>0</w:t>
      </w:r>
      <w:r w:rsidRPr="001F2D7B">
        <w:t>).</w:t>
      </w:r>
      <w:r w:rsidR="00407C24" w:rsidRPr="001F2D7B">
        <w:t xml:space="preserve"> </w:t>
      </w:r>
      <w:r w:rsidR="005A354B" w:rsidRPr="001F2D7B">
        <w:t>In 2012, 53 972 children aged 3 </w:t>
      </w:r>
      <w:r w:rsidR="00444CDC" w:rsidRPr="001F2D7B">
        <w:t>years were enrolled in a preschool program. The</w:t>
      </w:r>
      <w:r w:rsidR="005A354B" w:rsidRPr="001F2D7B">
        <w:t>re were 220 040 children aged 4 </w:t>
      </w:r>
      <w:r w:rsidR="00444CDC" w:rsidRPr="001F2D7B">
        <w:t xml:space="preserve">years and 45 996 children aged 5 years enrolled in a </w:t>
      </w:r>
      <w:r w:rsidR="005A354B" w:rsidRPr="001F2D7B">
        <w:t>preschool program. Overall, 255 </w:t>
      </w:r>
      <w:r w:rsidR="00444CDC" w:rsidRPr="001F2D7B">
        <w:t>143 children were enrolled in a preschool program in the year before full time schooling (excluding enrolled children aged 5 years who were also enrolled in the previous year as a 4 year old) (table 3A.1</w:t>
      </w:r>
      <w:r w:rsidR="005A354B" w:rsidRPr="001F2D7B">
        <w:t>6</w:t>
      </w:r>
      <w:r w:rsidR="00444CDC" w:rsidRPr="001F2D7B">
        <w:t>).</w:t>
      </w:r>
    </w:p>
    <w:p w:rsidR="00A05C8C" w:rsidRPr="001F2D7B" w:rsidRDefault="00390B6F" w:rsidP="00E433C4">
      <w:pPr>
        <w:pStyle w:val="BodyText"/>
        <w:shd w:val="clear" w:color="auto" w:fill="FFFFFF" w:themeFill="background1"/>
        <w:rPr>
          <w:b/>
        </w:rPr>
      </w:pPr>
      <w:r w:rsidRPr="001F2D7B">
        <w:t>In 20</w:t>
      </w:r>
      <w:r w:rsidR="005B2F22" w:rsidRPr="001F2D7B">
        <w:t>1</w:t>
      </w:r>
      <w:r w:rsidR="00FB0DE4" w:rsidRPr="001F2D7B">
        <w:t>2</w:t>
      </w:r>
      <w:r w:rsidR="00A05C8C" w:rsidRPr="001F2D7B">
        <w:t>, there were 3.</w:t>
      </w:r>
      <w:r w:rsidR="00FB0DE4" w:rsidRPr="001F2D7B">
        <w:t>6</w:t>
      </w:r>
      <w:r w:rsidR="00A05C8C" w:rsidRPr="001F2D7B">
        <w:t xml:space="preserve"> million full time school students and </w:t>
      </w:r>
      <w:r w:rsidR="00B37A42" w:rsidRPr="001F2D7B">
        <w:t>22</w:t>
      </w:r>
      <w:r w:rsidR="00A05C8C" w:rsidRPr="001F2D7B">
        <w:t> </w:t>
      </w:r>
      <w:r w:rsidR="00FB0DE4" w:rsidRPr="001F2D7B">
        <w:t>921</w:t>
      </w:r>
      <w:r w:rsidR="00A05C8C" w:rsidRPr="001F2D7B">
        <w:t xml:space="preserve"> part time students attending 9</w:t>
      </w:r>
      <w:r w:rsidR="005B2F22" w:rsidRPr="001F2D7B">
        <w:t>4</w:t>
      </w:r>
      <w:r w:rsidR="00FB0DE4" w:rsidRPr="001F2D7B">
        <w:t>27</w:t>
      </w:r>
      <w:r w:rsidR="00A05C8C" w:rsidRPr="001F2D7B">
        <w:t xml:space="preserve"> schools in Australia, </w:t>
      </w:r>
      <w:r w:rsidR="0027412E" w:rsidRPr="001F2D7B">
        <w:t>compris</w:t>
      </w:r>
      <w:r w:rsidR="00A05C8C" w:rsidRPr="001F2D7B">
        <w:t>ing 2.3 million students (full time and part time) attending 6</w:t>
      </w:r>
      <w:r w:rsidR="00FB0DE4" w:rsidRPr="001F2D7B">
        <w:t>697</w:t>
      </w:r>
      <w:r w:rsidR="00A05C8C" w:rsidRPr="001F2D7B">
        <w:t xml:space="preserve"> government schools</w:t>
      </w:r>
      <w:r w:rsidR="00EF1C05" w:rsidRPr="001F2D7B">
        <w:t xml:space="preserve"> and 1.</w:t>
      </w:r>
      <w:r w:rsidR="00C739A9" w:rsidRPr="001F2D7B">
        <w:t>2</w:t>
      </w:r>
      <w:r w:rsidR="008D13AC" w:rsidRPr="001F2D7B">
        <w:t xml:space="preserve"> million </w:t>
      </w:r>
      <w:r w:rsidR="00863E5C" w:rsidRPr="001F2D7B">
        <w:t xml:space="preserve">students </w:t>
      </w:r>
      <w:r w:rsidR="00BD4EDA" w:rsidRPr="001F2D7B">
        <w:t xml:space="preserve">(full time and part time) </w:t>
      </w:r>
      <w:r w:rsidR="008D13AC" w:rsidRPr="001F2D7B">
        <w:t>attending 27</w:t>
      </w:r>
      <w:r w:rsidR="00EA2685" w:rsidRPr="001F2D7B">
        <w:t>30</w:t>
      </w:r>
      <w:r w:rsidR="00A05C8C" w:rsidRPr="001F2D7B">
        <w:t xml:space="preserve"> </w:t>
      </w:r>
      <w:r w:rsidR="00EF1C05" w:rsidRPr="001F2D7B">
        <w:t>non-</w:t>
      </w:r>
      <w:r w:rsidR="00BD4EDA" w:rsidRPr="001F2D7B">
        <w:t>government schools (tables </w:t>
      </w:r>
      <w:r w:rsidR="00ED4024" w:rsidRPr="001F2D7B">
        <w:t>4A.1–</w:t>
      </w:r>
      <w:r w:rsidR="00A05C8C" w:rsidRPr="001F2D7B">
        <w:t>3).</w:t>
      </w:r>
    </w:p>
    <w:p w:rsidR="00A05C8C" w:rsidRDefault="00F0027F" w:rsidP="00E433C4">
      <w:pPr>
        <w:pStyle w:val="BodyText"/>
        <w:shd w:val="clear" w:color="auto" w:fill="FFFFFF" w:themeFill="background1"/>
      </w:pPr>
      <w:r w:rsidRPr="001F2D7B">
        <w:t>Of the approximately 1.9 million VET students who were reported as participating in VET programs in 2012, 1.5 million students (79.6 per cent) were government funded (</w:t>
      </w:r>
      <w:proofErr w:type="spellStart"/>
      <w:r w:rsidRPr="001F2D7B">
        <w:t>NCVER</w:t>
      </w:r>
      <w:proofErr w:type="spellEnd"/>
      <w:r w:rsidRPr="001F2D7B">
        <w:t xml:space="preserve"> unpublished). The remaining 395 900 students participated on a fee</w:t>
      </w:r>
      <w:r w:rsidRPr="001F2D7B">
        <w:noBreakHyphen/>
        <w:t>for</w:t>
      </w:r>
      <w:r w:rsidRPr="001F2D7B">
        <w:noBreakHyphen/>
        <w:t xml:space="preserve">service basis as domestic students (18.0 per cent of all VET students) or were international students (1.6 per cent of all VET students). </w:t>
      </w:r>
      <w:r w:rsidR="0079648A" w:rsidRPr="001F2D7B">
        <w:t>In 201</w:t>
      </w:r>
      <w:r w:rsidR="00763318" w:rsidRPr="001F2D7B">
        <w:t>2</w:t>
      </w:r>
      <w:r w:rsidR="005A0275" w:rsidRPr="001F2D7B">
        <w:t>,</w:t>
      </w:r>
      <w:r w:rsidR="0079648A" w:rsidRPr="001F2D7B">
        <w:t xml:space="preserve"> g</w:t>
      </w:r>
      <w:r w:rsidR="00A05C8C" w:rsidRPr="001F2D7B">
        <w:t>overnment f</w:t>
      </w:r>
      <w:r w:rsidR="00A97DB1" w:rsidRPr="001F2D7B">
        <w:t xml:space="preserve">unded students completed over </w:t>
      </w:r>
      <w:r w:rsidR="008E65DB" w:rsidRPr="001F2D7B">
        <w:t>4</w:t>
      </w:r>
      <w:r w:rsidR="00DA0A2E" w:rsidRPr="001F2D7B">
        <w:t>7</w:t>
      </w:r>
      <w:r w:rsidR="0046598A" w:rsidRPr="001F2D7B">
        <w:t>8</w:t>
      </w:r>
      <w:r w:rsidR="008E65DB" w:rsidRPr="001F2D7B">
        <w:t>.</w:t>
      </w:r>
      <w:r w:rsidR="0046598A" w:rsidRPr="001F2D7B">
        <w:t>7</w:t>
      </w:r>
      <w:r w:rsidR="00A05C8C" w:rsidRPr="001F2D7B">
        <w:t> mill</w:t>
      </w:r>
      <w:r w:rsidR="00A97DB1" w:rsidRPr="001F2D7B">
        <w:t>ion annual hours</w:t>
      </w:r>
      <w:r w:rsidR="00DA0A2E" w:rsidRPr="001F2D7B">
        <w:t xml:space="preserve"> </w:t>
      </w:r>
      <w:r w:rsidR="00A97DB1" w:rsidRPr="001F2D7B">
        <w:t xml:space="preserve">at </w:t>
      </w:r>
      <w:r w:rsidR="00763318" w:rsidRPr="001F2D7B">
        <w:t>22 486</w:t>
      </w:r>
      <w:r w:rsidR="00A05C8C" w:rsidRPr="001F2D7B">
        <w:t xml:space="preserve"> </w:t>
      </w:r>
      <w:r w:rsidR="00763318" w:rsidRPr="001F2D7B">
        <w:t>r</w:t>
      </w:r>
      <w:r w:rsidR="00DA0A2E" w:rsidRPr="001F2D7B">
        <w:t>egistered training organisation</w:t>
      </w:r>
      <w:r w:rsidR="00763318" w:rsidRPr="001F2D7B">
        <w:t xml:space="preserve"> delivery </w:t>
      </w:r>
      <w:r w:rsidR="00A05C8C" w:rsidRPr="001F2D7B">
        <w:t xml:space="preserve">locations across Australia (that is, </w:t>
      </w:r>
      <w:r w:rsidR="000C053D" w:rsidRPr="001F2D7B">
        <w:t>TAFE, government funded locations and the locations of all other registered training providers, including private providers that receive government funding for VET delivery</w:t>
      </w:r>
      <w:r w:rsidR="00C739A9" w:rsidRPr="001F2D7B">
        <w:t>)</w:t>
      </w:r>
      <w:r w:rsidR="000C053D" w:rsidRPr="001F2D7B">
        <w:t xml:space="preserve">. </w:t>
      </w:r>
      <w:r w:rsidR="000A7208" w:rsidRPr="001F2D7B">
        <w:t xml:space="preserve">In 2012, there were 2110 registered training organisations receiving government funding, which includes training activity funded under the </w:t>
      </w:r>
      <w:proofErr w:type="spellStart"/>
      <w:r w:rsidR="000A7208" w:rsidRPr="001F2D7B">
        <w:t>NASWD</w:t>
      </w:r>
      <w:proofErr w:type="spellEnd"/>
      <w:r w:rsidR="000A7208" w:rsidRPr="001F2D7B">
        <w:t xml:space="preserve">. These services are in scope for this </w:t>
      </w:r>
      <w:r w:rsidR="00E336BA" w:rsidRPr="001F2D7B">
        <w:t>R</w:t>
      </w:r>
      <w:r w:rsidR="000A7208" w:rsidRPr="001F2D7B">
        <w:t xml:space="preserve">eport (tables 5A.3-4). Other </w:t>
      </w:r>
      <w:proofErr w:type="spellStart"/>
      <w:r w:rsidR="000A7208" w:rsidRPr="001F2D7B">
        <w:t>RTOs</w:t>
      </w:r>
      <w:proofErr w:type="spellEnd"/>
      <w:r w:rsidR="000A7208" w:rsidRPr="001F2D7B">
        <w:t xml:space="preserve"> provide services that are beyond the scope of the national collection and this </w:t>
      </w:r>
      <w:r w:rsidR="00E336BA" w:rsidRPr="001F2D7B">
        <w:t>R</w:t>
      </w:r>
      <w:r w:rsidR="000A7208" w:rsidRPr="001F2D7B">
        <w:t xml:space="preserve">eport. In total, in 2013, there were more than 4700 </w:t>
      </w:r>
      <w:proofErr w:type="spellStart"/>
      <w:r w:rsidR="000A7208" w:rsidRPr="001F2D7B">
        <w:t>RTOs</w:t>
      </w:r>
      <w:proofErr w:type="spellEnd"/>
      <w:r w:rsidR="000A7208" w:rsidRPr="001F2D7B">
        <w:t xml:space="preserve"> in Australia</w:t>
      </w:r>
      <w:r w:rsidR="00763318" w:rsidRPr="001F2D7B">
        <w:t xml:space="preserve"> </w:t>
      </w:r>
      <w:r w:rsidR="00A05C8C" w:rsidRPr="001F2D7B">
        <w:t>(</w:t>
      </w:r>
      <w:proofErr w:type="spellStart"/>
      <w:r w:rsidR="00E340A8" w:rsidRPr="00277022">
        <w:t>www.training.gov.au</w:t>
      </w:r>
      <w:proofErr w:type="spellEnd"/>
      <w:r w:rsidR="00A05C8C" w:rsidRPr="001F2D7B">
        <w:t>).</w:t>
      </w:r>
    </w:p>
    <w:p w:rsidR="00A05C8C" w:rsidRPr="00063DF0" w:rsidRDefault="009B2F99" w:rsidP="00A05C8C">
      <w:pPr>
        <w:pStyle w:val="BodyText"/>
      </w:pPr>
      <w:r w:rsidRPr="00063DF0">
        <w:lastRenderedPageBreak/>
        <w:t>There were 1.</w:t>
      </w:r>
      <w:r w:rsidR="00815F68">
        <w:t>3</w:t>
      </w:r>
      <w:r w:rsidRPr="00063DF0">
        <w:t xml:space="preserve"> million students enrolled at all higher education providers in 20</w:t>
      </w:r>
      <w:r w:rsidR="005F112B" w:rsidRPr="00063DF0">
        <w:t>1</w:t>
      </w:r>
      <w:r w:rsidR="00815F68">
        <w:t>2</w:t>
      </w:r>
      <w:r w:rsidRPr="00063DF0">
        <w:t>.</w:t>
      </w:r>
      <w:r w:rsidR="005F112B" w:rsidRPr="00063DF0">
        <w:t xml:space="preserve"> This comprised </w:t>
      </w:r>
      <w:r w:rsidR="00815F68">
        <w:t>934 110</w:t>
      </w:r>
      <w:r w:rsidRPr="00063DF0">
        <w:t xml:space="preserve"> domestic studen</w:t>
      </w:r>
      <w:r w:rsidR="005F112B" w:rsidRPr="00063DF0">
        <w:t xml:space="preserve">ts and </w:t>
      </w:r>
      <w:r w:rsidR="00815F68">
        <w:t>323 612</w:t>
      </w:r>
      <w:r w:rsidRPr="00063DF0">
        <w:t xml:space="preserve"> </w:t>
      </w:r>
      <w:r w:rsidR="00C739A9" w:rsidRPr="00063DF0">
        <w:t xml:space="preserve">international </w:t>
      </w:r>
      <w:r w:rsidRPr="00063DF0">
        <w:t xml:space="preserve">student enrolments. </w:t>
      </w:r>
      <w:r w:rsidR="00320D5A" w:rsidRPr="00063DF0">
        <w:t>T</w:t>
      </w:r>
      <w:r w:rsidRPr="00063DF0">
        <w:t>he majority of students</w:t>
      </w:r>
      <w:r w:rsidR="00C739A9" w:rsidRPr="00063DF0">
        <w:t xml:space="preserve"> (</w:t>
      </w:r>
      <w:r w:rsidR="00815F68">
        <w:t>1 171 737</w:t>
      </w:r>
      <w:r w:rsidR="00320D5A" w:rsidRPr="00063DF0">
        <w:t xml:space="preserve"> students</w:t>
      </w:r>
      <w:r w:rsidR="00C739A9" w:rsidRPr="00063DF0">
        <w:t>)</w:t>
      </w:r>
      <w:r w:rsidRPr="00063DF0">
        <w:t xml:space="preserve"> were enrolled at public universities</w:t>
      </w:r>
      <w:r w:rsidR="002F5C97" w:rsidRPr="00063DF0">
        <w:t>,</w:t>
      </w:r>
      <w:r w:rsidRPr="00063DF0">
        <w:t xml:space="preserve"> while </w:t>
      </w:r>
      <w:r w:rsidR="00815F68">
        <w:t>85 985</w:t>
      </w:r>
      <w:r w:rsidRPr="00063DF0">
        <w:t xml:space="preserve"> students</w:t>
      </w:r>
      <w:r w:rsidR="002F5C97" w:rsidRPr="00063DF0">
        <w:t xml:space="preserve"> </w:t>
      </w:r>
      <w:r w:rsidR="0027412E">
        <w:t xml:space="preserve">were </w:t>
      </w:r>
      <w:r w:rsidR="002F5C97" w:rsidRPr="00063DF0">
        <w:t>privately enrolled</w:t>
      </w:r>
      <w:r w:rsidR="00320D5A" w:rsidRPr="00063DF0">
        <w:t>.</w:t>
      </w:r>
      <w:r w:rsidR="00ED4024" w:rsidRPr="00063DF0">
        <w:t xml:space="preserve"> </w:t>
      </w:r>
      <w:r w:rsidR="00C739A9" w:rsidRPr="00063DF0">
        <w:t>S</w:t>
      </w:r>
      <w:r w:rsidR="00A05C8C" w:rsidRPr="00063DF0">
        <w:t xml:space="preserve">tudents undertook a variety of courses, ranging from diplomas to doctorates across a range of public and private providers. The most common course was a bachelor degree, which accounted for around two thirds of all students. The majority of students undertook their course on campus on a full time </w:t>
      </w:r>
      <w:r w:rsidR="00A05C8C" w:rsidRPr="00815F68">
        <w:t xml:space="preserve">basis </w:t>
      </w:r>
      <w:r w:rsidR="00954DC3" w:rsidRPr="00815F68">
        <w:t>(</w:t>
      </w:r>
      <w:proofErr w:type="spellStart"/>
      <w:r w:rsidR="00954DC3" w:rsidRPr="00815F68">
        <w:t>D</w:t>
      </w:r>
      <w:r w:rsidR="00063DF0" w:rsidRPr="00815F68">
        <w:t>IISRTE</w:t>
      </w:r>
      <w:proofErr w:type="spellEnd"/>
      <w:r w:rsidR="00063DF0" w:rsidRPr="00815F68">
        <w:t xml:space="preserve"> 201</w:t>
      </w:r>
      <w:r w:rsidR="00815F68" w:rsidRPr="00815F68">
        <w:t>3</w:t>
      </w:r>
      <w:r w:rsidR="00A05C8C" w:rsidRPr="00063DF0">
        <w:t>).</w:t>
      </w:r>
    </w:p>
    <w:p w:rsidR="00EF1C05" w:rsidRDefault="00EF1C05" w:rsidP="00EF1C05">
      <w:pPr>
        <w:pStyle w:val="BodyText"/>
      </w:pPr>
      <w:r w:rsidRPr="0091196A">
        <w:t xml:space="preserve">Overall for the VET and higher education sector </w:t>
      </w:r>
      <w:r w:rsidR="00710C8A" w:rsidRPr="0091196A">
        <w:t>i</w:t>
      </w:r>
      <w:r w:rsidRPr="0091196A">
        <w:t>n 20</w:t>
      </w:r>
      <w:r w:rsidR="00300EDA" w:rsidRPr="0091196A">
        <w:t>1</w:t>
      </w:r>
      <w:r w:rsidR="0091196A" w:rsidRPr="0091196A">
        <w:t>0</w:t>
      </w:r>
      <w:r w:rsidRPr="0091196A">
        <w:t xml:space="preserve">, </w:t>
      </w:r>
      <w:r w:rsidR="0027412E" w:rsidRPr="0091196A">
        <w:t xml:space="preserve">1.5 million </w:t>
      </w:r>
      <w:r w:rsidRPr="0091196A">
        <w:t>full</w:t>
      </w:r>
      <w:r w:rsidR="002F5C97" w:rsidRPr="0091196A">
        <w:t xml:space="preserve"> </w:t>
      </w:r>
      <w:r w:rsidRPr="0091196A">
        <w:t xml:space="preserve">time </w:t>
      </w:r>
      <w:r w:rsidR="0027412E">
        <w:t xml:space="preserve">equivalent </w:t>
      </w:r>
      <w:r w:rsidRPr="0091196A">
        <w:t xml:space="preserve">students </w:t>
      </w:r>
      <w:r w:rsidR="0027412E">
        <w:t xml:space="preserve">were engaged </w:t>
      </w:r>
      <w:r w:rsidRPr="0091196A">
        <w:t xml:space="preserve">in tertiary education and training. This comprised </w:t>
      </w:r>
      <w:r w:rsidR="002F5C97" w:rsidRPr="0091196A">
        <w:t>6</w:t>
      </w:r>
      <w:r w:rsidR="0091196A" w:rsidRPr="0091196A">
        <w:t>55 8</w:t>
      </w:r>
      <w:r w:rsidR="002F5C97" w:rsidRPr="0091196A">
        <w:t xml:space="preserve">00 full </w:t>
      </w:r>
      <w:r w:rsidRPr="0091196A">
        <w:t xml:space="preserve">time </w:t>
      </w:r>
      <w:r w:rsidR="0027412E" w:rsidRPr="0091196A">
        <w:t xml:space="preserve">equivalent </w:t>
      </w:r>
      <w:r w:rsidRPr="0091196A">
        <w:t xml:space="preserve">students enrolled in </w:t>
      </w:r>
      <w:r w:rsidR="00DF15D9" w:rsidRPr="0091196A">
        <w:t>VET</w:t>
      </w:r>
      <w:r w:rsidRPr="0091196A">
        <w:t xml:space="preserve"> and </w:t>
      </w:r>
      <w:r w:rsidR="0091196A" w:rsidRPr="0091196A">
        <w:t>861 500</w:t>
      </w:r>
      <w:r w:rsidR="00320D5A" w:rsidRPr="0091196A">
        <w:t xml:space="preserve"> enrolled in higher educa</w:t>
      </w:r>
      <w:r w:rsidR="00320D5A" w:rsidRPr="00F0027F">
        <w:t>tion</w:t>
      </w:r>
      <w:r w:rsidRPr="00F0027F">
        <w:t xml:space="preserve"> </w:t>
      </w:r>
      <w:r w:rsidR="005E011B" w:rsidRPr="00F0027F">
        <w:t>(</w:t>
      </w:r>
      <w:proofErr w:type="spellStart"/>
      <w:r w:rsidR="005E011B" w:rsidRPr="00F0027F">
        <w:t>NCVER</w:t>
      </w:r>
      <w:proofErr w:type="spellEnd"/>
      <w:r w:rsidR="005E011B" w:rsidRPr="00F0027F">
        <w:t xml:space="preserve"> 201</w:t>
      </w:r>
      <w:r w:rsidR="00A8441C" w:rsidRPr="00F0027F">
        <w:t>2</w:t>
      </w:r>
      <w:r w:rsidR="00710C8A" w:rsidRPr="00F0027F">
        <w:t>)</w:t>
      </w:r>
      <w:r w:rsidR="00320D5A" w:rsidRPr="00F0027F">
        <w:t>.</w:t>
      </w:r>
    </w:p>
    <w:p w:rsidR="00EA72E2" w:rsidRPr="00EF1C05" w:rsidRDefault="00EA72E2" w:rsidP="00EF1C05">
      <w:pPr>
        <w:pStyle w:val="BodyText"/>
      </w:pPr>
      <w:r>
        <w:t xml:space="preserve">The performance indicator ‘participation’ </w:t>
      </w:r>
      <w:r w:rsidR="0027412E">
        <w:t xml:space="preserve">in this sector overview </w:t>
      </w:r>
      <w:r>
        <w:t xml:space="preserve">provides </w:t>
      </w:r>
      <w:r w:rsidR="0027412E">
        <w:t>further information</w:t>
      </w:r>
      <w:r>
        <w:t xml:space="preserve"> relating to the uptake of education and training in Australia.</w:t>
      </w:r>
    </w:p>
    <w:p w:rsidR="008B55A6" w:rsidRDefault="003B20EA" w:rsidP="000D3385">
      <w:pPr>
        <w:pStyle w:val="Heading5"/>
      </w:pPr>
      <w:r>
        <w:t>Government e</w:t>
      </w:r>
      <w:r w:rsidR="008B55A6">
        <w:t xml:space="preserve">xpenditure </w:t>
      </w:r>
      <w:r w:rsidR="009B1E0C">
        <w:t xml:space="preserve">on </w:t>
      </w:r>
      <w:proofErr w:type="spellStart"/>
      <w:r w:rsidR="00F048B0">
        <w:t>CCET</w:t>
      </w:r>
      <w:proofErr w:type="spellEnd"/>
      <w:r w:rsidR="009B1E0C">
        <w:t xml:space="preserve"> </w:t>
      </w:r>
    </w:p>
    <w:p w:rsidR="00A05C8C" w:rsidRPr="00320D5A" w:rsidRDefault="00A05C8C" w:rsidP="00A05C8C">
      <w:pPr>
        <w:pStyle w:val="BodyText"/>
        <w:rPr>
          <w:b/>
        </w:rPr>
      </w:pPr>
      <w:r>
        <w:t xml:space="preserve">The </w:t>
      </w:r>
      <w:r w:rsidRPr="00CD33DD">
        <w:t>Australian</w:t>
      </w:r>
      <w:r>
        <w:t>, S</w:t>
      </w:r>
      <w:r w:rsidRPr="00CD33DD">
        <w:t xml:space="preserve">tate and </w:t>
      </w:r>
      <w:r>
        <w:t>T</w:t>
      </w:r>
      <w:r w:rsidRPr="00CD33DD">
        <w:t>erritory governments fund government and non</w:t>
      </w:r>
      <w:r>
        <w:noBreakHyphen/>
      </w:r>
      <w:r w:rsidRPr="00CD33DD">
        <w:t>government providers to deliver child care, preschool</w:t>
      </w:r>
      <w:r>
        <w:t>, school education and VET</w:t>
      </w:r>
      <w:r w:rsidRPr="00CD33DD">
        <w:t xml:space="preserve"> services. Government providers include preschools, government schools (primary and secondary), TAFE</w:t>
      </w:r>
      <w:r>
        <w:t xml:space="preserve"> institutes, and universities. </w:t>
      </w:r>
      <w:r w:rsidRPr="00CD33DD">
        <w:t>Non-government providers</w:t>
      </w:r>
      <w:r w:rsidR="00ED4024">
        <w:t xml:space="preserve"> (some of which receive government funding</w:t>
      </w:r>
      <w:r w:rsidR="008C1CDB">
        <w:t xml:space="preserve"> as their majority funding source</w:t>
      </w:r>
      <w:r w:rsidR="00ED4024">
        <w:t>)</w:t>
      </w:r>
      <w:r w:rsidRPr="00CD33DD">
        <w:t xml:space="preserve"> include child care </w:t>
      </w:r>
      <w:r>
        <w:t>services</w:t>
      </w:r>
      <w:r w:rsidRPr="00CD33DD">
        <w:t>, privately operated preschools and schools</w:t>
      </w:r>
      <w:r>
        <w:t xml:space="preserve"> (primary and secondary)</w:t>
      </w:r>
      <w:r w:rsidRPr="00CD33DD">
        <w:t xml:space="preserve">, </w:t>
      </w:r>
      <w:r w:rsidR="00755BF9">
        <w:t xml:space="preserve">registered training organisations </w:t>
      </w:r>
      <w:r w:rsidRPr="00CD33DD">
        <w:t xml:space="preserve">in the VET sector and private </w:t>
      </w:r>
      <w:r>
        <w:t>higher education</w:t>
      </w:r>
      <w:r w:rsidRPr="00CD33DD">
        <w:t xml:space="preserve"> institutions.</w:t>
      </w:r>
    </w:p>
    <w:p w:rsidR="00A05C8C" w:rsidRPr="00C012B2" w:rsidRDefault="00A05C8C" w:rsidP="00A05C8C">
      <w:pPr>
        <w:pStyle w:val="BodyText"/>
      </w:pPr>
      <w:r w:rsidRPr="00680D69">
        <w:t>Government Finance Statistics (</w:t>
      </w:r>
      <w:proofErr w:type="spellStart"/>
      <w:r w:rsidRPr="00680D69">
        <w:t>GFS</w:t>
      </w:r>
      <w:proofErr w:type="spellEnd"/>
      <w:r w:rsidRPr="00680D69">
        <w:t xml:space="preserve">) data from the Australian Bureau of Statistics (ABS) are used in this section for all </w:t>
      </w:r>
      <w:proofErr w:type="spellStart"/>
      <w:r w:rsidR="00F048B0">
        <w:t>CCET</w:t>
      </w:r>
      <w:proofErr w:type="spellEnd"/>
      <w:r w:rsidRPr="00680D69">
        <w:t xml:space="preserve"> services with the exception of child care services (</w:t>
      </w:r>
      <w:proofErr w:type="spellStart"/>
      <w:r w:rsidRPr="00680D69">
        <w:t>GFS</w:t>
      </w:r>
      <w:proofErr w:type="spellEnd"/>
      <w:r w:rsidRPr="00680D69">
        <w:t xml:space="preserve"> </w:t>
      </w:r>
      <w:r w:rsidRPr="00C012B2">
        <w:t xml:space="preserve">data are not separately available for child care). Child care expenditure data are sourced from the </w:t>
      </w:r>
      <w:r w:rsidR="001E4FD1">
        <w:t>E</w:t>
      </w:r>
      <w:r w:rsidR="00A77F79" w:rsidRPr="00C012B2">
        <w:t>arly childhood education and care</w:t>
      </w:r>
      <w:r w:rsidRPr="00C012B2">
        <w:t xml:space="preserve"> chapter in this Report, and are not directly comparable with </w:t>
      </w:r>
      <w:proofErr w:type="spellStart"/>
      <w:r w:rsidRPr="00C012B2">
        <w:t>GFS</w:t>
      </w:r>
      <w:proofErr w:type="spellEnd"/>
      <w:r w:rsidRPr="00C012B2">
        <w:t xml:space="preserve"> data.</w:t>
      </w:r>
    </w:p>
    <w:p w:rsidR="00DF00D6" w:rsidRPr="00EB503D" w:rsidRDefault="00A05C8C" w:rsidP="005B1170">
      <w:pPr>
        <w:pStyle w:val="BodyText"/>
      </w:pPr>
      <w:r w:rsidRPr="00C012B2">
        <w:t>In 20</w:t>
      </w:r>
      <w:r w:rsidR="00F53980" w:rsidRPr="00C012B2">
        <w:t>1</w:t>
      </w:r>
      <w:r w:rsidR="001F04A4">
        <w:t>1</w:t>
      </w:r>
      <w:r w:rsidR="00F53980" w:rsidRPr="00C012B2">
        <w:t>-1</w:t>
      </w:r>
      <w:r w:rsidR="001F04A4">
        <w:t>2</w:t>
      </w:r>
      <w:r w:rsidRPr="00C012B2">
        <w:t>, tot</w:t>
      </w:r>
      <w:r w:rsidR="008C1CDB" w:rsidRPr="00C012B2">
        <w:t>al government operating expenditure</w:t>
      </w:r>
      <w:r w:rsidRPr="00C012B2">
        <w:t xml:space="preserve"> net of transfers (</w:t>
      </w:r>
      <w:r w:rsidR="0027412E">
        <w:t>payments between</w:t>
      </w:r>
      <w:r w:rsidRPr="00C012B2">
        <w:t xml:space="preserve"> different levels of government) for preschool, school education, VET and </w:t>
      </w:r>
      <w:r w:rsidRPr="00C17CED">
        <w:t>higher education was $</w:t>
      </w:r>
      <w:r w:rsidR="00E45D97" w:rsidRPr="00C17CED">
        <w:t>75.</w:t>
      </w:r>
      <w:r w:rsidR="001F04A4" w:rsidRPr="00C17CED">
        <w:t>9</w:t>
      </w:r>
      <w:r w:rsidR="002B11EC" w:rsidRPr="00C17CED">
        <w:t> billion for all governments</w:t>
      </w:r>
      <w:r w:rsidR="00DF00D6" w:rsidRPr="00C17CED">
        <w:t xml:space="preserve">. This was equivalent to </w:t>
      </w:r>
      <w:r w:rsidR="004872E8" w:rsidRPr="00C17CED">
        <w:t>5</w:t>
      </w:r>
      <w:r w:rsidR="00E45D97" w:rsidRPr="00C17CED">
        <w:t>.</w:t>
      </w:r>
      <w:r w:rsidR="00CE6EFA">
        <w:t>2</w:t>
      </w:r>
      <w:r w:rsidR="0079648A" w:rsidRPr="00C17CED">
        <w:t> </w:t>
      </w:r>
      <w:r w:rsidR="00DF00D6" w:rsidRPr="00C17CED">
        <w:t>per</w:t>
      </w:r>
      <w:r w:rsidR="00DF00D6" w:rsidRPr="00C012B2">
        <w:t xml:space="preserve"> cent of GDP in tha</w:t>
      </w:r>
      <w:r w:rsidR="00356B03" w:rsidRPr="00C012B2">
        <w:t>t year (figure B.1; table</w:t>
      </w:r>
      <w:r w:rsidR="00BD4EDA" w:rsidRPr="00C012B2">
        <w:t xml:space="preserve"> BA.</w:t>
      </w:r>
      <w:r w:rsidR="00DF00D6" w:rsidRPr="00C012B2">
        <w:t xml:space="preserve">2 and </w:t>
      </w:r>
      <w:r w:rsidR="00356B03" w:rsidRPr="00C012B2">
        <w:t>ABS 201</w:t>
      </w:r>
      <w:r w:rsidR="00CE6EFA">
        <w:t>3</w:t>
      </w:r>
      <w:r w:rsidR="00DF00D6" w:rsidRPr="00C012B2">
        <w:t>)</w:t>
      </w:r>
      <w:r w:rsidR="004872E8" w:rsidRPr="00C012B2">
        <w:t>.</w:t>
      </w:r>
    </w:p>
    <w:p w:rsidR="00A05C8C" w:rsidRDefault="0079648A" w:rsidP="005B1170">
      <w:pPr>
        <w:pStyle w:val="BodyText"/>
      </w:pPr>
      <w:r w:rsidRPr="00EB503D">
        <w:t>In 20</w:t>
      </w:r>
      <w:r w:rsidR="00F53980">
        <w:t>1</w:t>
      </w:r>
      <w:r w:rsidR="00C17CED">
        <w:t>1</w:t>
      </w:r>
      <w:r w:rsidRPr="00EB503D">
        <w:t>-1</w:t>
      </w:r>
      <w:r w:rsidR="00C17CED">
        <w:t>2,</w:t>
      </w:r>
      <w:r w:rsidRPr="00EB503D">
        <w:t xml:space="preserve"> t</w:t>
      </w:r>
      <w:r w:rsidR="00A05C8C" w:rsidRPr="00EB503D">
        <w:t xml:space="preserve">otal recurrent expenditure for child care services was </w:t>
      </w:r>
      <w:r w:rsidR="000A593E">
        <w:t>$</w:t>
      </w:r>
      <w:r w:rsidR="00A75209">
        <w:t>4.</w:t>
      </w:r>
      <w:r w:rsidR="000A593E">
        <w:t>9</w:t>
      </w:r>
      <w:r w:rsidR="00A05C8C" w:rsidRPr="00EB503D">
        <w:t> billion</w:t>
      </w:r>
      <w:r w:rsidR="00DF00D6" w:rsidRPr="00EB503D">
        <w:t xml:space="preserve">. </w:t>
      </w:r>
      <w:r w:rsidR="00356B03" w:rsidRPr="00EB503D">
        <w:t xml:space="preserve">This </w:t>
      </w:r>
      <w:r w:rsidR="00356B03" w:rsidRPr="004872E8">
        <w:t xml:space="preserve">was equivalent to </w:t>
      </w:r>
      <w:r w:rsidR="004872E8" w:rsidRPr="00A75209">
        <w:t>0.3</w:t>
      </w:r>
      <w:r w:rsidR="00DF00D6" w:rsidRPr="004872E8">
        <w:t xml:space="preserve"> per cent of GDP in that year</w:t>
      </w:r>
      <w:r w:rsidR="00A05C8C" w:rsidRPr="004872E8">
        <w:t xml:space="preserve"> (</w:t>
      </w:r>
      <w:r w:rsidR="004872E8">
        <w:t>t</w:t>
      </w:r>
      <w:r w:rsidR="002B11EC" w:rsidRPr="004872E8">
        <w:t>able BA.</w:t>
      </w:r>
      <w:r w:rsidR="00A05C8C" w:rsidRPr="004872E8">
        <w:t>1</w:t>
      </w:r>
      <w:r w:rsidR="00DF00D6" w:rsidRPr="004872E8">
        <w:t xml:space="preserve"> and</w:t>
      </w:r>
      <w:r w:rsidR="00356B03" w:rsidRPr="004872E8">
        <w:t xml:space="preserve"> ABS 201</w:t>
      </w:r>
      <w:r w:rsidR="00CE6EFA">
        <w:t>3</w:t>
      </w:r>
      <w:r w:rsidR="00A05C8C" w:rsidRPr="004872E8">
        <w:t>).</w:t>
      </w:r>
    </w:p>
    <w:p w:rsidR="00A05C8C" w:rsidRDefault="00A05C8C" w:rsidP="005B1170">
      <w:pPr>
        <w:pStyle w:val="BodyText"/>
      </w:pPr>
      <w:r w:rsidRPr="00C109BC">
        <w:lastRenderedPageBreak/>
        <w:t>In 20</w:t>
      </w:r>
      <w:r w:rsidR="00F53980">
        <w:t>1</w:t>
      </w:r>
      <w:r w:rsidR="00220D76">
        <w:t>1</w:t>
      </w:r>
      <w:r w:rsidR="008C1CDB">
        <w:noBreakHyphen/>
      </w:r>
      <w:r w:rsidR="008E66F3">
        <w:t>1</w:t>
      </w:r>
      <w:r w:rsidR="00220D76">
        <w:t>2</w:t>
      </w:r>
      <w:r w:rsidR="008C1CDB">
        <w:t>, operating expenditure</w:t>
      </w:r>
      <w:r w:rsidR="00FF503C">
        <w:t xml:space="preserve"> net of transfers</w:t>
      </w:r>
      <w:r w:rsidRPr="00C109BC">
        <w:t xml:space="preserve"> </w:t>
      </w:r>
      <w:r w:rsidR="00FF503C" w:rsidRPr="00C012B2">
        <w:t>(</w:t>
      </w:r>
      <w:r w:rsidR="00FF503C">
        <w:t>payments between</w:t>
      </w:r>
      <w:r w:rsidR="00FF503C" w:rsidRPr="00C012B2">
        <w:t xml:space="preserve"> different levels of government) </w:t>
      </w:r>
      <w:r w:rsidRPr="00C109BC">
        <w:t xml:space="preserve">for preschool, school education, VET and higher education was </w:t>
      </w:r>
      <w:r w:rsidRPr="00A75209">
        <w:t>$</w:t>
      </w:r>
      <w:r w:rsidR="00013A86">
        <w:t>4.6</w:t>
      </w:r>
      <w:r w:rsidRPr="00A75209">
        <w:t> billion for the Australian Government, $</w:t>
      </w:r>
      <w:r w:rsidR="00220D76">
        <w:t>50.</w:t>
      </w:r>
      <w:r w:rsidR="00013A86">
        <w:t>6</w:t>
      </w:r>
      <w:r w:rsidRPr="00A75209">
        <w:t> billion for State, Territory and local government and $</w:t>
      </w:r>
      <w:r w:rsidR="00220D76">
        <w:t>20.7</w:t>
      </w:r>
      <w:r w:rsidRPr="00C109BC">
        <w:t> billion for multijuri</w:t>
      </w:r>
      <w:r>
        <w:t>sdictional (</w:t>
      </w:r>
      <w:r w:rsidR="00FF503C">
        <w:t>specifically, the university sector</w:t>
      </w:r>
      <w:r>
        <w:t>) (figure</w:t>
      </w:r>
      <w:r w:rsidR="00FF503C">
        <w:t> </w:t>
      </w:r>
      <w:r w:rsidR="006876E2">
        <w:t>B.1</w:t>
      </w:r>
      <w:r w:rsidRPr="00C109BC">
        <w:t>).</w:t>
      </w:r>
    </w:p>
    <w:p w:rsidR="00A05C8C" w:rsidRPr="00A56FB8" w:rsidRDefault="00A05C8C" w:rsidP="00A05C8C">
      <w:pPr>
        <w:pStyle w:val="FigureTitle"/>
        <w:rPr>
          <w:rStyle w:val="NoteLabel"/>
        </w:rPr>
      </w:pPr>
      <w:r w:rsidRPr="004E72FF">
        <w:rPr>
          <w:b w:val="0"/>
        </w:rPr>
        <w:t xml:space="preserve">Figure </w:t>
      </w:r>
      <w:r w:rsidR="00891AAF">
        <w:rPr>
          <w:b w:val="0"/>
        </w:rPr>
        <w:t>B.</w:t>
      </w:r>
      <w:r w:rsidR="005C0C17">
        <w:rPr>
          <w:b w:val="0"/>
          <w:noProof/>
        </w:rPr>
        <w:t>1</w:t>
      </w:r>
      <w:r w:rsidRPr="00CD33DD">
        <w:tab/>
        <w:t xml:space="preserve">Australian, State and Territory (including local) government real operating expenses, net of transfers for </w:t>
      </w:r>
      <w:r>
        <w:t xml:space="preserve">education and training </w:t>
      </w:r>
      <w:r w:rsidRPr="00CD33DD">
        <w:t>(</w:t>
      </w:r>
      <w:r w:rsidRPr="003765E9">
        <w:t>20</w:t>
      </w:r>
      <w:r w:rsidR="00227FD4">
        <w:t>1</w:t>
      </w:r>
      <w:r w:rsidR="00F42D4A">
        <w:t>1</w:t>
      </w:r>
      <w:r>
        <w:noBreakHyphen/>
      </w:r>
      <w:r w:rsidR="008E66F3">
        <w:t>1</w:t>
      </w:r>
      <w:r w:rsidR="00F42D4A">
        <w:t>2</w:t>
      </w:r>
      <w:r>
        <w:t> </w:t>
      </w:r>
      <w:r w:rsidRPr="00CD33DD">
        <w:t>dollars)</w:t>
      </w:r>
      <w:r w:rsidRPr="00CD33DD">
        <w:rPr>
          <w:rStyle w:val="NoteLabel"/>
          <w:b/>
        </w:rPr>
        <w:t>a</w:t>
      </w:r>
      <w:r>
        <w:rPr>
          <w:rStyle w:val="NoteLabel"/>
          <w:b/>
        </w:rPr>
        <w:t>, b, c</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A05C8C" w:rsidRPr="00CD33DD" w:rsidTr="00F42D4A">
        <w:tc>
          <w:tcPr>
            <w:tcW w:w="8777" w:type="dxa"/>
          </w:tcPr>
          <w:p w:rsidR="00A05C8C" w:rsidRPr="00CD33DD" w:rsidRDefault="00F42D4A" w:rsidP="00B70245">
            <w:pPr>
              <w:pStyle w:val="Figure"/>
            </w:pPr>
            <w:r>
              <w:rPr>
                <w:noProof/>
              </w:rPr>
              <w:drawing>
                <wp:inline distT="0" distB="0" distL="0" distR="0" wp14:anchorId="0EC3AE1E" wp14:editId="03FB5AF7">
                  <wp:extent cx="5419050" cy="2700000"/>
                  <wp:effectExtent l="0" t="0" r="0" b="5715"/>
                  <wp:docPr id="18" name="Chart 18" descr="Figure B.1 Australian, State and Territory (including local) government real operating expenses, net of transfers for education and training (2011-12 dollars)&#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A05C8C" w:rsidRPr="00213912" w:rsidRDefault="00A05C8C" w:rsidP="00A05C8C">
      <w:pPr>
        <w:pStyle w:val="Note"/>
      </w:pPr>
      <w:r w:rsidRPr="00213912">
        <w:rPr>
          <w:rStyle w:val="NoteLabel"/>
        </w:rPr>
        <w:t>a</w:t>
      </w:r>
      <w:r w:rsidRPr="00213912">
        <w:t xml:space="preserve"> Based on accrual operating expenses for education. </w:t>
      </w:r>
      <w:r w:rsidRPr="00213912">
        <w:rPr>
          <w:rStyle w:val="NoteLabel"/>
        </w:rPr>
        <w:t>b</w:t>
      </w:r>
      <w:r w:rsidRPr="00213912">
        <w:t xml:space="preserve"> </w:t>
      </w:r>
      <w:r w:rsidR="00B74926" w:rsidRPr="00B74926">
        <w:t>Time series financial data are adjusted to 201</w:t>
      </w:r>
      <w:r w:rsidR="00B74926">
        <w:t>1-12</w:t>
      </w:r>
      <w:r w:rsidR="00B74926" w:rsidRPr="00B74926">
        <w:t xml:space="preserve"> dollars using the General Government Final Consumption Expenditure (</w:t>
      </w:r>
      <w:proofErr w:type="spellStart"/>
      <w:r w:rsidR="00B74926" w:rsidRPr="00B74926">
        <w:t>GGFCE</w:t>
      </w:r>
      <w:proofErr w:type="spellEnd"/>
      <w:r w:rsidR="00B74926" w:rsidRPr="00B74926">
        <w:t>) chain price deflator (201</w:t>
      </w:r>
      <w:r w:rsidR="00B74926">
        <w:t>1</w:t>
      </w:r>
      <w:r w:rsidR="00B74926" w:rsidRPr="00B74926">
        <w:t>-1</w:t>
      </w:r>
      <w:r w:rsidR="00B74926">
        <w:t>2</w:t>
      </w:r>
      <w:r w:rsidR="00B74926" w:rsidRPr="00B74926">
        <w:t xml:space="preserve"> = 100) (table 2A.51). The </w:t>
      </w:r>
      <w:proofErr w:type="spellStart"/>
      <w:r w:rsidR="00B74926" w:rsidRPr="00B74926">
        <w:t>GGFCE</w:t>
      </w:r>
      <w:proofErr w:type="spellEnd"/>
      <w:r w:rsidR="00B74926" w:rsidRPr="00B74926">
        <w:t xml:space="preserve"> replaces the Gross Domestic Product implicit price deflator used in previous editions. See Chapter 2 (section 2.5) for details.</w:t>
      </w:r>
      <w:r w:rsidRPr="00213912">
        <w:t xml:space="preserve"> </w:t>
      </w:r>
      <w:r w:rsidRPr="00213912">
        <w:rPr>
          <w:rStyle w:val="NoteLabel"/>
        </w:rPr>
        <w:t>c</w:t>
      </w:r>
      <w:r w:rsidRPr="00213912">
        <w:t> Excludes expenditure on child care services.</w:t>
      </w:r>
    </w:p>
    <w:p w:rsidR="00A05C8C" w:rsidRPr="00FF6A19" w:rsidRDefault="00A05C8C" w:rsidP="00A05C8C">
      <w:pPr>
        <w:pStyle w:val="Source"/>
      </w:pPr>
      <w:r w:rsidRPr="00FF6A19">
        <w:rPr>
          <w:i/>
        </w:rPr>
        <w:t>Source</w:t>
      </w:r>
      <w:r w:rsidRPr="00FF6A19">
        <w:t>: ABS (201</w:t>
      </w:r>
      <w:r w:rsidR="00F42D4A">
        <w:t>3</w:t>
      </w:r>
      <w:r w:rsidRPr="00FF6A19">
        <w:t xml:space="preserve"> and unpublished) </w:t>
      </w:r>
      <w:r w:rsidRPr="00FF6A19">
        <w:rPr>
          <w:i/>
        </w:rPr>
        <w:t>Government Finance Statistics, Education</w:t>
      </w:r>
      <w:r w:rsidRPr="00FF6A19">
        <w:t>, 20</w:t>
      </w:r>
      <w:r w:rsidR="00227FD4">
        <w:t>1</w:t>
      </w:r>
      <w:r w:rsidR="00F42D4A">
        <w:t>1</w:t>
      </w:r>
      <w:r w:rsidRPr="00FF6A19">
        <w:t>-</w:t>
      </w:r>
      <w:r w:rsidR="007218FF">
        <w:t>1</w:t>
      </w:r>
      <w:r w:rsidR="00F42D4A">
        <w:t>2</w:t>
      </w:r>
      <w:r w:rsidRPr="00FF6A19">
        <w:t>, Cat. no. 5518.0.55.001, Canberra; table BA.2</w:t>
      </w:r>
      <w:r w:rsidR="00DF542A">
        <w:t>; table 2A.51</w:t>
      </w:r>
      <w:r w:rsidRPr="00FF6A19">
        <w:t>.</w:t>
      </w:r>
    </w:p>
    <w:p w:rsidR="00FF503C" w:rsidRPr="00000F7B" w:rsidRDefault="008E66F3" w:rsidP="00A05C8C">
      <w:pPr>
        <w:pStyle w:val="BodyText"/>
      </w:pPr>
      <w:r>
        <w:t xml:space="preserve">Of the </w:t>
      </w:r>
      <w:r w:rsidRPr="003E0B52">
        <w:t xml:space="preserve">combined </w:t>
      </w:r>
      <w:r w:rsidR="003E0B52" w:rsidRPr="003E0B52">
        <w:t>$7</w:t>
      </w:r>
      <w:r w:rsidR="000F3145">
        <w:t>5</w:t>
      </w:r>
      <w:r w:rsidR="003E0B52">
        <w:t>.</w:t>
      </w:r>
      <w:r w:rsidR="00281CD8">
        <w:t>9</w:t>
      </w:r>
      <w:r w:rsidR="00A05C8C" w:rsidRPr="00FF6A19">
        <w:t xml:space="preserve"> billion total government expenditure on </w:t>
      </w:r>
      <w:proofErr w:type="spellStart"/>
      <w:r w:rsidR="00F048B0">
        <w:t>CCET</w:t>
      </w:r>
      <w:proofErr w:type="spellEnd"/>
      <w:r w:rsidR="00A05C8C" w:rsidRPr="00FF6A19">
        <w:t xml:space="preserve"> in 20</w:t>
      </w:r>
      <w:r w:rsidR="009D09FD">
        <w:t>1</w:t>
      </w:r>
      <w:r w:rsidR="00281CD8">
        <w:t>1</w:t>
      </w:r>
      <w:r w:rsidR="00A05C8C" w:rsidRPr="00FF6A19">
        <w:t>-</w:t>
      </w:r>
      <w:r w:rsidR="007218FF">
        <w:t>1</w:t>
      </w:r>
      <w:r w:rsidR="00281CD8">
        <w:t>2</w:t>
      </w:r>
      <w:r w:rsidR="00A05C8C" w:rsidRPr="00FF6A19">
        <w:t xml:space="preserve"> (excluding child </w:t>
      </w:r>
      <w:r w:rsidR="00A05C8C" w:rsidRPr="003E0B52">
        <w:t>care), schools accounted for the highest proportion (</w:t>
      </w:r>
      <w:r w:rsidR="003E0B52" w:rsidRPr="003E0B52">
        <w:t>5</w:t>
      </w:r>
      <w:r w:rsidR="00281CD8">
        <w:t>1</w:t>
      </w:r>
      <w:r w:rsidR="003E0B52" w:rsidRPr="003E0B52">
        <w:t>.1</w:t>
      </w:r>
      <w:r w:rsidR="00A05C8C" w:rsidRPr="003E0B52">
        <w:t> per cent), followed by universities (</w:t>
      </w:r>
      <w:r w:rsidR="00281CD8">
        <w:t>27.</w:t>
      </w:r>
      <w:r w:rsidR="00726ABB">
        <w:t>4</w:t>
      </w:r>
      <w:r w:rsidR="00A05C8C" w:rsidRPr="003E0B52">
        <w:t> per cent), TAFE institutes (</w:t>
      </w:r>
      <w:r w:rsidR="003E0B52" w:rsidRPr="003E0B52">
        <w:t>8.</w:t>
      </w:r>
      <w:r w:rsidR="00281CD8">
        <w:t>8</w:t>
      </w:r>
      <w:r w:rsidR="00A05C8C" w:rsidRPr="003E0B52">
        <w:t> </w:t>
      </w:r>
      <w:r w:rsidR="00A05C8C" w:rsidRPr="00CD33DD">
        <w:t xml:space="preserve">per cent) and </w:t>
      </w:r>
      <w:r w:rsidR="00A05C8C" w:rsidRPr="00000F7B">
        <w:t>preschool services (</w:t>
      </w:r>
      <w:r w:rsidR="00281CD8">
        <w:t>5.6</w:t>
      </w:r>
      <w:r w:rsidR="00A05C8C" w:rsidRPr="00000F7B">
        <w:t> per cent) (figure </w:t>
      </w:r>
      <w:r w:rsidR="002B11EC" w:rsidRPr="00000F7B">
        <w:t>B.2</w:t>
      </w:r>
      <w:r w:rsidR="00A05C8C" w:rsidRPr="00000F7B">
        <w:t xml:space="preserve">). </w:t>
      </w:r>
      <w:r w:rsidR="00FF503C" w:rsidRPr="00000F7B">
        <w:t>In 201</w:t>
      </w:r>
      <w:r w:rsidR="00281CD8">
        <w:t>1</w:t>
      </w:r>
      <w:r w:rsidR="00FF503C" w:rsidRPr="00000F7B">
        <w:t>-1</w:t>
      </w:r>
      <w:r w:rsidR="00281CD8">
        <w:t>2</w:t>
      </w:r>
      <w:r w:rsidR="00FF503C" w:rsidRPr="00000F7B">
        <w:t>:</w:t>
      </w:r>
    </w:p>
    <w:p w:rsidR="00FF503C" w:rsidRPr="00000F7B" w:rsidRDefault="00FF503C" w:rsidP="00FF503C">
      <w:pPr>
        <w:pStyle w:val="ListBullet"/>
      </w:pPr>
      <w:r w:rsidRPr="00000F7B">
        <w:t xml:space="preserve">for Australian Government expenditure, school education (primary and secondary) received the largest proportion of </w:t>
      </w:r>
      <w:r w:rsidR="00000F7B" w:rsidRPr="00000F7B">
        <w:t>expenditure (</w:t>
      </w:r>
      <w:r w:rsidR="00726ABB">
        <w:t>48.2</w:t>
      </w:r>
      <w:r w:rsidR="00000F7B" w:rsidRPr="00000F7B">
        <w:t xml:space="preserve"> per cent), </w:t>
      </w:r>
      <w:r w:rsidR="00DF542A">
        <w:t>universities</w:t>
      </w:r>
      <w:r w:rsidR="002D371E">
        <w:t xml:space="preserve"> received 30.4 per cent, </w:t>
      </w:r>
      <w:r w:rsidR="00000F7B" w:rsidRPr="00000F7B">
        <w:t xml:space="preserve">TAFE received </w:t>
      </w:r>
      <w:r w:rsidR="00726ABB">
        <w:t>6.9</w:t>
      </w:r>
      <w:r w:rsidRPr="00000F7B">
        <w:t xml:space="preserve"> per cent, preschool services (including education not </w:t>
      </w:r>
      <w:r w:rsidR="00000F7B" w:rsidRPr="00000F7B">
        <w:t xml:space="preserve">definable by level) received </w:t>
      </w:r>
      <w:r w:rsidR="00726ABB">
        <w:t>1.2</w:t>
      </w:r>
      <w:r w:rsidRPr="00000F7B">
        <w:t xml:space="preserve"> per cent, and other education received </w:t>
      </w:r>
      <w:r w:rsidR="002D371E">
        <w:t>13.2 </w:t>
      </w:r>
      <w:r w:rsidRPr="00000F7B">
        <w:t xml:space="preserve">per cent </w:t>
      </w:r>
    </w:p>
    <w:p w:rsidR="00A05C8C" w:rsidRDefault="00FF503C" w:rsidP="00FF503C">
      <w:pPr>
        <w:pStyle w:val="ListBullet"/>
      </w:pPr>
      <w:r w:rsidRPr="00000F7B">
        <w:t>for State and Territory government expenditure, s</w:t>
      </w:r>
      <w:r w:rsidR="00A05C8C" w:rsidRPr="00000F7B">
        <w:t xml:space="preserve">chool education (primary and secondary) received the largest proportion of State and Territory government </w:t>
      </w:r>
      <w:r w:rsidR="00A05C8C" w:rsidRPr="00B977DB">
        <w:t>expenditure (</w:t>
      </w:r>
      <w:r w:rsidR="002D371E">
        <w:t>75.2</w:t>
      </w:r>
      <w:r w:rsidR="00A05C8C" w:rsidRPr="00B977DB">
        <w:t xml:space="preserve"> per cent), TAFE received </w:t>
      </w:r>
      <w:r w:rsidR="003E0B52" w:rsidRPr="00B977DB">
        <w:t>12.</w:t>
      </w:r>
      <w:r w:rsidR="002D371E">
        <w:t>5</w:t>
      </w:r>
      <w:r w:rsidR="00A05C8C" w:rsidRPr="00B977DB">
        <w:t xml:space="preserve"> per cent, preschool services </w:t>
      </w:r>
      <w:r w:rsidR="00A05C8C" w:rsidRPr="00B977DB">
        <w:lastRenderedPageBreak/>
        <w:t xml:space="preserve">(including education not definable by level) received </w:t>
      </w:r>
      <w:r w:rsidR="002D371E">
        <w:t>8.3</w:t>
      </w:r>
      <w:r w:rsidR="00B977DB" w:rsidRPr="00B977DB">
        <w:t> </w:t>
      </w:r>
      <w:r w:rsidR="00A05C8C" w:rsidRPr="00B977DB">
        <w:t>per</w:t>
      </w:r>
      <w:r w:rsidR="00B977DB" w:rsidRPr="00B977DB">
        <w:t> </w:t>
      </w:r>
      <w:r w:rsidR="00A05C8C" w:rsidRPr="00B977DB">
        <w:t>cent, and trans</w:t>
      </w:r>
      <w:r w:rsidR="00A05C8C">
        <w:t>portation of student</w:t>
      </w:r>
      <w:r w:rsidR="00471788">
        <w:t xml:space="preserve">s and other education received </w:t>
      </w:r>
      <w:r w:rsidR="002D371E">
        <w:t>3.3</w:t>
      </w:r>
      <w:r w:rsidR="003E0B52">
        <w:t xml:space="preserve"> </w:t>
      </w:r>
      <w:r w:rsidR="00A05C8C">
        <w:t>per cent</w:t>
      </w:r>
      <w:r w:rsidR="00A05C8C" w:rsidRPr="00CD33DD">
        <w:t xml:space="preserve"> (figure</w:t>
      </w:r>
      <w:r w:rsidR="00A05C8C">
        <w:t> </w:t>
      </w:r>
      <w:r w:rsidR="006876E2">
        <w:t>B.2</w:t>
      </w:r>
      <w:r w:rsidR="00A05C8C" w:rsidRPr="00CD33DD">
        <w:t>)</w:t>
      </w:r>
      <w:r w:rsidR="00A05C8C">
        <w:t>.</w:t>
      </w:r>
    </w:p>
    <w:p w:rsidR="00A05C8C" w:rsidRDefault="00A05C8C" w:rsidP="00E433C4">
      <w:pPr>
        <w:pStyle w:val="FigureTitle"/>
        <w:shd w:val="clear" w:color="auto" w:fill="FFFFFF" w:themeFill="background1"/>
        <w:rPr>
          <w:rStyle w:val="NoteLabel"/>
          <w:b/>
        </w:rPr>
      </w:pPr>
      <w:r w:rsidRPr="00CD33DD">
        <w:rPr>
          <w:b w:val="0"/>
        </w:rPr>
        <w:t xml:space="preserve">Figure </w:t>
      </w:r>
      <w:r w:rsidR="00891AAF">
        <w:rPr>
          <w:b w:val="0"/>
        </w:rPr>
        <w:t>B.</w:t>
      </w:r>
      <w:r w:rsidR="005C0C17">
        <w:rPr>
          <w:b w:val="0"/>
          <w:noProof/>
        </w:rPr>
        <w:t>2</w:t>
      </w:r>
      <w:r w:rsidRPr="00CD33DD">
        <w:tab/>
        <w:t xml:space="preserve">Government expenditure on </w:t>
      </w:r>
      <w:r>
        <w:t>education and training</w:t>
      </w:r>
      <w:r w:rsidRPr="00CD33DD">
        <w:t xml:space="preserve">, </w:t>
      </w:r>
      <w:r>
        <w:br/>
      </w:r>
      <w:r w:rsidRPr="003765E9">
        <w:t>20</w:t>
      </w:r>
      <w:r w:rsidR="009D09FD">
        <w:t>1</w:t>
      </w:r>
      <w:r w:rsidR="002D371E">
        <w:t>1</w:t>
      </w:r>
      <w:r w:rsidRPr="003765E9">
        <w:t>-</w:t>
      </w:r>
      <w:r w:rsidR="00457663">
        <w:t>1</w:t>
      </w:r>
      <w:r w:rsidR="002D371E">
        <w:t>2</w:t>
      </w:r>
      <w:r>
        <w:rPr>
          <w:rStyle w:val="NoteLabel"/>
          <w:b/>
        </w:rPr>
        <w:t>a, b, c</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8"/>
      </w:tblGrid>
      <w:tr w:rsidR="00A05C8C" w:rsidRPr="00CD33DD" w:rsidTr="002D371E">
        <w:tc>
          <w:tcPr>
            <w:tcW w:w="8778" w:type="dxa"/>
          </w:tcPr>
          <w:p w:rsidR="00A60BF6" w:rsidRPr="00CD33DD" w:rsidRDefault="001B29AF" w:rsidP="00A60BF6">
            <w:pPr>
              <w:pStyle w:val="Figure"/>
            </w:pPr>
            <w:r>
              <w:rPr>
                <w:noProof/>
              </w:rPr>
              <w:drawing>
                <wp:inline distT="0" distB="0" distL="0" distR="0" wp14:anchorId="5CDD73B2" wp14:editId="36AC55D2">
                  <wp:extent cx="5067300" cy="743585"/>
                  <wp:effectExtent l="0" t="0" r="0" b="0"/>
                  <wp:docPr id="24" name="Object 2" descr="Figure B.2 Government expenditure on education and training, 2011-12&#10;&#10;Legend to Figure B.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67300" cy="743585"/>
                          </a:xfrm>
                          <a:prstGeom prst="rect">
                            <a:avLst/>
                          </a:prstGeom>
                          <a:noFill/>
                          <a:ln>
                            <a:noFill/>
                          </a:ln>
                        </pic:spPr>
                      </pic:pic>
                    </a:graphicData>
                  </a:graphic>
                </wp:inline>
              </w:drawing>
            </w:r>
            <w:r w:rsidR="002D371E">
              <w:rPr>
                <w:noProof/>
              </w:rPr>
              <w:t xml:space="preserve"> </w:t>
            </w:r>
            <w:r w:rsidR="002D371E">
              <w:rPr>
                <w:noProof/>
              </w:rPr>
              <w:drawing>
                <wp:inline distT="0" distB="0" distL="0" distR="0" wp14:anchorId="0C65312F" wp14:editId="211C8E06">
                  <wp:extent cx="5400000" cy="2700000"/>
                  <wp:effectExtent l="0" t="0" r="0" b="5715"/>
                  <wp:docPr id="21" name="Chart 21" descr="Figure B.2 Government expenditure on education and trainig, 2011-12&#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bl>
    <w:p w:rsidR="00A05C8C" w:rsidRPr="001F2D7B" w:rsidRDefault="00A05C8C" w:rsidP="005B1170">
      <w:pPr>
        <w:pStyle w:val="Note"/>
      </w:pPr>
      <w:proofErr w:type="spellStart"/>
      <w:r>
        <w:rPr>
          <w:b/>
        </w:rPr>
        <w:t>ne</w:t>
      </w:r>
      <w:r w:rsidRPr="00213912">
        <w:rPr>
          <w:b/>
        </w:rPr>
        <w:t>c</w:t>
      </w:r>
      <w:proofErr w:type="spellEnd"/>
      <w:r w:rsidRPr="00213912">
        <w:rPr>
          <w:b/>
        </w:rPr>
        <w:t>.</w:t>
      </w:r>
      <w:r w:rsidRPr="00213912">
        <w:t xml:space="preserve"> Not elsewhere classified.</w:t>
      </w:r>
      <w:r w:rsidRPr="00213912">
        <w:rPr>
          <w:rStyle w:val="NoteLabel"/>
        </w:rPr>
        <w:t xml:space="preserve"> </w:t>
      </w:r>
      <w:proofErr w:type="spellStart"/>
      <w:r w:rsidRPr="00213912">
        <w:rPr>
          <w:rStyle w:val="NoteLabel"/>
        </w:rPr>
        <w:t>a</w:t>
      </w:r>
      <w:proofErr w:type="spellEnd"/>
      <w:r w:rsidRPr="00213912">
        <w:t xml:space="preserve"> Expenditure for TAFE from ABS Government Finance Statistics excludes outlays on vocational training programs not provided by TAFE institutions (such as outlays on administration of apprenticeship schemes designed to facilitate workplace entry of people currently not employed or in need of retraining). </w:t>
      </w:r>
      <w:r w:rsidRPr="00213912">
        <w:rPr>
          <w:rStyle w:val="NoteLabel"/>
        </w:rPr>
        <w:t>b</w:t>
      </w:r>
      <w:r w:rsidRPr="00213912">
        <w:t xml:space="preserve"> Preschool includes education not definable by level.</w:t>
      </w:r>
      <w:r w:rsidRPr="00213912">
        <w:rPr>
          <w:rStyle w:val="NoteLabel"/>
        </w:rPr>
        <w:t xml:space="preserve"> c</w:t>
      </w:r>
      <w:r w:rsidRPr="00213912">
        <w:t xml:space="preserve"> Transport and other education includes </w:t>
      </w:r>
      <w:r w:rsidR="00D50F16">
        <w:t xml:space="preserve">transportation of students and </w:t>
      </w:r>
      <w:r w:rsidRPr="001F2D7B">
        <w:t>edu</w:t>
      </w:r>
      <w:r w:rsidR="00494AEA" w:rsidRPr="001F2D7B">
        <w:t xml:space="preserve">cation </w:t>
      </w:r>
      <w:proofErr w:type="spellStart"/>
      <w:r w:rsidR="004D164B" w:rsidRPr="001F2D7B">
        <w:t>nec</w:t>
      </w:r>
      <w:proofErr w:type="spellEnd"/>
      <w:r w:rsidR="00494AEA" w:rsidRPr="001F2D7B">
        <w:t>.</w:t>
      </w:r>
      <w:r w:rsidR="0084258E" w:rsidRPr="001F2D7B">
        <w:t xml:space="preserve"> </w:t>
      </w:r>
      <w:r w:rsidR="00494AEA" w:rsidRPr="001F2D7B">
        <w:t>D</w:t>
      </w:r>
      <w:r w:rsidR="0084258E" w:rsidRPr="001F2D7B">
        <w:t xml:space="preserve">ata are reported separately in </w:t>
      </w:r>
      <w:r w:rsidR="00494AEA" w:rsidRPr="001F2D7B">
        <w:t xml:space="preserve">tables </w:t>
      </w:r>
      <w:r w:rsidR="0084258E" w:rsidRPr="001F2D7B">
        <w:t>BA.3 and BA.4.</w:t>
      </w:r>
    </w:p>
    <w:p w:rsidR="00A05C8C" w:rsidRPr="001F2D7B" w:rsidRDefault="00A05C8C" w:rsidP="00A05C8C">
      <w:pPr>
        <w:pStyle w:val="Source"/>
      </w:pPr>
      <w:r w:rsidRPr="001F2D7B">
        <w:rPr>
          <w:i/>
        </w:rPr>
        <w:t>Source</w:t>
      </w:r>
      <w:r w:rsidRPr="001F2D7B">
        <w:t>: ABS (</w:t>
      </w:r>
      <w:r w:rsidR="00471788" w:rsidRPr="001F2D7B">
        <w:t>201</w:t>
      </w:r>
      <w:r w:rsidR="002D371E" w:rsidRPr="001F2D7B">
        <w:t>3</w:t>
      </w:r>
      <w:r w:rsidRPr="001F2D7B">
        <w:t xml:space="preserve">) </w:t>
      </w:r>
      <w:r w:rsidRPr="001F2D7B">
        <w:rPr>
          <w:i/>
        </w:rPr>
        <w:t>Government Finance Statistics, Education, 20</w:t>
      </w:r>
      <w:r w:rsidR="009D09FD" w:rsidRPr="001F2D7B">
        <w:rPr>
          <w:i/>
        </w:rPr>
        <w:t>1</w:t>
      </w:r>
      <w:r w:rsidR="002D371E" w:rsidRPr="001F2D7B">
        <w:rPr>
          <w:i/>
        </w:rPr>
        <w:t>1</w:t>
      </w:r>
      <w:r w:rsidRPr="001F2D7B">
        <w:rPr>
          <w:i/>
        </w:rPr>
        <w:t>-</w:t>
      </w:r>
      <w:r w:rsidR="00471788" w:rsidRPr="001F2D7B">
        <w:rPr>
          <w:i/>
        </w:rPr>
        <w:t>1</w:t>
      </w:r>
      <w:r w:rsidR="002D371E" w:rsidRPr="001F2D7B">
        <w:rPr>
          <w:i/>
        </w:rPr>
        <w:t>2</w:t>
      </w:r>
      <w:r w:rsidRPr="001F2D7B">
        <w:t xml:space="preserve">. Cat. no. 5518.0.55.001; </w:t>
      </w:r>
      <w:r w:rsidRPr="001F2D7B">
        <w:br/>
        <w:t>tables BA.3 and BA.4.</w:t>
      </w:r>
    </w:p>
    <w:p w:rsidR="009B1E0C" w:rsidRPr="001F2D7B" w:rsidRDefault="003B20EA" w:rsidP="00AD713F">
      <w:pPr>
        <w:pStyle w:val="Heading4"/>
      </w:pPr>
      <w:r w:rsidRPr="001F2D7B">
        <w:t xml:space="preserve">The </w:t>
      </w:r>
      <w:proofErr w:type="spellStart"/>
      <w:r w:rsidR="00F048B0" w:rsidRPr="001F2D7B">
        <w:t>CCET</w:t>
      </w:r>
      <w:proofErr w:type="spellEnd"/>
      <w:r w:rsidRPr="001F2D7B">
        <w:t xml:space="preserve"> w</w:t>
      </w:r>
      <w:r w:rsidR="00973F89" w:rsidRPr="001F2D7B">
        <w:t>orkforce</w:t>
      </w:r>
    </w:p>
    <w:p w:rsidR="009B1E0C" w:rsidRPr="00CD33DD" w:rsidRDefault="009B1E0C" w:rsidP="009B1E0C">
      <w:pPr>
        <w:pStyle w:val="BodyText"/>
      </w:pPr>
      <w:r w:rsidRPr="001F2D7B">
        <w:t>Nationally in 201</w:t>
      </w:r>
      <w:r w:rsidR="006D1622" w:rsidRPr="001F2D7B">
        <w:t>3</w:t>
      </w:r>
      <w:r w:rsidRPr="001F2D7B">
        <w:t xml:space="preserve">, there were </w:t>
      </w:r>
      <w:r w:rsidR="006D1622" w:rsidRPr="001F2D7B">
        <w:t>99 655</w:t>
      </w:r>
      <w:r w:rsidRPr="001F2D7B">
        <w:t xml:space="preserve"> primary contact staff employed in Australian Government approved child care services (table 3A.</w:t>
      </w:r>
      <w:r w:rsidR="006D1622" w:rsidRPr="001F2D7B">
        <w:t>37</w:t>
      </w:r>
      <w:r w:rsidRPr="001F2D7B">
        <w:t>).</w:t>
      </w:r>
      <w:r w:rsidRPr="001F2D7B">
        <w:rPr>
          <w:rStyle w:val="FootnoteReference"/>
        </w:rPr>
        <w:footnoteReference w:id="1"/>
      </w:r>
      <w:r w:rsidR="005D58CC" w:rsidRPr="001F2D7B">
        <w:t xml:space="preserve"> There were </w:t>
      </w:r>
      <w:r w:rsidR="00340DF3" w:rsidRPr="001F2D7B">
        <w:t>28 800</w:t>
      </w:r>
      <w:r w:rsidR="00FF503C" w:rsidRPr="001F2D7B">
        <w:t> </w:t>
      </w:r>
      <w:r w:rsidRPr="001F2D7B">
        <w:t>staff employed in State and Territory government f</w:t>
      </w:r>
      <w:r w:rsidR="00467317" w:rsidRPr="001F2D7B">
        <w:t>unded preschool services in 201</w:t>
      </w:r>
      <w:r w:rsidR="006D1622" w:rsidRPr="001F2D7B">
        <w:t>2</w:t>
      </w:r>
      <w:r w:rsidRPr="001F2D7B">
        <w:noBreakHyphen/>
        <w:t>1</w:t>
      </w:r>
      <w:r w:rsidR="006D1622" w:rsidRPr="001F2D7B">
        <w:t>3</w:t>
      </w:r>
      <w:r w:rsidRPr="001F2D7B">
        <w:t>, excluding the ACT where data were unavailable (tables 3A.</w:t>
      </w:r>
      <w:r w:rsidR="00E0354F" w:rsidRPr="001F2D7B">
        <w:t>6</w:t>
      </w:r>
      <w:r w:rsidR="005A354B" w:rsidRPr="001F2D7B">
        <w:t>2</w:t>
      </w:r>
      <w:r w:rsidRPr="001F2D7B">
        <w:t>, 3A.</w:t>
      </w:r>
      <w:r w:rsidR="005A354B" w:rsidRPr="001F2D7B">
        <w:t>69</w:t>
      </w:r>
      <w:r w:rsidRPr="001F2D7B">
        <w:t>, 3A.</w:t>
      </w:r>
      <w:r w:rsidR="00E0354F" w:rsidRPr="001F2D7B">
        <w:t>7</w:t>
      </w:r>
      <w:r w:rsidR="005A354B" w:rsidRPr="001F2D7B">
        <w:t>6</w:t>
      </w:r>
      <w:r w:rsidRPr="001F2D7B">
        <w:t>, 3A.</w:t>
      </w:r>
      <w:r w:rsidR="00E0354F" w:rsidRPr="001F2D7B">
        <w:t>8</w:t>
      </w:r>
      <w:r w:rsidR="005A354B" w:rsidRPr="001F2D7B">
        <w:t>3</w:t>
      </w:r>
      <w:r w:rsidRPr="001F2D7B">
        <w:t>, 3A.</w:t>
      </w:r>
      <w:r w:rsidR="00E0354F" w:rsidRPr="001F2D7B">
        <w:t>9</w:t>
      </w:r>
      <w:r w:rsidR="005A354B" w:rsidRPr="001F2D7B">
        <w:t>0</w:t>
      </w:r>
      <w:r w:rsidRPr="001F2D7B">
        <w:t>, 3A.</w:t>
      </w:r>
      <w:r w:rsidR="00E0354F" w:rsidRPr="001F2D7B">
        <w:t>9</w:t>
      </w:r>
      <w:r w:rsidR="005A354B" w:rsidRPr="001F2D7B">
        <w:t>7</w:t>
      </w:r>
      <w:r w:rsidRPr="001F2D7B">
        <w:t>, 3A.</w:t>
      </w:r>
      <w:r w:rsidR="00E0354F" w:rsidRPr="001F2D7B">
        <w:t>10</w:t>
      </w:r>
      <w:r w:rsidR="005A354B" w:rsidRPr="001F2D7B">
        <w:t>4</w:t>
      </w:r>
      <w:r w:rsidRPr="001F2D7B">
        <w:t>, 3A.</w:t>
      </w:r>
      <w:r w:rsidR="00E0354F" w:rsidRPr="001F2D7B">
        <w:t>11</w:t>
      </w:r>
      <w:r w:rsidR="005A354B" w:rsidRPr="001F2D7B">
        <w:t>1</w:t>
      </w:r>
      <w:r w:rsidRPr="001F2D7B">
        <w:t>).</w:t>
      </w:r>
    </w:p>
    <w:p w:rsidR="003446C0" w:rsidRPr="0002432F" w:rsidRDefault="009B1E0C" w:rsidP="009B1E0C">
      <w:pPr>
        <w:pStyle w:val="BodyText"/>
        <w:rPr>
          <w:rStyle w:val="DraftingNote"/>
          <w:color w:val="auto"/>
        </w:rPr>
      </w:pPr>
      <w:r w:rsidRPr="00FF585F">
        <w:lastRenderedPageBreak/>
        <w:t xml:space="preserve">Nationally, government primary schools </w:t>
      </w:r>
      <w:r w:rsidRPr="0002432F">
        <w:t xml:space="preserve">employed </w:t>
      </w:r>
      <w:r w:rsidR="008608BB">
        <w:t>132 317</w:t>
      </w:r>
      <w:r w:rsidR="00BD4EDA">
        <w:t xml:space="preserve"> full time equivalent</w:t>
      </w:r>
      <w:r w:rsidRPr="00FF585F">
        <w:t xml:space="preserve"> teaching staff in 20</w:t>
      </w:r>
      <w:r w:rsidR="008D13AC">
        <w:t>1</w:t>
      </w:r>
      <w:r w:rsidR="008608BB">
        <w:t>2</w:t>
      </w:r>
      <w:r w:rsidRPr="00FF585F">
        <w:t>, and governme</w:t>
      </w:r>
      <w:r w:rsidR="008D13AC">
        <w:t xml:space="preserve">nt secondary schools </w:t>
      </w:r>
      <w:r w:rsidR="008D13AC" w:rsidRPr="0002432F">
        <w:t xml:space="preserve">employed </w:t>
      </w:r>
      <w:r w:rsidR="008608BB">
        <w:t>99 514</w:t>
      </w:r>
      <w:r w:rsidRPr="00FF585F">
        <w:t xml:space="preserve"> </w:t>
      </w:r>
      <w:r w:rsidR="00BD4EDA">
        <w:t xml:space="preserve">full time equivalent </w:t>
      </w:r>
      <w:r w:rsidRPr="00FF585F">
        <w:t>teaching staff</w:t>
      </w:r>
      <w:r w:rsidR="00BD4EDA">
        <w:t xml:space="preserve"> (table 4A.1)</w:t>
      </w:r>
      <w:r w:rsidRPr="00FF585F">
        <w:t>.</w:t>
      </w:r>
      <w:r w:rsidR="003446C0">
        <w:t xml:space="preserve"> Non</w:t>
      </w:r>
      <w:r w:rsidR="009D09FD">
        <w:t>-</w:t>
      </w:r>
      <w:r w:rsidR="00320D5A">
        <w:t xml:space="preserve">government primary schools </w:t>
      </w:r>
      <w:r w:rsidR="00320D5A" w:rsidRPr="0002432F">
        <w:t xml:space="preserve">employed </w:t>
      </w:r>
      <w:r w:rsidR="008608BB">
        <w:t>56 776</w:t>
      </w:r>
      <w:r w:rsidR="00AD713F" w:rsidRPr="0002432F">
        <w:t xml:space="preserve"> </w:t>
      </w:r>
      <w:r w:rsidR="00BD4EDA" w:rsidRPr="0002432F">
        <w:t xml:space="preserve">full time equivalent </w:t>
      </w:r>
      <w:r w:rsidR="00A97DB1" w:rsidRPr="0002432F">
        <w:t>teaching staff in 201</w:t>
      </w:r>
      <w:r w:rsidR="008608BB">
        <w:t>2</w:t>
      </w:r>
      <w:r w:rsidR="00320D5A" w:rsidRPr="0002432F">
        <w:t xml:space="preserve"> and non</w:t>
      </w:r>
      <w:r w:rsidR="009D09FD" w:rsidRPr="0002432F">
        <w:t>-</w:t>
      </w:r>
      <w:r w:rsidR="00320D5A" w:rsidRPr="0002432F">
        <w:t xml:space="preserve">government secondary schools employed </w:t>
      </w:r>
      <w:r w:rsidR="008608BB">
        <w:t>74 406</w:t>
      </w:r>
      <w:r w:rsidR="00320D5A" w:rsidRPr="0002432F">
        <w:t xml:space="preserve"> </w:t>
      </w:r>
      <w:r w:rsidR="00BD4EDA" w:rsidRPr="0002432F">
        <w:t xml:space="preserve">full time equivalent </w:t>
      </w:r>
      <w:r w:rsidR="00320D5A" w:rsidRPr="0002432F">
        <w:t>teaching staff</w:t>
      </w:r>
      <w:r w:rsidR="00BD4EDA" w:rsidRPr="0002432F">
        <w:t xml:space="preserve"> (table 4A.2</w:t>
      </w:r>
      <w:r w:rsidR="0000225C" w:rsidRPr="0002432F">
        <w:t>).</w:t>
      </w:r>
    </w:p>
    <w:p w:rsidR="009B1E0C" w:rsidRPr="00063DF0" w:rsidRDefault="004D164B" w:rsidP="005B1170">
      <w:pPr>
        <w:pStyle w:val="BodyText"/>
      </w:pPr>
      <w:r w:rsidRPr="0002432F">
        <w:t>There is no single accepted</w:t>
      </w:r>
      <w:r>
        <w:t xml:space="preserve"> measure</w:t>
      </w:r>
      <w:r w:rsidR="00E36A27">
        <w:t xml:space="preserve"> of the VET workforce</w:t>
      </w:r>
      <w:r w:rsidR="00FF503C">
        <w:t xml:space="preserve"> although t</w:t>
      </w:r>
      <w:r w:rsidR="009B1E0C" w:rsidRPr="00063DF0">
        <w:t xml:space="preserve">here were an estimated 32 500 teachers working in all TAFE and other VET </w:t>
      </w:r>
      <w:r w:rsidR="00FF503C">
        <w:t>institutions nationally in 2006-</w:t>
      </w:r>
      <w:r w:rsidR="009B1E0C" w:rsidRPr="00063DF0">
        <w:t>07</w:t>
      </w:r>
      <w:r w:rsidR="00FF503C">
        <w:t>,</w:t>
      </w:r>
      <w:r w:rsidRPr="00063DF0">
        <w:t xml:space="preserve"> with 69 per </w:t>
      </w:r>
      <w:r w:rsidR="009B1E0C" w:rsidRPr="00063DF0">
        <w:t>cent employed full time (ABS 2008a).</w:t>
      </w:r>
    </w:p>
    <w:p w:rsidR="00A76486" w:rsidRDefault="009B1E0C" w:rsidP="008A26AC">
      <w:pPr>
        <w:pStyle w:val="BodyText"/>
      </w:pPr>
      <w:r w:rsidRPr="005F112B">
        <w:t xml:space="preserve">There were </w:t>
      </w:r>
      <w:r w:rsidR="00A269D7">
        <w:t>50 </w:t>
      </w:r>
      <w:r w:rsidR="00DC4F09">
        <w:t>423</w:t>
      </w:r>
      <w:r w:rsidRPr="005F112B">
        <w:t xml:space="preserve"> </w:t>
      </w:r>
      <w:r w:rsidR="00DC4F09">
        <w:t xml:space="preserve">academic </w:t>
      </w:r>
      <w:r w:rsidRPr="005F112B">
        <w:t>staff employed at</w:t>
      </w:r>
      <w:r w:rsidR="0079648A" w:rsidRPr="005F112B">
        <w:t xml:space="preserve"> Australian universities in 201</w:t>
      </w:r>
      <w:r w:rsidR="00DC4F09">
        <w:t>2</w:t>
      </w:r>
      <w:r w:rsidR="003446C0" w:rsidRPr="005F112B">
        <w:t>. In addition</w:t>
      </w:r>
      <w:r w:rsidR="00DC4F09">
        <w:t>,</w:t>
      </w:r>
      <w:r w:rsidR="003446C0" w:rsidRPr="005F112B">
        <w:t xml:space="preserve"> there were </w:t>
      </w:r>
      <w:r w:rsidR="00DC4F09">
        <w:t xml:space="preserve">63 207 non-academic </w:t>
      </w:r>
      <w:r w:rsidR="003446C0" w:rsidRPr="005F112B">
        <w:t xml:space="preserve">staff </w:t>
      </w:r>
      <w:r w:rsidR="003778D9" w:rsidRPr="005F112B">
        <w:t xml:space="preserve">(non-teaching or non-research) </w:t>
      </w:r>
      <w:r w:rsidR="003446C0" w:rsidRPr="005F112B">
        <w:t xml:space="preserve">employed by Australian universities in </w:t>
      </w:r>
      <w:r w:rsidR="00DC4F09">
        <w:t>2012</w:t>
      </w:r>
      <w:r w:rsidR="003778D9" w:rsidRPr="005F112B">
        <w:t xml:space="preserve"> </w:t>
      </w:r>
      <w:r w:rsidR="005F112B" w:rsidRPr="005F112B">
        <w:t>(</w:t>
      </w:r>
      <w:proofErr w:type="spellStart"/>
      <w:r w:rsidR="00336057">
        <w:t>DIIS</w:t>
      </w:r>
      <w:r w:rsidR="00063DF0">
        <w:t>RTE</w:t>
      </w:r>
      <w:proofErr w:type="spellEnd"/>
      <w:r w:rsidR="00063DF0">
        <w:t xml:space="preserve"> 201</w:t>
      </w:r>
      <w:r w:rsidR="0019635E">
        <w:t>3</w:t>
      </w:r>
      <w:r w:rsidRPr="005F112B">
        <w:t>).</w:t>
      </w:r>
    </w:p>
    <w:p w:rsidR="008B55A6" w:rsidRDefault="00AD713F" w:rsidP="0038185D">
      <w:pPr>
        <w:pStyle w:val="Heading3"/>
      </w:pPr>
      <w:r w:rsidRPr="00192163">
        <w:t>Social and economic impacts of e</w:t>
      </w:r>
      <w:r w:rsidR="008B55A6" w:rsidRPr="00192163">
        <w:t>ducation</w:t>
      </w:r>
      <w:r w:rsidR="00420B15" w:rsidRPr="00192163">
        <w:t xml:space="preserve"> and training</w:t>
      </w:r>
    </w:p>
    <w:p w:rsidR="0038185D" w:rsidRPr="00B64024" w:rsidRDefault="0038185D" w:rsidP="00B64024">
      <w:pPr>
        <w:pStyle w:val="Heading4"/>
        <w:rPr>
          <w:rStyle w:val="DraftingNote"/>
          <w:b w:val="0"/>
          <w:color w:val="auto"/>
          <w:u w:val="none"/>
        </w:rPr>
      </w:pPr>
      <w:r w:rsidRPr="00B64024">
        <w:t>Benefits of education and training</w:t>
      </w:r>
    </w:p>
    <w:p w:rsidR="00C739A9" w:rsidRDefault="00C739A9" w:rsidP="00C739A9">
      <w:pPr>
        <w:pStyle w:val="BodyText"/>
      </w:pPr>
      <w:r>
        <w:t xml:space="preserve">A rich learning environment at home has been shown to assist children in reaching cognitive development milestones, improving reading, </w:t>
      </w:r>
      <w:r w:rsidR="0019635E">
        <w:t>vocabulary, general information and</w:t>
      </w:r>
      <w:r>
        <w:t xml:space="preserve"> letter recognition skills </w:t>
      </w:r>
      <w:r w:rsidR="008C1CDB">
        <w:t>—</w:t>
      </w:r>
      <w:r>
        <w:t xml:space="preserve"> all factors that contribute to school readiness and therefore flow through </w:t>
      </w:r>
      <w:r w:rsidR="008C1CDB">
        <w:t xml:space="preserve">to </w:t>
      </w:r>
      <w:r>
        <w:t>educational</w:t>
      </w:r>
      <w:r w:rsidR="001949EF">
        <w:t xml:space="preserve"> attainment later in life (</w:t>
      </w:r>
      <w:proofErr w:type="spellStart"/>
      <w:r w:rsidR="001949EF">
        <w:t>AIHW</w:t>
      </w:r>
      <w:proofErr w:type="spellEnd"/>
      <w:r w:rsidR="001949EF">
        <w:t> 2011</w:t>
      </w:r>
      <w:r>
        <w:t xml:space="preserve">). Participation in formal early childhood education and care services also </w:t>
      </w:r>
      <w:r w:rsidR="00FF503C">
        <w:t>affects</w:t>
      </w:r>
      <w:r>
        <w:t xml:space="preserve"> early learning</w:t>
      </w:r>
      <w:r w:rsidR="008C1CDB">
        <w:t>,</w:t>
      </w:r>
      <w:r>
        <w:t xml:space="preserve"> which in turn </w:t>
      </w:r>
      <w:r w:rsidR="00FF503C">
        <w:t>can affect</w:t>
      </w:r>
      <w:r>
        <w:t xml:space="preserve"> long term educational attainment</w:t>
      </w:r>
      <w:r w:rsidR="00910E18" w:rsidRPr="00910E18">
        <w:t>.</w:t>
      </w:r>
      <w:r w:rsidR="00EA72E2">
        <w:t xml:space="preserve"> The indicator ‘school readiness’ in this sector overview contains information on the development of children as they enter school.</w:t>
      </w:r>
    </w:p>
    <w:p w:rsidR="002D58CB" w:rsidRPr="00FF6A19" w:rsidRDefault="003608FD" w:rsidP="002D58CB">
      <w:pPr>
        <w:pStyle w:val="ListBullet"/>
        <w:numPr>
          <w:ilvl w:val="0"/>
          <w:numId w:val="0"/>
        </w:numPr>
      </w:pPr>
      <w:r>
        <w:t>E</w:t>
      </w:r>
      <w:r w:rsidR="00C84DE9" w:rsidRPr="00D93174">
        <w:t xml:space="preserve">ducation and training </w:t>
      </w:r>
      <w:r w:rsidR="00C739A9">
        <w:t xml:space="preserve">across a lifetime </w:t>
      </w:r>
      <w:r w:rsidR="00FF503C">
        <w:t>can provide</w:t>
      </w:r>
      <w:r w:rsidR="00D93174" w:rsidRPr="00D93174">
        <w:t xml:space="preserve"> </w:t>
      </w:r>
      <w:r>
        <w:t xml:space="preserve">significant economic and social benefits </w:t>
      </w:r>
      <w:r w:rsidR="00D93174" w:rsidRPr="00D93174">
        <w:t xml:space="preserve">to the individual </w:t>
      </w:r>
      <w:r w:rsidR="00CF1317">
        <w:t xml:space="preserve">in addition to </w:t>
      </w:r>
      <w:r w:rsidR="00C40388">
        <w:t xml:space="preserve">wider </w:t>
      </w:r>
      <w:r w:rsidR="002245E2">
        <w:t>benefits</w:t>
      </w:r>
      <w:r w:rsidR="00C40388">
        <w:t xml:space="preserve"> </w:t>
      </w:r>
      <w:r w:rsidR="00AD713F">
        <w:t xml:space="preserve">for </w:t>
      </w:r>
      <w:r w:rsidR="00D93174" w:rsidRPr="00D93174">
        <w:t>society.</w:t>
      </w:r>
      <w:r w:rsidR="006F7CAF">
        <w:t xml:space="preserve"> </w:t>
      </w:r>
      <w:r w:rsidR="00C739A9" w:rsidRPr="00FF6A19">
        <w:t xml:space="preserve">High </w:t>
      </w:r>
      <w:r w:rsidR="008D18DD" w:rsidRPr="00FF6A19">
        <w:t xml:space="preserve">educational standards and </w:t>
      </w:r>
      <w:r w:rsidR="00C739A9" w:rsidRPr="00FF6A19">
        <w:t xml:space="preserve">educational </w:t>
      </w:r>
      <w:r w:rsidR="008D18DD" w:rsidRPr="00FF6A19">
        <w:t xml:space="preserve">achievement is of major importance for </w:t>
      </w:r>
      <w:r w:rsidR="00D13D36">
        <w:t xml:space="preserve">employment, income, and </w:t>
      </w:r>
      <w:r w:rsidR="008D18DD" w:rsidRPr="00FF6A19">
        <w:t>maintaining and raising living standard</w:t>
      </w:r>
      <w:r w:rsidR="00DE0D48" w:rsidRPr="00FF6A19">
        <w:t>s (OECD 2008</w:t>
      </w:r>
      <w:r w:rsidR="001949EF" w:rsidRPr="00FF6A19">
        <w:t>a</w:t>
      </w:r>
      <w:r w:rsidR="00D13D36">
        <w:t>; OECD 2013</w:t>
      </w:r>
      <w:r w:rsidR="00DE0D48" w:rsidRPr="00FF6A19">
        <w:t>).</w:t>
      </w:r>
    </w:p>
    <w:p w:rsidR="00EA72E2" w:rsidRDefault="00EA72E2" w:rsidP="00EA72E2">
      <w:pPr>
        <w:pStyle w:val="BodyText"/>
      </w:pPr>
      <w:r>
        <w:t xml:space="preserve">The performance indicator ‘attainment’ </w:t>
      </w:r>
      <w:r w:rsidR="002245E2">
        <w:t xml:space="preserve">in this sector overview </w:t>
      </w:r>
      <w:r>
        <w:t>identifies a range of outcomes of</w:t>
      </w:r>
      <w:r w:rsidR="002245E2">
        <w:t xml:space="preserve"> education and training </w:t>
      </w:r>
      <w:r>
        <w:t xml:space="preserve">across </w:t>
      </w:r>
      <w:r w:rsidR="00555928">
        <w:t xml:space="preserve">various </w:t>
      </w:r>
      <w:r>
        <w:t>age groups.</w:t>
      </w:r>
    </w:p>
    <w:p w:rsidR="00D93174" w:rsidRPr="00CD33DD" w:rsidRDefault="00D13D36" w:rsidP="005B1170">
      <w:pPr>
        <w:pStyle w:val="BodyText"/>
      </w:pPr>
      <w:r>
        <w:t>As outlined above, a</w:t>
      </w:r>
      <w:r w:rsidR="002245E2">
        <w:t xml:space="preserve">n individual’s </w:t>
      </w:r>
      <w:r w:rsidR="00D93174" w:rsidRPr="00FF6A19">
        <w:t xml:space="preserve">level of educational attainment can </w:t>
      </w:r>
      <w:r w:rsidR="002245E2">
        <w:t>affect their</w:t>
      </w:r>
      <w:r w:rsidR="00D93174" w:rsidRPr="003E281F">
        <w:rPr>
          <w:color w:val="0070C0"/>
        </w:rPr>
        <w:t xml:space="preserve"> </w:t>
      </w:r>
      <w:r w:rsidR="00D93174" w:rsidRPr="00FF6A19">
        <w:t xml:space="preserve">employment </w:t>
      </w:r>
      <w:r w:rsidR="004E25BD" w:rsidRPr="00FF6A19">
        <w:t>s</w:t>
      </w:r>
      <w:r w:rsidR="002A6AEC">
        <w:t>tatus. In 201</w:t>
      </w:r>
      <w:r w:rsidR="0012599D">
        <w:t>2</w:t>
      </w:r>
      <w:r w:rsidR="002245E2">
        <w:t xml:space="preserve">, </w:t>
      </w:r>
      <w:r w:rsidR="00BA29EE">
        <w:t>65.1</w:t>
      </w:r>
      <w:r w:rsidR="002245E2">
        <w:t xml:space="preserve"> per cent of people with a non-school vocational qualification aged 15</w:t>
      </w:r>
      <w:r w:rsidR="002245E2">
        <w:noBreakHyphen/>
        <w:t>64 years were employed</w:t>
      </w:r>
      <w:r w:rsidR="00D93174" w:rsidRPr="00FF6A19">
        <w:t xml:space="preserve"> </w:t>
      </w:r>
      <w:r w:rsidR="00BD4EDA">
        <w:t>(table BA.5).</w:t>
      </w:r>
      <w:r w:rsidR="00D93174" w:rsidRPr="00FF6A19">
        <w:t xml:space="preserve"> </w:t>
      </w:r>
      <w:r w:rsidR="002245E2">
        <w:t>Higher education levels are associated with higher employment levels. In 201</w:t>
      </w:r>
      <w:r w:rsidR="0012599D">
        <w:t>2</w:t>
      </w:r>
      <w:r w:rsidR="002245E2">
        <w:t>, p</w:t>
      </w:r>
      <w:r w:rsidR="00D93174" w:rsidRPr="00FF6A19">
        <w:t>eople whose highest non</w:t>
      </w:r>
      <w:r>
        <w:noBreakHyphen/>
      </w:r>
      <w:r w:rsidR="00D93174" w:rsidRPr="00FF6A19">
        <w:t xml:space="preserve">school qualification was a </w:t>
      </w:r>
      <w:r w:rsidR="002A6AEC">
        <w:t xml:space="preserve">bachelor degree or higher </w:t>
      </w:r>
      <w:r w:rsidR="00D93174" w:rsidRPr="00FF6A19">
        <w:t xml:space="preserve">were most likely to be employed </w:t>
      </w:r>
      <w:r w:rsidR="00D93174" w:rsidRPr="0078535C">
        <w:t>(</w:t>
      </w:r>
      <w:r w:rsidR="00BA29EE">
        <w:t>85.3</w:t>
      </w:r>
      <w:r w:rsidR="0012599D">
        <w:t> </w:t>
      </w:r>
      <w:r w:rsidR="00D93174" w:rsidRPr="0078535C">
        <w:t>per cent), while people who did not complete secondary school were the le</w:t>
      </w:r>
      <w:r w:rsidR="00EC6EEF" w:rsidRPr="0078535C">
        <w:t>ast</w:t>
      </w:r>
      <w:r w:rsidR="00EC6EEF" w:rsidRPr="00FF6A19">
        <w:t xml:space="preserve"> likely to be </w:t>
      </w:r>
      <w:r w:rsidR="00EC6EEF" w:rsidRPr="0078535C">
        <w:t>employed (</w:t>
      </w:r>
      <w:r w:rsidR="00BA29EE">
        <w:t>57.6</w:t>
      </w:r>
      <w:r w:rsidR="00D93174" w:rsidRPr="00FF6A19">
        <w:t> per cent) (figure </w:t>
      </w:r>
      <w:r w:rsidR="00CA426B">
        <w:t>B.3</w:t>
      </w:r>
      <w:r w:rsidR="00D93174" w:rsidRPr="00FF6A19">
        <w:t>).</w:t>
      </w:r>
    </w:p>
    <w:p w:rsidR="00D93174" w:rsidRPr="00101F1E" w:rsidRDefault="00D93174" w:rsidP="00D93174">
      <w:pPr>
        <w:pStyle w:val="FigureTitle"/>
      </w:pPr>
      <w:r>
        <w:rPr>
          <w:b w:val="0"/>
        </w:rPr>
        <w:lastRenderedPageBreak/>
        <w:t xml:space="preserve">Figure </w:t>
      </w:r>
      <w:r w:rsidR="00CA426B">
        <w:rPr>
          <w:b w:val="0"/>
        </w:rPr>
        <w:t>B.3</w:t>
      </w:r>
      <w:r>
        <w:tab/>
      </w:r>
      <w:r w:rsidRPr="00CD33DD">
        <w:t>Level of highest non-school qualification, or school year completed for those without a non-school qualification, by labour force sta</w:t>
      </w:r>
      <w:r w:rsidR="002A6AEC">
        <w:t>tus, (15–64 year olds), 201</w:t>
      </w:r>
      <w:r w:rsidR="0012599D">
        <w:t>2</w:t>
      </w:r>
      <w:r w:rsidRPr="00CD33DD">
        <w:rPr>
          <w:rStyle w:val="NoteLabel"/>
          <w:b/>
        </w:rPr>
        <w:t>a</w:t>
      </w:r>
      <w:r>
        <w:rPr>
          <w:rStyle w:val="NoteLabel"/>
          <w:b/>
        </w:rPr>
        <w:t>, b, c</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D93174" w:rsidRPr="00CD33DD" w:rsidTr="00BA29EE">
        <w:tc>
          <w:tcPr>
            <w:tcW w:w="8777" w:type="dxa"/>
          </w:tcPr>
          <w:p w:rsidR="00D93174" w:rsidRPr="00CD33DD" w:rsidRDefault="00BA29EE" w:rsidP="002D58CB">
            <w:pPr>
              <w:pStyle w:val="Figure"/>
            </w:pPr>
            <w:r>
              <w:rPr>
                <w:noProof/>
              </w:rPr>
              <w:drawing>
                <wp:inline distT="0" distB="0" distL="0" distR="0" wp14:anchorId="5F814DA0" wp14:editId="7E8BDDF8">
                  <wp:extent cx="5400000" cy="2700000"/>
                  <wp:effectExtent l="0" t="0" r="0" b="5715"/>
                  <wp:docPr id="30" name="Chart 30" descr="Figure B.3 Level of highest non-school qualification, or school year completed for those without a non-school qualification, by labour force status, (15-64 year olds), 2012&#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bl>
    <w:p w:rsidR="00D93174" w:rsidRPr="008F6B1B" w:rsidRDefault="00D93174" w:rsidP="00D93174">
      <w:pPr>
        <w:pStyle w:val="Note"/>
      </w:pPr>
      <w:proofErr w:type="spellStart"/>
      <w:r w:rsidRPr="0004770D">
        <w:rPr>
          <w:b/>
        </w:rPr>
        <w:t>nfd</w:t>
      </w:r>
      <w:proofErr w:type="spellEnd"/>
      <w:r>
        <w:t xml:space="preserve"> = Not further defined. </w:t>
      </w:r>
      <w:proofErr w:type="spellStart"/>
      <w:r w:rsidRPr="0004770D">
        <w:rPr>
          <w:rStyle w:val="NoteLabel"/>
        </w:rPr>
        <w:t>a</w:t>
      </w:r>
      <w:proofErr w:type="spellEnd"/>
      <w:r w:rsidRPr="0004770D">
        <w:t xml:space="preserve"> The levels of qualifications are not necessarily listed in order fr</w:t>
      </w:r>
      <w:r>
        <w:t>om hi</w:t>
      </w:r>
      <w:r w:rsidR="008F4839">
        <w:t>ghest to lowest (that is, C</w:t>
      </w:r>
      <w:r>
        <w:t>ertificate</w:t>
      </w:r>
      <w:r w:rsidRPr="0004770D">
        <w:t xml:space="preserve"> I, II or </w:t>
      </w:r>
      <w:proofErr w:type="spellStart"/>
      <w:r w:rsidRPr="0004770D">
        <w:t>nfd</w:t>
      </w:r>
      <w:proofErr w:type="spellEnd"/>
      <w:r w:rsidRPr="0004770D">
        <w:t xml:space="preserve"> are not necessarily higher than year 12). </w:t>
      </w:r>
      <w:r>
        <w:rPr>
          <w:rStyle w:val="NoteLabel"/>
        </w:rPr>
        <w:t>b</w:t>
      </w:r>
      <w:r w:rsidRPr="0004770D">
        <w:t xml:space="preserve"> </w:t>
      </w:r>
      <w:r w:rsidRPr="009F3A4D">
        <w:t>The denominator for the proportion of people with a non</w:t>
      </w:r>
      <w:r>
        <w:rPr>
          <w:rFonts w:ascii="MS Mincho" w:eastAsia="MS Mincho" w:hAnsi="MS Mincho" w:cs="MS Mincho"/>
        </w:rPr>
        <w:t>-</w:t>
      </w:r>
      <w:r w:rsidRPr="009F3A4D">
        <w:t xml:space="preserve">school qualification is </w:t>
      </w:r>
      <w:r w:rsidR="00736B40">
        <w:t xml:space="preserve">the </w:t>
      </w:r>
      <w:r w:rsidRPr="009F3A4D">
        <w:t>level of education attained and the denominator for people without a non-school qualification is the highest year of schooling completed (for example the denominator for the proportion of those with year 12 is the number of people with year 12 as their highest year of schooling completed).</w:t>
      </w:r>
      <w:r>
        <w:t xml:space="preserve"> </w:t>
      </w:r>
      <w:r>
        <w:rPr>
          <w:rStyle w:val="NoteLabel"/>
        </w:rPr>
        <w:t>c</w:t>
      </w:r>
      <w:r>
        <w:t xml:space="preserve"> </w:t>
      </w:r>
      <w:r w:rsidRPr="00BB33B4">
        <w:t xml:space="preserve">The ABS </w:t>
      </w:r>
      <w:r w:rsidRPr="001C5932">
        <w:t>Survey of Education and Work</w:t>
      </w:r>
      <w:r w:rsidRPr="00BB33B4">
        <w:t xml:space="preserve"> is not conducted in Indigenous communities in very remote areas</w:t>
      </w:r>
      <w:r>
        <w:t xml:space="preserve">. </w:t>
      </w:r>
    </w:p>
    <w:p w:rsidR="00D93174" w:rsidRPr="00FF6A19" w:rsidRDefault="00D93174" w:rsidP="00D93174">
      <w:pPr>
        <w:pStyle w:val="Source"/>
      </w:pPr>
      <w:r w:rsidRPr="00B23BA5">
        <w:rPr>
          <w:i/>
        </w:rPr>
        <w:t>Source</w:t>
      </w:r>
      <w:r w:rsidRPr="00B23BA5">
        <w:t xml:space="preserve">: ABS </w:t>
      </w:r>
      <w:r>
        <w:t>(20</w:t>
      </w:r>
      <w:r w:rsidR="00954DC3">
        <w:t>1</w:t>
      </w:r>
      <w:r w:rsidR="00054F00">
        <w:t>3</w:t>
      </w:r>
      <w:r>
        <w:t xml:space="preserve">) </w:t>
      </w:r>
      <w:r w:rsidRPr="0098180B">
        <w:rPr>
          <w:i/>
        </w:rPr>
        <w:t>Education and Work</w:t>
      </w:r>
      <w:r w:rsidRPr="00D730AB">
        <w:rPr>
          <w:i/>
        </w:rPr>
        <w:t xml:space="preserve">, </w:t>
      </w:r>
      <w:r w:rsidRPr="00715EEC">
        <w:t>20</w:t>
      </w:r>
      <w:r w:rsidR="00954DC3">
        <w:t>1</w:t>
      </w:r>
      <w:r w:rsidR="0012599D">
        <w:t>2</w:t>
      </w:r>
      <w:r w:rsidRPr="00715EEC">
        <w:t xml:space="preserve">, </w:t>
      </w:r>
      <w:r w:rsidR="00657B66">
        <w:t>Cat. no. 6227.0; table BA.5</w:t>
      </w:r>
      <w:r w:rsidRPr="00FF6A19">
        <w:t>.</w:t>
      </w:r>
    </w:p>
    <w:p w:rsidR="002245E2" w:rsidRDefault="002245E2" w:rsidP="005B1170">
      <w:pPr>
        <w:pStyle w:val="BodyText"/>
      </w:pPr>
      <w:r>
        <w:t>Levels of qualifications are also associated with types of occupation. In 201</w:t>
      </w:r>
      <w:r w:rsidR="0012599D">
        <w:t>2</w:t>
      </w:r>
      <w:r>
        <w:t>:</w:t>
      </w:r>
    </w:p>
    <w:p w:rsidR="002245E2" w:rsidRDefault="00A671F4" w:rsidP="002245E2">
      <w:pPr>
        <w:pStyle w:val="ListBullet"/>
      </w:pPr>
      <w:r>
        <w:t>72.6</w:t>
      </w:r>
      <w:r w:rsidR="002245E2">
        <w:t xml:space="preserve"> per cent of people employed as professionals had completed a bachelor or higher degree as their level of highest non-school qualification</w:t>
      </w:r>
    </w:p>
    <w:p w:rsidR="002245E2" w:rsidRDefault="00A671F4" w:rsidP="002245E2">
      <w:pPr>
        <w:pStyle w:val="ListBullet"/>
      </w:pPr>
      <w:r>
        <w:t>49.2</w:t>
      </w:r>
      <w:r w:rsidR="002245E2">
        <w:t xml:space="preserve"> per cent of technicians and trade workers had completed a </w:t>
      </w:r>
      <w:r w:rsidR="008F4839">
        <w:t>C</w:t>
      </w:r>
      <w:r w:rsidR="002245E2">
        <w:t xml:space="preserve">ertificate III or IV as their highest level of non-school qualification </w:t>
      </w:r>
    </w:p>
    <w:p w:rsidR="004B598F" w:rsidRDefault="00A671F4" w:rsidP="002245E2">
      <w:pPr>
        <w:pStyle w:val="ListBullet"/>
      </w:pPr>
      <w:r>
        <w:t xml:space="preserve">61.2 </w:t>
      </w:r>
      <w:r w:rsidR="002245E2">
        <w:t xml:space="preserve">per cent of people employed as sales workers, </w:t>
      </w:r>
      <w:r>
        <w:t xml:space="preserve">59.4 per cent of </w:t>
      </w:r>
      <w:r w:rsidR="002245E2">
        <w:t xml:space="preserve">machinery operators and drivers, and </w:t>
      </w:r>
      <w:r>
        <w:t xml:space="preserve">62.2 per cent of </w:t>
      </w:r>
      <w:r w:rsidR="002245E2">
        <w:t xml:space="preserve">labourers were without a non-school qualification </w:t>
      </w:r>
      <w:r w:rsidR="004B598F" w:rsidRPr="00CD33DD">
        <w:t>(figure </w:t>
      </w:r>
      <w:r w:rsidR="00CA426B">
        <w:t>B.4</w:t>
      </w:r>
      <w:r w:rsidR="004B598F" w:rsidRPr="00CD33DD">
        <w:t>).</w:t>
      </w:r>
    </w:p>
    <w:p w:rsidR="004B598F" w:rsidRPr="00101F1E" w:rsidRDefault="004B598F" w:rsidP="004B598F">
      <w:pPr>
        <w:pStyle w:val="FigureTitle"/>
      </w:pPr>
      <w:r w:rsidRPr="00CD33DD">
        <w:rPr>
          <w:b w:val="0"/>
        </w:rPr>
        <w:lastRenderedPageBreak/>
        <w:t xml:space="preserve">Figure </w:t>
      </w:r>
      <w:r w:rsidR="00CA426B">
        <w:rPr>
          <w:b w:val="0"/>
        </w:rPr>
        <w:t>B.4</w:t>
      </w:r>
      <w:r w:rsidRPr="00CD33DD">
        <w:tab/>
        <w:t>Occupation of employed people, by level of highest non</w:t>
      </w:r>
      <w:r>
        <w:noBreakHyphen/>
      </w:r>
      <w:r w:rsidRPr="00CD33DD">
        <w:t>school qualification or school year completed for those without a non</w:t>
      </w:r>
      <w:r w:rsidRPr="00CD33DD">
        <w:noBreakHyphen/>
      </w:r>
      <w:r w:rsidRPr="005763FF">
        <w:t>school qualification, (15–74 year olds),</w:t>
      </w:r>
      <w:r w:rsidR="00EC6EEF">
        <w:t xml:space="preserve"> May 20</w:t>
      </w:r>
      <w:r w:rsidR="002A6AEC">
        <w:t>1</w:t>
      </w:r>
      <w:r w:rsidR="0012599D">
        <w:t>2</w:t>
      </w:r>
      <w:r w:rsidRPr="00CD33DD">
        <w:rPr>
          <w:rStyle w:val="NoteLabel"/>
          <w:b/>
        </w:rPr>
        <w:t>a</w:t>
      </w:r>
      <w:r>
        <w:rPr>
          <w:rStyle w:val="NoteLabel"/>
          <w:b/>
        </w:rPr>
        <w:t>, b</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4B598F" w:rsidRPr="00CD33DD" w:rsidTr="007D3923">
        <w:tc>
          <w:tcPr>
            <w:tcW w:w="8777" w:type="dxa"/>
          </w:tcPr>
          <w:p w:rsidR="004B598F" w:rsidRPr="00CD33DD" w:rsidRDefault="007D3923" w:rsidP="002D58CB">
            <w:pPr>
              <w:pStyle w:val="Figure"/>
            </w:pPr>
            <w:r>
              <w:rPr>
                <w:noProof/>
              </w:rPr>
              <w:drawing>
                <wp:inline distT="0" distB="0" distL="0" distR="0" wp14:anchorId="56CF740B" wp14:editId="6FA3BB0F">
                  <wp:extent cx="5389742" cy="2520000"/>
                  <wp:effectExtent l="0" t="0" r="1905" b="0"/>
                  <wp:docPr id="13" name="Chart 13" descr="Figure B.4 Occupation of employed people, by level of highest non-school qualification or school year completed for those without a non-school qualification, (15-74 year olds), May 2012&#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rsidR="004B598F" w:rsidRDefault="004B598F" w:rsidP="004B598F">
      <w:pPr>
        <w:pStyle w:val="Note"/>
      </w:pPr>
      <w:proofErr w:type="spellStart"/>
      <w:r w:rsidRPr="0004770D">
        <w:rPr>
          <w:b/>
        </w:rPr>
        <w:t>nfd</w:t>
      </w:r>
      <w:proofErr w:type="spellEnd"/>
      <w:r>
        <w:t xml:space="preserve"> = Not further defined.</w:t>
      </w:r>
      <w:r w:rsidRPr="001C37E8">
        <w:rPr>
          <w:b/>
        </w:rPr>
        <w:t xml:space="preserve"> </w:t>
      </w:r>
      <w:proofErr w:type="spellStart"/>
      <w:r>
        <w:rPr>
          <w:b/>
        </w:rPr>
        <w:t>ln</w:t>
      </w:r>
      <w:r w:rsidRPr="0004770D">
        <w:rPr>
          <w:b/>
        </w:rPr>
        <w:t>d</w:t>
      </w:r>
      <w:proofErr w:type="spellEnd"/>
      <w:r>
        <w:t xml:space="preserve"> = Level not defined. </w:t>
      </w:r>
      <w:proofErr w:type="spellStart"/>
      <w:r w:rsidRPr="00B23BA5">
        <w:rPr>
          <w:rStyle w:val="NoteLabel"/>
        </w:rPr>
        <w:t>a</w:t>
      </w:r>
      <w:proofErr w:type="spellEnd"/>
      <w:r w:rsidRPr="00B23BA5">
        <w:t xml:space="preserve"> The levels of qualifications are not necessarily listed in order fr</w:t>
      </w:r>
      <w:r>
        <w:t xml:space="preserve">om highest to lowest (that is, </w:t>
      </w:r>
      <w:r w:rsidR="008F4839">
        <w:t>C</w:t>
      </w:r>
      <w:r>
        <w:t>ertificate</w:t>
      </w:r>
      <w:r w:rsidRPr="00B23BA5">
        <w:t xml:space="preserve"> I, II or </w:t>
      </w:r>
      <w:proofErr w:type="spellStart"/>
      <w:r w:rsidRPr="00B23BA5">
        <w:t>nfd</w:t>
      </w:r>
      <w:proofErr w:type="spellEnd"/>
      <w:r w:rsidRPr="00B23BA5">
        <w:t xml:space="preserve"> are not necessarily higher than year 12</w:t>
      </w:r>
      <w:r>
        <w:t xml:space="preserve">). </w:t>
      </w:r>
      <w:r w:rsidRPr="002A1B60">
        <w:rPr>
          <w:rStyle w:val="NoteLabel"/>
        </w:rPr>
        <w:t>b</w:t>
      </w:r>
      <w:r w:rsidRPr="002A1B60">
        <w:t xml:space="preserve"> </w:t>
      </w:r>
      <w:r w:rsidR="005C646F" w:rsidRPr="00BB33B4">
        <w:t xml:space="preserve">The ABS </w:t>
      </w:r>
      <w:r w:rsidR="005C646F" w:rsidRPr="001C5932">
        <w:t>Survey of Education and Work</w:t>
      </w:r>
      <w:r w:rsidR="005C646F" w:rsidRPr="00BB33B4">
        <w:t xml:space="preserve"> is not conducted in Indigenous communities in very remote areas</w:t>
      </w:r>
      <w:r>
        <w:t>.</w:t>
      </w:r>
    </w:p>
    <w:p w:rsidR="004B598F" w:rsidRPr="00FF6A19" w:rsidRDefault="004B598F" w:rsidP="004B598F">
      <w:pPr>
        <w:pStyle w:val="Source"/>
      </w:pPr>
      <w:r w:rsidRPr="00B23BA5">
        <w:rPr>
          <w:i/>
        </w:rPr>
        <w:t>Source</w:t>
      </w:r>
      <w:r w:rsidRPr="00B23BA5">
        <w:t xml:space="preserve">: ABS </w:t>
      </w:r>
      <w:r>
        <w:t>(20</w:t>
      </w:r>
      <w:r w:rsidR="00BB160A">
        <w:t>1</w:t>
      </w:r>
      <w:r w:rsidR="00054F00">
        <w:t>3</w:t>
      </w:r>
      <w:r>
        <w:t xml:space="preserve"> and unpublished),</w:t>
      </w:r>
      <w:r w:rsidRPr="00B23BA5">
        <w:t xml:space="preserve"> </w:t>
      </w:r>
      <w:r w:rsidRPr="00FF6A19">
        <w:rPr>
          <w:i/>
        </w:rPr>
        <w:t xml:space="preserve">Education and Work, </w:t>
      </w:r>
      <w:r w:rsidR="00BB160A" w:rsidRPr="00FF6A19">
        <w:t>201</w:t>
      </w:r>
      <w:r w:rsidR="00390D5F">
        <w:t>2</w:t>
      </w:r>
      <w:r w:rsidR="00657B66">
        <w:t>, Cat. no. 6227.0; table BA.6</w:t>
      </w:r>
      <w:r w:rsidRPr="00FF6A19">
        <w:t>.</w:t>
      </w:r>
    </w:p>
    <w:p w:rsidR="002245E2" w:rsidRDefault="006F7CAF" w:rsidP="004B598F">
      <w:pPr>
        <w:pStyle w:val="BodyText"/>
      </w:pPr>
      <w:r w:rsidRPr="00FF6A19">
        <w:t>Extensive research has investigate</w:t>
      </w:r>
      <w:r w:rsidR="003608FD" w:rsidRPr="00FF6A19">
        <w:t>d</w:t>
      </w:r>
      <w:r w:rsidRPr="00FF6A19">
        <w:t xml:space="preserve"> the </w:t>
      </w:r>
      <w:r w:rsidR="003608FD" w:rsidRPr="00FF6A19">
        <w:t>effect</w:t>
      </w:r>
      <w:r w:rsidRPr="00FF6A19">
        <w:t xml:space="preserve"> of education on the wage</w:t>
      </w:r>
      <w:r w:rsidRPr="003608FD">
        <w:t xml:space="preserve"> levels of individuals. </w:t>
      </w:r>
    </w:p>
    <w:p w:rsidR="00FC69B0" w:rsidRPr="004B598F" w:rsidRDefault="00FC69B0" w:rsidP="00984B04">
      <w:pPr>
        <w:pStyle w:val="BodyText"/>
      </w:pPr>
      <w:r>
        <w:t>S</w:t>
      </w:r>
      <w:r w:rsidRPr="004B598F">
        <w:t>homos (2010</w:t>
      </w:r>
      <w:r>
        <w:t xml:space="preserve"> in PC 2011</w:t>
      </w:r>
      <w:r w:rsidRPr="004B598F">
        <w:t xml:space="preserve">) found that an improvement in literacy and numeracy skills is associated with an increase in hourly wage rates </w:t>
      </w:r>
      <w:r>
        <w:t>for men and women.</w:t>
      </w:r>
      <w:r w:rsidR="00984B04">
        <w:t xml:space="preserve"> Other international reviews support this </w:t>
      </w:r>
      <w:r w:rsidR="00AE2EB8">
        <w:t xml:space="preserve">general </w:t>
      </w:r>
      <w:r w:rsidR="00984B04">
        <w:t xml:space="preserve">finding. </w:t>
      </w:r>
      <w:r w:rsidR="00FF3EC8">
        <w:t>In short, h</w:t>
      </w:r>
      <w:r w:rsidR="00984B04">
        <w:t xml:space="preserve">igher level skills typically improve a person’s chances of employment and his or her earnings (OECD 2013). </w:t>
      </w:r>
    </w:p>
    <w:p w:rsidR="00D13D36" w:rsidRDefault="006F7CAF" w:rsidP="004B598F">
      <w:pPr>
        <w:pStyle w:val="BodyText"/>
      </w:pPr>
      <w:r w:rsidRPr="003608FD">
        <w:t>Leigh (2007</w:t>
      </w:r>
      <w:r w:rsidR="00FC69B0">
        <w:t xml:space="preserve"> in PC </w:t>
      </w:r>
      <w:r w:rsidR="002245E2">
        <w:t>2010</w:t>
      </w:r>
      <w:r w:rsidRPr="003608FD">
        <w:t xml:space="preserve">) examined </w:t>
      </w:r>
      <w:r w:rsidRPr="00C739A9">
        <w:rPr>
          <w:i/>
        </w:rPr>
        <w:t>H</w:t>
      </w:r>
      <w:r w:rsidR="00C739A9" w:rsidRPr="00C739A9">
        <w:rPr>
          <w:i/>
        </w:rPr>
        <w:t xml:space="preserve">ousehold </w:t>
      </w:r>
      <w:r w:rsidRPr="00C739A9">
        <w:rPr>
          <w:i/>
        </w:rPr>
        <w:t>I</w:t>
      </w:r>
      <w:r w:rsidR="00C739A9" w:rsidRPr="00C739A9">
        <w:rPr>
          <w:i/>
        </w:rPr>
        <w:t xml:space="preserve">ncome and </w:t>
      </w:r>
      <w:r w:rsidRPr="00C739A9">
        <w:rPr>
          <w:i/>
        </w:rPr>
        <w:t>L</w:t>
      </w:r>
      <w:r w:rsidR="00C739A9" w:rsidRPr="00C739A9">
        <w:rPr>
          <w:i/>
        </w:rPr>
        <w:t xml:space="preserve">abour </w:t>
      </w:r>
      <w:r w:rsidRPr="00C739A9">
        <w:rPr>
          <w:i/>
        </w:rPr>
        <w:t>D</w:t>
      </w:r>
      <w:r w:rsidR="00C739A9" w:rsidRPr="00C739A9">
        <w:rPr>
          <w:i/>
        </w:rPr>
        <w:t xml:space="preserve">ynamics in </w:t>
      </w:r>
      <w:r w:rsidRPr="00C739A9">
        <w:rPr>
          <w:i/>
        </w:rPr>
        <w:t>A</w:t>
      </w:r>
      <w:r w:rsidR="00C739A9" w:rsidRPr="00C739A9">
        <w:rPr>
          <w:i/>
        </w:rPr>
        <w:t>ustralia</w:t>
      </w:r>
      <w:r w:rsidRPr="003608FD">
        <w:t xml:space="preserve"> data and found that</w:t>
      </w:r>
      <w:r w:rsidR="00FC69B0">
        <w:t>,</w:t>
      </w:r>
      <w:r w:rsidRPr="003608FD">
        <w:t xml:space="preserve"> </w:t>
      </w:r>
      <w:r w:rsidR="008D18DD">
        <w:t>in Australia</w:t>
      </w:r>
      <w:r w:rsidR="00FC69B0">
        <w:t>,</w:t>
      </w:r>
      <w:r w:rsidR="008D18DD">
        <w:t xml:space="preserve"> </w:t>
      </w:r>
      <w:r w:rsidRPr="003608FD">
        <w:t>education had a significant positive effect on participation and productivity</w:t>
      </w:r>
      <w:r w:rsidR="00FC69B0">
        <w:t>,</w:t>
      </w:r>
      <w:r w:rsidRPr="003608FD">
        <w:t xml:space="preserve"> and </w:t>
      </w:r>
      <w:r w:rsidR="003608FD" w:rsidRPr="003608FD">
        <w:t xml:space="preserve">that higher levels of educational attainment had a statistically significant </w:t>
      </w:r>
      <w:r w:rsidR="00CC476D">
        <w:t xml:space="preserve">positive </w:t>
      </w:r>
      <w:r w:rsidR="003608FD" w:rsidRPr="003608FD">
        <w:t>effect on wages. The results suggested that individuals holding a degree qualification or higher earn</w:t>
      </w:r>
      <w:r w:rsidR="00FC69B0">
        <w:t>ed</w:t>
      </w:r>
      <w:r w:rsidR="003608FD" w:rsidRPr="003608FD">
        <w:t xml:space="preserve"> wages between 30 </w:t>
      </w:r>
      <w:r w:rsidR="00FC69B0">
        <w:t>and</w:t>
      </w:r>
      <w:r w:rsidR="003608FD" w:rsidRPr="003608FD">
        <w:t xml:space="preserve"> 45 per cent higher than people with otherwise similar characteristics who ha</w:t>
      </w:r>
      <w:r w:rsidR="00FC69B0">
        <w:t>d not completed year 12.</w:t>
      </w:r>
      <w:r w:rsidR="00B33B69">
        <w:t xml:space="preserve"> </w:t>
      </w:r>
      <w:r w:rsidR="00BF2B85">
        <w:t>Similar</w:t>
      </w:r>
      <w:r w:rsidR="00D13D36">
        <w:t xml:space="preserve"> patterns </w:t>
      </w:r>
      <w:r w:rsidR="00BF2B85">
        <w:t xml:space="preserve">have </w:t>
      </w:r>
      <w:r w:rsidR="00D13D36">
        <w:t>also be</w:t>
      </w:r>
      <w:r w:rsidR="00BF2B85">
        <w:t>en</w:t>
      </w:r>
      <w:r w:rsidR="00D13D36">
        <w:t xml:space="preserve"> observed internationally (OECD 2013). </w:t>
      </w:r>
    </w:p>
    <w:p w:rsidR="009A0352" w:rsidRDefault="002560BF" w:rsidP="00332652">
      <w:pPr>
        <w:pStyle w:val="BodyText"/>
        <w:rPr>
          <w:rFonts w:ascii="TimesNewRomanPSMT" w:hAnsi="TimesNewRomanPSMT" w:cs="TimesNewRomanPSMT"/>
          <w:szCs w:val="26"/>
        </w:rPr>
      </w:pPr>
      <w:r w:rsidRPr="00B7659F">
        <w:t xml:space="preserve">In addition </w:t>
      </w:r>
      <w:r w:rsidR="00A76486">
        <w:t xml:space="preserve">to </w:t>
      </w:r>
      <w:r w:rsidR="00332652">
        <w:t>providing benefits to the individual</w:t>
      </w:r>
      <w:r w:rsidR="007F1104">
        <w:t>,</w:t>
      </w:r>
      <w:r w:rsidR="00332652">
        <w:t xml:space="preserve"> </w:t>
      </w:r>
      <w:r w:rsidRPr="00B7659F">
        <w:t>improvements in</w:t>
      </w:r>
      <w:r w:rsidR="00B7659F">
        <w:t xml:space="preserve"> </w:t>
      </w:r>
      <w:r w:rsidRPr="00B7659F">
        <w:t xml:space="preserve">educational attainment </w:t>
      </w:r>
      <w:r w:rsidR="00332652">
        <w:t xml:space="preserve">also </w:t>
      </w:r>
      <w:r w:rsidRPr="00332652">
        <w:t>yield long-term</w:t>
      </w:r>
      <w:r w:rsidR="008C1CDB">
        <w:t>,</w:t>
      </w:r>
      <w:r w:rsidRPr="00332652">
        <w:t xml:space="preserve"> </w:t>
      </w:r>
      <w:r w:rsidR="00332652" w:rsidRPr="00332652">
        <w:t>public</w:t>
      </w:r>
      <w:r w:rsidR="008C1CDB">
        <w:t>,</w:t>
      </w:r>
      <w:r w:rsidR="00332652" w:rsidRPr="00332652">
        <w:t xml:space="preserve"> </w:t>
      </w:r>
      <w:r w:rsidRPr="00332652">
        <w:t xml:space="preserve">economic </w:t>
      </w:r>
      <w:r w:rsidR="00332652" w:rsidRPr="00332652">
        <w:t xml:space="preserve">and social benefits </w:t>
      </w:r>
      <w:r w:rsidR="005E011B">
        <w:t>(OECD </w:t>
      </w:r>
      <w:r w:rsidRPr="009A0352">
        <w:t>2008</w:t>
      </w:r>
      <w:r w:rsidR="00AB590E">
        <w:t>a</w:t>
      </w:r>
      <w:r w:rsidRPr="009A0352">
        <w:t>)</w:t>
      </w:r>
      <w:r w:rsidR="00332652" w:rsidRPr="009A0352">
        <w:t>.</w:t>
      </w:r>
    </w:p>
    <w:p w:rsidR="00925347" w:rsidRPr="00925347" w:rsidRDefault="00332652" w:rsidP="00925347">
      <w:pPr>
        <w:pStyle w:val="BodyText"/>
      </w:pPr>
      <w:r w:rsidRPr="00500E59">
        <w:lastRenderedPageBreak/>
        <w:t xml:space="preserve">Education and training </w:t>
      </w:r>
      <w:r w:rsidR="008C1CDB">
        <w:t>can</w:t>
      </w:r>
      <w:r w:rsidRPr="00500E59">
        <w:t xml:space="preserve"> </w:t>
      </w:r>
      <w:r w:rsidR="00500E59">
        <w:t>result in improved productivity</w:t>
      </w:r>
      <w:r w:rsidR="00FC69B0">
        <w:t>,</w:t>
      </w:r>
      <w:r w:rsidR="00500E59">
        <w:t xml:space="preserve"> as higher educational attainment is positively associated with lower unemployment rates and higher labour force </w:t>
      </w:r>
      <w:r w:rsidR="00437EE5">
        <w:t xml:space="preserve">participation </w:t>
      </w:r>
      <w:r w:rsidR="00437EE5" w:rsidRPr="00063DF0">
        <w:t>rates (ABS</w:t>
      </w:r>
      <w:r w:rsidR="00500E59" w:rsidRPr="00063DF0">
        <w:t xml:space="preserve"> 2010). </w:t>
      </w:r>
      <w:r w:rsidR="00AB6E91" w:rsidRPr="00063DF0">
        <w:t>Increased</w:t>
      </w:r>
      <w:r w:rsidR="00AB6E91">
        <w:t xml:space="preserve"> </w:t>
      </w:r>
      <w:r w:rsidR="00500E59">
        <w:t xml:space="preserve">educational attainment also </w:t>
      </w:r>
      <w:r w:rsidR="007F1104">
        <w:t>results in improved</w:t>
      </w:r>
      <w:r w:rsidR="00500E59">
        <w:t xml:space="preserve"> productivity through </w:t>
      </w:r>
      <w:r>
        <w:t>accelerated rates of innovation</w:t>
      </w:r>
      <w:r w:rsidR="00500E59">
        <w:t>,</w:t>
      </w:r>
      <w:r>
        <w:t xml:space="preserve"> the development of basic knowledge capabilities and the dissemination of new ideas</w:t>
      </w:r>
      <w:r w:rsidR="007F1104">
        <w:t xml:space="preserve"> (</w:t>
      </w:r>
      <w:r w:rsidR="00437EE5" w:rsidRPr="00EC6EEF">
        <w:t>Murray</w:t>
      </w:r>
      <w:r w:rsidR="00437EE5">
        <w:t xml:space="preserve"> 2009; </w:t>
      </w:r>
      <w:r w:rsidR="007F1104">
        <w:t>PC 2011).</w:t>
      </w:r>
      <w:r w:rsidR="00FC69B0">
        <w:t xml:space="preserve"> </w:t>
      </w:r>
      <w:r w:rsidR="00925347" w:rsidRPr="00925347">
        <w:t xml:space="preserve">Further education and training </w:t>
      </w:r>
      <w:r w:rsidR="00925347">
        <w:t>are key driver</w:t>
      </w:r>
      <w:r w:rsidR="008C1CDB">
        <w:t>s</w:t>
      </w:r>
      <w:r w:rsidR="00925347">
        <w:t xml:space="preserve"> in improving competitiveness and </w:t>
      </w:r>
      <w:r w:rsidR="00925347" w:rsidRPr="00925347">
        <w:t>a</w:t>
      </w:r>
      <w:r w:rsidR="00925347">
        <w:t>re</w:t>
      </w:r>
      <w:r w:rsidR="00925347" w:rsidRPr="00925347">
        <w:t xml:space="preserve"> critical </w:t>
      </w:r>
      <w:r w:rsidR="00BD4EDA">
        <w:t xml:space="preserve">to </w:t>
      </w:r>
      <w:r w:rsidR="00925347" w:rsidRPr="00925347">
        <w:t xml:space="preserve">Australia’s future prosperity </w:t>
      </w:r>
      <w:r w:rsidR="00BD4EDA">
        <w:t xml:space="preserve">by </w:t>
      </w:r>
      <w:r w:rsidR="00925347" w:rsidRPr="00925347">
        <w:t xml:space="preserve">improving </w:t>
      </w:r>
      <w:r w:rsidR="002D2924">
        <w:t xml:space="preserve">the </w:t>
      </w:r>
      <w:r w:rsidR="00925347" w:rsidRPr="00925347">
        <w:t xml:space="preserve">productivity of the labour force. A highly skilled and educated workforce can </w:t>
      </w:r>
      <w:r w:rsidR="00BD4EDA">
        <w:t xml:space="preserve">result in </w:t>
      </w:r>
      <w:r w:rsidR="00925347" w:rsidRPr="00925347">
        <w:t>innovation</w:t>
      </w:r>
      <w:r w:rsidR="008C1CDB">
        <w:t>,</w:t>
      </w:r>
      <w:r w:rsidR="00925347" w:rsidRPr="00925347">
        <w:t xml:space="preserve"> the implementation of technological advances and the ac</w:t>
      </w:r>
      <w:r w:rsidR="00925347">
        <w:t>cumulation of physical capital (</w:t>
      </w:r>
      <w:proofErr w:type="spellStart"/>
      <w:r w:rsidR="00831D28">
        <w:t>AGD</w:t>
      </w:r>
      <w:proofErr w:type="spellEnd"/>
      <w:r w:rsidR="00925347">
        <w:t xml:space="preserve"> 2010</w:t>
      </w:r>
      <w:r w:rsidR="006321D7">
        <w:t>; OECD 2013</w:t>
      </w:r>
      <w:r w:rsidR="00925347">
        <w:t>).</w:t>
      </w:r>
    </w:p>
    <w:p w:rsidR="00A05C8C" w:rsidRDefault="008B55A6" w:rsidP="0024064C">
      <w:pPr>
        <w:pStyle w:val="Heading4"/>
      </w:pPr>
      <w:r>
        <w:t xml:space="preserve">Factors </w:t>
      </w:r>
      <w:r w:rsidR="00FC69B0">
        <w:t>affecting</w:t>
      </w:r>
      <w:r>
        <w:t xml:space="preserve"> </w:t>
      </w:r>
      <w:r w:rsidR="001A2622">
        <w:t xml:space="preserve">engagement </w:t>
      </w:r>
      <w:r w:rsidR="00CE21A6">
        <w:t xml:space="preserve">in the </w:t>
      </w:r>
      <w:proofErr w:type="spellStart"/>
      <w:r w:rsidR="00F048B0">
        <w:t>CCET</w:t>
      </w:r>
      <w:proofErr w:type="spellEnd"/>
      <w:r w:rsidR="00CE21A6">
        <w:t xml:space="preserve"> sector</w:t>
      </w:r>
    </w:p>
    <w:p w:rsidR="00751A91" w:rsidRDefault="00751A91" w:rsidP="005454E6">
      <w:pPr>
        <w:pStyle w:val="BodyText"/>
        <w:rPr>
          <w:rFonts w:eastAsia="Lucida Sans Unicode" w:cs="Arial"/>
          <w:lang w:val="en-US" w:bidi="en-US"/>
        </w:rPr>
      </w:pPr>
      <w:r>
        <w:t>A</w:t>
      </w:r>
      <w:r w:rsidR="003B1288" w:rsidRPr="003B1288">
        <w:t xml:space="preserve"> </w:t>
      </w:r>
      <w:r w:rsidR="00232012" w:rsidRPr="003B1288">
        <w:rPr>
          <w:rFonts w:eastAsia="Lucida Sans Unicode" w:cs="Arial"/>
          <w:lang w:val="en-US" w:bidi="en-US"/>
        </w:rPr>
        <w:t xml:space="preserve">key challenge </w:t>
      </w:r>
      <w:r w:rsidR="00DA49CC">
        <w:rPr>
          <w:rFonts w:eastAsia="Lucida Sans Unicode" w:cs="Arial"/>
          <w:lang w:val="en-US" w:bidi="en-US"/>
        </w:rPr>
        <w:t xml:space="preserve">across the </w:t>
      </w:r>
      <w:proofErr w:type="spellStart"/>
      <w:r w:rsidR="00F048B0">
        <w:rPr>
          <w:rFonts w:eastAsia="Lucida Sans Unicode" w:cs="Arial"/>
          <w:lang w:val="en-US" w:bidi="en-US"/>
        </w:rPr>
        <w:t>CCET</w:t>
      </w:r>
      <w:proofErr w:type="spellEnd"/>
      <w:r w:rsidR="00DA49CC">
        <w:rPr>
          <w:rFonts w:eastAsia="Lucida Sans Unicode" w:cs="Arial"/>
          <w:lang w:val="en-US" w:bidi="en-US"/>
        </w:rPr>
        <w:t xml:space="preserve"> sector </w:t>
      </w:r>
      <w:r w:rsidR="00232012" w:rsidRPr="003B1288">
        <w:rPr>
          <w:rFonts w:eastAsia="Lucida Sans Unicode" w:cs="Arial"/>
          <w:lang w:val="en-US" w:bidi="en-US"/>
        </w:rPr>
        <w:t xml:space="preserve">is to address the achievement </w:t>
      </w:r>
      <w:r w:rsidR="00B17414">
        <w:rPr>
          <w:rFonts w:eastAsia="Lucida Sans Unicode" w:cs="Arial"/>
          <w:lang w:val="en-US" w:bidi="en-US"/>
        </w:rPr>
        <w:t xml:space="preserve">and attainment </w:t>
      </w:r>
      <w:r w:rsidR="00232012" w:rsidRPr="003B1288">
        <w:rPr>
          <w:rFonts w:eastAsia="Lucida Sans Unicode" w:cs="Arial"/>
          <w:lang w:val="en-US" w:bidi="en-US"/>
        </w:rPr>
        <w:t>gaps of the lowest performing students</w:t>
      </w:r>
      <w:r>
        <w:rPr>
          <w:rFonts w:eastAsia="Lucida Sans Unicode" w:cs="Arial"/>
          <w:lang w:val="en-US" w:bidi="en-US"/>
        </w:rPr>
        <w:t xml:space="preserve">. </w:t>
      </w:r>
      <w:r w:rsidR="005454E6">
        <w:rPr>
          <w:rFonts w:eastAsia="Lucida Sans Unicode" w:cs="Arial"/>
          <w:lang w:val="en-US" w:bidi="en-US"/>
        </w:rPr>
        <w:t>A</w:t>
      </w:r>
      <w:r>
        <w:rPr>
          <w:rFonts w:eastAsia="Lucida Sans Unicode" w:cs="Arial"/>
          <w:lang w:val="en-US" w:bidi="en-US"/>
        </w:rPr>
        <w:t xml:space="preserve"> range of </w:t>
      </w:r>
      <w:r w:rsidR="00BD0609">
        <w:rPr>
          <w:rFonts w:eastAsia="Lucida Sans Unicode" w:cs="Arial"/>
          <w:lang w:val="en-US" w:bidi="en-US"/>
        </w:rPr>
        <w:t xml:space="preserve">factors </w:t>
      </w:r>
      <w:r w:rsidR="00FC69B0">
        <w:rPr>
          <w:rFonts w:eastAsia="Lucida Sans Unicode" w:cs="Arial"/>
          <w:lang w:val="en-US" w:bidi="en-US"/>
        </w:rPr>
        <w:t>are associated with</w:t>
      </w:r>
      <w:r w:rsidR="00CD40CE">
        <w:rPr>
          <w:rFonts w:eastAsia="Lucida Sans Unicode" w:cs="Arial"/>
          <w:lang w:val="en-US" w:bidi="en-US"/>
        </w:rPr>
        <w:t xml:space="preserve"> performance inequality</w:t>
      </w:r>
      <w:r w:rsidR="00FC69B0">
        <w:rPr>
          <w:rFonts w:eastAsia="Lucida Sans Unicode" w:cs="Arial"/>
          <w:lang w:val="en-US" w:bidi="en-US"/>
        </w:rPr>
        <w:t>,</w:t>
      </w:r>
      <w:r w:rsidR="00CD40CE">
        <w:rPr>
          <w:rFonts w:eastAsia="Lucida Sans Unicode" w:cs="Arial"/>
          <w:lang w:val="en-US" w:bidi="en-US"/>
        </w:rPr>
        <w:t xml:space="preserve"> </w:t>
      </w:r>
      <w:r w:rsidR="005454E6">
        <w:rPr>
          <w:rFonts w:eastAsia="Lucida Sans Unicode" w:cs="Arial"/>
          <w:lang w:val="en-US" w:bidi="en-US"/>
        </w:rPr>
        <w:t>including</w:t>
      </w:r>
      <w:r>
        <w:rPr>
          <w:rFonts w:eastAsia="Lucida Sans Unicode" w:cs="Arial"/>
          <w:lang w:val="en-US" w:bidi="en-US"/>
        </w:rPr>
        <w:t xml:space="preserve"> socioeconomic</w:t>
      </w:r>
      <w:r w:rsidR="00C5382C">
        <w:rPr>
          <w:rFonts w:eastAsia="Lucida Sans Unicode" w:cs="Arial"/>
          <w:lang w:val="en-US" w:bidi="en-US"/>
        </w:rPr>
        <w:t xml:space="preserve"> </w:t>
      </w:r>
      <w:r w:rsidR="00B6496C">
        <w:rPr>
          <w:rFonts w:eastAsia="Lucida Sans Unicode" w:cs="Arial"/>
          <w:lang w:val="en-US" w:bidi="en-US"/>
        </w:rPr>
        <w:t>disadvantage</w:t>
      </w:r>
      <w:r>
        <w:rPr>
          <w:rFonts w:eastAsia="Lucida Sans Unicode" w:cs="Arial"/>
          <w:lang w:val="en-US" w:bidi="en-US"/>
        </w:rPr>
        <w:t xml:space="preserve">, </w:t>
      </w:r>
      <w:r w:rsidR="00CD40CE">
        <w:rPr>
          <w:rFonts w:eastAsia="Lucida Sans Unicode" w:cs="Arial"/>
          <w:lang w:val="en-US" w:bidi="en-US"/>
        </w:rPr>
        <w:t>geograph</w:t>
      </w:r>
      <w:r w:rsidR="00C24C75">
        <w:rPr>
          <w:rFonts w:eastAsia="Lucida Sans Unicode" w:cs="Arial"/>
          <w:lang w:val="en-US" w:bidi="en-US"/>
        </w:rPr>
        <w:t>y</w:t>
      </w:r>
      <w:r w:rsidR="00C5382C">
        <w:rPr>
          <w:rFonts w:eastAsia="Lucida Sans Unicode" w:cs="Arial"/>
          <w:lang w:val="en-US" w:bidi="en-US"/>
        </w:rPr>
        <w:t xml:space="preserve"> and </w:t>
      </w:r>
      <w:r w:rsidR="00B6496C">
        <w:rPr>
          <w:rFonts w:eastAsia="Lucida Sans Unicode" w:cs="Arial"/>
          <w:lang w:val="en-US" w:bidi="en-US"/>
        </w:rPr>
        <w:t>Indigenous status</w:t>
      </w:r>
      <w:r w:rsidR="00CD40CE">
        <w:rPr>
          <w:rFonts w:eastAsia="Lucida Sans Unicode" w:cs="Arial"/>
          <w:lang w:val="en-US" w:bidi="en-US"/>
        </w:rPr>
        <w:t>.</w:t>
      </w:r>
    </w:p>
    <w:p w:rsidR="0085753F" w:rsidRDefault="0085753F" w:rsidP="00C22C6A">
      <w:pPr>
        <w:pStyle w:val="BodyText"/>
        <w:rPr>
          <w:rFonts w:eastAsia="Lucida Sans Unicode"/>
        </w:rPr>
      </w:pPr>
      <w:r>
        <w:rPr>
          <w:rFonts w:eastAsia="Lucida Sans Unicode"/>
        </w:rPr>
        <w:t xml:space="preserve">Research </w:t>
      </w:r>
      <w:r w:rsidR="004D6DFA">
        <w:rPr>
          <w:rFonts w:eastAsia="Lucida Sans Unicode"/>
        </w:rPr>
        <w:t xml:space="preserve">by </w:t>
      </w:r>
      <w:proofErr w:type="spellStart"/>
      <w:r w:rsidR="004D6DFA">
        <w:rPr>
          <w:rFonts w:eastAsia="Lucida Sans Unicode"/>
        </w:rPr>
        <w:t>Jackiewicz</w:t>
      </w:r>
      <w:proofErr w:type="spellEnd"/>
      <w:r w:rsidR="004D6DFA">
        <w:rPr>
          <w:rFonts w:eastAsia="Lucida Sans Unicode"/>
        </w:rPr>
        <w:t xml:space="preserve"> et al. (2011) </w:t>
      </w:r>
      <w:r>
        <w:rPr>
          <w:rFonts w:eastAsia="Lucida Sans Unicode"/>
        </w:rPr>
        <w:t xml:space="preserve">regarding access of Indigenous </w:t>
      </w:r>
      <w:r w:rsidR="004E61B8">
        <w:rPr>
          <w:rFonts w:eastAsia="Lucida Sans Unicode"/>
        </w:rPr>
        <w:t>families</w:t>
      </w:r>
      <w:r>
        <w:rPr>
          <w:rFonts w:eastAsia="Lucida Sans Unicode"/>
        </w:rPr>
        <w:t xml:space="preserve"> to government-approved childcare services in Australia </w:t>
      </w:r>
      <w:r w:rsidR="004D6DFA">
        <w:rPr>
          <w:rFonts w:eastAsia="Lucida Sans Unicode"/>
        </w:rPr>
        <w:t xml:space="preserve">identifies </w:t>
      </w:r>
      <w:r w:rsidR="000F23DB">
        <w:rPr>
          <w:rFonts w:eastAsia="Lucida Sans Unicode"/>
        </w:rPr>
        <w:t xml:space="preserve">the following key barriers to engagement with childcare services: lack of available childcare places (including the availability of what families consider to be </w:t>
      </w:r>
      <w:r w:rsidR="004E61B8">
        <w:rPr>
          <w:rFonts w:eastAsia="Lucida Sans Unicode"/>
        </w:rPr>
        <w:t>culturally appropriate services)</w:t>
      </w:r>
      <w:r w:rsidR="000F23DB">
        <w:rPr>
          <w:rFonts w:eastAsia="Lucida Sans Unicode"/>
        </w:rPr>
        <w:t xml:space="preserve">, lack of transport to childcare services, affordability of childcare (including uncertainty about government subsidies), and </w:t>
      </w:r>
      <w:r w:rsidR="004E61B8">
        <w:rPr>
          <w:rFonts w:eastAsia="Lucida Sans Unicode"/>
        </w:rPr>
        <w:t xml:space="preserve">at times, limited </w:t>
      </w:r>
      <w:r w:rsidR="001F60E5">
        <w:rPr>
          <w:rFonts w:eastAsia="Lucida Sans Unicode"/>
        </w:rPr>
        <w:t xml:space="preserve">understanding </w:t>
      </w:r>
      <w:r w:rsidR="004E61B8">
        <w:rPr>
          <w:rFonts w:eastAsia="Lucida Sans Unicode"/>
        </w:rPr>
        <w:t xml:space="preserve">of the potential benefits of childcare for development in the early years and childcare’s role in providing support to families. </w:t>
      </w:r>
    </w:p>
    <w:p w:rsidR="00FF3EC8" w:rsidRDefault="00FC69B0" w:rsidP="00C22C6A">
      <w:pPr>
        <w:pStyle w:val="BodyText"/>
        <w:rPr>
          <w:rFonts w:eastAsia="Lucida Sans Unicode"/>
        </w:rPr>
      </w:pPr>
      <w:r w:rsidRPr="00DA49CC">
        <w:rPr>
          <w:rFonts w:eastAsia="Lucida Sans Unicode"/>
        </w:rPr>
        <w:t xml:space="preserve">Several Australian education researchers have identified a strong and enduring relationship between socioeconomic </w:t>
      </w:r>
      <w:r>
        <w:rPr>
          <w:rFonts w:eastAsia="Lucida Sans Unicode"/>
        </w:rPr>
        <w:t xml:space="preserve">disadvantage </w:t>
      </w:r>
      <w:r w:rsidRPr="00DA49CC">
        <w:rPr>
          <w:rFonts w:eastAsia="Lucida Sans Unicode"/>
        </w:rPr>
        <w:t>and poor educational attainment and outcomes</w:t>
      </w:r>
      <w:r w:rsidRPr="00FE3FD4">
        <w:rPr>
          <w:rFonts w:eastAsia="Lucida Sans Unicode"/>
        </w:rPr>
        <w:t xml:space="preserve">. </w:t>
      </w:r>
      <w:r w:rsidR="00FF3EC8">
        <w:rPr>
          <w:rFonts w:eastAsia="Lucida Sans Unicode"/>
        </w:rPr>
        <w:t xml:space="preserve">It has also been well established internationally that the socioeconomic status of individual students is strongly associated with educational achievement. </w:t>
      </w:r>
      <w:r w:rsidR="00B6496C">
        <w:rPr>
          <w:rFonts w:eastAsia="Lucida Sans Unicode"/>
        </w:rPr>
        <w:t>Socioeconomic disadvantage generally relate</w:t>
      </w:r>
      <w:r w:rsidR="008C1CDB">
        <w:rPr>
          <w:rFonts w:eastAsia="Lucida Sans Unicode"/>
        </w:rPr>
        <w:t>s</w:t>
      </w:r>
      <w:r w:rsidR="00B6496C">
        <w:rPr>
          <w:rFonts w:eastAsia="Lucida Sans Unicode"/>
        </w:rPr>
        <w:t xml:space="preserve"> to factors including low-quality living environment</w:t>
      </w:r>
      <w:r w:rsidR="008C1CDB">
        <w:rPr>
          <w:rFonts w:eastAsia="Lucida Sans Unicode"/>
        </w:rPr>
        <w:t>s</w:t>
      </w:r>
      <w:r w:rsidR="00B6496C">
        <w:rPr>
          <w:rFonts w:eastAsia="Lucida Sans Unicode"/>
        </w:rPr>
        <w:t xml:space="preserve">, family unemployment, </w:t>
      </w:r>
      <w:r w:rsidR="00673D70">
        <w:rPr>
          <w:rFonts w:eastAsia="Lucida Sans Unicode"/>
        </w:rPr>
        <w:t xml:space="preserve">low income, </w:t>
      </w:r>
      <w:r w:rsidR="00B6496C">
        <w:rPr>
          <w:rFonts w:eastAsia="Lucida Sans Unicode"/>
        </w:rPr>
        <w:t>poor health outcomes</w:t>
      </w:r>
      <w:r w:rsidR="00673D70">
        <w:rPr>
          <w:rFonts w:eastAsia="Lucida Sans Unicode"/>
        </w:rPr>
        <w:t xml:space="preserve"> and parental education levels</w:t>
      </w:r>
      <w:r w:rsidR="00FF3EC8">
        <w:rPr>
          <w:rFonts w:eastAsia="Lucida Sans Unicode"/>
        </w:rPr>
        <w:t xml:space="preserve"> (Perry and </w:t>
      </w:r>
      <w:proofErr w:type="spellStart"/>
      <w:r w:rsidR="00FF3EC8">
        <w:rPr>
          <w:rFonts w:eastAsia="Lucida Sans Unicode"/>
        </w:rPr>
        <w:t>McConney</w:t>
      </w:r>
      <w:proofErr w:type="spellEnd"/>
      <w:r w:rsidR="00FF3EC8">
        <w:rPr>
          <w:rFonts w:eastAsia="Lucida Sans Unicode"/>
        </w:rPr>
        <w:t xml:space="preserve"> 2010)</w:t>
      </w:r>
      <w:r w:rsidR="00B6496C">
        <w:rPr>
          <w:rFonts w:eastAsia="Lucida Sans Unicode"/>
        </w:rPr>
        <w:t xml:space="preserve">. </w:t>
      </w:r>
    </w:p>
    <w:p w:rsidR="00FC69B0" w:rsidRDefault="0067176A" w:rsidP="00C22C6A">
      <w:pPr>
        <w:pStyle w:val="BodyText"/>
        <w:rPr>
          <w:rFonts w:eastAsia="Lucida Sans Unicode"/>
        </w:rPr>
      </w:pPr>
      <w:r>
        <w:rPr>
          <w:rFonts w:eastAsia="Lucida Sans Unicode"/>
        </w:rPr>
        <w:t>S</w:t>
      </w:r>
      <w:r w:rsidR="00B6496C">
        <w:rPr>
          <w:rFonts w:eastAsia="Lucida Sans Unicode"/>
        </w:rPr>
        <w:t xml:space="preserve">ocioeconomic disadvantage can result in poor </w:t>
      </w:r>
      <w:r w:rsidR="00673D70">
        <w:rPr>
          <w:rFonts w:eastAsia="Lucida Sans Unicode"/>
        </w:rPr>
        <w:t xml:space="preserve">school </w:t>
      </w:r>
      <w:r w:rsidR="00B6496C">
        <w:rPr>
          <w:rFonts w:eastAsia="Lucida Sans Unicode"/>
        </w:rPr>
        <w:t>attendance</w:t>
      </w:r>
      <w:r w:rsidR="00673D70">
        <w:rPr>
          <w:rFonts w:eastAsia="Lucida Sans Unicode"/>
        </w:rPr>
        <w:t xml:space="preserve"> and lower </w:t>
      </w:r>
      <w:r w:rsidR="00B6496C">
        <w:rPr>
          <w:rFonts w:eastAsia="Lucida Sans Unicode"/>
        </w:rPr>
        <w:t>retention rates, less readiness for schooling and poo</w:t>
      </w:r>
      <w:r w:rsidR="00673D70">
        <w:rPr>
          <w:rFonts w:eastAsia="Lucida Sans Unicode"/>
        </w:rPr>
        <w:t>r</w:t>
      </w:r>
      <w:r w:rsidR="00B6496C">
        <w:rPr>
          <w:rFonts w:eastAsia="Lucida Sans Unicode"/>
        </w:rPr>
        <w:t>er average outcome</w:t>
      </w:r>
      <w:r w:rsidR="00673D70">
        <w:rPr>
          <w:rFonts w:eastAsia="Lucida Sans Unicode"/>
        </w:rPr>
        <w:t>s at school</w:t>
      </w:r>
      <w:r w:rsidR="00FC69B0">
        <w:rPr>
          <w:rFonts w:eastAsia="Lucida Sans Unicode"/>
        </w:rPr>
        <w:t>,</w:t>
      </w:r>
      <w:r w:rsidR="00673D70">
        <w:rPr>
          <w:rFonts w:eastAsia="Lucida Sans Unicode"/>
        </w:rPr>
        <w:t xml:space="preserve"> as </w:t>
      </w:r>
      <w:r w:rsidR="00C739A9">
        <w:rPr>
          <w:rFonts w:eastAsia="Lucida Sans Unicode"/>
        </w:rPr>
        <w:t xml:space="preserve">students </w:t>
      </w:r>
      <w:r w:rsidR="00673D70">
        <w:rPr>
          <w:rFonts w:eastAsia="Lucida Sans Unicode"/>
        </w:rPr>
        <w:t xml:space="preserve">are </w:t>
      </w:r>
      <w:r w:rsidR="005B6483" w:rsidRPr="005B6483">
        <w:rPr>
          <w:rFonts w:eastAsia="Lucida Sans Unicode"/>
        </w:rPr>
        <w:t xml:space="preserve">less likely to have </w:t>
      </w:r>
      <w:r w:rsidR="00FC69B0">
        <w:rPr>
          <w:rFonts w:eastAsia="Lucida Sans Unicode"/>
        </w:rPr>
        <w:t xml:space="preserve">parental academic support or </w:t>
      </w:r>
      <w:r w:rsidR="005B6483" w:rsidRPr="005B6483">
        <w:rPr>
          <w:rFonts w:eastAsia="Lucida Sans Unicode"/>
        </w:rPr>
        <w:t>resourc</w:t>
      </w:r>
      <w:r w:rsidR="00673D70">
        <w:rPr>
          <w:rFonts w:eastAsia="Lucida Sans Unicode"/>
        </w:rPr>
        <w:t>es that stimulate learning</w:t>
      </w:r>
      <w:r w:rsidR="00673D70" w:rsidRPr="00B6496C">
        <w:rPr>
          <w:rFonts w:eastAsia="Lucida Sans Unicode"/>
        </w:rPr>
        <w:t>.</w:t>
      </w:r>
      <w:r w:rsidR="00C22C6A">
        <w:rPr>
          <w:rFonts w:eastAsia="Lucida Sans Unicode"/>
        </w:rPr>
        <w:t xml:space="preserve"> </w:t>
      </w:r>
      <w:r w:rsidR="00007AB6">
        <w:rPr>
          <w:rFonts w:eastAsia="Lucida Sans Unicode"/>
        </w:rPr>
        <w:t>R</w:t>
      </w:r>
      <w:r w:rsidR="00FC69B0">
        <w:rPr>
          <w:rFonts w:eastAsia="Lucida Sans Unicode"/>
        </w:rPr>
        <w:t xml:space="preserve">esearch suggests that poor school </w:t>
      </w:r>
      <w:r w:rsidR="00C22C6A">
        <w:rPr>
          <w:rFonts w:eastAsia="Lucida Sans Unicode"/>
        </w:rPr>
        <w:t xml:space="preserve">attendance in schooling may </w:t>
      </w:r>
      <w:r w:rsidR="00FC69B0">
        <w:rPr>
          <w:rFonts w:eastAsia="Lucida Sans Unicode"/>
        </w:rPr>
        <w:t>be associated with</w:t>
      </w:r>
      <w:r w:rsidR="00C22C6A">
        <w:rPr>
          <w:rFonts w:eastAsia="Lucida Sans Unicode"/>
        </w:rPr>
        <w:t xml:space="preserve"> </w:t>
      </w:r>
      <w:r w:rsidR="00007AB6">
        <w:rPr>
          <w:rFonts w:eastAsia="Lucida Sans Unicode"/>
        </w:rPr>
        <w:t>poor parental attitudes towards schooling, society insufficiently valuing education</w:t>
      </w:r>
      <w:r w:rsidR="00F30EDF">
        <w:rPr>
          <w:rFonts w:eastAsia="Lucida Sans Unicode"/>
        </w:rPr>
        <w:t xml:space="preserve"> </w:t>
      </w:r>
      <w:r w:rsidR="00FC69B0">
        <w:rPr>
          <w:rFonts w:eastAsia="Lucida Sans Unicode"/>
        </w:rPr>
        <w:t>and</w:t>
      </w:r>
      <w:r w:rsidR="00F30EDF">
        <w:rPr>
          <w:rFonts w:eastAsia="Lucida Sans Unicode"/>
        </w:rPr>
        <w:t xml:space="preserve"> poor teacher quality </w:t>
      </w:r>
      <w:r w:rsidR="00665E88">
        <w:rPr>
          <w:rFonts w:eastAsia="Lucida Sans Unicode"/>
        </w:rPr>
        <w:t>(</w:t>
      </w:r>
      <w:proofErr w:type="spellStart"/>
      <w:r w:rsidR="00665E88">
        <w:rPr>
          <w:rFonts w:eastAsia="Lucida Sans Unicode"/>
        </w:rPr>
        <w:t>AIHW</w:t>
      </w:r>
      <w:proofErr w:type="spellEnd"/>
      <w:r w:rsidR="00665E88">
        <w:rPr>
          <w:rFonts w:eastAsia="Lucida Sans Unicode"/>
        </w:rPr>
        <w:t> </w:t>
      </w:r>
      <w:r w:rsidR="00007AB6">
        <w:rPr>
          <w:rFonts w:eastAsia="Lucida Sans Unicode"/>
        </w:rPr>
        <w:t>2010).</w:t>
      </w:r>
      <w:r w:rsidR="00FC69B0">
        <w:rPr>
          <w:rFonts w:eastAsia="Lucida Sans Unicode"/>
        </w:rPr>
        <w:t xml:space="preserve"> </w:t>
      </w:r>
      <w:r w:rsidR="00DB04BE">
        <w:rPr>
          <w:rFonts w:eastAsia="Lucida Sans Unicode"/>
        </w:rPr>
        <w:t xml:space="preserve">Attendance at school influences academic achievement. </w:t>
      </w:r>
      <w:r w:rsidR="00F83990">
        <w:rPr>
          <w:rFonts w:eastAsia="Lucida Sans Unicode"/>
        </w:rPr>
        <w:t>Hancock et al</w:t>
      </w:r>
      <w:r w:rsidR="005C0D07">
        <w:rPr>
          <w:rFonts w:eastAsia="Lucida Sans Unicode"/>
        </w:rPr>
        <w:t>.</w:t>
      </w:r>
      <w:r w:rsidR="00F83990">
        <w:rPr>
          <w:rFonts w:eastAsia="Lucida Sans Unicode"/>
        </w:rPr>
        <w:t xml:space="preserve"> (2013) found that </w:t>
      </w:r>
      <w:r w:rsidR="00DB04BE" w:rsidRPr="00DB04BE">
        <w:rPr>
          <w:rFonts w:eastAsia="Lucida Sans Unicode"/>
        </w:rPr>
        <w:t xml:space="preserve">average </w:t>
      </w:r>
      <w:r w:rsidR="00DB04BE" w:rsidRPr="00DB04BE">
        <w:rPr>
          <w:rFonts w:eastAsia="Lucida Sans Unicode"/>
        </w:rPr>
        <w:lastRenderedPageBreak/>
        <w:t xml:space="preserve">academic achievement on </w:t>
      </w:r>
      <w:proofErr w:type="spellStart"/>
      <w:r w:rsidR="00DB04BE" w:rsidRPr="00DB04BE">
        <w:rPr>
          <w:rFonts w:eastAsia="Lucida Sans Unicode"/>
        </w:rPr>
        <w:t>NAPLAN</w:t>
      </w:r>
      <w:proofErr w:type="spellEnd"/>
      <w:r w:rsidR="00DB04BE" w:rsidRPr="00DB04BE">
        <w:rPr>
          <w:rFonts w:eastAsia="Lucida Sans Unicode"/>
        </w:rPr>
        <w:t xml:space="preserve"> tests declined with any absence from school and continued to decline as absence rates increased</w:t>
      </w:r>
      <w:r w:rsidR="00DB04BE">
        <w:rPr>
          <w:rFonts w:eastAsia="Lucida Sans Unicode"/>
        </w:rPr>
        <w:t xml:space="preserve">. </w:t>
      </w:r>
      <w:r w:rsidR="00DB04BE" w:rsidRPr="00DB04BE">
        <w:rPr>
          <w:rFonts w:eastAsia="Lucida Sans Unicode"/>
        </w:rPr>
        <w:t xml:space="preserve">The effects of absence also accumulate over time. </w:t>
      </w:r>
      <w:r w:rsidR="00F83990">
        <w:rPr>
          <w:rFonts w:eastAsia="Lucida Sans Unicode"/>
        </w:rPr>
        <w:t>Hancock et al</w:t>
      </w:r>
      <w:r w:rsidR="005C0D07">
        <w:rPr>
          <w:rFonts w:eastAsia="Lucida Sans Unicode"/>
        </w:rPr>
        <w:t>.</w:t>
      </w:r>
      <w:r w:rsidR="00F83990">
        <w:rPr>
          <w:rFonts w:eastAsia="Lucida Sans Unicode"/>
        </w:rPr>
        <w:t xml:space="preserve"> (2013) </w:t>
      </w:r>
      <w:r w:rsidR="0019635E">
        <w:rPr>
          <w:rFonts w:eastAsia="Lucida Sans Unicode"/>
        </w:rPr>
        <w:t xml:space="preserve">also </w:t>
      </w:r>
      <w:r w:rsidR="00DB04BE" w:rsidRPr="00DB04BE">
        <w:rPr>
          <w:rFonts w:eastAsia="Lucida Sans Unicode"/>
        </w:rPr>
        <w:t xml:space="preserve">found that absence from school was related to </w:t>
      </w:r>
      <w:r w:rsidR="00F83990">
        <w:rPr>
          <w:rFonts w:eastAsia="Lucida Sans Unicode"/>
        </w:rPr>
        <w:t xml:space="preserve">poorer </w:t>
      </w:r>
      <w:r w:rsidR="00DB04BE" w:rsidRPr="00DB04BE">
        <w:rPr>
          <w:rFonts w:eastAsia="Lucida Sans Unicode"/>
        </w:rPr>
        <w:t>academic achievement in numeracy, reading and writing in the current year</w:t>
      </w:r>
      <w:r w:rsidR="00F83990">
        <w:rPr>
          <w:rFonts w:eastAsia="Lucida Sans Unicode"/>
        </w:rPr>
        <w:t xml:space="preserve"> and in </w:t>
      </w:r>
      <w:r w:rsidR="00DB04BE" w:rsidRPr="00DB04BE">
        <w:rPr>
          <w:rFonts w:eastAsia="Lucida Sans Unicode"/>
        </w:rPr>
        <w:t>future years.</w:t>
      </w:r>
    </w:p>
    <w:p w:rsidR="0077107B" w:rsidRDefault="005748BF" w:rsidP="00C22C6A">
      <w:pPr>
        <w:pStyle w:val="BodyText"/>
      </w:pPr>
      <w:r w:rsidRPr="00006F55">
        <w:t xml:space="preserve">In addition to family socioeconomic status, researchers have investigated the impact of school socioeconomic status. Perry and </w:t>
      </w:r>
      <w:proofErr w:type="spellStart"/>
      <w:r w:rsidRPr="00006F55">
        <w:t>McConney’s</w:t>
      </w:r>
      <w:proofErr w:type="spellEnd"/>
      <w:r w:rsidRPr="00006F55">
        <w:t xml:space="preserve"> (2010) analysis </w:t>
      </w:r>
      <w:r w:rsidR="000B04C8">
        <w:t xml:space="preserve">of PISA data </w:t>
      </w:r>
      <w:r w:rsidR="0077107B" w:rsidRPr="00006F55">
        <w:t>show</w:t>
      </w:r>
      <w:r w:rsidRPr="00006F55">
        <w:t>ed</w:t>
      </w:r>
      <w:r w:rsidR="0077107B" w:rsidRPr="00006F55">
        <w:t xml:space="preserve"> that increases in school </w:t>
      </w:r>
      <w:r w:rsidRPr="00006F55">
        <w:t>socioeconomic status</w:t>
      </w:r>
      <w:r w:rsidR="0077107B" w:rsidRPr="00006F55">
        <w:t xml:space="preserve"> are consistently associated with increases in students’ academic performance, and that this relationship holds regardless of individual students’ </w:t>
      </w:r>
      <w:r w:rsidRPr="00006F55">
        <w:t>socioeconomic status</w:t>
      </w:r>
      <w:r w:rsidR="0077107B" w:rsidRPr="00006F55">
        <w:t xml:space="preserve">. </w:t>
      </w:r>
      <w:r w:rsidR="000B04C8">
        <w:t xml:space="preserve">In short, all students — regardless of their personal socioeconomic status — </w:t>
      </w:r>
      <w:r w:rsidR="00F13055">
        <w:t>benefit strongly and relatively equally from schooling contexts in which the socioeconomic status of the school group is high. On average, all students, regardless of their individual socioecon</w:t>
      </w:r>
      <w:r w:rsidR="00256365">
        <w:t>omic status perform considerably</w:t>
      </w:r>
      <w:r w:rsidR="00F13055">
        <w:t xml:space="preserve"> less well on measures of academic achievement in school contexts characterised as low on the socioeconomic status continuum. </w:t>
      </w:r>
      <w:r w:rsidRPr="00006F55">
        <w:t xml:space="preserve">Perry and </w:t>
      </w:r>
      <w:proofErr w:type="spellStart"/>
      <w:r w:rsidRPr="00006F55">
        <w:t>McConney</w:t>
      </w:r>
      <w:proofErr w:type="spellEnd"/>
      <w:r w:rsidRPr="00006F55">
        <w:t xml:space="preserve"> (2010) concluded that, i</w:t>
      </w:r>
      <w:r w:rsidR="00006F55">
        <w:t>n Australia, the socio</w:t>
      </w:r>
      <w:r w:rsidR="0077107B" w:rsidRPr="00006F55">
        <w:t xml:space="preserve">economic profile of </w:t>
      </w:r>
      <w:r w:rsidRPr="00006F55">
        <w:t>a</w:t>
      </w:r>
      <w:r w:rsidR="0077107B" w:rsidRPr="00006F55">
        <w:t xml:space="preserve"> school matters substantially </w:t>
      </w:r>
      <w:r w:rsidRPr="00006F55">
        <w:t xml:space="preserve">for students’ </w:t>
      </w:r>
      <w:r w:rsidR="00A5287D">
        <w:t xml:space="preserve">academic achievement. </w:t>
      </w:r>
    </w:p>
    <w:p w:rsidR="00744A61" w:rsidRPr="003759A8" w:rsidRDefault="003759A8" w:rsidP="00C22C6A">
      <w:pPr>
        <w:pStyle w:val="BodyText"/>
        <w:rPr>
          <w:rStyle w:val="DraftingNote"/>
          <w:rFonts w:eastAsia="Lucida Sans Unicode"/>
          <w:b w:val="0"/>
          <w:color w:val="auto"/>
          <w:sz w:val="26"/>
          <w:u w:val="none"/>
        </w:rPr>
      </w:pPr>
      <w:r>
        <w:t xml:space="preserve">The significance of these socioeconomic barriers to education is illustrated by </w:t>
      </w:r>
      <w:proofErr w:type="spellStart"/>
      <w:r>
        <w:t>COAG’s</w:t>
      </w:r>
      <w:proofErr w:type="spellEnd"/>
      <w:r>
        <w:t xml:space="preserve"> endorsement of the </w:t>
      </w:r>
      <w:r w:rsidRPr="003759A8">
        <w:rPr>
          <w:i/>
        </w:rPr>
        <w:t>National Par</w:t>
      </w:r>
      <w:r w:rsidR="006321D7">
        <w:rPr>
          <w:i/>
        </w:rPr>
        <w:t>tnership Agreement on Low Socio</w:t>
      </w:r>
      <w:r w:rsidR="006321D7">
        <w:rPr>
          <w:i/>
        </w:rPr>
        <w:noBreakHyphen/>
      </w:r>
      <w:r w:rsidRPr="003759A8">
        <w:rPr>
          <w:i/>
        </w:rPr>
        <w:t>economic St</w:t>
      </w:r>
      <w:r>
        <w:rPr>
          <w:i/>
        </w:rPr>
        <w:t>a</w:t>
      </w:r>
      <w:r w:rsidRPr="003759A8">
        <w:rPr>
          <w:i/>
        </w:rPr>
        <w:t>tus school communities</w:t>
      </w:r>
      <w:r>
        <w:t xml:space="preserve"> (</w:t>
      </w:r>
      <w:proofErr w:type="spellStart"/>
      <w:r>
        <w:t>COAG</w:t>
      </w:r>
      <w:proofErr w:type="spellEnd"/>
      <w:r>
        <w:t xml:space="preserve"> 2008</w:t>
      </w:r>
      <w:r w:rsidR="002533BD">
        <w:t>d</w:t>
      </w:r>
      <w:r w:rsidR="00B4338F">
        <w:t>;</w:t>
      </w:r>
      <w:r w:rsidR="006428E4">
        <w:t xml:space="preserve"> </w:t>
      </w:r>
      <w:proofErr w:type="spellStart"/>
      <w:r w:rsidR="005C0D07" w:rsidRPr="00B6496C">
        <w:rPr>
          <w:rFonts w:eastAsia="Lucida Sans Unicode"/>
        </w:rPr>
        <w:t>DEEC</w:t>
      </w:r>
      <w:r w:rsidR="005C0D07">
        <w:rPr>
          <w:rFonts w:eastAsia="Lucida Sans Unicode"/>
        </w:rPr>
        <w:t>D</w:t>
      </w:r>
      <w:proofErr w:type="spellEnd"/>
      <w:r w:rsidR="005C0D07">
        <w:rPr>
          <w:rFonts w:eastAsia="Lucida Sans Unicode"/>
        </w:rPr>
        <w:t xml:space="preserve"> 2010; </w:t>
      </w:r>
      <w:r w:rsidR="003B122B">
        <w:rPr>
          <w:rFonts w:eastAsia="Lucida Sans Unicode"/>
        </w:rPr>
        <w:t>Perry</w:t>
      </w:r>
      <w:r w:rsidR="00BD4EDA">
        <w:rPr>
          <w:rFonts w:eastAsia="Lucida Sans Unicode"/>
        </w:rPr>
        <w:t xml:space="preserve"> and </w:t>
      </w:r>
      <w:proofErr w:type="spellStart"/>
      <w:r w:rsidR="00BD4EDA">
        <w:rPr>
          <w:rFonts w:eastAsia="Lucida Sans Unicode"/>
        </w:rPr>
        <w:t>McConney</w:t>
      </w:r>
      <w:proofErr w:type="spellEnd"/>
      <w:r w:rsidR="003B122B">
        <w:rPr>
          <w:rFonts w:eastAsia="Lucida Sans Unicode"/>
        </w:rPr>
        <w:t xml:space="preserve"> </w:t>
      </w:r>
      <w:r w:rsidR="006428E4" w:rsidRPr="00DA49CC">
        <w:rPr>
          <w:rFonts w:eastAsia="Lucida Sans Unicode"/>
        </w:rPr>
        <w:t>2010</w:t>
      </w:r>
      <w:r>
        <w:t>).</w:t>
      </w:r>
    </w:p>
    <w:p w:rsidR="00146BD2" w:rsidRDefault="007646BA" w:rsidP="005B1170">
      <w:pPr>
        <w:pStyle w:val="BodyText"/>
        <w:rPr>
          <w:rFonts w:eastAsia="Lucida Sans Unicode"/>
        </w:rPr>
      </w:pPr>
      <w:r w:rsidRPr="00DA49CC">
        <w:rPr>
          <w:rFonts w:eastAsia="Lucida Sans Unicode"/>
        </w:rPr>
        <w:t xml:space="preserve">Geographical barriers to engagement in the </w:t>
      </w:r>
      <w:proofErr w:type="spellStart"/>
      <w:r w:rsidR="00F048B0">
        <w:rPr>
          <w:rFonts w:eastAsia="Lucida Sans Unicode"/>
        </w:rPr>
        <w:t>CCET</w:t>
      </w:r>
      <w:proofErr w:type="spellEnd"/>
      <w:r w:rsidRPr="00DA49CC">
        <w:rPr>
          <w:rFonts w:eastAsia="Lucida Sans Unicode"/>
        </w:rPr>
        <w:t xml:space="preserve"> sector </w:t>
      </w:r>
      <w:r w:rsidR="00626882">
        <w:rPr>
          <w:rFonts w:eastAsia="Lucida Sans Unicode"/>
        </w:rPr>
        <w:t xml:space="preserve">are faced mainly by </w:t>
      </w:r>
      <w:r w:rsidR="00BD4EDA">
        <w:rPr>
          <w:rFonts w:eastAsia="Lucida Sans Unicode"/>
        </w:rPr>
        <w:t xml:space="preserve">people </w:t>
      </w:r>
      <w:r w:rsidR="005437A5">
        <w:rPr>
          <w:rFonts w:eastAsia="Lucida Sans Unicode"/>
        </w:rPr>
        <w:t>living in rural and remote areas</w:t>
      </w:r>
      <w:r w:rsidR="00C739A9">
        <w:rPr>
          <w:rFonts w:eastAsia="Lucida Sans Unicode"/>
        </w:rPr>
        <w:t xml:space="preserve"> and </w:t>
      </w:r>
      <w:r w:rsidR="00673D70">
        <w:rPr>
          <w:rFonts w:eastAsia="Lucida Sans Unicode"/>
        </w:rPr>
        <w:t xml:space="preserve">relate </w:t>
      </w:r>
      <w:r w:rsidR="005437A5">
        <w:rPr>
          <w:rFonts w:eastAsia="Lucida Sans Unicode"/>
        </w:rPr>
        <w:t>to limited access to quality education and training resources</w:t>
      </w:r>
      <w:r w:rsidRPr="00DA49CC">
        <w:rPr>
          <w:rFonts w:eastAsia="Lucida Sans Unicode"/>
        </w:rPr>
        <w:t>.</w:t>
      </w:r>
      <w:r w:rsidR="00EB79B8">
        <w:rPr>
          <w:rFonts w:eastAsia="Lucida Sans Unicode"/>
        </w:rPr>
        <w:t xml:space="preserve"> </w:t>
      </w:r>
      <w:r w:rsidR="00C739A9">
        <w:rPr>
          <w:rFonts w:eastAsia="Lucida Sans Unicode"/>
        </w:rPr>
        <w:t>S</w:t>
      </w:r>
      <w:r w:rsidR="00EB79B8">
        <w:rPr>
          <w:rFonts w:eastAsia="Lucida Sans Unicode"/>
        </w:rPr>
        <w:t>chools in rural and remote areas tend to be smaller with more limited resourcing</w:t>
      </w:r>
      <w:r w:rsidR="00494AEA">
        <w:rPr>
          <w:rFonts w:eastAsia="Lucida Sans Unicode"/>
        </w:rPr>
        <w:t>,</w:t>
      </w:r>
      <w:r w:rsidR="00EB79B8">
        <w:rPr>
          <w:rFonts w:eastAsia="Lucida Sans Unicode"/>
        </w:rPr>
        <w:t xml:space="preserve"> resulting in more limited program offerings. The</w:t>
      </w:r>
      <w:r w:rsidR="00D01EB6">
        <w:rPr>
          <w:rFonts w:eastAsia="Lucida Sans Unicode"/>
        </w:rPr>
        <w:t xml:space="preserve">se </w:t>
      </w:r>
      <w:r w:rsidR="00EB79B8">
        <w:rPr>
          <w:rFonts w:eastAsia="Lucida Sans Unicode"/>
        </w:rPr>
        <w:t xml:space="preserve">schools </w:t>
      </w:r>
      <w:r w:rsidR="00D01EB6">
        <w:rPr>
          <w:rFonts w:eastAsia="Lucida Sans Unicode"/>
        </w:rPr>
        <w:t xml:space="preserve">are often difficult to staff </w:t>
      </w:r>
      <w:r w:rsidR="00EB79B8">
        <w:rPr>
          <w:rFonts w:eastAsia="Lucida Sans Unicode"/>
        </w:rPr>
        <w:t xml:space="preserve">and </w:t>
      </w:r>
      <w:r w:rsidR="00D01EB6">
        <w:rPr>
          <w:rFonts w:eastAsia="Lucida Sans Unicode"/>
        </w:rPr>
        <w:t xml:space="preserve">have </w:t>
      </w:r>
      <w:r w:rsidR="00EB79B8">
        <w:rPr>
          <w:rFonts w:eastAsia="Lucida Sans Unicode"/>
        </w:rPr>
        <w:t>limited number</w:t>
      </w:r>
      <w:r w:rsidR="00A20477">
        <w:rPr>
          <w:rFonts w:eastAsia="Lucida Sans Unicode"/>
        </w:rPr>
        <w:t>s</w:t>
      </w:r>
      <w:r w:rsidR="00EB79B8">
        <w:rPr>
          <w:rFonts w:eastAsia="Lucida Sans Unicode"/>
        </w:rPr>
        <w:t xml:space="preserve"> of teachers and teaching styles</w:t>
      </w:r>
      <w:r w:rsidR="00D01EB6">
        <w:rPr>
          <w:rFonts w:eastAsia="Lucida Sans Unicode"/>
        </w:rPr>
        <w:t xml:space="preserve"> (</w:t>
      </w:r>
      <w:proofErr w:type="spellStart"/>
      <w:r w:rsidR="00D01EB6">
        <w:rPr>
          <w:rFonts w:eastAsia="Lucida Sans Unicode"/>
        </w:rPr>
        <w:t>DEEWR</w:t>
      </w:r>
      <w:proofErr w:type="spellEnd"/>
      <w:r w:rsidR="00D01EB6">
        <w:rPr>
          <w:rFonts w:eastAsia="Lucida Sans Unicode"/>
        </w:rPr>
        <w:t xml:space="preserve"> 2010). However</w:t>
      </w:r>
      <w:r w:rsidR="008C1CDB">
        <w:rPr>
          <w:rFonts w:eastAsia="Lucida Sans Unicode"/>
        </w:rPr>
        <w:t>,</w:t>
      </w:r>
      <w:r w:rsidR="00D01EB6">
        <w:rPr>
          <w:rFonts w:eastAsia="Lucida Sans Unicode"/>
        </w:rPr>
        <w:t xml:space="preserve"> </w:t>
      </w:r>
      <w:r w:rsidR="00C739A9">
        <w:rPr>
          <w:rFonts w:eastAsia="Lucida Sans Unicode"/>
        </w:rPr>
        <w:t xml:space="preserve">VET sector </w:t>
      </w:r>
      <w:r w:rsidR="00D01EB6">
        <w:rPr>
          <w:rFonts w:eastAsia="Lucida Sans Unicode"/>
        </w:rPr>
        <w:t xml:space="preserve">participation in rural and remote areas is higher than in urban areas. This trend </w:t>
      </w:r>
      <w:r w:rsidR="008C1CDB">
        <w:rPr>
          <w:rFonts w:eastAsia="Lucida Sans Unicode"/>
        </w:rPr>
        <w:t xml:space="preserve">could </w:t>
      </w:r>
      <w:r w:rsidR="00D01EB6">
        <w:rPr>
          <w:rFonts w:eastAsia="Lucida Sans Unicode"/>
        </w:rPr>
        <w:t>be</w:t>
      </w:r>
      <w:r w:rsidR="00FC69B0">
        <w:rPr>
          <w:rFonts w:eastAsia="Lucida Sans Unicode"/>
        </w:rPr>
        <w:t xml:space="preserve"> at least partly </w:t>
      </w:r>
      <w:r w:rsidR="00D01EB6">
        <w:rPr>
          <w:rFonts w:eastAsia="Lucida Sans Unicode"/>
        </w:rPr>
        <w:t xml:space="preserve">due to the higher prevalence of early school leavers </w:t>
      </w:r>
      <w:r w:rsidR="00317B45">
        <w:rPr>
          <w:rFonts w:eastAsia="Lucida Sans Unicode"/>
        </w:rPr>
        <w:t xml:space="preserve">who may be </w:t>
      </w:r>
      <w:r w:rsidR="00D01EB6">
        <w:rPr>
          <w:rFonts w:eastAsia="Lucida Sans Unicode"/>
        </w:rPr>
        <w:t xml:space="preserve">seeking post school options to support entry into the </w:t>
      </w:r>
      <w:r w:rsidR="00D01EB6" w:rsidRPr="006E2A6B">
        <w:rPr>
          <w:rFonts w:eastAsia="Lucida Sans Unicode"/>
        </w:rPr>
        <w:t>workforce</w:t>
      </w:r>
      <w:r w:rsidR="00D01EB6">
        <w:rPr>
          <w:rFonts w:eastAsia="Lucida Sans Unicode"/>
        </w:rPr>
        <w:t>.</w:t>
      </w:r>
      <w:r w:rsidR="0066578A">
        <w:rPr>
          <w:rFonts w:eastAsia="Lucida Sans Unicode"/>
        </w:rPr>
        <w:t xml:space="preserve"> </w:t>
      </w:r>
    </w:p>
    <w:p w:rsidR="00E826E5" w:rsidRPr="00162986" w:rsidRDefault="00A21899" w:rsidP="00A9771F">
      <w:pPr>
        <w:pStyle w:val="BodyText"/>
        <w:rPr>
          <w:rFonts w:eastAsia="Lucida Sans Unicode"/>
          <w:b/>
          <w:bCs/>
          <w:smallCaps/>
        </w:rPr>
      </w:pPr>
      <w:r w:rsidRPr="00A21899">
        <w:rPr>
          <w:rFonts w:eastAsia="Lucida Sans Unicode"/>
        </w:rPr>
        <w:t>Indigenous Australians overall have a lower level of participation in education</w:t>
      </w:r>
      <w:r w:rsidR="00626882">
        <w:rPr>
          <w:rFonts w:eastAsia="Lucida Sans Unicode"/>
        </w:rPr>
        <w:t xml:space="preserve"> and training</w:t>
      </w:r>
      <w:r w:rsidRPr="00A21899">
        <w:rPr>
          <w:rFonts w:eastAsia="Lucida Sans Unicode"/>
        </w:rPr>
        <w:t xml:space="preserve"> than non-Indigenous Australians. </w:t>
      </w:r>
      <w:r w:rsidR="00665E88">
        <w:rPr>
          <w:rFonts w:eastAsia="Lucida Sans Unicode"/>
        </w:rPr>
        <w:t xml:space="preserve">In addition to facing issues affecting the broader population, </w:t>
      </w:r>
      <w:r w:rsidRPr="00A21899">
        <w:rPr>
          <w:rFonts w:eastAsia="Lucida Sans Unicode"/>
        </w:rPr>
        <w:t>Indigenous-specifi</w:t>
      </w:r>
      <w:r w:rsidR="00626882">
        <w:rPr>
          <w:rFonts w:eastAsia="Lucida Sans Unicode"/>
        </w:rPr>
        <w:t>c reasons for non</w:t>
      </w:r>
      <w:r w:rsidR="00626882">
        <w:rPr>
          <w:rFonts w:eastAsia="Lucida Sans Unicode"/>
        </w:rPr>
        <w:noBreakHyphen/>
      </w:r>
      <w:r w:rsidRPr="00A21899">
        <w:rPr>
          <w:rFonts w:eastAsia="Lucida Sans Unicode"/>
        </w:rPr>
        <w:t xml:space="preserve">attendance </w:t>
      </w:r>
      <w:r w:rsidR="003E2E4F">
        <w:rPr>
          <w:rFonts w:eastAsia="Lucida Sans Unicode"/>
        </w:rPr>
        <w:t xml:space="preserve">in </w:t>
      </w:r>
      <w:r w:rsidRPr="00A21899">
        <w:rPr>
          <w:rFonts w:eastAsia="Lucida Sans Unicode"/>
        </w:rPr>
        <w:t>school education have been proposed</w:t>
      </w:r>
      <w:r w:rsidR="00665E88">
        <w:rPr>
          <w:rFonts w:eastAsia="Lucida Sans Unicode"/>
        </w:rPr>
        <w:t xml:space="preserve">. These Indigenous-specific issues relate to a </w:t>
      </w:r>
      <w:r>
        <w:rPr>
          <w:rFonts w:eastAsia="Lucida Sans Unicode"/>
        </w:rPr>
        <w:t xml:space="preserve">lack of recognition by schools of Indigenous culture and history, failure to engage </w:t>
      </w:r>
      <w:r w:rsidR="00D4299B">
        <w:rPr>
          <w:rFonts w:eastAsia="Lucida Sans Unicode"/>
        </w:rPr>
        <w:t xml:space="preserve">fully with </w:t>
      </w:r>
      <w:r>
        <w:rPr>
          <w:rFonts w:eastAsia="Lucida Sans Unicode"/>
        </w:rPr>
        <w:t>parent</w:t>
      </w:r>
      <w:r w:rsidR="00A20477">
        <w:rPr>
          <w:rFonts w:eastAsia="Lucida Sans Unicode"/>
        </w:rPr>
        <w:t xml:space="preserve">s and </w:t>
      </w:r>
      <w:r>
        <w:rPr>
          <w:rFonts w:eastAsia="Lucida Sans Unicode"/>
        </w:rPr>
        <w:t xml:space="preserve">carers </w:t>
      </w:r>
      <w:r w:rsidR="00EF379B">
        <w:rPr>
          <w:rFonts w:eastAsia="Lucida Sans Unicode"/>
        </w:rPr>
        <w:t xml:space="preserve">of Indigenous children </w:t>
      </w:r>
      <w:r>
        <w:rPr>
          <w:rFonts w:eastAsia="Lucida Sans Unicode"/>
        </w:rPr>
        <w:t xml:space="preserve">and the </w:t>
      </w:r>
      <w:r w:rsidR="00EF379B">
        <w:rPr>
          <w:rFonts w:eastAsia="Lucida Sans Unicode"/>
        </w:rPr>
        <w:t xml:space="preserve">Indigenous </w:t>
      </w:r>
      <w:r>
        <w:rPr>
          <w:rFonts w:eastAsia="Lucida Sans Unicode"/>
        </w:rPr>
        <w:t>community</w:t>
      </w:r>
      <w:r w:rsidR="00FC69B0">
        <w:rPr>
          <w:rFonts w:eastAsia="Lucida Sans Unicode"/>
        </w:rPr>
        <w:t>,</w:t>
      </w:r>
      <w:r>
        <w:rPr>
          <w:rFonts w:eastAsia="Lucida Sans Unicode"/>
        </w:rPr>
        <w:t xml:space="preserve"> and </w:t>
      </w:r>
      <w:r>
        <w:rPr>
          <w:rFonts w:eastAsia="Lucida Sans Unicode"/>
        </w:rPr>
        <w:lastRenderedPageBreak/>
        <w:t>ongoing disadvantage in many areas of the daily lives of Indigenous Australi</w:t>
      </w:r>
      <w:r w:rsidR="00D251D2">
        <w:rPr>
          <w:rFonts w:eastAsia="Lucida Sans Unicode"/>
        </w:rPr>
        <w:t>ans</w:t>
      </w:r>
      <w:r w:rsidR="004C444C">
        <w:rPr>
          <w:rFonts w:eastAsia="Lucida Sans Unicode"/>
        </w:rPr>
        <w:t xml:space="preserve"> </w:t>
      </w:r>
      <w:r w:rsidR="00D251D2">
        <w:rPr>
          <w:rFonts w:eastAsia="Lucida Sans Unicode"/>
        </w:rPr>
        <w:t>(</w:t>
      </w:r>
      <w:proofErr w:type="spellStart"/>
      <w:r w:rsidR="00D251D2">
        <w:rPr>
          <w:rFonts w:eastAsia="Lucida Sans Unicode"/>
        </w:rPr>
        <w:t>AIHW</w:t>
      </w:r>
      <w:proofErr w:type="spellEnd"/>
      <w:r w:rsidR="00D251D2">
        <w:rPr>
          <w:rFonts w:eastAsia="Lucida Sans Unicode"/>
        </w:rPr>
        <w:t xml:space="preserve"> 2010).</w:t>
      </w:r>
    </w:p>
    <w:p w:rsidR="00044505" w:rsidRDefault="00317B45" w:rsidP="00A21899">
      <w:pPr>
        <w:pStyle w:val="BodyText"/>
      </w:pPr>
      <w:r>
        <w:t>T</w:t>
      </w:r>
      <w:r w:rsidR="00532AB8" w:rsidRPr="00044505">
        <w:t>he Western Australian Aboriginal Child Health Survey conducted in 2001 and 2006 found that</w:t>
      </w:r>
      <w:r w:rsidR="00FC69B0">
        <w:t>,</w:t>
      </w:r>
      <w:r w:rsidR="00532AB8" w:rsidRPr="00044505">
        <w:t xml:space="preserve"> when the period of compulsory education ends</w:t>
      </w:r>
      <w:r w:rsidR="00FC69B0">
        <w:t>,</w:t>
      </w:r>
      <w:r w:rsidR="00532AB8" w:rsidRPr="00044505">
        <w:t xml:space="preserve"> the proportion of Indigenous children who no longer attend school is substantially higher than that for non-Indigenous children. Of those Indigenous children who left school soon after the period of compulsory education</w:t>
      </w:r>
      <w:r w:rsidR="00FC69B0">
        <w:t>,</w:t>
      </w:r>
      <w:r w:rsidR="00532AB8" w:rsidRPr="00044505">
        <w:t xml:space="preserve"> one-third </w:t>
      </w:r>
      <w:r w:rsidR="00532AB8" w:rsidRPr="00947DD1">
        <w:t>were ne</w:t>
      </w:r>
      <w:r w:rsidR="00EF379B">
        <w:t>i</w:t>
      </w:r>
      <w:r w:rsidR="00532AB8" w:rsidRPr="00947DD1">
        <w:t>ther working nor undertak</w:t>
      </w:r>
      <w:r w:rsidR="00EF379B">
        <w:t>ing any form of education</w:t>
      </w:r>
      <w:r>
        <w:t xml:space="preserve"> (</w:t>
      </w:r>
      <w:proofErr w:type="spellStart"/>
      <w:r>
        <w:t>SCRGSP</w:t>
      </w:r>
      <w:proofErr w:type="spellEnd"/>
      <w:r>
        <w:t xml:space="preserve"> 2009)</w:t>
      </w:r>
      <w:r w:rsidR="00532AB8" w:rsidRPr="00947DD1">
        <w:t>.</w:t>
      </w:r>
    </w:p>
    <w:p w:rsidR="000D3385" w:rsidRDefault="000D3385" w:rsidP="000D3385">
      <w:pPr>
        <w:pStyle w:val="Heading3"/>
      </w:pPr>
      <w:r>
        <w:t>Service-sector objectives</w:t>
      </w:r>
    </w:p>
    <w:p w:rsidR="000D3385" w:rsidRDefault="000D3385" w:rsidP="000D3385">
      <w:pPr>
        <w:pStyle w:val="BodyText"/>
      </w:pPr>
      <w:r w:rsidRPr="00CD33DD">
        <w:t xml:space="preserve">Australia’s </w:t>
      </w:r>
      <w:proofErr w:type="spellStart"/>
      <w:r w:rsidR="00F048B0">
        <w:t>CCET</w:t>
      </w:r>
      <w:proofErr w:type="spellEnd"/>
      <w:r w:rsidRPr="00CD33DD">
        <w:t xml:space="preserve"> sector has a range of objectives, some of which are common across all sector components</w:t>
      </w:r>
      <w:r w:rsidR="00FC69B0">
        <w:t>,</w:t>
      </w:r>
      <w:r w:rsidRPr="00CD33DD">
        <w:t xml:space="preserve"> while others are more s</w:t>
      </w:r>
      <w:r>
        <w:t>pecific to a particular sub</w:t>
      </w:r>
      <w:r>
        <w:noBreakHyphen/>
        <w:t xml:space="preserve">sector. Specific objectives of </w:t>
      </w:r>
      <w:r w:rsidR="00A77F79">
        <w:t>early childhood education and care</w:t>
      </w:r>
      <w:r>
        <w:t>, school education, VET and higher education servi</w:t>
      </w:r>
      <w:r w:rsidR="008D04D3">
        <w:t xml:space="preserve">ce areas are detailed in box </w:t>
      </w:r>
      <w:r w:rsidR="005E45C2">
        <w:t>B.5</w:t>
      </w:r>
      <w:r>
        <w:t>.</w:t>
      </w:r>
    </w:p>
    <w:p w:rsidR="00A7020A" w:rsidRDefault="00A7020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7020A">
        <w:tc>
          <w:tcPr>
            <w:tcW w:w="8771" w:type="dxa"/>
            <w:tcBorders>
              <w:top w:val="single" w:sz="6" w:space="0" w:color="auto"/>
              <w:bottom w:val="nil"/>
            </w:tcBorders>
          </w:tcPr>
          <w:p w:rsidR="00A7020A" w:rsidRDefault="00A7020A">
            <w:pPr>
              <w:pStyle w:val="BoxTitle"/>
            </w:pPr>
            <w:r>
              <w:rPr>
                <w:b w:val="0"/>
              </w:rPr>
              <w:t xml:space="preserve">Box </w:t>
            </w:r>
            <w:bookmarkStart w:id="10" w:name="OLE_LINK8"/>
            <w:r w:rsidR="00891AAF">
              <w:rPr>
                <w:b w:val="0"/>
              </w:rPr>
              <w:t>B.</w:t>
            </w:r>
            <w:r w:rsidR="005C0C17">
              <w:rPr>
                <w:b w:val="0"/>
                <w:noProof/>
              </w:rPr>
              <w:t>6</w:t>
            </w:r>
            <w:bookmarkEnd w:id="10"/>
            <w:r>
              <w:tab/>
              <w:t xml:space="preserve">Objectives of the </w:t>
            </w:r>
            <w:r w:rsidR="00F048B0">
              <w:t>Child care, education and training</w:t>
            </w:r>
            <w:r>
              <w:t xml:space="preserve"> sector</w:t>
            </w:r>
          </w:p>
        </w:tc>
      </w:tr>
      <w:tr w:rsidR="00A7020A">
        <w:trPr>
          <w:cantSplit/>
        </w:trPr>
        <w:tc>
          <w:tcPr>
            <w:tcW w:w="8771" w:type="dxa"/>
            <w:tcBorders>
              <w:top w:val="nil"/>
              <w:left w:val="single" w:sz="6" w:space="0" w:color="auto"/>
              <w:bottom w:val="nil"/>
              <w:right w:val="single" w:sz="6" w:space="0" w:color="auto"/>
            </w:tcBorders>
          </w:tcPr>
          <w:p w:rsidR="00DC5858" w:rsidRDefault="00971ED6" w:rsidP="00971ED6">
            <w:pPr>
              <w:pStyle w:val="Box"/>
            </w:pPr>
            <w:r>
              <w:t xml:space="preserve">The objectives for early childhood education and care </w:t>
            </w:r>
            <w:r w:rsidR="00FC69B0">
              <w:t>(</w:t>
            </w:r>
            <w:r>
              <w:t>box 3.2</w:t>
            </w:r>
            <w:r w:rsidR="00FC69B0">
              <w:t>)</w:t>
            </w:r>
            <w:r w:rsidR="00DC5858">
              <w:t xml:space="preserve"> are to:</w:t>
            </w:r>
          </w:p>
          <w:p w:rsidR="00971ED6" w:rsidRPr="00D46A48" w:rsidRDefault="00971ED6" w:rsidP="00971ED6">
            <w:pPr>
              <w:pStyle w:val="BoxListBullet"/>
            </w:pPr>
            <w:r w:rsidRPr="00D46A48">
              <w:t>meet the education and care needs of all children in developmentally appropriate ways, in a safe and nurturing environment</w:t>
            </w:r>
          </w:p>
          <w:p w:rsidR="00A7020A" w:rsidRDefault="00971ED6" w:rsidP="00971ED6">
            <w:pPr>
              <w:pStyle w:val="BoxListBullet"/>
            </w:pPr>
            <w:r w:rsidRPr="00D46A48">
              <w:t xml:space="preserve">provide quality services across a range of settings delivered in an equitable and efficient </w:t>
            </w:r>
            <w:r w:rsidR="001E4FD1">
              <w:t>manner, meeting individual need.</w:t>
            </w:r>
          </w:p>
          <w:p w:rsidR="00A7020A" w:rsidRDefault="00A7020A">
            <w:pPr>
              <w:pStyle w:val="Box"/>
            </w:pPr>
            <w:r w:rsidRPr="00324D39">
              <w:t xml:space="preserve">The </w:t>
            </w:r>
            <w:r w:rsidRPr="0014350B">
              <w:t>objectives of school education services</w:t>
            </w:r>
            <w:r>
              <w:t xml:space="preserve"> (box 4.1)</w:t>
            </w:r>
            <w:r w:rsidRPr="0014350B">
              <w:t xml:space="preserve">, as reflected in the national goals for schooling </w:t>
            </w:r>
            <w:r>
              <w:t xml:space="preserve">agreed by education Ministers in the </w:t>
            </w:r>
            <w:r w:rsidRPr="001A4470">
              <w:rPr>
                <w:i/>
              </w:rPr>
              <w:t>Melbourne Declaration on Educational Goals for Young Australians</w:t>
            </w:r>
            <w:r w:rsidRPr="0014350B">
              <w:t xml:space="preserve"> (and consistent with the </w:t>
            </w:r>
            <w:r w:rsidRPr="004B64AF">
              <w:rPr>
                <w:i/>
              </w:rPr>
              <w:t>National Education Agreement</w:t>
            </w:r>
            <w:r w:rsidRPr="0014350B">
              <w:t xml:space="preserve">) </w:t>
            </w:r>
            <w:r>
              <w:t>are that (1) Australian schooling promotes equity and excellence and (2) All young Australians become: successful learners; confident and creative individuals and active and informed citizens.</w:t>
            </w:r>
          </w:p>
          <w:p w:rsidR="009D09FD" w:rsidRPr="0014350B" w:rsidRDefault="009D09FD" w:rsidP="009D09FD">
            <w:pPr>
              <w:pStyle w:val="Box"/>
            </w:pPr>
            <w:r w:rsidRPr="0014350B">
              <w:t>The objectives of VET services</w:t>
            </w:r>
            <w:r w:rsidR="001308A6">
              <w:t xml:space="preserve"> </w:t>
            </w:r>
            <w:r w:rsidR="001308A6" w:rsidRPr="0014350B">
              <w:t>(box 5.3)</w:t>
            </w:r>
            <w:r w:rsidRPr="0014350B">
              <w:t xml:space="preserve">, as reflected in the </w:t>
            </w:r>
            <w:r w:rsidRPr="001A4470">
              <w:rPr>
                <w:i/>
              </w:rPr>
              <w:t>National Agreement for Skills and Workforce Development</w:t>
            </w:r>
            <w:r w:rsidRPr="0014350B">
              <w:t xml:space="preserve"> are to ensure all working age Australians have the opportunity to develop the skills and qualifications needed, including through a responsive training system, to enable them to be effective participants in and contributors to the modern labour market. VET services aim to assist individuals to overcome barriers to education, training and employment, and to be motivated to</w:t>
            </w:r>
            <w:r>
              <w:t xml:space="preserve"> acquire and utilise new skills. VET also aims t</w:t>
            </w:r>
            <w:r w:rsidRPr="0014350B">
              <w:t>o ensure Australian industry and businesses develop, harness and utilise the skills and abilities of the workforce, and to provide opportunities for Indigenous Australians to acquire skills to access viable employment.</w:t>
            </w:r>
          </w:p>
          <w:p w:rsidR="009D09FD" w:rsidRDefault="009D09FD" w:rsidP="009D09FD">
            <w:pPr>
              <w:pStyle w:val="Box"/>
            </w:pPr>
            <w:r w:rsidRPr="0014350B">
              <w:t xml:space="preserve">The objectives of higher education services, as reflected in the </w:t>
            </w:r>
            <w:r w:rsidRPr="00441DF6">
              <w:rPr>
                <w:i/>
              </w:rPr>
              <w:t>Commonwealth Higher Education Support Act 2003</w:t>
            </w:r>
            <w:r w:rsidRPr="0014350B">
              <w:t>, include</w:t>
            </w:r>
            <w:r w:rsidRPr="00CD33DD">
              <w:t xml:space="preserve"> contributing to the development of cultural and intellectual life in Australia, and appropriately meeting Australia’s social and economic needs for a highly educated and skilled population.</w:t>
            </w:r>
          </w:p>
        </w:tc>
      </w:tr>
      <w:tr w:rsidR="00A7020A">
        <w:trPr>
          <w:cantSplit/>
        </w:trPr>
        <w:tc>
          <w:tcPr>
            <w:tcW w:w="8771" w:type="dxa"/>
            <w:tcBorders>
              <w:top w:val="nil"/>
              <w:left w:val="single" w:sz="6" w:space="0" w:color="auto"/>
              <w:bottom w:val="single" w:sz="6" w:space="0" w:color="auto"/>
              <w:right w:val="single" w:sz="6" w:space="0" w:color="auto"/>
            </w:tcBorders>
          </w:tcPr>
          <w:p w:rsidR="00A7020A" w:rsidRDefault="00A7020A">
            <w:pPr>
              <w:pStyle w:val="Box"/>
              <w:spacing w:before="0" w:line="120" w:lineRule="exact"/>
            </w:pPr>
          </w:p>
        </w:tc>
      </w:tr>
      <w:tr w:rsidR="00A7020A">
        <w:tc>
          <w:tcPr>
            <w:tcW w:w="8771" w:type="dxa"/>
            <w:tcBorders>
              <w:top w:val="nil"/>
              <w:left w:val="nil"/>
              <w:bottom w:val="nil"/>
              <w:right w:val="nil"/>
            </w:tcBorders>
          </w:tcPr>
          <w:p w:rsidR="00A7020A" w:rsidRDefault="00A7020A">
            <w:pPr>
              <w:pStyle w:val="Box"/>
              <w:keepNext w:val="0"/>
              <w:spacing w:before="60" w:after="60" w:line="80" w:lineRule="exact"/>
              <w:rPr>
                <w:b/>
                <w:color w:val="FF00FF"/>
                <w:sz w:val="14"/>
              </w:rPr>
            </w:pPr>
          </w:p>
        </w:tc>
      </w:tr>
    </w:tbl>
    <w:p w:rsidR="008B55A6" w:rsidRDefault="00891AAF" w:rsidP="008B55A6">
      <w:pPr>
        <w:pStyle w:val="Heading2"/>
      </w:pPr>
      <w:bookmarkStart w:id="11" w:name="_Toc369871806"/>
      <w:r>
        <w:t>B.</w:t>
      </w:r>
      <w:r w:rsidR="005C0C17">
        <w:rPr>
          <w:noProof/>
        </w:rPr>
        <w:t>2</w:t>
      </w:r>
      <w:r w:rsidR="00AE67DB">
        <w:tab/>
      </w:r>
      <w:r w:rsidR="008D04D3">
        <w:t>S</w:t>
      </w:r>
      <w:r w:rsidR="009E6DA0">
        <w:t>ector performance i</w:t>
      </w:r>
      <w:r w:rsidR="008B55A6">
        <w:t xml:space="preserve">ndicator </w:t>
      </w:r>
      <w:r w:rsidR="009E6DA0">
        <w:t>f</w:t>
      </w:r>
      <w:r w:rsidR="008B55A6">
        <w:t>ramework</w:t>
      </w:r>
      <w:bookmarkEnd w:id="11"/>
    </w:p>
    <w:p w:rsidR="00A05C8C" w:rsidRDefault="00A05C8C" w:rsidP="00A05C8C">
      <w:pPr>
        <w:pStyle w:val="BodyText"/>
      </w:pPr>
      <w:r>
        <w:t xml:space="preserve">This sector </w:t>
      </w:r>
      <w:r w:rsidR="00A77F79">
        <w:t>overview</w:t>
      </w:r>
      <w:r>
        <w:t xml:space="preserve"> </w:t>
      </w:r>
      <w:r w:rsidR="004C6115">
        <w:t xml:space="preserve">is based on a sector </w:t>
      </w:r>
      <w:r>
        <w:t xml:space="preserve">performance indicator framework </w:t>
      </w:r>
      <w:r w:rsidR="00EF379B">
        <w:t>(figure </w:t>
      </w:r>
      <w:r w:rsidR="00CA426B">
        <w:t>B.5</w:t>
      </w:r>
      <w:r>
        <w:t xml:space="preserve">). </w:t>
      </w:r>
      <w:r w:rsidR="009E6DA0">
        <w:t xml:space="preserve">This framework is made up of the following elements. </w:t>
      </w:r>
    </w:p>
    <w:p w:rsidR="00A05C8C" w:rsidRDefault="009E6DA0" w:rsidP="00A05C8C">
      <w:pPr>
        <w:pStyle w:val="ListBullet"/>
      </w:pPr>
      <w:r>
        <w:t xml:space="preserve">Sector </w:t>
      </w:r>
      <w:r w:rsidR="00ED791F">
        <w:t xml:space="preserve">objectives </w:t>
      </w:r>
      <w:r w:rsidR="00A05C8C">
        <w:t xml:space="preserve">— three </w:t>
      </w:r>
      <w:r>
        <w:t xml:space="preserve">sector </w:t>
      </w:r>
      <w:r w:rsidR="00ED791F">
        <w:t xml:space="preserve">objectives </w:t>
      </w:r>
      <w:r w:rsidR="001C14A8">
        <w:t xml:space="preserve">are </w:t>
      </w:r>
      <w:r w:rsidR="00ED791F">
        <w:t>a précis of the</w:t>
      </w:r>
      <w:r w:rsidR="001C14A8">
        <w:t xml:space="preserve"> key </w:t>
      </w:r>
      <w:r w:rsidR="001A05DE">
        <w:t xml:space="preserve">commitments </w:t>
      </w:r>
      <w:r w:rsidR="001308A6">
        <w:t xml:space="preserve">agreed to by </w:t>
      </w:r>
      <w:proofErr w:type="spellStart"/>
      <w:r w:rsidR="001C14A8">
        <w:t>COAG</w:t>
      </w:r>
      <w:proofErr w:type="spellEnd"/>
      <w:r w:rsidR="001C14A8">
        <w:t xml:space="preserve">, including the </w:t>
      </w:r>
      <w:r w:rsidR="001C14A8" w:rsidRPr="001C14A8">
        <w:rPr>
          <w:i/>
        </w:rPr>
        <w:t>National Partnership on Early Childhood Education</w:t>
      </w:r>
      <w:r w:rsidR="001C14A8">
        <w:t xml:space="preserve">, the </w:t>
      </w:r>
      <w:r w:rsidR="001C14A8" w:rsidRPr="001C14A8">
        <w:rPr>
          <w:i/>
        </w:rPr>
        <w:t>National Education Agreement</w:t>
      </w:r>
      <w:r w:rsidR="001C14A8">
        <w:t xml:space="preserve"> and the </w:t>
      </w:r>
      <w:r w:rsidR="001C14A8" w:rsidRPr="001C14A8">
        <w:rPr>
          <w:i/>
        </w:rPr>
        <w:t>National Agreement on Skills and Workforce Development</w:t>
      </w:r>
      <w:r w:rsidR="001C14A8">
        <w:t xml:space="preserve">. Although these goals are based on </w:t>
      </w:r>
      <w:r w:rsidR="001A05DE">
        <w:t>outcomes in these commitments</w:t>
      </w:r>
      <w:r w:rsidR="001308A6">
        <w:t>,</w:t>
      </w:r>
      <w:r w:rsidR="001A05DE">
        <w:t xml:space="preserve"> wording </w:t>
      </w:r>
      <w:r w:rsidR="001C14A8">
        <w:t xml:space="preserve">has been amended for relevance to the </w:t>
      </w:r>
      <w:proofErr w:type="spellStart"/>
      <w:r w:rsidR="00F048B0">
        <w:t>CCET</w:t>
      </w:r>
      <w:proofErr w:type="spellEnd"/>
      <w:r w:rsidR="001C14A8">
        <w:t xml:space="preserve"> sector </w:t>
      </w:r>
      <w:r w:rsidR="00A77F79">
        <w:t>overview</w:t>
      </w:r>
      <w:r w:rsidR="001C14A8">
        <w:t xml:space="preserve"> reporting</w:t>
      </w:r>
      <w:r w:rsidR="00ED791F">
        <w:t xml:space="preserve"> (</w:t>
      </w:r>
      <w:r w:rsidR="0019635E">
        <w:t>figure</w:t>
      </w:r>
      <w:r w:rsidR="00ED791F">
        <w:t xml:space="preserve"> B.5)</w:t>
      </w:r>
      <w:r w:rsidR="001C14A8">
        <w:t>.</w:t>
      </w:r>
    </w:p>
    <w:p w:rsidR="004C6115" w:rsidRDefault="00A05C8C" w:rsidP="004C6115">
      <w:pPr>
        <w:pStyle w:val="ListBullet"/>
      </w:pPr>
      <w:r>
        <w:t>Sector-</w:t>
      </w:r>
      <w:r w:rsidR="009E6DA0">
        <w:t>w</w:t>
      </w:r>
      <w:r>
        <w:t xml:space="preserve">ide indicators — three sector-wide headline indicators </w:t>
      </w:r>
      <w:r w:rsidR="00251E8A">
        <w:t xml:space="preserve">reflect activity </w:t>
      </w:r>
      <w:r w:rsidR="0055521B">
        <w:t>across the sector</w:t>
      </w:r>
      <w:r w:rsidR="001308A6">
        <w:t>. S</w:t>
      </w:r>
      <w:r w:rsidR="0055521B">
        <w:t xml:space="preserve">everal measures </w:t>
      </w:r>
      <w:r w:rsidR="00251E8A">
        <w:t xml:space="preserve">support </w:t>
      </w:r>
      <w:r w:rsidR="0055521B">
        <w:t xml:space="preserve">each indicator. </w:t>
      </w:r>
    </w:p>
    <w:p w:rsidR="007F7175" w:rsidRDefault="007F7175" w:rsidP="00A9771F">
      <w:pPr>
        <w:pStyle w:val="ListBullet"/>
      </w:pPr>
      <w:r>
        <w:lastRenderedPageBreak/>
        <w:t xml:space="preserve">Information from the service-specific </w:t>
      </w:r>
      <w:r w:rsidRPr="004F7C55">
        <w:t>performance indicator framework</w:t>
      </w:r>
      <w:r>
        <w:t>s that relate t</w:t>
      </w:r>
      <w:r w:rsidR="00E826E5">
        <w:t xml:space="preserve">o </w:t>
      </w:r>
      <w:r w:rsidR="00F048B0">
        <w:t>Child care, education and training</w:t>
      </w:r>
      <w:r>
        <w:t xml:space="preserve"> services. Discussed in more detail in chapters 3, 4 and 5, the service-specific frameworks provide comprehensive information on </w:t>
      </w:r>
      <w:r w:rsidRPr="004F7C55">
        <w:t xml:space="preserve">the equity, effectiveness and efficiency </w:t>
      </w:r>
      <w:r>
        <w:t xml:space="preserve">of </w:t>
      </w:r>
      <w:r w:rsidR="00ED791F">
        <w:t>these</w:t>
      </w:r>
      <w:r>
        <w:t xml:space="preserve"> services.</w:t>
      </w:r>
    </w:p>
    <w:p w:rsidR="00C14CA6" w:rsidRDefault="00317B45" w:rsidP="001308A6">
      <w:pPr>
        <w:pStyle w:val="BodyText"/>
      </w:pPr>
      <w:r>
        <w:t>Th</w:t>
      </w:r>
      <w:r w:rsidR="004C6115">
        <w:t xml:space="preserve">is sector </w:t>
      </w:r>
      <w:r w:rsidR="00A77F79">
        <w:t>overview</w:t>
      </w:r>
      <w:r w:rsidR="004C6115">
        <w:t xml:space="preserve"> provides a</w:t>
      </w:r>
      <w:r>
        <w:t>n</w:t>
      </w:r>
      <w:r w:rsidR="004C6115">
        <w:t xml:space="preserve"> overview of relevant performance information. Chapters </w:t>
      </w:r>
      <w:r w:rsidR="00C14CA6">
        <w:t xml:space="preserve">3, 4 and 5 and their associated attachment tables provide </w:t>
      </w:r>
      <w:r w:rsidR="00053EFA">
        <w:t xml:space="preserve">more detailed </w:t>
      </w:r>
      <w:r w:rsidR="004C6115">
        <w:t>information</w:t>
      </w:r>
      <w:r w:rsidR="00053EFA">
        <w:t xml:space="preserve">. </w:t>
      </w:r>
    </w:p>
    <w:p w:rsidR="002375A1" w:rsidRPr="002D30AD" w:rsidRDefault="002375A1" w:rsidP="002375A1">
      <w:pPr>
        <w:pStyle w:val="BodyText"/>
      </w:pPr>
      <w:proofErr w:type="spellStart"/>
      <w:r w:rsidRPr="002D30AD">
        <w:t>COAG</w:t>
      </w:r>
      <w:proofErr w:type="spellEnd"/>
      <w:r w:rsidRPr="002D30AD">
        <w:t xml:space="preserve"> has agreed six National Agreements to enhance accountability to the public for the outcomes achieved or outputs delivered by a range of government services (see chapter 1 for more detail on reforms to federal financial relations). </w:t>
      </w:r>
    </w:p>
    <w:p w:rsidR="00FC39AE" w:rsidRPr="00D43E24" w:rsidRDefault="00444CDC" w:rsidP="00D43E24">
      <w:pPr>
        <w:spacing w:before="240" w:line="320" w:lineRule="atLeast"/>
        <w:jc w:val="both"/>
        <w:rPr>
          <w:szCs w:val="20"/>
        </w:rPr>
      </w:pPr>
      <w:r w:rsidRPr="002D30AD">
        <w:rPr>
          <w:szCs w:val="20"/>
        </w:rPr>
        <w:t>The N</w:t>
      </w:r>
      <w:r>
        <w:rPr>
          <w:szCs w:val="20"/>
        </w:rPr>
        <w:t>E</w:t>
      </w:r>
      <w:r w:rsidRPr="002D30AD">
        <w:rPr>
          <w:szCs w:val="20"/>
        </w:rPr>
        <w:t xml:space="preserve">A </w:t>
      </w:r>
      <w:r>
        <w:rPr>
          <w:szCs w:val="20"/>
        </w:rPr>
        <w:t xml:space="preserve">and the </w:t>
      </w:r>
      <w:proofErr w:type="spellStart"/>
      <w:r>
        <w:rPr>
          <w:szCs w:val="20"/>
        </w:rPr>
        <w:t>NASWD</w:t>
      </w:r>
      <w:proofErr w:type="spellEnd"/>
      <w:r>
        <w:rPr>
          <w:szCs w:val="20"/>
        </w:rPr>
        <w:t xml:space="preserve"> cover</w:t>
      </w:r>
      <w:r w:rsidRPr="002D30AD">
        <w:rPr>
          <w:szCs w:val="20"/>
        </w:rPr>
        <w:t xml:space="preserve"> the area</w:t>
      </w:r>
      <w:r>
        <w:rPr>
          <w:szCs w:val="20"/>
        </w:rPr>
        <w:t>s</w:t>
      </w:r>
      <w:r w:rsidRPr="002D30AD">
        <w:rPr>
          <w:szCs w:val="20"/>
        </w:rPr>
        <w:t xml:space="preserve"> of </w:t>
      </w:r>
      <w:r>
        <w:rPr>
          <w:szCs w:val="20"/>
        </w:rPr>
        <w:t xml:space="preserve">education and skill development and indicators in the </w:t>
      </w:r>
      <w:r w:rsidRPr="002D30AD">
        <w:rPr>
          <w:szCs w:val="20"/>
        </w:rPr>
        <w:t>N</w:t>
      </w:r>
      <w:r>
        <w:rPr>
          <w:szCs w:val="20"/>
        </w:rPr>
        <w:t xml:space="preserve">ational </w:t>
      </w:r>
      <w:r w:rsidRPr="002D30AD">
        <w:rPr>
          <w:szCs w:val="20"/>
        </w:rPr>
        <w:t>I</w:t>
      </w:r>
      <w:r>
        <w:rPr>
          <w:szCs w:val="20"/>
        </w:rPr>
        <w:t xml:space="preserve">ndigenous </w:t>
      </w:r>
      <w:r w:rsidRPr="002D30AD">
        <w:rPr>
          <w:szCs w:val="20"/>
        </w:rPr>
        <w:t>R</w:t>
      </w:r>
      <w:r>
        <w:rPr>
          <w:szCs w:val="20"/>
        </w:rPr>
        <w:t xml:space="preserve">eform </w:t>
      </w:r>
      <w:r w:rsidRPr="002D30AD">
        <w:rPr>
          <w:szCs w:val="20"/>
        </w:rPr>
        <w:t>A</w:t>
      </w:r>
      <w:r>
        <w:rPr>
          <w:szCs w:val="20"/>
        </w:rPr>
        <w:t>greement</w:t>
      </w:r>
      <w:r w:rsidRPr="002D30AD">
        <w:rPr>
          <w:szCs w:val="20"/>
        </w:rPr>
        <w:t xml:space="preserve"> establish specific outcomes for reducing the level of disadvantage experienced by Indigenous Australians. </w:t>
      </w:r>
      <w:r>
        <w:rPr>
          <w:szCs w:val="20"/>
        </w:rPr>
        <w:t xml:space="preserve">These agreements </w:t>
      </w:r>
      <w:r w:rsidRPr="002D30AD">
        <w:rPr>
          <w:szCs w:val="20"/>
        </w:rPr>
        <w:t xml:space="preserve">include sets </w:t>
      </w:r>
      <w:r w:rsidRPr="001F2D7B">
        <w:rPr>
          <w:szCs w:val="20"/>
        </w:rPr>
        <w:t xml:space="preserve">of performance indicators, for which the Steering Committee collates performance information for analysis by the </w:t>
      </w:r>
      <w:proofErr w:type="spellStart"/>
      <w:r w:rsidRPr="001F2D7B">
        <w:rPr>
          <w:szCs w:val="20"/>
        </w:rPr>
        <w:t>COAG</w:t>
      </w:r>
      <w:proofErr w:type="spellEnd"/>
      <w:r w:rsidRPr="001F2D7B">
        <w:rPr>
          <w:szCs w:val="20"/>
        </w:rPr>
        <w:t xml:space="preserve"> Reform Council (CRC). Performance indicators reported in this sector overview are aligned with education and training performance indicators in the NEA and the </w:t>
      </w:r>
      <w:proofErr w:type="spellStart"/>
      <w:r w:rsidRPr="001F2D7B">
        <w:rPr>
          <w:szCs w:val="20"/>
        </w:rPr>
        <w:t>NASWD</w:t>
      </w:r>
      <w:proofErr w:type="spellEnd"/>
      <w:r w:rsidRPr="001F2D7B">
        <w:rPr>
          <w:szCs w:val="20"/>
        </w:rPr>
        <w:t>. The NEA</w:t>
      </w:r>
      <w:r w:rsidR="00B2630C" w:rsidRPr="001F2D7B">
        <w:rPr>
          <w:szCs w:val="20"/>
        </w:rPr>
        <w:t>, including its</w:t>
      </w:r>
      <w:r w:rsidRPr="001F2D7B">
        <w:rPr>
          <w:szCs w:val="20"/>
        </w:rPr>
        <w:t xml:space="preserve"> </w:t>
      </w:r>
      <w:r w:rsidR="00683DE1" w:rsidRPr="001F2D7B">
        <w:rPr>
          <w:szCs w:val="20"/>
        </w:rPr>
        <w:t>performance framework</w:t>
      </w:r>
      <w:r w:rsidR="00B2630C" w:rsidRPr="001F2D7B">
        <w:rPr>
          <w:szCs w:val="20"/>
        </w:rPr>
        <w:t>,</w:t>
      </w:r>
      <w:r w:rsidR="00683DE1" w:rsidRPr="001F2D7B">
        <w:rPr>
          <w:szCs w:val="20"/>
        </w:rPr>
        <w:t xml:space="preserve"> </w:t>
      </w:r>
      <w:r w:rsidRPr="001F2D7B">
        <w:rPr>
          <w:szCs w:val="20"/>
        </w:rPr>
        <w:t>was reviewed in 201</w:t>
      </w:r>
      <w:r w:rsidR="00683DE1" w:rsidRPr="001F2D7B">
        <w:rPr>
          <w:szCs w:val="20"/>
        </w:rPr>
        <w:t>2</w:t>
      </w:r>
      <w:r w:rsidRPr="001F2D7B">
        <w:rPr>
          <w:szCs w:val="20"/>
        </w:rPr>
        <w:t xml:space="preserve"> resulting in changes that have been reflected in this Report, as relevant. </w:t>
      </w:r>
      <w:r w:rsidR="00683DE1" w:rsidRPr="001F2D7B">
        <w:rPr>
          <w:szCs w:val="20"/>
        </w:rPr>
        <w:t>I</w:t>
      </w:r>
      <w:r w:rsidRPr="001F2D7B">
        <w:rPr>
          <w:szCs w:val="20"/>
        </w:rPr>
        <w:t xml:space="preserve">terative </w:t>
      </w:r>
      <w:r w:rsidR="00CF04A4" w:rsidRPr="001F2D7B">
        <w:rPr>
          <w:szCs w:val="20"/>
        </w:rPr>
        <w:t xml:space="preserve">updates </w:t>
      </w:r>
      <w:r w:rsidRPr="001F2D7B">
        <w:rPr>
          <w:szCs w:val="20"/>
        </w:rPr>
        <w:t xml:space="preserve">were </w:t>
      </w:r>
      <w:r w:rsidR="00CF04A4" w:rsidRPr="001F2D7B">
        <w:rPr>
          <w:szCs w:val="20"/>
        </w:rPr>
        <w:t xml:space="preserve">also </w:t>
      </w:r>
      <w:r w:rsidRPr="001F2D7B">
        <w:rPr>
          <w:szCs w:val="20"/>
        </w:rPr>
        <w:t xml:space="preserve">made to the </w:t>
      </w:r>
      <w:proofErr w:type="spellStart"/>
      <w:r w:rsidRPr="001F2D7B">
        <w:rPr>
          <w:szCs w:val="20"/>
        </w:rPr>
        <w:t>NASWD</w:t>
      </w:r>
      <w:proofErr w:type="spellEnd"/>
      <w:r w:rsidRPr="001F2D7B">
        <w:rPr>
          <w:szCs w:val="20"/>
        </w:rPr>
        <w:t xml:space="preserve">, </w:t>
      </w:r>
      <w:r w:rsidR="00683DE1" w:rsidRPr="001F2D7B">
        <w:rPr>
          <w:szCs w:val="20"/>
        </w:rPr>
        <w:t>and they are</w:t>
      </w:r>
      <w:r w:rsidR="00683DE1">
        <w:rPr>
          <w:szCs w:val="20"/>
        </w:rPr>
        <w:t xml:space="preserve"> </w:t>
      </w:r>
      <w:r>
        <w:rPr>
          <w:szCs w:val="20"/>
        </w:rPr>
        <w:t>reflected in this Report, as relevant.</w:t>
      </w:r>
    </w:p>
    <w:p w:rsidR="005468DE" w:rsidRDefault="005468DE" w:rsidP="0025516F">
      <w:pPr>
        <w:pStyle w:val="FigureTitle"/>
      </w:pPr>
      <w:r w:rsidRPr="0025516F">
        <w:rPr>
          <w:b w:val="0"/>
        </w:rPr>
        <w:lastRenderedPageBreak/>
        <w:t xml:space="preserve">Figure </w:t>
      </w:r>
      <w:r w:rsidR="00CA426B">
        <w:rPr>
          <w:b w:val="0"/>
        </w:rPr>
        <w:t>B.5</w:t>
      </w:r>
      <w:r w:rsidRPr="0025516F">
        <w:tab/>
      </w:r>
      <w:r w:rsidR="00F048B0" w:rsidRPr="0025516F">
        <w:t>Child care, education and training</w:t>
      </w:r>
      <w:r w:rsidRPr="0025516F">
        <w:t xml:space="preserve"> sector performance indicator framework</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5468DE" w:rsidTr="000B2FE8">
        <w:tc>
          <w:tcPr>
            <w:tcW w:w="8777" w:type="dxa"/>
          </w:tcPr>
          <w:p w:rsidR="005468DE" w:rsidRPr="00DA2450" w:rsidRDefault="001D63BE" w:rsidP="000B2FE8">
            <w:pPr>
              <w:pStyle w:val="Figure"/>
              <w:rPr>
                <w:rStyle w:val="DraftingNote"/>
                <w:b w:val="0"/>
                <w:color w:val="auto"/>
                <w:sz w:val="26"/>
                <w:u w:val="none"/>
              </w:rPr>
            </w:pPr>
            <w:r w:rsidRPr="003D2BC0">
              <w:rPr>
                <w:noProof/>
              </w:rPr>
              <w:drawing>
                <wp:inline distT="0" distB="0" distL="0" distR="0" wp14:anchorId="774C3252" wp14:editId="41336801">
                  <wp:extent cx="5572800" cy="6662532"/>
                  <wp:effectExtent l="0" t="0" r="8890" b="5080"/>
                  <wp:docPr id="4" name="Picture 4" descr="Figure B.5 Child care, education and training sector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72800" cy="6662532"/>
                          </a:xfrm>
                          <a:prstGeom prst="rect">
                            <a:avLst/>
                          </a:prstGeom>
                          <a:noFill/>
                          <a:ln>
                            <a:noFill/>
                          </a:ln>
                        </pic:spPr>
                      </pic:pic>
                    </a:graphicData>
                  </a:graphic>
                </wp:inline>
              </w:drawing>
            </w:r>
          </w:p>
        </w:tc>
      </w:tr>
    </w:tbl>
    <w:p w:rsidR="008B55A6" w:rsidRDefault="008B55A6" w:rsidP="008B55A6">
      <w:pPr>
        <w:pStyle w:val="Heading3"/>
      </w:pPr>
      <w:r>
        <w:t>Sector-wide indicators</w:t>
      </w:r>
    </w:p>
    <w:p w:rsidR="008B55A6" w:rsidRDefault="00C14CA6" w:rsidP="008B55A6">
      <w:pPr>
        <w:pStyle w:val="BodyText"/>
      </w:pPr>
      <w:r>
        <w:t xml:space="preserve">This section includes high level indicators of </w:t>
      </w:r>
      <w:proofErr w:type="spellStart"/>
      <w:r w:rsidR="00F048B0">
        <w:t>CCET</w:t>
      </w:r>
      <w:proofErr w:type="spellEnd"/>
      <w:r w:rsidR="00317B45">
        <w:t xml:space="preserve"> </w:t>
      </w:r>
      <w:r>
        <w:t xml:space="preserve">outcomes. Many factors are likely to influence outcomes — not </w:t>
      </w:r>
      <w:r w:rsidR="00EF379B">
        <w:t xml:space="preserve">solely </w:t>
      </w:r>
      <w:r>
        <w:t xml:space="preserve">the performance of government services. </w:t>
      </w:r>
      <w:r>
        <w:lastRenderedPageBreak/>
        <w:t>However, these outcomes inform the development of appropriate policies and d</w:t>
      </w:r>
      <w:r w:rsidR="007C4908">
        <w:t>elivery of government services.</w:t>
      </w:r>
    </w:p>
    <w:p w:rsidR="002911FD" w:rsidRPr="002911FD" w:rsidRDefault="002911FD" w:rsidP="00E433C4">
      <w:pPr>
        <w:pStyle w:val="BodyText"/>
        <w:shd w:val="clear" w:color="auto" w:fill="FFFFFF" w:themeFill="background1"/>
      </w:pPr>
      <w:r w:rsidRPr="00866542">
        <w:rPr>
          <w:shd w:val="clear" w:color="auto" w:fill="FFFFFF" w:themeFill="background1"/>
        </w:rPr>
        <w:t>Data quality information (</w:t>
      </w:r>
      <w:proofErr w:type="spellStart"/>
      <w:r w:rsidRPr="00866542">
        <w:rPr>
          <w:shd w:val="clear" w:color="auto" w:fill="FFFFFF" w:themeFill="background1"/>
        </w:rPr>
        <w:t>DQI</w:t>
      </w:r>
      <w:proofErr w:type="spellEnd"/>
      <w:r w:rsidRPr="00866542">
        <w:rPr>
          <w:shd w:val="clear" w:color="auto" w:fill="FFFFFF" w:themeFill="background1"/>
        </w:rPr>
        <w:t xml:space="preserve">) is being progressively introduced for all indicators in the Report. The purpose of </w:t>
      </w:r>
      <w:proofErr w:type="spellStart"/>
      <w:r w:rsidRPr="00866542">
        <w:rPr>
          <w:shd w:val="clear" w:color="auto" w:fill="FFFFFF" w:themeFill="background1"/>
        </w:rPr>
        <w:t>DQI</w:t>
      </w:r>
      <w:proofErr w:type="spellEnd"/>
      <w:r w:rsidRPr="00866542">
        <w:rPr>
          <w:shd w:val="clear" w:color="auto" w:fill="FFFFFF" w:themeFill="background1"/>
        </w:rPr>
        <w:t xml:space="preserve"> is to provide structured and consistent information about quality aspects of data </w:t>
      </w:r>
      <w:r w:rsidR="002E7FDC" w:rsidRPr="00866542">
        <w:rPr>
          <w:shd w:val="clear" w:color="auto" w:fill="FFFFFF" w:themeFill="background1"/>
        </w:rPr>
        <w:t>used to report on performance indicators</w:t>
      </w:r>
      <w:r w:rsidRPr="00866542">
        <w:rPr>
          <w:shd w:val="clear" w:color="auto" w:fill="FFFFFF" w:themeFill="background1"/>
        </w:rPr>
        <w:t xml:space="preserve">. </w:t>
      </w:r>
      <w:proofErr w:type="spellStart"/>
      <w:r w:rsidRPr="00866542">
        <w:rPr>
          <w:shd w:val="clear" w:color="auto" w:fill="FFFFFF" w:themeFill="background1"/>
        </w:rPr>
        <w:t>DQI</w:t>
      </w:r>
      <w:proofErr w:type="spellEnd"/>
      <w:r w:rsidRPr="00866542">
        <w:rPr>
          <w:shd w:val="clear" w:color="auto" w:fill="FFFFFF" w:themeFill="background1"/>
        </w:rPr>
        <w:t xml:space="preserve"> in this Report cover the seven dimensions in the ABS’ data quality framework (institutional environment, relevance, timeliness, accuracy, coherence, accessibility and interpretability) in addition to dimensions that define and describe performance indicators in a consistent manner, and </w:t>
      </w:r>
      <w:r w:rsidR="002E7FDC" w:rsidRPr="00866542">
        <w:rPr>
          <w:shd w:val="clear" w:color="auto" w:fill="FFFFFF" w:themeFill="background1"/>
        </w:rPr>
        <w:t xml:space="preserve">note </w:t>
      </w:r>
      <w:r w:rsidRPr="00866542">
        <w:rPr>
          <w:shd w:val="clear" w:color="auto" w:fill="FFFFFF" w:themeFill="background1"/>
        </w:rPr>
        <w:t xml:space="preserve">key data gaps and issues identified by the Steering Committee. All </w:t>
      </w:r>
      <w:proofErr w:type="spellStart"/>
      <w:r w:rsidRPr="00866542">
        <w:rPr>
          <w:shd w:val="clear" w:color="auto" w:fill="FFFFFF" w:themeFill="background1"/>
        </w:rPr>
        <w:t>DQI</w:t>
      </w:r>
      <w:proofErr w:type="spellEnd"/>
      <w:r w:rsidRPr="00866542">
        <w:rPr>
          <w:shd w:val="clear" w:color="auto" w:fill="FFFFFF" w:themeFill="background1"/>
        </w:rPr>
        <w:t xml:space="preserve"> for the 201</w:t>
      </w:r>
      <w:r w:rsidR="00A8017A">
        <w:rPr>
          <w:shd w:val="clear" w:color="auto" w:fill="FFFFFF" w:themeFill="background1"/>
        </w:rPr>
        <w:t>4</w:t>
      </w:r>
      <w:r w:rsidRPr="00866542">
        <w:rPr>
          <w:shd w:val="clear" w:color="auto" w:fill="FFFFFF" w:themeFill="background1"/>
        </w:rPr>
        <w:t xml:space="preserve"> Report can be found at </w:t>
      </w:r>
      <w:proofErr w:type="spellStart"/>
      <w:r w:rsidRPr="00866542">
        <w:rPr>
          <w:shd w:val="clear" w:color="auto" w:fill="FFFFFF" w:themeFill="background1"/>
        </w:rPr>
        <w:t>www.pc.gov.au</w:t>
      </w:r>
      <w:proofErr w:type="spellEnd"/>
      <w:r w:rsidRPr="00866542">
        <w:rPr>
          <w:shd w:val="clear" w:color="auto" w:fill="FFFFFF" w:themeFill="background1"/>
        </w:rPr>
        <w:t>/</w:t>
      </w:r>
      <w:proofErr w:type="spellStart"/>
      <w:r w:rsidRPr="00866542">
        <w:rPr>
          <w:shd w:val="clear" w:color="auto" w:fill="FFFFFF" w:themeFill="background1"/>
        </w:rPr>
        <w:t>gsp</w:t>
      </w:r>
      <w:proofErr w:type="spellEnd"/>
      <w:r w:rsidRPr="00866542">
        <w:rPr>
          <w:shd w:val="clear" w:color="auto" w:fill="FFFFFF" w:themeFill="background1"/>
        </w:rPr>
        <w:t>/reports/</w:t>
      </w:r>
      <w:proofErr w:type="spellStart"/>
      <w:r w:rsidRPr="00866542">
        <w:rPr>
          <w:shd w:val="clear" w:color="auto" w:fill="FFFFFF" w:themeFill="background1"/>
        </w:rPr>
        <w:t>rogs</w:t>
      </w:r>
      <w:proofErr w:type="spellEnd"/>
      <w:r w:rsidRPr="00866542">
        <w:rPr>
          <w:shd w:val="clear" w:color="auto" w:fill="FFFFFF" w:themeFill="background1"/>
        </w:rPr>
        <w:t>/201</w:t>
      </w:r>
      <w:r w:rsidR="00A8017A">
        <w:rPr>
          <w:shd w:val="clear" w:color="auto" w:fill="FFFFFF" w:themeFill="background1"/>
        </w:rPr>
        <w:t>4</w:t>
      </w:r>
      <w:r w:rsidRPr="00866542">
        <w:rPr>
          <w:shd w:val="clear" w:color="auto" w:fill="FFFFFF" w:themeFill="background1"/>
        </w:rPr>
        <w:t>.</w:t>
      </w:r>
    </w:p>
    <w:p w:rsidR="00675025" w:rsidRDefault="00675025" w:rsidP="00675025">
      <w:pPr>
        <w:pStyle w:val="Heading4"/>
      </w:pPr>
      <w:r>
        <w:t>School readiness</w:t>
      </w:r>
    </w:p>
    <w:p w:rsidR="000A358B" w:rsidRDefault="00675025" w:rsidP="000A358B">
      <w:pPr>
        <w:pStyle w:val="BodyText"/>
      </w:pPr>
      <w:r w:rsidRPr="00C22F40">
        <w:t>‘School readiness’ is a</w:t>
      </w:r>
      <w:r w:rsidR="006E5971">
        <w:t>n</w:t>
      </w:r>
      <w:r w:rsidRPr="00C22F40">
        <w:t xml:space="preserve"> indicator of governments</w:t>
      </w:r>
      <w:r w:rsidR="00630DA1">
        <w:t>’</w:t>
      </w:r>
      <w:r w:rsidR="00C22F40" w:rsidRPr="00C22F40">
        <w:t xml:space="preserve"> broad</w:t>
      </w:r>
      <w:r w:rsidRPr="00C22F40">
        <w:t xml:space="preserve"> objectives</w:t>
      </w:r>
      <w:r w:rsidR="00080DF0" w:rsidRPr="00C22F40">
        <w:t xml:space="preserve"> that</w:t>
      </w:r>
      <w:r w:rsidRPr="00C22F40">
        <w:t xml:space="preserve"> </w:t>
      </w:r>
      <w:r w:rsidR="005B7E83" w:rsidRPr="00C22F40">
        <w:t xml:space="preserve">all children have access to the support, care and education throughout early childhood that equips them for life and learning, delivered in a way that actively engages parents, and meets the workforce participation needs of parents </w:t>
      </w:r>
      <w:r w:rsidR="00080DF0" w:rsidRPr="00C22F40">
        <w:t xml:space="preserve">(box </w:t>
      </w:r>
      <w:r w:rsidR="00A646DF" w:rsidRPr="00C22F40">
        <w:t>B.6</w:t>
      </w:r>
      <w:r w:rsidRPr="00C22F40">
        <w:t>)</w:t>
      </w:r>
      <w:r w:rsidR="001273D6" w:rsidRPr="00C22F40">
        <w:t>.</w:t>
      </w:r>
    </w:p>
    <w:p w:rsidR="00675025" w:rsidRDefault="00675025">
      <w:pPr>
        <w:pStyle w:val="BoxSpace"/>
      </w:pPr>
      <w:r>
        <w:lastRenderedPageBreak/>
        <w:t>.</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75025">
        <w:tc>
          <w:tcPr>
            <w:tcW w:w="8771" w:type="dxa"/>
            <w:tcBorders>
              <w:top w:val="single" w:sz="6" w:space="0" w:color="auto"/>
              <w:bottom w:val="nil"/>
            </w:tcBorders>
          </w:tcPr>
          <w:p w:rsidR="00675025" w:rsidRDefault="00675025">
            <w:pPr>
              <w:pStyle w:val="BoxTitle"/>
            </w:pPr>
            <w:r>
              <w:rPr>
                <w:b w:val="0"/>
              </w:rPr>
              <w:t xml:space="preserve">Box </w:t>
            </w:r>
            <w:r w:rsidR="00A7020A" w:rsidRPr="00A7020A">
              <w:rPr>
                <w:b w:val="0"/>
              </w:rPr>
              <w:t>B.6</w:t>
            </w:r>
            <w:r>
              <w:tab/>
            </w:r>
            <w:r w:rsidR="00A7020A">
              <w:t>School readiness</w:t>
            </w:r>
          </w:p>
        </w:tc>
      </w:tr>
      <w:tr w:rsidR="00675025">
        <w:trPr>
          <w:cantSplit/>
        </w:trPr>
        <w:tc>
          <w:tcPr>
            <w:tcW w:w="8771" w:type="dxa"/>
            <w:tcBorders>
              <w:top w:val="nil"/>
              <w:left w:val="single" w:sz="6" w:space="0" w:color="auto"/>
              <w:bottom w:val="nil"/>
              <w:right w:val="single" w:sz="6" w:space="0" w:color="auto"/>
            </w:tcBorders>
          </w:tcPr>
          <w:p w:rsidR="00981DFD" w:rsidRDefault="00981DFD" w:rsidP="00981DFD">
            <w:pPr>
              <w:pStyle w:val="Box"/>
            </w:pPr>
            <w:r>
              <w:t>School readiness includes two measures:</w:t>
            </w:r>
          </w:p>
          <w:p w:rsidR="00981DFD" w:rsidRDefault="00981DFD" w:rsidP="00EA72E2">
            <w:pPr>
              <w:pStyle w:val="BoxListBullet"/>
            </w:pPr>
            <w:r>
              <w:t>Transition to primary school, defined as the proportion of chil</w:t>
            </w:r>
            <w:r w:rsidR="00A974FB">
              <w:t>dren developmentally on track on four or more domains of the Australian Early Development Index</w:t>
            </w:r>
            <w:r w:rsidR="001E4FD1">
              <w:t xml:space="preserve"> (</w:t>
            </w:r>
            <w:proofErr w:type="spellStart"/>
            <w:r w:rsidR="001E4FD1">
              <w:t>AEDI</w:t>
            </w:r>
            <w:proofErr w:type="spellEnd"/>
            <w:r w:rsidR="001E4FD1">
              <w:t>)</w:t>
            </w:r>
            <w:r>
              <w:t>.</w:t>
            </w:r>
          </w:p>
          <w:p w:rsidR="00981DFD" w:rsidRPr="005673E1" w:rsidRDefault="00981DFD" w:rsidP="00981DFD">
            <w:pPr>
              <w:pStyle w:val="BoxListBullet"/>
            </w:pPr>
            <w:r>
              <w:t xml:space="preserve">Early learning (home based), a proxy measure, </w:t>
            </w:r>
            <w:r w:rsidRPr="00543ED8">
              <w:t xml:space="preserve">defined as the </w:t>
            </w:r>
            <w:r>
              <w:t xml:space="preserve">number of days per week that a </w:t>
            </w:r>
            <w:r w:rsidRPr="00543ED8">
              <w:t>parent</w:t>
            </w:r>
            <w:r>
              <w:t>/guardian</w:t>
            </w:r>
            <w:r w:rsidRPr="00543ED8">
              <w:t xml:space="preserve"> </w:t>
            </w:r>
            <w:r>
              <w:t xml:space="preserve">told stories, read to </w:t>
            </w:r>
            <w:r w:rsidR="00630DA1">
              <w:t xml:space="preserve">a </w:t>
            </w:r>
            <w:r>
              <w:t xml:space="preserve">child or listened to </w:t>
            </w:r>
            <w:r w:rsidR="00630DA1">
              <w:t xml:space="preserve">a </w:t>
            </w:r>
            <w:r>
              <w:t>child read for children aged 3</w:t>
            </w:r>
            <w:r w:rsidR="001308A6">
              <w:t>–</w:t>
            </w:r>
            <w:r>
              <w:t>8 years.</w:t>
            </w:r>
          </w:p>
          <w:p w:rsidR="00981DFD" w:rsidRPr="008223AF" w:rsidRDefault="00981DFD" w:rsidP="00981DFD">
            <w:pPr>
              <w:pStyle w:val="Box"/>
            </w:pPr>
            <w:r w:rsidRPr="008223AF">
              <w:t>School readiness refers to the level of development at which a child can fulfil schooling requirements</w:t>
            </w:r>
            <w:r w:rsidR="001308A6">
              <w:t>,</w:t>
            </w:r>
            <w:r w:rsidRPr="008223AF">
              <w:t xml:space="preserve"> and can be described in terms o</w:t>
            </w:r>
            <w:r>
              <w:t>f a range of factors including</w:t>
            </w:r>
            <w:r w:rsidRPr="008223AF">
              <w:t xml:space="preserve"> a child’s emotional and social competence, language and cognitive skills, and resilience.</w:t>
            </w:r>
          </w:p>
          <w:p w:rsidR="00981DFD" w:rsidRDefault="00981DFD" w:rsidP="00981DFD">
            <w:pPr>
              <w:pStyle w:val="Box"/>
            </w:pPr>
            <w:r w:rsidRPr="008223AF">
              <w:t>Even if the child appears to be ready for primary school, the actual transition to school represents a major change in the child’s life. Children displaying higher levels of development are more like</w:t>
            </w:r>
            <w:r>
              <w:t>ly to</w:t>
            </w:r>
            <w:r w:rsidRPr="008223AF">
              <w:t xml:space="preserve"> make a successful transition to primary school </w:t>
            </w:r>
            <w:r>
              <w:t xml:space="preserve">and </w:t>
            </w:r>
            <w:r w:rsidRPr="008223AF">
              <w:t xml:space="preserve">have higher levels </w:t>
            </w:r>
            <w:r>
              <w:t xml:space="preserve">of </w:t>
            </w:r>
            <w:r w:rsidRPr="008223AF">
              <w:t>achievement compared with those who have difficulty making this transition (</w:t>
            </w:r>
            <w:proofErr w:type="spellStart"/>
            <w:r w:rsidRPr="008223AF">
              <w:t>AIHW</w:t>
            </w:r>
            <w:proofErr w:type="spellEnd"/>
            <w:r>
              <w:t xml:space="preserve"> 2011;</w:t>
            </w:r>
            <w:r w:rsidRPr="008223AF">
              <w:t xml:space="preserve"> NSW</w:t>
            </w:r>
            <w:r>
              <w:t xml:space="preserve"> </w:t>
            </w:r>
            <w:proofErr w:type="spellStart"/>
            <w:r>
              <w:t>DoCS</w:t>
            </w:r>
            <w:proofErr w:type="spellEnd"/>
            <w:r w:rsidRPr="008223AF">
              <w:t xml:space="preserve"> 2003)</w:t>
            </w:r>
            <w:r>
              <w:t>.</w:t>
            </w:r>
          </w:p>
          <w:p w:rsidR="001308A6" w:rsidRDefault="001308A6" w:rsidP="001308A6">
            <w:pPr>
              <w:pStyle w:val="BoxHeading2"/>
            </w:pPr>
            <w:r>
              <w:t>Transition to primary school</w:t>
            </w:r>
          </w:p>
          <w:p w:rsidR="00BE0EE3" w:rsidRDefault="00981DFD" w:rsidP="00C012B2">
            <w:pPr>
              <w:pStyle w:val="Box"/>
            </w:pPr>
            <w:r>
              <w:t xml:space="preserve">Transition to primary school is one measure of school readiness. </w:t>
            </w:r>
            <w:r w:rsidRPr="00124178">
              <w:t xml:space="preserve">This </w:t>
            </w:r>
            <w:r>
              <w:t xml:space="preserve">measure reports the proportion of children </w:t>
            </w:r>
            <w:r w:rsidR="00A974FB">
              <w:t xml:space="preserve">developmentally </w:t>
            </w:r>
            <w:r w:rsidR="00BE0EE3">
              <w:t>‘</w:t>
            </w:r>
            <w:r w:rsidR="00A974FB">
              <w:t>on track</w:t>
            </w:r>
            <w:r w:rsidR="00BE0EE3">
              <w:t>’</w:t>
            </w:r>
            <w:r w:rsidR="00630DA1">
              <w:t xml:space="preserve"> o</w:t>
            </w:r>
            <w:r w:rsidR="00A974FB">
              <w:t>n four o</w:t>
            </w:r>
            <w:r w:rsidR="00630DA1">
              <w:t>r</w:t>
            </w:r>
            <w:r w:rsidR="00A974FB">
              <w:t xml:space="preserve"> more (of five) </w:t>
            </w:r>
            <w:proofErr w:type="spellStart"/>
            <w:r>
              <w:t>AEDI</w:t>
            </w:r>
            <w:proofErr w:type="spellEnd"/>
            <w:r>
              <w:t xml:space="preserve"> </w:t>
            </w:r>
            <w:r w:rsidR="00A974FB">
              <w:t>domains</w:t>
            </w:r>
            <w:r w:rsidRPr="000D0A28">
              <w:t>.</w:t>
            </w:r>
            <w:r w:rsidR="00BE0EE3">
              <w:t xml:space="preserve"> </w:t>
            </w:r>
            <w:r>
              <w:t xml:space="preserve">Children who are considered developmentally on track possess adequate language and cognitive skills — those </w:t>
            </w:r>
            <w:r w:rsidR="00D4299B">
              <w:t xml:space="preserve">who </w:t>
            </w:r>
            <w:r>
              <w:t>have results above the 25</w:t>
            </w:r>
            <w:r w:rsidRPr="00124178">
              <w:rPr>
                <w:vertAlign w:val="superscript"/>
              </w:rPr>
              <w:t>th</w:t>
            </w:r>
            <w:r>
              <w:t xml:space="preserve"> percentile.</w:t>
            </w:r>
          </w:p>
          <w:p w:rsidR="00981DFD" w:rsidRDefault="00BE0EE3" w:rsidP="00C012B2">
            <w:pPr>
              <w:pStyle w:val="Box"/>
            </w:pPr>
            <w:r>
              <w:t xml:space="preserve">The five </w:t>
            </w:r>
            <w:proofErr w:type="spellStart"/>
            <w:r>
              <w:t>AEDI</w:t>
            </w:r>
            <w:proofErr w:type="spellEnd"/>
            <w:r>
              <w:t xml:space="preserve"> domains include: language and cognitive skills;</w:t>
            </w:r>
            <w:r w:rsidR="00981DFD">
              <w:t xml:space="preserve"> physical health and </w:t>
            </w:r>
            <w:proofErr w:type="spellStart"/>
            <w:r w:rsidR="00981DFD">
              <w:t>well</w:t>
            </w:r>
            <w:r w:rsidR="00981DFD">
              <w:noBreakHyphen/>
              <w:t>being</w:t>
            </w:r>
            <w:proofErr w:type="spellEnd"/>
            <w:r w:rsidR="00981DFD">
              <w:t xml:space="preserve">; social competence; emotional maturity and communication skills and general knowledge. </w:t>
            </w:r>
            <w:r>
              <w:t>T</w:t>
            </w:r>
            <w:r w:rsidR="00981DFD">
              <w:t>hese domains are all inter</w:t>
            </w:r>
            <w:r w:rsidR="00981DFD">
              <w:noBreakHyphen/>
              <w:t xml:space="preserve">related aspects of school readiness (see </w:t>
            </w:r>
            <w:r w:rsidR="00981DFD" w:rsidRPr="00EA72E2">
              <w:t>box 3.28 in the</w:t>
            </w:r>
            <w:r w:rsidR="00981DFD">
              <w:t xml:space="preserve"> </w:t>
            </w:r>
            <w:r w:rsidR="00A77F79">
              <w:t>Early childhood education and care</w:t>
            </w:r>
            <w:r w:rsidR="00981DFD">
              <w:t xml:space="preserve"> chapter for more information on the </w:t>
            </w:r>
            <w:proofErr w:type="spellStart"/>
            <w:r w:rsidR="00981DFD">
              <w:t>AEDI</w:t>
            </w:r>
            <w:proofErr w:type="spellEnd"/>
            <w:r w:rsidR="00981DFD">
              <w:t xml:space="preserve">). Further information on </w:t>
            </w:r>
            <w:proofErr w:type="spellStart"/>
            <w:r w:rsidR="00981DFD">
              <w:t>AEDI</w:t>
            </w:r>
            <w:proofErr w:type="spellEnd"/>
            <w:r w:rsidR="00981DFD">
              <w:t xml:space="preserve"> results </w:t>
            </w:r>
            <w:r w:rsidR="00981DFD" w:rsidRPr="00980960">
              <w:t xml:space="preserve">are available at the website </w:t>
            </w:r>
            <w:proofErr w:type="spellStart"/>
            <w:r w:rsidR="001308A6" w:rsidRPr="00B74926">
              <w:t>www.aedi.org.au</w:t>
            </w:r>
            <w:proofErr w:type="spellEnd"/>
            <w:r w:rsidR="00981DFD">
              <w:t>.</w:t>
            </w:r>
          </w:p>
          <w:p w:rsidR="001308A6" w:rsidRDefault="001308A6" w:rsidP="001308A6">
            <w:pPr>
              <w:pStyle w:val="BoxHeading2"/>
            </w:pPr>
            <w:r>
              <w:t>Early learning</w:t>
            </w:r>
          </w:p>
          <w:p w:rsidR="008F07B4" w:rsidRPr="00DE66E0" w:rsidRDefault="008F07B4" w:rsidP="00981DFD">
            <w:pPr>
              <w:pStyle w:val="Box"/>
            </w:pPr>
            <w:r>
              <w:t>A supportive home learning environment through shared learning</w:t>
            </w:r>
            <w:r w:rsidR="006E45AE">
              <w:t xml:space="preserve"> activities between the parent</w:t>
            </w:r>
            <w:r>
              <w:t>/carer and the young child</w:t>
            </w:r>
            <w:r w:rsidR="001308A6">
              <w:t>,</w:t>
            </w:r>
            <w:r>
              <w:t xml:space="preserve"> including reading to children on a regular basis</w:t>
            </w:r>
            <w:r w:rsidR="001308A6">
              <w:t>,</w:t>
            </w:r>
            <w:r>
              <w:t xml:space="preserve"> is a key requirement to assist young children </w:t>
            </w:r>
            <w:r w:rsidR="00EF379B">
              <w:t xml:space="preserve">to </w:t>
            </w:r>
            <w:r>
              <w:t xml:space="preserve">reach cognitive development milestones. </w:t>
            </w:r>
            <w:r w:rsidR="001308A6">
              <w:t>H</w:t>
            </w:r>
            <w:r>
              <w:t xml:space="preserve">ome literacy activities have </w:t>
            </w:r>
            <w:r w:rsidR="00EF379B">
              <w:t xml:space="preserve">been found </w:t>
            </w:r>
            <w:r>
              <w:t>to improve children’s reading, vocabulary, general information and letter recognit</w:t>
            </w:r>
            <w:r w:rsidR="00317B45">
              <w:t>ion skills when entering school</w:t>
            </w:r>
            <w:r w:rsidR="00B91349">
              <w:t xml:space="preserve">. </w:t>
            </w:r>
            <w:r w:rsidR="00075A4E">
              <w:t>P</w:t>
            </w:r>
            <w:r w:rsidR="00B91349">
              <w:t xml:space="preserve">arent/carer </w:t>
            </w:r>
            <w:r w:rsidR="00075A4E">
              <w:t xml:space="preserve">education </w:t>
            </w:r>
            <w:r w:rsidR="00B91349">
              <w:t xml:space="preserve">levels </w:t>
            </w:r>
            <w:r w:rsidR="00075A4E">
              <w:t xml:space="preserve">may also influence a supportive home learning environment </w:t>
            </w:r>
            <w:r w:rsidR="001A05DE">
              <w:t>(</w:t>
            </w:r>
            <w:proofErr w:type="spellStart"/>
            <w:r w:rsidR="005C0D07">
              <w:t>AIHW</w:t>
            </w:r>
            <w:proofErr w:type="spellEnd"/>
            <w:r w:rsidR="005C0D07">
              <w:t xml:space="preserve"> 2011; </w:t>
            </w:r>
            <w:proofErr w:type="spellStart"/>
            <w:r w:rsidR="001A05DE">
              <w:t>McTurk</w:t>
            </w:r>
            <w:proofErr w:type="spellEnd"/>
            <w:r w:rsidR="001E4FD1">
              <w:t> </w:t>
            </w:r>
            <w:r w:rsidR="001A05DE">
              <w:t xml:space="preserve">et </w:t>
            </w:r>
            <w:r>
              <w:t>al</w:t>
            </w:r>
            <w:r w:rsidR="005C0D07">
              <w:t>.</w:t>
            </w:r>
            <w:r>
              <w:t xml:space="preserve"> 2</w:t>
            </w:r>
            <w:r w:rsidRPr="00DE66E0">
              <w:t>011)</w:t>
            </w:r>
            <w:r w:rsidR="00317B45" w:rsidRPr="00DE66E0">
              <w:t>.</w:t>
            </w:r>
          </w:p>
          <w:p w:rsidR="00DE66E0" w:rsidRPr="00DE66E0" w:rsidRDefault="00EB2935" w:rsidP="009340DF">
            <w:pPr>
              <w:pStyle w:val="Box"/>
            </w:pPr>
            <w:r w:rsidRPr="00DE66E0">
              <w:t xml:space="preserve">Data </w:t>
            </w:r>
            <w:r w:rsidR="00DE66E0" w:rsidRPr="00DE66E0">
              <w:t>reported for these measures are:</w:t>
            </w:r>
          </w:p>
          <w:p w:rsidR="00DE66E0" w:rsidRPr="00DE66E0" w:rsidRDefault="00DE66E0" w:rsidP="00DE66E0">
            <w:pPr>
              <w:pStyle w:val="BoxListBullet"/>
            </w:pPr>
            <w:r>
              <w:t>c</w:t>
            </w:r>
            <w:r w:rsidRPr="00DE66E0">
              <w:t xml:space="preserve">omparable (subject to caveats) </w:t>
            </w:r>
            <w:r w:rsidRPr="00B2630C">
              <w:t>within jurisdictions over</w:t>
            </w:r>
            <w:r w:rsidR="00BC3F69" w:rsidRPr="00B2630C">
              <w:t xml:space="preserve"> </w:t>
            </w:r>
            <w:r w:rsidRPr="00B2630C">
              <w:t>time an</w:t>
            </w:r>
            <w:r w:rsidRPr="00DE66E0">
              <w:t>d across jurisdictions</w:t>
            </w:r>
          </w:p>
          <w:p w:rsidR="00EB2935" w:rsidRDefault="00DE66E0" w:rsidP="00DE66E0">
            <w:pPr>
              <w:pStyle w:val="BoxListBullet"/>
            </w:pPr>
            <w:r>
              <w:t>c</w:t>
            </w:r>
            <w:r w:rsidRPr="00DE66E0">
              <w:t>omplete (subject to caveats) for the current reporting period. All required data are available for all jurisdictions.</w:t>
            </w:r>
            <w:r>
              <w:t xml:space="preserve"> </w:t>
            </w:r>
          </w:p>
          <w:p w:rsidR="00494AEA" w:rsidRPr="008F07B4" w:rsidRDefault="00494AEA" w:rsidP="00B74926">
            <w:pPr>
              <w:pStyle w:val="Box"/>
              <w:rPr>
                <w:rStyle w:val="DraftingNote"/>
                <w:b w:val="0"/>
                <w:color w:val="auto"/>
                <w:sz w:val="22"/>
                <w:u w:val="none"/>
              </w:rPr>
            </w:pPr>
            <w:r>
              <w:t xml:space="preserve">Data quality information for this indicator is </w:t>
            </w:r>
            <w:r w:rsidR="00247757" w:rsidRPr="00FC39AE">
              <w:t xml:space="preserve">at </w:t>
            </w:r>
            <w:proofErr w:type="spellStart"/>
            <w:r w:rsidR="00247757" w:rsidRPr="00FC39AE">
              <w:t>www.pc.gov.au</w:t>
            </w:r>
            <w:proofErr w:type="spellEnd"/>
            <w:r w:rsidR="00247757" w:rsidRPr="00FC39AE">
              <w:t>/</w:t>
            </w:r>
            <w:proofErr w:type="spellStart"/>
            <w:r w:rsidR="00247757" w:rsidRPr="00FC39AE">
              <w:t>gsp</w:t>
            </w:r>
            <w:proofErr w:type="spellEnd"/>
            <w:r w:rsidR="00247757" w:rsidRPr="00FC39AE">
              <w:t>/reports/</w:t>
            </w:r>
            <w:proofErr w:type="spellStart"/>
            <w:r w:rsidR="00247757" w:rsidRPr="00FC39AE">
              <w:t>rogs</w:t>
            </w:r>
            <w:proofErr w:type="spellEnd"/>
            <w:r w:rsidR="00247757" w:rsidRPr="00FC39AE">
              <w:t>/201</w:t>
            </w:r>
            <w:r w:rsidR="00B74926">
              <w:t>4</w:t>
            </w:r>
            <w:r>
              <w:t>.</w:t>
            </w:r>
          </w:p>
        </w:tc>
      </w:tr>
      <w:tr w:rsidR="00675025">
        <w:trPr>
          <w:cantSplit/>
        </w:trPr>
        <w:tc>
          <w:tcPr>
            <w:tcW w:w="8771" w:type="dxa"/>
            <w:tcBorders>
              <w:top w:val="nil"/>
              <w:left w:val="single" w:sz="6" w:space="0" w:color="auto"/>
              <w:bottom w:val="single" w:sz="6" w:space="0" w:color="auto"/>
              <w:right w:val="single" w:sz="6" w:space="0" w:color="auto"/>
            </w:tcBorders>
          </w:tcPr>
          <w:p w:rsidR="008F07B4" w:rsidRDefault="008F07B4">
            <w:pPr>
              <w:pStyle w:val="Box"/>
              <w:spacing w:before="0" w:line="120" w:lineRule="exact"/>
            </w:pPr>
          </w:p>
        </w:tc>
      </w:tr>
    </w:tbl>
    <w:p w:rsidR="008A0360" w:rsidRDefault="002A4728" w:rsidP="00101F1E">
      <w:pPr>
        <w:pStyle w:val="Heading5"/>
      </w:pPr>
      <w:r>
        <w:lastRenderedPageBreak/>
        <w:t xml:space="preserve">Transition </w:t>
      </w:r>
      <w:r w:rsidR="000A358B">
        <w:t xml:space="preserve">to </w:t>
      </w:r>
      <w:r>
        <w:t>primary school</w:t>
      </w:r>
      <w:r w:rsidR="00E5687B">
        <w:t xml:space="preserve"> </w:t>
      </w:r>
    </w:p>
    <w:p w:rsidR="000A358B" w:rsidRDefault="005E51A7" w:rsidP="00516019">
      <w:pPr>
        <w:pStyle w:val="BodyText"/>
      </w:pPr>
      <w:r>
        <w:t>Nationally</w:t>
      </w:r>
      <w:r w:rsidR="009C48F4">
        <w:t xml:space="preserve"> in </w:t>
      </w:r>
      <w:r w:rsidR="00E5687B">
        <w:t>20</w:t>
      </w:r>
      <w:r w:rsidR="00256365">
        <w:t>12</w:t>
      </w:r>
      <w:r w:rsidR="00CC476D">
        <w:t>,</w:t>
      </w:r>
      <w:r>
        <w:t xml:space="preserve"> </w:t>
      </w:r>
      <w:r w:rsidR="00EB6893">
        <w:t>69.1</w:t>
      </w:r>
      <w:r w:rsidR="006E45AE">
        <w:t xml:space="preserve"> per cent of children </w:t>
      </w:r>
      <w:r w:rsidR="009C48F4">
        <w:t>we</w:t>
      </w:r>
      <w:r w:rsidR="006E45AE">
        <w:t xml:space="preserve">re developmentally on track </w:t>
      </w:r>
      <w:r w:rsidR="00BE0EE3">
        <w:t xml:space="preserve">on four or more domains of the Australian Early Development Index </w:t>
      </w:r>
      <w:r w:rsidR="001E4FD1">
        <w:t>(</w:t>
      </w:r>
      <w:proofErr w:type="spellStart"/>
      <w:r w:rsidR="001E4FD1">
        <w:t>AEDI</w:t>
      </w:r>
      <w:proofErr w:type="spellEnd"/>
      <w:r w:rsidR="001E4FD1">
        <w:t xml:space="preserve">) </w:t>
      </w:r>
      <w:r w:rsidR="006E45AE">
        <w:t>as they enter</w:t>
      </w:r>
      <w:r w:rsidR="009C48F4">
        <w:t>ed</w:t>
      </w:r>
      <w:r w:rsidR="006E45AE">
        <w:t xml:space="preserve"> school</w:t>
      </w:r>
      <w:r w:rsidR="00DB110D">
        <w:t>, compared with 67.4 per cent in 2009 (table BA.7)</w:t>
      </w:r>
      <w:r w:rsidR="006E45AE">
        <w:t xml:space="preserve">. </w:t>
      </w:r>
      <w:r w:rsidR="00DB110D">
        <w:t>In 2012, t</w:t>
      </w:r>
      <w:r w:rsidR="004C3A97">
        <w:t xml:space="preserve">he proportion </w:t>
      </w:r>
      <w:r w:rsidR="00DB110D">
        <w:t xml:space="preserve">of Indigenous and non-Indigenous children who were developmentally on track on four or more domains of the </w:t>
      </w:r>
      <w:proofErr w:type="spellStart"/>
      <w:r w:rsidR="00DB110D">
        <w:t>AEDI</w:t>
      </w:r>
      <w:proofErr w:type="spellEnd"/>
      <w:r w:rsidR="00DB110D">
        <w:t xml:space="preserve"> </w:t>
      </w:r>
      <w:r w:rsidR="004C3A97">
        <w:t xml:space="preserve">was </w:t>
      </w:r>
      <w:r w:rsidR="00EB6893">
        <w:t>47.7</w:t>
      </w:r>
      <w:r w:rsidR="004C3A97">
        <w:t xml:space="preserve"> per cent and </w:t>
      </w:r>
      <w:r w:rsidR="00EB6893">
        <w:t>70.3</w:t>
      </w:r>
      <w:r w:rsidR="004C3A97">
        <w:t xml:space="preserve"> per cent</w:t>
      </w:r>
      <w:r w:rsidR="00DB110D">
        <w:t xml:space="preserve"> respectively.</w:t>
      </w:r>
      <w:r w:rsidR="00DB110D" w:rsidRPr="00DB110D">
        <w:t xml:space="preserve"> </w:t>
      </w:r>
      <w:r w:rsidR="00DB110D">
        <w:t xml:space="preserve">These proportions vary across jurisdictions (figure B.6). In 2009, the proportion of Indigenous and non-Indigenous children who were developmentally on track on four or more domains of the </w:t>
      </w:r>
      <w:proofErr w:type="spellStart"/>
      <w:r w:rsidR="00DB110D">
        <w:t>AEDI</w:t>
      </w:r>
      <w:proofErr w:type="spellEnd"/>
      <w:r w:rsidR="00DB110D">
        <w:t xml:space="preserve"> was 42.5 per cent and 68.6 per cent respectively</w:t>
      </w:r>
      <w:r w:rsidR="00293037">
        <w:t xml:space="preserve"> (table BA.7)</w:t>
      </w:r>
      <w:r w:rsidR="00DB110D">
        <w:t xml:space="preserve">. </w:t>
      </w:r>
      <w:r w:rsidR="00FC39AE">
        <w:t>T</w:t>
      </w:r>
      <w:r w:rsidR="00063DF0">
        <w:t xml:space="preserve">able </w:t>
      </w:r>
      <w:r w:rsidR="00FC39AE">
        <w:t>B</w:t>
      </w:r>
      <w:r w:rsidR="009C48F4">
        <w:t>A.</w:t>
      </w:r>
      <w:r w:rsidR="00063DF0">
        <w:t xml:space="preserve">7 includes proportions of students who were on track in </w:t>
      </w:r>
      <w:r w:rsidR="00FC39AE">
        <w:t>one or more</w:t>
      </w:r>
      <w:r w:rsidR="009C48F4">
        <w:t>,</w:t>
      </w:r>
      <w:r w:rsidR="00FC39AE">
        <w:t xml:space="preserve"> two or more, three or more, and all five domains</w:t>
      </w:r>
      <w:r w:rsidR="00EB6893">
        <w:t xml:space="preserve"> for 2012 and 2009</w:t>
      </w:r>
      <w:r w:rsidR="00FC39AE">
        <w:t>.</w:t>
      </w:r>
    </w:p>
    <w:p w:rsidR="00675025" w:rsidRPr="00101F1E" w:rsidRDefault="00675025" w:rsidP="00364A60">
      <w:pPr>
        <w:pStyle w:val="FigureTitle"/>
      </w:pPr>
      <w:r>
        <w:rPr>
          <w:b w:val="0"/>
        </w:rPr>
        <w:t xml:space="preserve">Figure </w:t>
      </w:r>
      <w:r w:rsidR="00CA426B">
        <w:rPr>
          <w:b w:val="0"/>
        </w:rPr>
        <w:t>B.6</w:t>
      </w:r>
      <w:r>
        <w:tab/>
      </w:r>
      <w:r w:rsidR="00F67D05" w:rsidRPr="0003265D">
        <w:rPr>
          <w:rFonts w:cs="Arial"/>
        </w:rPr>
        <w:t xml:space="preserve">Proportion of children </w:t>
      </w:r>
      <w:r w:rsidR="00FF6A19">
        <w:rPr>
          <w:rFonts w:cs="Arial"/>
        </w:rPr>
        <w:t xml:space="preserve">developmentally on track </w:t>
      </w:r>
      <w:r w:rsidR="00BE0EE3">
        <w:rPr>
          <w:rFonts w:cs="Arial"/>
        </w:rPr>
        <w:t xml:space="preserve">on four or more domains of the Australian Early Development Index </w:t>
      </w:r>
      <w:r w:rsidR="00FF6A19">
        <w:rPr>
          <w:rFonts w:cs="Arial"/>
        </w:rPr>
        <w:t>as they enter</w:t>
      </w:r>
      <w:r w:rsidR="00F67D05" w:rsidRPr="0003265D">
        <w:rPr>
          <w:rFonts w:cs="Arial"/>
        </w:rPr>
        <w:t xml:space="preserve"> school</w:t>
      </w:r>
      <w:r w:rsidR="00BE0EE3">
        <w:rPr>
          <w:rFonts w:cs="Arial"/>
        </w:rPr>
        <w:t>, 20</w:t>
      </w:r>
      <w:r w:rsidR="00256365">
        <w:rPr>
          <w:rFonts w:cs="Arial"/>
        </w:rPr>
        <w:t>12</w:t>
      </w:r>
      <w:r w:rsidR="00FF6A19" w:rsidRPr="001A05DE">
        <w:rPr>
          <w:rStyle w:val="NoteLabel"/>
          <w:b/>
        </w:rPr>
        <w:t>a,</w:t>
      </w:r>
      <w:r w:rsidR="009F40A8">
        <w:rPr>
          <w:rStyle w:val="NoteLabel"/>
          <w:b/>
        </w:rPr>
        <w:t xml:space="preserve"> </w:t>
      </w:r>
      <w:r w:rsidR="00FF6A19" w:rsidRPr="001A05DE">
        <w:rPr>
          <w:rStyle w:val="NoteLabel"/>
          <w:b/>
        </w:rPr>
        <w:t>b,</w:t>
      </w:r>
      <w:r w:rsidR="009F40A8">
        <w:rPr>
          <w:rStyle w:val="NoteLabel"/>
          <w:b/>
        </w:rPr>
        <w:t xml:space="preserve"> </w:t>
      </w:r>
      <w:r w:rsidR="00FF6A19" w:rsidRPr="001A05DE">
        <w:rPr>
          <w:rStyle w:val="NoteLabel"/>
          <w:b/>
        </w:rPr>
        <w:t>c</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675025" w:rsidTr="00EB6893">
        <w:tc>
          <w:tcPr>
            <w:tcW w:w="8777" w:type="dxa"/>
          </w:tcPr>
          <w:p w:rsidR="002C6ECC" w:rsidRPr="005E51A7" w:rsidRDefault="00972319" w:rsidP="00364A60">
            <w:pPr>
              <w:pStyle w:val="BodyText"/>
            </w:pPr>
            <w:r>
              <w:rPr>
                <w:noProof/>
              </w:rPr>
              <w:drawing>
                <wp:inline distT="0" distB="0" distL="0" distR="0" wp14:anchorId="5A00FAE9" wp14:editId="72A6ADC9">
                  <wp:extent cx="5400000" cy="2520000"/>
                  <wp:effectExtent l="0" t="0" r="0" b="0"/>
                  <wp:docPr id="34" name="Chart 34" descr="Proportion of children developmentally on track on four or more domains of the Australian Early Development Index as they enter school, 2012&#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bl>
    <w:p w:rsidR="009F40A8" w:rsidRPr="009F40A8" w:rsidRDefault="00675025" w:rsidP="00364A60">
      <w:pPr>
        <w:pStyle w:val="Note"/>
      </w:pPr>
      <w:r w:rsidRPr="002375A1">
        <w:rPr>
          <w:rStyle w:val="NoteLabel"/>
        </w:rPr>
        <w:t>a</w:t>
      </w:r>
      <w:r w:rsidRPr="002375A1">
        <w:sym w:font="Symbol" w:char="F020"/>
      </w:r>
      <w:r w:rsidR="004E20B5" w:rsidRPr="002375A1">
        <w:t>Data are reported from a popul</w:t>
      </w:r>
      <w:r w:rsidR="001A05DE" w:rsidRPr="002375A1">
        <w:t xml:space="preserve">ation measure of young </w:t>
      </w:r>
      <w:r w:rsidR="009208EB" w:rsidRPr="002375A1">
        <w:t>children’s</w:t>
      </w:r>
      <w:r w:rsidR="004E20B5" w:rsidRPr="002375A1">
        <w:t xml:space="preserve"> development based on a teacher</w:t>
      </w:r>
      <w:r w:rsidR="006E45AE" w:rsidRPr="002375A1">
        <w:noBreakHyphen/>
      </w:r>
      <w:r w:rsidR="004E20B5" w:rsidRPr="002375A1">
        <w:t xml:space="preserve">completed checklist. </w:t>
      </w:r>
      <w:r w:rsidR="004E20B5" w:rsidRPr="002375A1">
        <w:rPr>
          <w:rStyle w:val="NoteLabel"/>
        </w:rPr>
        <w:t>b</w:t>
      </w:r>
      <w:r w:rsidR="004E20B5" w:rsidRPr="002375A1">
        <w:sym w:font="Symbol" w:char="F020"/>
      </w:r>
      <w:r w:rsidR="006E45AE" w:rsidRPr="002375A1">
        <w:t>C</w:t>
      </w:r>
      <w:r w:rsidR="004E20B5" w:rsidRPr="002375A1">
        <w:t>hildren who score above the 25</w:t>
      </w:r>
      <w:r w:rsidR="004E20B5" w:rsidRPr="002375A1">
        <w:rPr>
          <w:vertAlign w:val="superscript"/>
        </w:rPr>
        <w:t>th</w:t>
      </w:r>
      <w:r w:rsidR="006E45AE" w:rsidRPr="002375A1">
        <w:t> </w:t>
      </w:r>
      <w:r w:rsidR="004E20B5" w:rsidRPr="002375A1">
        <w:t xml:space="preserve">percentile (in the top 75 per cent) of the </w:t>
      </w:r>
      <w:proofErr w:type="spellStart"/>
      <w:r w:rsidR="004E20B5" w:rsidRPr="002375A1">
        <w:t>AEDI</w:t>
      </w:r>
      <w:proofErr w:type="spellEnd"/>
      <w:r w:rsidR="004E20B5" w:rsidRPr="002375A1">
        <w:t xml:space="preserve"> population are classified as </w:t>
      </w:r>
      <w:r w:rsidR="006E45AE" w:rsidRPr="002375A1">
        <w:t xml:space="preserve">developmentally </w:t>
      </w:r>
      <w:r w:rsidR="004E20B5" w:rsidRPr="002375A1">
        <w:t xml:space="preserve">‘on track’. </w:t>
      </w:r>
      <w:proofErr w:type="spellStart"/>
      <w:r w:rsidR="004E20B5" w:rsidRPr="002375A1">
        <w:t>AEDI</w:t>
      </w:r>
      <w:proofErr w:type="spellEnd"/>
      <w:r w:rsidR="004E20B5" w:rsidRPr="002375A1">
        <w:t xml:space="preserve"> cut-offs have been set for each domain. The cut-offs have been created on the basis of all children who participated in the </w:t>
      </w:r>
      <w:proofErr w:type="spellStart"/>
      <w:r w:rsidR="004E20B5" w:rsidRPr="002375A1">
        <w:t>AEDI</w:t>
      </w:r>
      <w:proofErr w:type="spellEnd"/>
      <w:r w:rsidR="004E20B5" w:rsidRPr="002375A1">
        <w:t xml:space="preserve"> nationally. </w:t>
      </w:r>
      <w:r w:rsidR="004E20B5" w:rsidRPr="002375A1">
        <w:rPr>
          <w:rStyle w:val="NoteLabel"/>
        </w:rPr>
        <w:t>c</w:t>
      </w:r>
      <w:r w:rsidR="004E20B5" w:rsidRPr="002375A1">
        <w:sym w:font="Symbol" w:char="F020"/>
      </w:r>
      <w:r w:rsidR="004E20B5" w:rsidRPr="002375A1">
        <w:t xml:space="preserve">The </w:t>
      </w:r>
      <w:proofErr w:type="spellStart"/>
      <w:r w:rsidR="009F40A8" w:rsidRPr="002375A1">
        <w:t>AEDI</w:t>
      </w:r>
      <w:proofErr w:type="spellEnd"/>
      <w:r w:rsidR="009F40A8" w:rsidRPr="002375A1">
        <w:t xml:space="preserve"> also reports against </w:t>
      </w:r>
      <w:r w:rsidR="009C48F4">
        <w:t>five</w:t>
      </w:r>
      <w:r w:rsidR="009F40A8" w:rsidRPr="002375A1">
        <w:t xml:space="preserve"> domains: </w:t>
      </w:r>
      <w:r w:rsidR="009C48F4">
        <w:t xml:space="preserve">language and cognitive skills; </w:t>
      </w:r>
      <w:r w:rsidR="009F40A8" w:rsidRPr="002375A1">
        <w:t xml:space="preserve">physical health and </w:t>
      </w:r>
      <w:proofErr w:type="spellStart"/>
      <w:r w:rsidR="009F40A8" w:rsidRPr="002375A1">
        <w:t>well</w:t>
      </w:r>
      <w:r w:rsidR="009F40A8" w:rsidRPr="002375A1">
        <w:noBreakHyphen/>
        <w:t>being</w:t>
      </w:r>
      <w:proofErr w:type="spellEnd"/>
      <w:r w:rsidR="009F40A8" w:rsidRPr="002375A1">
        <w:t>; social competence; emotional maturity and communication skills</w:t>
      </w:r>
      <w:r w:rsidR="00494AEA" w:rsidRPr="002375A1">
        <w:t>;</w:t>
      </w:r>
      <w:r w:rsidR="009F40A8" w:rsidRPr="002375A1">
        <w:t xml:space="preserve"> and general knowledge which</w:t>
      </w:r>
      <w:r w:rsidR="009C48F4">
        <w:t xml:space="preserve"> </w:t>
      </w:r>
      <w:r w:rsidR="009F40A8" w:rsidRPr="002375A1">
        <w:t>are all inter-related aspects of school readiness.</w:t>
      </w:r>
    </w:p>
    <w:p w:rsidR="009F40A8" w:rsidRPr="009F40A8" w:rsidRDefault="006E45AE" w:rsidP="00FC39AE">
      <w:pPr>
        <w:pStyle w:val="Source"/>
      </w:pPr>
      <w:r>
        <w:rPr>
          <w:i/>
        </w:rPr>
        <w:t>S</w:t>
      </w:r>
      <w:r w:rsidR="00675025">
        <w:rPr>
          <w:i/>
        </w:rPr>
        <w:t>ource</w:t>
      </w:r>
      <w:r w:rsidR="00675025" w:rsidRPr="00167F06">
        <w:t xml:space="preserve">: </w:t>
      </w:r>
      <w:r w:rsidR="002F0799" w:rsidRPr="002F0799">
        <w:t xml:space="preserve">Centre for Community Child Health and Telethon Institute for Child Health Research A </w:t>
      </w:r>
      <w:proofErr w:type="spellStart"/>
      <w:r w:rsidR="002F0799" w:rsidRPr="002F0799">
        <w:t>Snaphot</w:t>
      </w:r>
      <w:proofErr w:type="spellEnd"/>
      <w:r w:rsidR="002F0799" w:rsidRPr="002F0799">
        <w:t xml:space="preserve"> of Early Childhood Development in Australia</w:t>
      </w:r>
      <w:r w:rsidR="00C943C2">
        <w:t xml:space="preserve"> —</w:t>
      </w:r>
      <w:r w:rsidR="002F0799" w:rsidRPr="002F0799">
        <w:t xml:space="preserve"> </w:t>
      </w:r>
      <w:proofErr w:type="spellStart"/>
      <w:r w:rsidR="002F0799" w:rsidRPr="002F0799">
        <w:t>AEDI</w:t>
      </w:r>
      <w:proofErr w:type="spellEnd"/>
      <w:r w:rsidR="002F0799" w:rsidRPr="002F0799">
        <w:t xml:space="preserve"> National Report 20</w:t>
      </w:r>
      <w:r w:rsidR="00256365">
        <w:t>12</w:t>
      </w:r>
      <w:r w:rsidR="002F0799" w:rsidRPr="002F0799">
        <w:t xml:space="preserve"> </w:t>
      </w:r>
      <w:r w:rsidR="002F0799">
        <w:t>(201</w:t>
      </w:r>
      <w:r w:rsidR="00256365">
        <w:t>3</w:t>
      </w:r>
      <w:r w:rsidR="002F0799">
        <w:t>), Canberra</w:t>
      </w:r>
      <w:r w:rsidR="00063DF0">
        <w:t xml:space="preserve">; </w:t>
      </w:r>
      <w:proofErr w:type="spellStart"/>
      <w:r w:rsidR="00063DF0">
        <w:t>DEEWR</w:t>
      </w:r>
      <w:proofErr w:type="spellEnd"/>
      <w:r w:rsidR="00063DF0">
        <w:t xml:space="preserve"> (unpublished)</w:t>
      </w:r>
      <w:r w:rsidR="00BF7D4A">
        <w:t xml:space="preserve"> </w:t>
      </w:r>
      <w:r w:rsidR="00BF7D4A" w:rsidRPr="00954DC3">
        <w:rPr>
          <w:i/>
        </w:rPr>
        <w:t>Australian Early</w:t>
      </w:r>
      <w:r w:rsidR="004E20B5" w:rsidRPr="00954DC3">
        <w:rPr>
          <w:i/>
        </w:rPr>
        <w:t xml:space="preserve"> Development Index</w:t>
      </w:r>
      <w:r w:rsidR="001E4FD1">
        <w:t>; t</w:t>
      </w:r>
      <w:r w:rsidR="004E20B5">
        <w:t>able BA.</w:t>
      </w:r>
      <w:r w:rsidR="00954DC3">
        <w:t>7</w:t>
      </w:r>
      <w:r w:rsidR="004E20B5">
        <w:t>.</w:t>
      </w:r>
    </w:p>
    <w:p w:rsidR="00BC3F69" w:rsidRDefault="00BC3F69">
      <w:pPr>
        <w:rPr>
          <w:i/>
          <w:szCs w:val="20"/>
        </w:rPr>
      </w:pPr>
      <w:r>
        <w:rPr>
          <w:i/>
        </w:rPr>
        <w:br w:type="page"/>
      </w:r>
    </w:p>
    <w:p w:rsidR="002A4728" w:rsidRPr="002A4728" w:rsidRDefault="002A4728" w:rsidP="00293037">
      <w:pPr>
        <w:pStyle w:val="BodyText"/>
        <w:keepNext/>
        <w:widowControl w:val="0"/>
        <w:rPr>
          <w:i/>
        </w:rPr>
      </w:pPr>
      <w:r w:rsidRPr="002A4728">
        <w:rPr>
          <w:i/>
        </w:rPr>
        <w:lastRenderedPageBreak/>
        <w:t>Early learning (home based)</w:t>
      </w:r>
    </w:p>
    <w:p w:rsidR="004E20B5" w:rsidRDefault="005E7069" w:rsidP="00C943C2">
      <w:pPr>
        <w:pStyle w:val="BodyText"/>
        <w:widowControl w:val="0"/>
      </w:pPr>
      <w:r w:rsidRPr="00737415">
        <w:t>N</w:t>
      </w:r>
      <w:r w:rsidR="008F07B4" w:rsidRPr="00737415">
        <w:t>ationally</w:t>
      </w:r>
      <w:r w:rsidR="00CC476D">
        <w:t>,</w:t>
      </w:r>
      <w:r w:rsidR="00075A4E" w:rsidRPr="00737415">
        <w:t xml:space="preserve"> </w:t>
      </w:r>
      <w:r w:rsidR="00CA25E6">
        <w:t xml:space="preserve">in </w:t>
      </w:r>
      <w:r w:rsidR="009C48F4">
        <w:t xml:space="preserve">the ABS </w:t>
      </w:r>
      <w:r w:rsidR="009C48F4" w:rsidRPr="009C48F4">
        <w:rPr>
          <w:i/>
        </w:rPr>
        <w:t>Childhood Education and Care Survey</w:t>
      </w:r>
      <w:r w:rsidR="009C48F4">
        <w:t xml:space="preserve"> 2011 </w:t>
      </w:r>
      <w:r w:rsidR="00075A4E" w:rsidRPr="00737415">
        <w:t>it was reported that</w:t>
      </w:r>
      <w:r w:rsidR="008F07B4" w:rsidRPr="00737415">
        <w:t xml:space="preserve"> </w:t>
      </w:r>
      <w:r w:rsidR="006D7CE6">
        <w:t>48.5</w:t>
      </w:r>
      <w:r w:rsidR="00F542C9" w:rsidRPr="00737415">
        <w:t xml:space="preserve"> per cent of children </w:t>
      </w:r>
      <w:r w:rsidR="004E20B5" w:rsidRPr="00737415">
        <w:t>aged 3</w:t>
      </w:r>
      <w:r w:rsidR="009B3C83">
        <w:t>–</w:t>
      </w:r>
      <w:r w:rsidR="004E20B5" w:rsidRPr="00737415">
        <w:t xml:space="preserve">8 years </w:t>
      </w:r>
      <w:r w:rsidR="006E45AE" w:rsidRPr="00737415">
        <w:t xml:space="preserve">were </w:t>
      </w:r>
      <w:r w:rsidR="004E20B5" w:rsidRPr="00737415">
        <w:t>told stories</w:t>
      </w:r>
      <w:r w:rsidR="006E45AE" w:rsidRPr="00737415">
        <w:t xml:space="preserve"> at home</w:t>
      </w:r>
      <w:r w:rsidR="004E20B5" w:rsidRPr="00737415">
        <w:t>, read to or listened to each day</w:t>
      </w:r>
      <w:r w:rsidR="00BC3F69">
        <w:t>,</w:t>
      </w:r>
      <w:r w:rsidR="004E20B5" w:rsidRPr="00737415">
        <w:t xml:space="preserve"> while </w:t>
      </w:r>
      <w:r w:rsidR="006D7CE6">
        <w:t>3.7</w:t>
      </w:r>
      <w:r w:rsidR="00737415">
        <w:t> </w:t>
      </w:r>
      <w:r w:rsidR="004E20B5" w:rsidRPr="00737415">
        <w:t>per</w:t>
      </w:r>
      <w:r w:rsidR="00737415">
        <w:t> </w:t>
      </w:r>
      <w:r w:rsidR="004E20B5" w:rsidRPr="00737415">
        <w:t xml:space="preserve">cent </w:t>
      </w:r>
      <w:r w:rsidR="000A6F48">
        <w:t>of children were not engaged</w:t>
      </w:r>
      <w:r w:rsidR="00494AEA">
        <w:t xml:space="preserve"> at all</w:t>
      </w:r>
      <w:r w:rsidR="000A6F48">
        <w:t xml:space="preserve"> in these reading activities </w:t>
      </w:r>
      <w:r w:rsidR="00075A4E" w:rsidRPr="00737415">
        <w:t xml:space="preserve">at </w:t>
      </w:r>
      <w:r w:rsidR="00494AEA">
        <w:t>home</w:t>
      </w:r>
      <w:r w:rsidR="00075A4E" w:rsidRPr="00737415">
        <w:t>. These proportions varied</w:t>
      </w:r>
      <w:r w:rsidR="004E20B5" w:rsidRPr="00737415">
        <w:t xml:space="preserve"> across jurisdictions. </w:t>
      </w:r>
      <w:r w:rsidR="0029677E" w:rsidRPr="00737415">
        <w:t xml:space="preserve">Nationally </w:t>
      </w:r>
      <w:r w:rsidR="00105924" w:rsidRPr="00737415">
        <w:t>5</w:t>
      </w:r>
      <w:r w:rsidR="006D7CE6">
        <w:t>7</w:t>
      </w:r>
      <w:r w:rsidR="0029677E" w:rsidRPr="00737415">
        <w:t>.</w:t>
      </w:r>
      <w:r w:rsidR="006D7CE6">
        <w:t>1</w:t>
      </w:r>
      <w:r w:rsidR="0029677E" w:rsidRPr="00737415">
        <w:t xml:space="preserve"> per cent of </w:t>
      </w:r>
      <w:r w:rsidR="00737415">
        <w:t>children aged 0</w:t>
      </w:r>
      <w:r w:rsidR="009B3C83">
        <w:t>–</w:t>
      </w:r>
      <w:r w:rsidR="009C48F4">
        <w:t xml:space="preserve">2 </w:t>
      </w:r>
      <w:r w:rsidR="004E20B5" w:rsidRPr="00737415">
        <w:t>years were read to a</w:t>
      </w:r>
      <w:r w:rsidR="000A6F48">
        <w:t xml:space="preserve">t home </w:t>
      </w:r>
      <w:r w:rsidR="004E20B5" w:rsidRPr="00737415">
        <w:t>from a book or told a story each day</w:t>
      </w:r>
      <w:r w:rsidR="009C48F4">
        <w:t>,</w:t>
      </w:r>
      <w:r w:rsidR="006D7CE6">
        <w:t xml:space="preserve"> while 19.8</w:t>
      </w:r>
      <w:r w:rsidR="00FC39AE">
        <w:t> </w:t>
      </w:r>
      <w:r w:rsidR="001A05DE">
        <w:t>per</w:t>
      </w:r>
      <w:r w:rsidR="00FC39AE">
        <w:t> </w:t>
      </w:r>
      <w:r w:rsidR="001A05DE">
        <w:t xml:space="preserve">cent were not </w:t>
      </w:r>
      <w:r w:rsidR="000A6F48">
        <w:t xml:space="preserve">engaged </w:t>
      </w:r>
      <w:r w:rsidR="00494AEA">
        <w:t xml:space="preserve">at all </w:t>
      </w:r>
      <w:r w:rsidR="000A6F48">
        <w:t>in t</w:t>
      </w:r>
      <w:r w:rsidR="00494AEA">
        <w:t>hese reading activities at home</w:t>
      </w:r>
      <w:r w:rsidR="009B3C83">
        <w:t xml:space="preserve"> </w:t>
      </w:r>
      <w:r w:rsidR="004E20B5" w:rsidRPr="00737415">
        <w:t>(</w:t>
      </w:r>
      <w:r w:rsidR="006E45AE" w:rsidRPr="00737415">
        <w:t>table </w:t>
      </w:r>
      <w:r w:rsidR="004E20B5" w:rsidRPr="00737415">
        <w:t>BA.</w:t>
      </w:r>
      <w:r w:rsidR="00281E24">
        <w:t>8</w:t>
      </w:r>
      <w:r w:rsidR="004E20B5" w:rsidRPr="00737415">
        <w:t>).</w:t>
      </w:r>
    </w:p>
    <w:p w:rsidR="00675025" w:rsidRDefault="00675025" w:rsidP="00C943C2">
      <w:pPr>
        <w:pStyle w:val="Heading4"/>
        <w:keepNext w:val="0"/>
        <w:widowControl w:val="0"/>
      </w:pPr>
      <w:r>
        <w:t>Participation</w:t>
      </w:r>
    </w:p>
    <w:p w:rsidR="00FD3F86" w:rsidRDefault="00FD3F86" w:rsidP="00C943C2">
      <w:pPr>
        <w:pStyle w:val="BodyText"/>
        <w:widowControl w:val="0"/>
      </w:pPr>
      <w:r>
        <w:t>‘Participation’ is an indica</w:t>
      </w:r>
      <w:r w:rsidR="000A6F01">
        <w:t>tor</w:t>
      </w:r>
      <w:r w:rsidR="00F542C9">
        <w:t xml:space="preserve"> of governments</w:t>
      </w:r>
      <w:r w:rsidR="00C32F7D">
        <w:t>’</w:t>
      </w:r>
      <w:r w:rsidR="00F542C9">
        <w:t xml:space="preserve"> objectives to develop the talents and competencies of the population through the education and training system</w:t>
      </w:r>
      <w:r w:rsidR="00317B45">
        <w:t>,</w:t>
      </w:r>
      <w:r w:rsidR="00F542C9">
        <w:t xml:space="preserve"> to enable them to have the learning and skills required to participate in </w:t>
      </w:r>
      <w:r w:rsidR="00317B45">
        <w:t xml:space="preserve">the </w:t>
      </w:r>
      <w:r w:rsidR="00F542C9">
        <w:t xml:space="preserve">productive economy </w:t>
      </w:r>
      <w:r w:rsidR="005468DE">
        <w:t>(</w:t>
      </w:r>
      <w:r w:rsidR="001A05DE">
        <w:t>b</w:t>
      </w:r>
      <w:r w:rsidR="005468DE">
        <w:t xml:space="preserve">ox </w:t>
      </w:r>
      <w:r w:rsidR="00A646DF">
        <w:t>B.7</w:t>
      </w:r>
      <w:r>
        <w:t>)</w:t>
      </w:r>
      <w:r w:rsidR="00F542C9">
        <w:t>.</w:t>
      </w:r>
    </w:p>
    <w:p w:rsidR="00A7020A" w:rsidRDefault="00A7020A" w:rsidP="00C943C2">
      <w:pPr>
        <w:pStyle w:val="BoxSpace"/>
        <w:keepNext w:val="0"/>
        <w:widowControl w:val="0"/>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7020A">
        <w:tc>
          <w:tcPr>
            <w:tcW w:w="8771" w:type="dxa"/>
            <w:tcBorders>
              <w:top w:val="single" w:sz="6" w:space="0" w:color="auto"/>
              <w:bottom w:val="nil"/>
            </w:tcBorders>
          </w:tcPr>
          <w:p w:rsidR="00A7020A" w:rsidRDefault="00A7020A" w:rsidP="00C943C2">
            <w:pPr>
              <w:pStyle w:val="BoxTitle"/>
              <w:keepNext w:val="0"/>
              <w:keepLines w:val="0"/>
              <w:widowControl w:val="0"/>
            </w:pPr>
            <w:r>
              <w:rPr>
                <w:b w:val="0"/>
              </w:rPr>
              <w:t xml:space="preserve">Box </w:t>
            </w:r>
            <w:bookmarkStart w:id="12" w:name="OLE_LINK2"/>
            <w:r w:rsidR="009D7900" w:rsidRPr="009D7900">
              <w:rPr>
                <w:b w:val="0"/>
              </w:rPr>
              <w:t>B.7</w:t>
            </w:r>
            <w:bookmarkEnd w:id="12"/>
            <w:r>
              <w:tab/>
            </w:r>
            <w:r w:rsidR="00981DFD">
              <w:t>Participation</w:t>
            </w:r>
          </w:p>
        </w:tc>
      </w:tr>
      <w:tr w:rsidR="00A7020A">
        <w:trPr>
          <w:cantSplit/>
        </w:trPr>
        <w:tc>
          <w:tcPr>
            <w:tcW w:w="8771" w:type="dxa"/>
            <w:tcBorders>
              <w:top w:val="nil"/>
              <w:left w:val="single" w:sz="6" w:space="0" w:color="auto"/>
              <w:bottom w:val="nil"/>
              <w:right w:val="single" w:sz="6" w:space="0" w:color="auto"/>
            </w:tcBorders>
          </w:tcPr>
          <w:p w:rsidR="00A7020A" w:rsidRDefault="00A7020A" w:rsidP="00C943C2">
            <w:pPr>
              <w:pStyle w:val="Box"/>
              <w:keepNext w:val="0"/>
              <w:widowControl w:val="0"/>
            </w:pPr>
            <w:r>
              <w:t xml:space="preserve">There are </w:t>
            </w:r>
            <w:r w:rsidR="00146551">
              <w:t>five</w:t>
            </w:r>
            <w:r>
              <w:t xml:space="preserve"> measures against the participation indicator.</w:t>
            </w:r>
          </w:p>
          <w:p w:rsidR="00A7020A" w:rsidRPr="00476834" w:rsidRDefault="009C48F4" w:rsidP="00C943C2">
            <w:pPr>
              <w:pStyle w:val="BoxListBullet"/>
              <w:keepNext w:val="0"/>
              <w:widowControl w:val="0"/>
              <w:rPr>
                <w:b/>
                <w:sz w:val="20"/>
              </w:rPr>
            </w:pPr>
            <w:r>
              <w:t>‘</w:t>
            </w:r>
            <w:r w:rsidRPr="00476834">
              <w:t>P</w:t>
            </w:r>
            <w:r w:rsidR="00A7020A" w:rsidRPr="00476834">
              <w:t>articipation in education and training by sector</w:t>
            </w:r>
            <w:r w:rsidRPr="00476834">
              <w:t>’</w:t>
            </w:r>
            <w:r w:rsidR="00A7020A" w:rsidRPr="00476834">
              <w:t xml:space="preserve"> (school education, TAFE, Higher education, other education and training), defined as the proportion of the population aged 15-24 years participating in education and training by sector</w:t>
            </w:r>
            <w:r w:rsidR="00A7020A" w:rsidRPr="00476834">
              <w:rPr>
                <w:b/>
              </w:rPr>
              <w:t>.</w:t>
            </w:r>
          </w:p>
          <w:p w:rsidR="00A7020A" w:rsidRDefault="009C48F4" w:rsidP="00C943C2">
            <w:pPr>
              <w:pStyle w:val="BoxListBullet"/>
              <w:keepNext w:val="0"/>
              <w:widowControl w:val="0"/>
            </w:pPr>
            <w:r w:rsidRPr="00476834">
              <w:t>‘S</w:t>
            </w:r>
            <w:r w:rsidR="00A7020A" w:rsidRPr="00476834">
              <w:t>chool leaver participation</w:t>
            </w:r>
            <w:r w:rsidR="00A7020A">
              <w:t xml:space="preserve"> in full time post school education and training</w:t>
            </w:r>
            <w:r>
              <w:t>’</w:t>
            </w:r>
            <w:r w:rsidR="00A7020A">
              <w:t xml:space="preserve">, defined as the proportion of </w:t>
            </w:r>
            <w:r w:rsidR="00476834">
              <w:t>17-24</w:t>
            </w:r>
            <w:r w:rsidR="00A7020A">
              <w:t xml:space="preserve"> year old school leavers participating in full time post school education and trainin</w:t>
            </w:r>
            <w:r w:rsidR="00A7020A" w:rsidRPr="00D400FA">
              <w:t>g.</w:t>
            </w:r>
          </w:p>
          <w:p w:rsidR="00A7020A" w:rsidRDefault="009C48F4" w:rsidP="00C943C2">
            <w:pPr>
              <w:pStyle w:val="BoxListBullet"/>
              <w:keepNext w:val="0"/>
              <w:widowControl w:val="0"/>
            </w:pPr>
            <w:r>
              <w:t>‘S</w:t>
            </w:r>
            <w:r w:rsidR="00A7020A">
              <w:t>chool leaver destination by sector</w:t>
            </w:r>
            <w:r>
              <w:t>’</w:t>
            </w:r>
            <w:r w:rsidR="00A7020A">
              <w:t xml:space="preserve">, defined as the proportion of school </w:t>
            </w:r>
            <w:proofErr w:type="spellStart"/>
            <w:r w:rsidR="00A7020A">
              <w:t>leavers</w:t>
            </w:r>
            <w:proofErr w:type="spellEnd"/>
            <w:r w:rsidR="00A7020A">
              <w:t xml:space="preserve"> who have left school by destination (Higher education, TAFE or other study, not enrolled).</w:t>
            </w:r>
          </w:p>
          <w:p w:rsidR="00A7020A" w:rsidRDefault="009C48F4" w:rsidP="00C943C2">
            <w:pPr>
              <w:pStyle w:val="BoxListBullet"/>
              <w:keepNext w:val="0"/>
              <w:widowControl w:val="0"/>
            </w:pPr>
            <w:r>
              <w:t>‘P</w:t>
            </w:r>
            <w:r w:rsidR="00A7020A">
              <w:t>articipation in higher education by selected groups</w:t>
            </w:r>
            <w:r>
              <w:t>’</w:t>
            </w:r>
            <w:r w:rsidR="00A7020A">
              <w:t>, defined as the proportion of the population participating in higher education b</w:t>
            </w:r>
            <w:r w:rsidR="007C369E">
              <w:t>y selected disadvantaged groups.</w:t>
            </w:r>
          </w:p>
          <w:p w:rsidR="00A7020A" w:rsidRDefault="009C48F4" w:rsidP="00C943C2">
            <w:pPr>
              <w:pStyle w:val="BoxListBullet"/>
              <w:keepNext w:val="0"/>
              <w:widowControl w:val="0"/>
            </w:pPr>
            <w:r>
              <w:t>‘F</w:t>
            </w:r>
            <w:r w:rsidR="00A7020A">
              <w:t>ull time participation in employment, education or training by Indigenous status</w:t>
            </w:r>
            <w:r>
              <w:t>’</w:t>
            </w:r>
            <w:r w:rsidR="00A7020A">
              <w:t xml:space="preserve">, defined as the proportion of </w:t>
            </w:r>
            <w:r w:rsidR="00BC3F69">
              <w:t xml:space="preserve">the </w:t>
            </w:r>
            <w:r w:rsidR="00A7020A">
              <w:t>population participating in full time emp</w:t>
            </w:r>
            <w:r w:rsidR="00C943C2">
              <w:t>loyment, education or training.</w:t>
            </w:r>
          </w:p>
          <w:p w:rsidR="00C943C2" w:rsidRDefault="00C943C2" w:rsidP="00C943C2">
            <w:pPr>
              <w:pStyle w:val="Box"/>
            </w:pPr>
            <w:r>
              <w:t>Holding other factors constant, higher or increasing participation in the early childhood, education, training and higher education sector suggests an improvement in educational outcomes through greater access.</w:t>
            </w:r>
          </w:p>
        </w:tc>
      </w:tr>
      <w:tr w:rsidR="00A7020A">
        <w:trPr>
          <w:cantSplit/>
        </w:trPr>
        <w:tc>
          <w:tcPr>
            <w:tcW w:w="8771" w:type="dxa"/>
            <w:tcBorders>
              <w:top w:val="nil"/>
              <w:left w:val="single" w:sz="6" w:space="0" w:color="auto"/>
              <w:bottom w:val="nil"/>
              <w:right w:val="single" w:sz="6" w:space="0" w:color="auto"/>
            </w:tcBorders>
          </w:tcPr>
          <w:p w:rsidR="00A7020A" w:rsidRDefault="00981DFD" w:rsidP="00C943C2">
            <w:pPr>
              <w:pStyle w:val="BoxSource"/>
              <w:keepLines w:val="0"/>
              <w:widowControl w:val="0"/>
              <w:jc w:val="right"/>
            </w:pPr>
            <w:r>
              <w:t>(Continued next page)</w:t>
            </w:r>
          </w:p>
        </w:tc>
      </w:tr>
      <w:tr w:rsidR="00A7020A">
        <w:trPr>
          <w:cantSplit/>
        </w:trPr>
        <w:tc>
          <w:tcPr>
            <w:tcW w:w="8771" w:type="dxa"/>
            <w:tcBorders>
              <w:top w:val="nil"/>
              <w:left w:val="single" w:sz="6" w:space="0" w:color="auto"/>
              <w:bottom w:val="single" w:sz="6" w:space="0" w:color="auto"/>
              <w:right w:val="single" w:sz="6" w:space="0" w:color="auto"/>
            </w:tcBorders>
          </w:tcPr>
          <w:p w:rsidR="00A7020A" w:rsidRDefault="00A7020A" w:rsidP="00C943C2">
            <w:pPr>
              <w:pStyle w:val="Box"/>
              <w:keepNext w:val="0"/>
              <w:widowControl w:val="0"/>
              <w:spacing w:before="0" w:line="120" w:lineRule="exact"/>
            </w:pPr>
          </w:p>
        </w:tc>
      </w:tr>
      <w:tr w:rsidR="00A7020A">
        <w:tc>
          <w:tcPr>
            <w:tcW w:w="8771" w:type="dxa"/>
            <w:tcBorders>
              <w:top w:val="nil"/>
              <w:left w:val="nil"/>
              <w:bottom w:val="nil"/>
              <w:right w:val="nil"/>
            </w:tcBorders>
          </w:tcPr>
          <w:p w:rsidR="00A7020A" w:rsidRDefault="00A7020A" w:rsidP="00C943C2">
            <w:pPr>
              <w:pStyle w:val="Box"/>
              <w:keepNext w:val="0"/>
              <w:widowControl w:val="0"/>
              <w:spacing w:before="60" w:after="60" w:line="80" w:lineRule="exact"/>
              <w:rPr>
                <w:b/>
                <w:color w:val="FF00FF"/>
                <w:sz w:val="14"/>
              </w:rPr>
            </w:pPr>
          </w:p>
        </w:tc>
      </w:tr>
    </w:tbl>
    <w:p w:rsidR="00675025" w:rsidRDefault="00675025">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75025">
        <w:tc>
          <w:tcPr>
            <w:tcW w:w="8771" w:type="dxa"/>
            <w:tcBorders>
              <w:top w:val="single" w:sz="6" w:space="0" w:color="auto"/>
              <w:bottom w:val="nil"/>
            </w:tcBorders>
          </w:tcPr>
          <w:p w:rsidR="00675025" w:rsidRDefault="00675025">
            <w:pPr>
              <w:pStyle w:val="BoxTitle"/>
            </w:pPr>
            <w:r>
              <w:rPr>
                <w:b w:val="0"/>
              </w:rPr>
              <w:t xml:space="preserve">Box </w:t>
            </w:r>
            <w:r w:rsidR="009B3C83" w:rsidRPr="009B3C83">
              <w:rPr>
                <w:b w:val="0"/>
              </w:rPr>
              <w:t>B.7</w:t>
            </w:r>
            <w:r>
              <w:tab/>
            </w:r>
            <w:r w:rsidR="00981DFD" w:rsidRPr="00B77CA0">
              <w:rPr>
                <w:rStyle w:val="ContinuedChar"/>
              </w:rPr>
              <w:t>(Continued)</w:t>
            </w:r>
          </w:p>
        </w:tc>
      </w:tr>
      <w:tr w:rsidR="00675025">
        <w:trPr>
          <w:cantSplit/>
        </w:trPr>
        <w:tc>
          <w:tcPr>
            <w:tcW w:w="8771" w:type="dxa"/>
            <w:tcBorders>
              <w:top w:val="nil"/>
              <w:left w:val="single" w:sz="6" w:space="0" w:color="auto"/>
              <w:bottom w:val="nil"/>
              <w:right w:val="single" w:sz="6" w:space="0" w:color="auto"/>
            </w:tcBorders>
          </w:tcPr>
          <w:p w:rsidR="0083079C" w:rsidRDefault="0083079C" w:rsidP="00AC6F00">
            <w:pPr>
              <w:pStyle w:val="Box"/>
            </w:pPr>
            <w:r>
              <w:t xml:space="preserve">The level of participation in education and training varies across jurisdictions for many reasons. These include different age/grade structures, starting ages at school, minimum leaving age and the level of service provision. In addition, there are influences beyond the direct control of governments, such as labour market changes, population movements, urbanisation and socioeconomic status. </w:t>
            </w:r>
          </w:p>
          <w:p w:rsidR="00A7020A" w:rsidRPr="009C4D5A" w:rsidRDefault="009C48F4" w:rsidP="00AC6F00">
            <w:pPr>
              <w:pStyle w:val="Box"/>
            </w:pPr>
            <w:r w:rsidRPr="009C4D5A">
              <w:t>T</w:t>
            </w:r>
            <w:r w:rsidR="00A7020A" w:rsidRPr="009C4D5A">
              <w:t xml:space="preserve">he level of participation in education, training or work </w:t>
            </w:r>
            <w:r w:rsidRPr="009C4D5A">
              <w:t>can indicate</w:t>
            </w:r>
            <w:r w:rsidR="00A7020A" w:rsidRPr="009C4D5A">
              <w:t xml:space="preserve"> the proportion of the population at risk of marginal participation (or non</w:t>
            </w:r>
            <w:r w:rsidRPr="009C4D5A">
              <w:t>-</w:t>
            </w:r>
            <w:r w:rsidR="00A7020A" w:rsidRPr="009C4D5A">
              <w:t xml:space="preserve">participation) in the labour market. Young people who are not participating full time in education, training, work or some combination of these activities are more likely to have difficulty making a transition to full time employment by their </w:t>
            </w:r>
            <w:r w:rsidR="00464C24" w:rsidRPr="009C4D5A">
              <w:t>mid-20s</w:t>
            </w:r>
            <w:r w:rsidR="00A7020A" w:rsidRPr="009C4D5A">
              <w:t xml:space="preserve"> (ACER 2005, </w:t>
            </w:r>
            <w:proofErr w:type="spellStart"/>
            <w:r w:rsidR="00A7020A" w:rsidRPr="009C4D5A">
              <w:t>FYA</w:t>
            </w:r>
            <w:proofErr w:type="spellEnd"/>
            <w:r w:rsidR="00A7020A" w:rsidRPr="009C4D5A">
              <w:t xml:space="preserve"> 2008).</w:t>
            </w:r>
          </w:p>
          <w:p w:rsidR="0083079C" w:rsidRPr="00DE66E0" w:rsidRDefault="0083079C" w:rsidP="0083079C">
            <w:pPr>
              <w:pStyle w:val="Box"/>
            </w:pPr>
            <w:r w:rsidRPr="00DE66E0">
              <w:t>Data reported for these measures are:</w:t>
            </w:r>
          </w:p>
          <w:p w:rsidR="0083079C" w:rsidRPr="00DE66E0" w:rsidRDefault="0083079C" w:rsidP="0083079C">
            <w:pPr>
              <w:pStyle w:val="BoxListBullet"/>
            </w:pPr>
            <w:r>
              <w:t>c</w:t>
            </w:r>
            <w:r w:rsidRPr="00DE66E0">
              <w:t xml:space="preserve">omparable (subject to caveats) </w:t>
            </w:r>
            <w:r w:rsidRPr="00B2630C">
              <w:t>within jurisdictions over</w:t>
            </w:r>
            <w:r w:rsidR="00BC3F69" w:rsidRPr="00B2630C">
              <w:t xml:space="preserve"> </w:t>
            </w:r>
            <w:r w:rsidRPr="00B2630C">
              <w:t>time and a</w:t>
            </w:r>
            <w:r w:rsidRPr="00DE66E0">
              <w:t>cross jurisdictions</w:t>
            </w:r>
          </w:p>
          <w:p w:rsidR="0083079C" w:rsidRDefault="0083079C" w:rsidP="0083079C">
            <w:pPr>
              <w:pStyle w:val="BoxListBullet"/>
            </w:pPr>
            <w:r>
              <w:t>c</w:t>
            </w:r>
            <w:r w:rsidRPr="00DE66E0">
              <w:t>omplete (subject to caveats) for the current reporting period. All required data are available for all jurisdictions.</w:t>
            </w:r>
            <w:r>
              <w:t xml:space="preserve"> </w:t>
            </w:r>
          </w:p>
          <w:p w:rsidR="00476834" w:rsidRPr="009C4D5A" w:rsidRDefault="00F12A4D" w:rsidP="00785527">
            <w:pPr>
              <w:pStyle w:val="Box"/>
              <w:rPr>
                <w:rStyle w:val="DraftingNote"/>
                <w:b w:val="0"/>
                <w:color w:val="auto"/>
                <w:sz w:val="22"/>
                <w:u w:val="none"/>
              </w:rPr>
            </w:pPr>
            <w:r w:rsidRPr="009C4D5A">
              <w:t xml:space="preserve">Data quality information </w:t>
            </w:r>
            <w:r w:rsidR="004D7FBB" w:rsidRPr="009C4D5A">
              <w:t xml:space="preserve">for </w:t>
            </w:r>
            <w:r w:rsidRPr="009C4D5A">
              <w:t xml:space="preserve">this indicator is at </w:t>
            </w:r>
            <w:proofErr w:type="spellStart"/>
            <w:r w:rsidRPr="009C4D5A">
              <w:t>www.pc.gov.au</w:t>
            </w:r>
            <w:proofErr w:type="spellEnd"/>
            <w:r w:rsidRPr="009C4D5A">
              <w:t>/</w:t>
            </w:r>
            <w:proofErr w:type="spellStart"/>
            <w:r w:rsidRPr="009C4D5A">
              <w:t>gsp</w:t>
            </w:r>
            <w:proofErr w:type="spellEnd"/>
            <w:r w:rsidRPr="009C4D5A">
              <w:t>/reports/</w:t>
            </w:r>
            <w:proofErr w:type="spellStart"/>
            <w:r w:rsidRPr="009C4D5A">
              <w:t>rogs</w:t>
            </w:r>
            <w:proofErr w:type="spellEnd"/>
            <w:r w:rsidRPr="009C4D5A">
              <w:t>/20</w:t>
            </w:r>
            <w:r w:rsidR="00FC39AE" w:rsidRPr="009C4D5A">
              <w:t>1</w:t>
            </w:r>
            <w:r w:rsidR="00EB6893">
              <w:t>4</w:t>
            </w:r>
            <w:r w:rsidR="002C6926">
              <w:t>.</w:t>
            </w:r>
          </w:p>
        </w:tc>
      </w:tr>
      <w:tr w:rsidR="00675025">
        <w:trPr>
          <w:cantSplit/>
        </w:trPr>
        <w:tc>
          <w:tcPr>
            <w:tcW w:w="8771" w:type="dxa"/>
            <w:tcBorders>
              <w:top w:val="nil"/>
              <w:left w:val="single" w:sz="6" w:space="0" w:color="auto"/>
              <w:bottom w:val="single" w:sz="6" w:space="0" w:color="auto"/>
              <w:right w:val="single" w:sz="6" w:space="0" w:color="auto"/>
            </w:tcBorders>
          </w:tcPr>
          <w:p w:rsidR="00675025" w:rsidRDefault="00675025">
            <w:pPr>
              <w:pStyle w:val="Box"/>
              <w:spacing w:before="0" w:line="120" w:lineRule="exact"/>
            </w:pPr>
          </w:p>
        </w:tc>
      </w:tr>
      <w:tr w:rsidR="00675025">
        <w:tc>
          <w:tcPr>
            <w:tcW w:w="8771" w:type="dxa"/>
            <w:tcBorders>
              <w:top w:val="nil"/>
              <w:left w:val="nil"/>
              <w:bottom w:val="nil"/>
              <w:right w:val="nil"/>
            </w:tcBorders>
          </w:tcPr>
          <w:p w:rsidR="00675025" w:rsidRDefault="00675025">
            <w:pPr>
              <w:pStyle w:val="Box"/>
              <w:keepNext w:val="0"/>
              <w:spacing w:before="60" w:after="60" w:line="80" w:lineRule="exact"/>
              <w:rPr>
                <w:b/>
                <w:color w:val="FF00FF"/>
                <w:sz w:val="14"/>
              </w:rPr>
            </w:pPr>
          </w:p>
        </w:tc>
      </w:tr>
    </w:tbl>
    <w:p w:rsidR="002A4728" w:rsidRDefault="002A4728" w:rsidP="00231B1C">
      <w:pPr>
        <w:pStyle w:val="Heading5"/>
        <w:rPr>
          <w:rStyle w:val="DraftingNote"/>
          <w:b w:val="0"/>
          <w:color w:val="auto"/>
          <w:sz w:val="26"/>
          <w:u w:val="none"/>
        </w:rPr>
      </w:pPr>
      <w:r>
        <w:rPr>
          <w:rStyle w:val="DraftingNote"/>
          <w:b w:val="0"/>
          <w:color w:val="auto"/>
          <w:sz w:val="26"/>
          <w:u w:val="none"/>
        </w:rPr>
        <w:t xml:space="preserve">Participation in education and </w:t>
      </w:r>
      <w:r w:rsidRPr="00231B1C">
        <w:rPr>
          <w:rStyle w:val="DraftingNote"/>
          <w:b w:val="0"/>
          <w:color w:val="auto"/>
          <w:sz w:val="26"/>
          <w:u w:val="none"/>
        </w:rPr>
        <w:t>training by sector</w:t>
      </w:r>
    </w:p>
    <w:p w:rsidR="00394C61" w:rsidRDefault="00394C61" w:rsidP="000A358B">
      <w:pPr>
        <w:pStyle w:val="BodyText"/>
      </w:pPr>
      <w:r>
        <w:t>Beyond the age of compulsory school education, the proportion of people participating in education and training declines. Nationally in 201</w:t>
      </w:r>
      <w:r w:rsidR="00256365">
        <w:t>2</w:t>
      </w:r>
      <w:r>
        <w:t xml:space="preserve">, the participation rate </w:t>
      </w:r>
      <w:r w:rsidR="00256A8A">
        <w:t>for 15</w:t>
      </w:r>
      <w:r w:rsidR="009C48F4">
        <w:t>–</w:t>
      </w:r>
      <w:r w:rsidR="00256A8A">
        <w:t xml:space="preserve">19 year olds was </w:t>
      </w:r>
      <w:r w:rsidR="00C03E77">
        <w:t>80.3 </w:t>
      </w:r>
      <w:r w:rsidR="00105924" w:rsidRPr="00AC544D">
        <w:t>per</w:t>
      </w:r>
      <w:r w:rsidR="00DC44A2">
        <w:t> </w:t>
      </w:r>
      <w:r w:rsidR="00105924">
        <w:t>cent</w:t>
      </w:r>
      <w:r w:rsidR="009C48F4">
        <w:t>,</w:t>
      </w:r>
      <w:r w:rsidR="00256A8A">
        <w:t xml:space="preserve"> compared </w:t>
      </w:r>
      <w:r w:rsidR="009C48F4">
        <w:t>with</w:t>
      </w:r>
      <w:r w:rsidR="00256A8A" w:rsidRPr="00AC544D">
        <w:t xml:space="preserve"> </w:t>
      </w:r>
      <w:r w:rsidR="00256365">
        <w:br/>
      </w:r>
      <w:r w:rsidR="00C03E77">
        <w:t>40.9 </w:t>
      </w:r>
      <w:r w:rsidR="00256365">
        <w:t>per </w:t>
      </w:r>
      <w:r w:rsidR="00105924">
        <w:t>cent</w:t>
      </w:r>
      <w:r w:rsidR="00D5360E">
        <w:t xml:space="preserve"> for 20</w:t>
      </w:r>
      <w:r w:rsidR="00105924">
        <w:noBreakHyphen/>
      </w:r>
      <w:r w:rsidR="00D5360E">
        <w:t xml:space="preserve">24 year olds (figure </w:t>
      </w:r>
      <w:r w:rsidR="00CA426B">
        <w:t>B.7</w:t>
      </w:r>
      <w:r w:rsidR="00256A8A">
        <w:t>).</w:t>
      </w:r>
    </w:p>
    <w:p w:rsidR="00207ABE" w:rsidRPr="00BE5CCE" w:rsidRDefault="00207ABE">
      <w:pPr>
        <w:pStyle w:val="FigureTitle"/>
      </w:pPr>
      <w:r w:rsidRPr="006C1DBD">
        <w:rPr>
          <w:b w:val="0"/>
        </w:rPr>
        <w:lastRenderedPageBreak/>
        <w:t xml:space="preserve">Figure </w:t>
      </w:r>
      <w:r w:rsidR="00CA426B" w:rsidRPr="006C1DBD">
        <w:rPr>
          <w:b w:val="0"/>
        </w:rPr>
        <w:t>B.7</w:t>
      </w:r>
      <w:r w:rsidRPr="006C1DBD">
        <w:tab/>
        <w:t xml:space="preserve">Participation in </w:t>
      </w:r>
      <w:r w:rsidR="00040FFC" w:rsidRPr="006C1DBD">
        <w:t>education and training by sector</w:t>
      </w:r>
      <w:r w:rsidR="002B11EC" w:rsidRPr="006C1DBD">
        <w:t>, 201</w:t>
      </w:r>
      <w:r w:rsidR="00256365" w:rsidRPr="006C1DBD">
        <w:t>2</w:t>
      </w:r>
      <w:r w:rsidR="00F738B9" w:rsidRPr="006C1DBD">
        <w:rPr>
          <w:rStyle w:val="NoteLabel"/>
          <w:b/>
        </w:rPr>
        <w:t xml:space="preserve"> </w:t>
      </w:r>
      <w:r w:rsidR="006E6E2E" w:rsidRPr="006C1DBD">
        <w:rPr>
          <w:rStyle w:val="NoteLabel"/>
          <w:b/>
        </w:rPr>
        <w:t>a, b, c</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207ABE" w:rsidRPr="004C4AB9" w:rsidTr="0024437B">
        <w:trPr>
          <w:trHeight w:val="11290"/>
        </w:trPr>
        <w:tc>
          <w:tcPr>
            <w:tcW w:w="8777" w:type="dxa"/>
          </w:tcPr>
          <w:p w:rsidR="001A3D9C" w:rsidRPr="004C4AB9" w:rsidRDefault="001B29AF" w:rsidP="0087030C">
            <w:pPr>
              <w:pStyle w:val="Figure"/>
              <w:spacing w:before="0" w:after="0"/>
              <w:rPr>
                <w:rFonts w:ascii="Arial" w:hAnsi="Arial" w:cs="Arial"/>
                <w:b/>
                <w:sz w:val="16"/>
                <w:szCs w:val="18"/>
              </w:rPr>
            </w:pPr>
            <w:r w:rsidRPr="004C4AB9">
              <w:rPr>
                <w:rFonts w:ascii="Arial" w:hAnsi="Arial" w:cs="Arial"/>
                <w:b/>
                <w:noProof/>
                <w:sz w:val="16"/>
                <w:szCs w:val="18"/>
              </w:rPr>
              <w:drawing>
                <wp:inline distT="0" distB="0" distL="0" distR="0" wp14:anchorId="2FBB3903" wp14:editId="3C86E83B">
                  <wp:extent cx="5439410" cy="601980"/>
                  <wp:effectExtent l="0" t="0" r="8890" b="7620"/>
                  <wp:docPr id="6" name="Object 6" descr="Figure B.7 Participation in education and training by sector, 2012&#10;&#10;Legend to Figure B.7&#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39410" cy="601980"/>
                          </a:xfrm>
                          <a:prstGeom prst="rect">
                            <a:avLst/>
                          </a:prstGeom>
                          <a:noFill/>
                          <a:ln>
                            <a:noFill/>
                          </a:ln>
                        </pic:spPr>
                      </pic:pic>
                    </a:graphicData>
                  </a:graphic>
                </wp:inline>
              </w:drawing>
            </w:r>
            <w:r w:rsidR="00BF3F92" w:rsidRPr="004C4AB9">
              <w:rPr>
                <w:rFonts w:ascii="Arial" w:hAnsi="Arial" w:cs="Arial"/>
                <w:b/>
                <w:sz w:val="16"/>
                <w:szCs w:val="18"/>
              </w:rPr>
              <w:t>15-19 year olds</w:t>
            </w:r>
            <w:r w:rsidR="00BF3F92" w:rsidRPr="004C4AB9">
              <w:rPr>
                <w:noProof/>
                <w:sz w:val="16"/>
                <w:shd w:val="clear" w:color="auto" w:fill="FFFF00"/>
              </w:rPr>
              <w:t xml:space="preserve"> </w:t>
            </w:r>
            <w:r w:rsidR="0024437B">
              <w:rPr>
                <w:noProof/>
              </w:rPr>
              <w:drawing>
                <wp:inline distT="0" distB="0" distL="0" distR="0" wp14:anchorId="1E87E57E" wp14:editId="5E7BE63E">
                  <wp:extent cx="5426505" cy="1980000"/>
                  <wp:effectExtent l="0" t="0" r="3175" b="1270"/>
                  <wp:docPr id="3" name="Chart 3" descr="Figure B.7 Participation in education and training by sector, 2012&#10;&#10;15-19 year olds&#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E01992" w:rsidRPr="004C4AB9" w:rsidRDefault="005A36B2" w:rsidP="0087030C">
            <w:pPr>
              <w:pStyle w:val="Figure"/>
              <w:spacing w:before="0" w:after="0"/>
              <w:rPr>
                <w:rFonts w:ascii="Arial" w:hAnsi="Arial" w:cs="Arial"/>
                <w:b/>
                <w:sz w:val="16"/>
                <w:szCs w:val="18"/>
              </w:rPr>
            </w:pPr>
            <w:r w:rsidRPr="004C4AB9">
              <w:rPr>
                <w:rFonts w:ascii="Arial" w:hAnsi="Arial" w:cs="Arial"/>
                <w:b/>
                <w:sz w:val="16"/>
                <w:szCs w:val="18"/>
              </w:rPr>
              <w:t>20-24</w:t>
            </w:r>
            <w:r w:rsidR="0087030C" w:rsidRPr="004C4AB9">
              <w:rPr>
                <w:rFonts w:ascii="Arial" w:hAnsi="Arial" w:cs="Arial"/>
                <w:b/>
                <w:sz w:val="16"/>
                <w:szCs w:val="18"/>
              </w:rPr>
              <w:t xml:space="preserve"> year olds</w:t>
            </w:r>
          </w:p>
          <w:p w:rsidR="00BF3F92" w:rsidRPr="004C4AB9" w:rsidRDefault="0024437B" w:rsidP="0087030C">
            <w:pPr>
              <w:pStyle w:val="Figure"/>
              <w:spacing w:before="0" w:after="0"/>
              <w:rPr>
                <w:b/>
                <w:sz w:val="16"/>
              </w:rPr>
            </w:pPr>
            <w:r>
              <w:rPr>
                <w:noProof/>
              </w:rPr>
              <w:drawing>
                <wp:inline distT="0" distB="0" distL="0" distR="0" wp14:anchorId="523CBFB3" wp14:editId="7F93146F">
                  <wp:extent cx="5426505" cy="1980000"/>
                  <wp:effectExtent l="0" t="0" r="3175" b="1270"/>
                  <wp:docPr id="12" name="Chart 12" descr="Figure B.7 Participation in education and training by sector, 2012&#10;&#10;20-24 year olds&#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BF3F92" w:rsidRPr="004C4AB9" w:rsidRDefault="009C79D9" w:rsidP="0087030C">
            <w:pPr>
              <w:pStyle w:val="Figure"/>
              <w:spacing w:before="0" w:after="0"/>
              <w:rPr>
                <w:b/>
                <w:sz w:val="16"/>
              </w:rPr>
            </w:pPr>
            <w:r w:rsidRPr="004C4AB9">
              <w:rPr>
                <w:rFonts w:ascii="Arial" w:hAnsi="Arial" w:cs="Arial"/>
                <w:b/>
                <w:sz w:val="16"/>
                <w:szCs w:val="18"/>
              </w:rPr>
              <w:t>15-24 year olds</w:t>
            </w:r>
          </w:p>
          <w:p w:rsidR="005A36B2" w:rsidRPr="004C4AB9" w:rsidRDefault="006C1DBD" w:rsidP="009C79D9">
            <w:pPr>
              <w:pStyle w:val="Figure"/>
              <w:spacing w:before="0" w:after="0"/>
              <w:rPr>
                <w:sz w:val="16"/>
              </w:rPr>
            </w:pPr>
            <w:r>
              <w:rPr>
                <w:noProof/>
              </w:rPr>
              <w:drawing>
                <wp:inline distT="0" distB="0" distL="0" distR="0" wp14:anchorId="4883E16E" wp14:editId="066C2396">
                  <wp:extent cx="5400000" cy="1980000"/>
                  <wp:effectExtent l="0" t="0" r="0" b="1270"/>
                  <wp:docPr id="40" name="Chart 40" descr="Figure B.7 Participation in education and training by sector, 2012&#10;&#10;15-24 year olds&#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r>
    </w:tbl>
    <w:p w:rsidR="00207ABE" w:rsidRDefault="00DC44A2" w:rsidP="005B1170">
      <w:pPr>
        <w:pStyle w:val="Note"/>
      </w:pPr>
      <w:r w:rsidRPr="00DC44A2">
        <w:rPr>
          <w:rStyle w:val="NoteLabel"/>
        </w:rPr>
        <w:t>a</w:t>
      </w:r>
      <w:r>
        <w:t xml:space="preserve"> </w:t>
      </w:r>
      <w:r w:rsidR="00256A8A" w:rsidRPr="004C4AB9">
        <w:t>Data for participation in education and training during May. Student participation may be underestimated because data are not for the whole year</w:t>
      </w:r>
      <w:r w:rsidR="00207ABE" w:rsidRPr="004C4AB9">
        <w:t>.</w:t>
      </w:r>
      <w:r w:rsidR="00256A8A" w:rsidRPr="004C4AB9">
        <w:t xml:space="preserve"> </w:t>
      </w:r>
      <w:r w:rsidR="006E6E2E" w:rsidRPr="004C4AB9">
        <w:rPr>
          <w:rStyle w:val="NoteLabel"/>
        </w:rPr>
        <w:t>b</w:t>
      </w:r>
      <w:r w:rsidR="001A05DE" w:rsidRPr="004C4AB9">
        <w:sym w:font="Symbol" w:char="F020"/>
      </w:r>
      <w:r w:rsidR="001A05DE" w:rsidRPr="004C4AB9">
        <w:t xml:space="preserve"> 95 per cent confidence intervals are included in table BA.9. </w:t>
      </w:r>
      <w:r w:rsidR="006E6E2E" w:rsidRPr="004C4AB9">
        <w:rPr>
          <w:rStyle w:val="NoteLabel"/>
        </w:rPr>
        <w:t>c</w:t>
      </w:r>
      <w:r w:rsidR="00256A8A" w:rsidRPr="004C4AB9">
        <w:sym w:font="Symbol" w:char="F020"/>
      </w:r>
      <w:r w:rsidR="001A05DE" w:rsidRPr="004C4AB9">
        <w:t> </w:t>
      </w:r>
      <w:r w:rsidR="00B42E3B" w:rsidRPr="004C4AB9">
        <w:t>The ABS Survey of Education and Work is not conducted in Indigenous communities in very remote areas, which affects the comparability of NT results</w:t>
      </w:r>
      <w:r w:rsidR="0024525B" w:rsidRPr="004C4AB9">
        <w:t xml:space="preserve"> as these communities</w:t>
      </w:r>
      <w:r w:rsidR="0024525B">
        <w:t xml:space="preserve"> account for around 15 per cent of the NT population</w:t>
      </w:r>
      <w:r w:rsidR="001A05DE">
        <w:t>.</w:t>
      </w:r>
    </w:p>
    <w:p w:rsidR="00207ABE" w:rsidRPr="00FF6A19" w:rsidRDefault="005C646F" w:rsidP="00327604">
      <w:pPr>
        <w:pStyle w:val="Source"/>
        <w:spacing w:before="0"/>
        <w:rPr>
          <w:b/>
        </w:rPr>
      </w:pPr>
      <w:r w:rsidRPr="00FF6A19">
        <w:rPr>
          <w:i/>
        </w:rPr>
        <w:t>S</w:t>
      </w:r>
      <w:r w:rsidR="00207ABE" w:rsidRPr="00FF6A19">
        <w:rPr>
          <w:i/>
        </w:rPr>
        <w:t>ource</w:t>
      </w:r>
      <w:r w:rsidR="00207ABE" w:rsidRPr="00253DEB">
        <w:t xml:space="preserve">: </w:t>
      </w:r>
      <w:r w:rsidR="00256A8A" w:rsidRPr="00FF6A19">
        <w:t xml:space="preserve">ABS (unpublished) </w:t>
      </w:r>
      <w:r w:rsidR="00256A8A" w:rsidRPr="00E51A50">
        <w:rPr>
          <w:i/>
        </w:rPr>
        <w:t>Survey of Education and Work</w:t>
      </w:r>
      <w:r w:rsidR="00D4299B">
        <w:rPr>
          <w:i/>
        </w:rPr>
        <w:t>, 201</w:t>
      </w:r>
      <w:r w:rsidR="00256365">
        <w:rPr>
          <w:i/>
        </w:rPr>
        <w:t>2</w:t>
      </w:r>
      <w:r w:rsidR="00256A8A" w:rsidRPr="00FF6A19">
        <w:t>; table BA.</w:t>
      </w:r>
      <w:r w:rsidR="00657B66">
        <w:t>9</w:t>
      </w:r>
      <w:r w:rsidR="00F205D9">
        <w:t>.</w:t>
      </w:r>
    </w:p>
    <w:p w:rsidR="00E95018" w:rsidRPr="00E95018" w:rsidRDefault="00FA00F3" w:rsidP="00E95018">
      <w:pPr>
        <w:pStyle w:val="BodyText"/>
      </w:pPr>
      <w:r>
        <w:lastRenderedPageBreak/>
        <w:t>Participation rates for the 25</w:t>
      </w:r>
      <w:r w:rsidR="009C48F4">
        <w:t>–</w:t>
      </w:r>
      <w:r>
        <w:t>29 and 15</w:t>
      </w:r>
      <w:r w:rsidR="009C48F4">
        <w:t>–</w:t>
      </w:r>
      <w:r>
        <w:t>64 year age groups are presented in table</w:t>
      </w:r>
      <w:r w:rsidR="00133751">
        <w:t> </w:t>
      </w:r>
      <w:r>
        <w:t xml:space="preserve">BA.9. </w:t>
      </w:r>
      <w:r w:rsidR="00E95018" w:rsidRPr="00FF6A19">
        <w:t>National data on participation in education and training by sector are presented for single year age</w:t>
      </w:r>
      <w:r>
        <w:t>s</w:t>
      </w:r>
      <w:r w:rsidR="00E95018" w:rsidRPr="00FF6A19">
        <w:t xml:space="preserve"> </w:t>
      </w:r>
      <w:r>
        <w:t xml:space="preserve">from </w:t>
      </w:r>
      <w:r w:rsidR="00E95018" w:rsidRPr="00FF6A19">
        <w:t>15</w:t>
      </w:r>
      <w:r w:rsidR="009C48F4">
        <w:t>–</w:t>
      </w:r>
      <w:r w:rsidR="00E95018" w:rsidRPr="00FF6A19">
        <w:t xml:space="preserve">24 </w:t>
      </w:r>
      <w:r w:rsidR="00105924">
        <w:t xml:space="preserve">years </w:t>
      </w:r>
      <w:r w:rsidR="00DB28E9">
        <w:t xml:space="preserve">in table BA.10 </w:t>
      </w:r>
      <w:r w:rsidR="00E95018" w:rsidRPr="00FF6A19">
        <w:t>and for various age groups</w:t>
      </w:r>
      <w:r>
        <w:t xml:space="preserve"> in table</w:t>
      </w:r>
      <w:r w:rsidR="009C48F4">
        <w:t> </w:t>
      </w:r>
      <w:r w:rsidR="00DB28E9">
        <w:t>BA.11</w:t>
      </w:r>
      <w:r>
        <w:t>. Time series for various age groups is presented in table BA.1</w:t>
      </w:r>
      <w:r w:rsidR="004715A5">
        <w:t>2</w:t>
      </w:r>
      <w:r>
        <w:t>.</w:t>
      </w:r>
    </w:p>
    <w:p w:rsidR="002A4728" w:rsidRPr="00231B1C" w:rsidRDefault="002A4728" w:rsidP="00231B1C">
      <w:pPr>
        <w:pStyle w:val="Heading5"/>
        <w:rPr>
          <w:rStyle w:val="DraftingNote"/>
          <w:b w:val="0"/>
          <w:color w:val="auto"/>
          <w:sz w:val="26"/>
          <w:u w:val="none"/>
        </w:rPr>
      </w:pPr>
      <w:r>
        <w:rPr>
          <w:rStyle w:val="DraftingNote"/>
          <w:b w:val="0"/>
          <w:color w:val="auto"/>
          <w:sz w:val="26"/>
          <w:u w:val="none"/>
        </w:rPr>
        <w:t>School leaver participation in full</w:t>
      </w:r>
      <w:r w:rsidR="002F5C97">
        <w:rPr>
          <w:rStyle w:val="DraftingNote"/>
          <w:b w:val="0"/>
          <w:color w:val="auto"/>
          <w:sz w:val="26"/>
          <w:u w:val="none"/>
        </w:rPr>
        <w:t xml:space="preserve"> </w:t>
      </w:r>
      <w:r>
        <w:rPr>
          <w:rStyle w:val="DraftingNote"/>
          <w:b w:val="0"/>
          <w:color w:val="auto"/>
          <w:sz w:val="26"/>
          <w:u w:val="none"/>
        </w:rPr>
        <w:t>time post school education and training</w:t>
      </w:r>
    </w:p>
    <w:p w:rsidR="002A4728" w:rsidRPr="002A4728" w:rsidRDefault="002A4728" w:rsidP="002A4728">
      <w:pPr>
        <w:pStyle w:val="BodyText"/>
      </w:pPr>
      <w:r>
        <w:t xml:space="preserve">Nationally </w:t>
      </w:r>
      <w:r w:rsidR="002F023C">
        <w:t>in 201</w:t>
      </w:r>
      <w:r w:rsidR="00256365">
        <w:t>2</w:t>
      </w:r>
      <w:r w:rsidR="00FD3F86">
        <w:t xml:space="preserve">, </w:t>
      </w:r>
      <w:r w:rsidR="00186CD8">
        <w:t>34.2</w:t>
      </w:r>
      <w:r w:rsidR="00FD3F86">
        <w:t xml:space="preserve"> per cent of all </w:t>
      </w:r>
      <w:r w:rsidR="00256365">
        <w:t>17-24</w:t>
      </w:r>
      <w:r w:rsidR="00FD3F86">
        <w:t xml:space="preserve"> year old school leavers were fully participating in further education and training. This proportion varied across jurisdictions (figure </w:t>
      </w:r>
      <w:r w:rsidR="00CA426B">
        <w:t>B.8</w:t>
      </w:r>
      <w:r w:rsidR="00FD3F86">
        <w:t>).</w:t>
      </w:r>
      <w:r w:rsidR="00400C92">
        <w:t xml:space="preserve"> </w:t>
      </w:r>
    </w:p>
    <w:p w:rsidR="004F2E9B" w:rsidRPr="00775599" w:rsidRDefault="00207ABE" w:rsidP="00A644B6">
      <w:pPr>
        <w:pStyle w:val="FigureTitle"/>
      </w:pPr>
      <w:r>
        <w:rPr>
          <w:b w:val="0"/>
        </w:rPr>
        <w:t xml:space="preserve">Figure </w:t>
      </w:r>
      <w:r w:rsidR="00CA426B">
        <w:rPr>
          <w:b w:val="0"/>
        </w:rPr>
        <w:t>B.8</w:t>
      </w:r>
      <w:r>
        <w:tab/>
        <w:t>School leaver participation in full</w:t>
      </w:r>
      <w:r w:rsidR="002F5C97">
        <w:t xml:space="preserve"> </w:t>
      </w:r>
      <w:r>
        <w:t>time post school education and training (</w:t>
      </w:r>
      <w:r w:rsidR="00256365">
        <w:t>17-24</w:t>
      </w:r>
      <w:r>
        <w:t xml:space="preserve"> years)</w:t>
      </w:r>
      <w:r w:rsidR="002F023C">
        <w:t>, 201</w:t>
      </w:r>
      <w:r w:rsidR="00256365">
        <w:t>2</w:t>
      </w:r>
      <w:r w:rsidR="004F2E9B" w:rsidRPr="00721DD0">
        <w:rPr>
          <w:rStyle w:val="NoteLabel"/>
          <w:b/>
        </w:rPr>
        <w:t>a</w:t>
      </w:r>
      <w:r w:rsidR="0087030C">
        <w:rPr>
          <w:rStyle w:val="NoteLabel"/>
          <w:b/>
        </w:rPr>
        <w:t>, b, c, d</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207ABE" w:rsidTr="00186CD8">
        <w:tc>
          <w:tcPr>
            <w:tcW w:w="8777" w:type="dxa"/>
          </w:tcPr>
          <w:p w:rsidR="00207ABE" w:rsidRDefault="00186CD8">
            <w:pPr>
              <w:pStyle w:val="Figure"/>
            </w:pPr>
            <w:r>
              <w:rPr>
                <w:noProof/>
              </w:rPr>
              <w:drawing>
                <wp:inline distT="0" distB="0" distL="0" distR="0" wp14:anchorId="7D9DF72C" wp14:editId="30205057">
                  <wp:extent cx="5400000" cy="2520000"/>
                  <wp:effectExtent l="0" t="0" r="0" b="0"/>
                  <wp:docPr id="41" name="Chart 41" descr="Figure B.8 School leaver participation in full time post school education and training (17-24 years), 2012&#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r>
    </w:tbl>
    <w:p w:rsidR="004F2E9B" w:rsidRPr="00344DF4" w:rsidRDefault="004F2E9B" w:rsidP="005B1170">
      <w:pPr>
        <w:pStyle w:val="Note"/>
      </w:pPr>
      <w:proofErr w:type="spellStart"/>
      <w:r>
        <w:rPr>
          <w:rStyle w:val="NoteLabel"/>
        </w:rPr>
        <w:t>a</w:t>
      </w:r>
      <w:proofErr w:type="spellEnd"/>
      <w:r>
        <w:t> </w:t>
      </w:r>
      <w:r w:rsidRPr="00DB6EDB">
        <w:t>Error bars represent the 95 per cent confidence interval associated with each point estimate.</w:t>
      </w:r>
      <w:r>
        <w:t xml:space="preserve"> </w:t>
      </w:r>
      <w:r>
        <w:rPr>
          <w:rStyle w:val="NoteLabel"/>
        </w:rPr>
        <w:t xml:space="preserve">b </w:t>
      </w:r>
      <w:r>
        <w:t>Data</w:t>
      </w:r>
      <w:r w:rsidR="00F738B9">
        <w:t xml:space="preserve"> are</w:t>
      </w:r>
      <w:r>
        <w:t xml:space="preserve"> for people</w:t>
      </w:r>
      <w:r w:rsidRPr="00721DD0">
        <w:t xml:space="preserve"> who left </w:t>
      </w:r>
      <w:r w:rsidRPr="00CE40A1">
        <w:t>school at any time who</w:t>
      </w:r>
      <w:r>
        <w:t xml:space="preserve"> </w:t>
      </w:r>
      <w:r w:rsidRPr="005D5A1A">
        <w:t>are</w:t>
      </w:r>
      <w:r w:rsidRPr="00721DD0">
        <w:t xml:space="preserve"> </w:t>
      </w:r>
      <w:r>
        <w:t xml:space="preserve">fully </w:t>
      </w:r>
      <w:r w:rsidRPr="00721DD0">
        <w:t xml:space="preserve">participating in non-school education </w:t>
      </w:r>
      <w:r w:rsidRPr="005C27FA">
        <w:t>and/or training</w:t>
      </w:r>
      <w:r>
        <w:t>.</w:t>
      </w:r>
      <w:r w:rsidRPr="005C27FA">
        <w:t xml:space="preserve"> Includes apprenticeships and traineeships. </w:t>
      </w:r>
      <w:r w:rsidRPr="005C27FA">
        <w:rPr>
          <w:rStyle w:val="NoteLabel"/>
        </w:rPr>
        <w:t>c </w:t>
      </w:r>
      <w:r w:rsidRPr="005C27FA">
        <w:t>Proportions are determined using the number of students educated in the jurisdiction divided by the estimated resident population for the jurisdiction in the age group. In some cases students are educated in a different jurisdiction to their place of residence. These students are counted in their jurisdiction of education for the numerator (number of students educated in the jurisdiction) and their jurisdiction of residence for the</w:t>
      </w:r>
      <w:r w:rsidRPr="000162C5">
        <w:t xml:space="preserve"> denominator (estimated resident population).</w:t>
      </w:r>
      <w:r>
        <w:t xml:space="preserve"> </w:t>
      </w:r>
      <w:r>
        <w:rPr>
          <w:rStyle w:val="NoteLabel"/>
        </w:rPr>
        <w:t>d</w:t>
      </w:r>
      <w:r>
        <w:t xml:space="preserve"> </w:t>
      </w:r>
      <w:r w:rsidR="0024525B" w:rsidRPr="00B42E3B">
        <w:t xml:space="preserve">The ABS </w:t>
      </w:r>
      <w:r w:rsidR="009C48F4">
        <w:t>S</w:t>
      </w:r>
      <w:r w:rsidR="0024525B" w:rsidRPr="00B42E3B">
        <w:t>urvey of Education and Work is not conducted in Indigenous communities in very remote areas, which affects the comparability of NT results</w:t>
      </w:r>
      <w:r w:rsidR="0024525B">
        <w:t xml:space="preserve"> as these communities account for around 15 per cent of the NT population.</w:t>
      </w:r>
    </w:p>
    <w:p w:rsidR="004F2E9B" w:rsidRPr="00197C1B" w:rsidRDefault="004F2E9B" w:rsidP="004F2E9B">
      <w:pPr>
        <w:pStyle w:val="Source"/>
        <w:rPr>
          <w:rStyle w:val="NoteChar"/>
        </w:rPr>
      </w:pPr>
      <w:r w:rsidRPr="00DB6EDB">
        <w:rPr>
          <w:i/>
        </w:rPr>
        <w:t>Source</w:t>
      </w:r>
      <w:r w:rsidRPr="00DB6EDB">
        <w:t xml:space="preserve">: </w:t>
      </w:r>
      <w:r w:rsidR="004C6DC3">
        <w:t>ABS (201</w:t>
      </w:r>
      <w:r w:rsidR="00054F00">
        <w:t>3</w:t>
      </w:r>
      <w:r w:rsidRPr="00F12C5B">
        <w:t xml:space="preserve">) </w:t>
      </w:r>
      <w:r w:rsidRPr="00C3647F">
        <w:rPr>
          <w:i/>
        </w:rPr>
        <w:t xml:space="preserve">Education </w:t>
      </w:r>
      <w:r w:rsidRPr="00FF6A19">
        <w:rPr>
          <w:i/>
        </w:rPr>
        <w:t xml:space="preserve">and Work, </w:t>
      </w:r>
      <w:r w:rsidRPr="00FF6A19">
        <w:t>20</w:t>
      </w:r>
      <w:r w:rsidR="004C6DC3" w:rsidRPr="00FF6A19">
        <w:t>1</w:t>
      </w:r>
      <w:r w:rsidR="00256365">
        <w:t>2</w:t>
      </w:r>
      <w:r w:rsidR="00657B66">
        <w:t>, Cat. no. 6227.0; table BA.1</w:t>
      </w:r>
      <w:r w:rsidR="004715A5">
        <w:t>3</w:t>
      </w:r>
      <w:r w:rsidRPr="00FF6A19">
        <w:t>.</w:t>
      </w:r>
    </w:p>
    <w:p w:rsidR="00EB4CF6" w:rsidRPr="00F64B1B" w:rsidRDefault="00EB4CF6" w:rsidP="00F64B1B">
      <w:pPr>
        <w:pStyle w:val="BodyText"/>
      </w:pPr>
      <w:r w:rsidRPr="00B83948">
        <w:t>Data on applications to enrol in an educational institution are</w:t>
      </w:r>
      <w:r w:rsidR="00835F7A" w:rsidRPr="00FB3C9B">
        <w:t xml:space="preserve"> presented in tables </w:t>
      </w:r>
      <w:r w:rsidR="000A6FF4" w:rsidRPr="00FB3C9B">
        <w:t>BA.1</w:t>
      </w:r>
      <w:r w:rsidR="004715A5">
        <w:t>7</w:t>
      </w:r>
      <w:r w:rsidR="00A644B6" w:rsidRPr="00FB3C9B">
        <w:t>–</w:t>
      </w:r>
      <w:r w:rsidR="000A6FF4" w:rsidRPr="00FB3C9B">
        <w:t>1</w:t>
      </w:r>
      <w:r w:rsidR="00361D70">
        <w:t>8</w:t>
      </w:r>
      <w:r w:rsidR="00105924" w:rsidRPr="00FB3C9B">
        <w:t>. In 201</w:t>
      </w:r>
      <w:r w:rsidR="00FB3C9B">
        <w:t>2</w:t>
      </w:r>
      <w:r w:rsidR="004E6F92">
        <w:t xml:space="preserve">, </w:t>
      </w:r>
      <w:r w:rsidR="00D1087E">
        <w:t>97.8</w:t>
      </w:r>
      <w:r w:rsidRPr="00FF6A19">
        <w:t xml:space="preserve"> per cent of people aged 15</w:t>
      </w:r>
      <w:r w:rsidR="00A644B6">
        <w:t>–</w:t>
      </w:r>
      <w:r w:rsidRPr="00FF6A19">
        <w:t>19 years who applied</w:t>
      </w:r>
      <w:r>
        <w:t xml:space="preserve"> to enrol in an educational institution gained placement and commenced study, </w:t>
      </w:r>
      <w:r w:rsidR="00D1087E">
        <w:t>1.7</w:t>
      </w:r>
      <w:r w:rsidR="00281E24" w:rsidRPr="004E6F92">
        <w:t> per </w:t>
      </w:r>
      <w:r w:rsidRPr="004E6F92">
        <w:t xml:space="preserve">cent gained placement but deferred study, and </w:t>
      </w:r>
      <w:r w:rsidR="00D1087E">
        <w:t>0.4</w:t>
      </w:r>
      <w:r w:rsidR="00281E24" w:rsidRPr="004E6F92">
        <w:t> per </w:t>
      </w:r>
      <w:r w:rsidRPr="004E6F92">
        <w:t>cent applied b</w:t>
      </w:r>
      <w:r w:rsidR="00440B96" w:rsidRPr="004E6F92">
        <w:t>ut</w:t>
      </w:r>
      <w:r w:rsidRPr="004E6F92">
        <w:t xml:space="preserve"> could </w:t>
      </w:r>
      <w:r w:rsidRPr="004E6F92">
        <w:lastRenderedPageBreak/>
        <w:t>not gain placement (</w:t>
      </w:r>
      <w:r w:rsidRPr="00FB3C9B">
        <w:t>table BA.</w:t>
      </w:r>
      <w:r w:rsidR="000A6FF4" w:rsidRPr="00FB3C9B">
        <w:t>1</w:t>
      </w:r>
      <w:r w:rsidR="004715A5">
        <w:t>7</w:t>
      </w:r>
      <w:r w:rsidRPr="00FB3C9B">
        <w:t>). Data</w:t>
      </w:r>
      <w:r w:rsidRPr="004E6F92">
        <w:t xml:space="preserve"> for 20</w:t>
      </w:r>
      <w:r w:rsidR="00A644B6">
        <w:t>–</w:t>
      </w:r>
      <w:r w:rsidRPr="004E6F92">
        <w:t>24 year olds and 15</w:t>
      </w:r>
      <w:r w:rsidR="00A644B6">
        <w:t>–</w:t>
      </w:r>
      <w:r w:rsidRPr="004E6F92">
        <w:t>64 year olds are</w:t>
      </w:r>
      <w:r w:rsidRPr="00FF6A19">
        <w:t xml:space="preserve"> presented in </w:t>
      </w:r>
      <w:r w:rsidRPr="00FB3C9B">
        <w:t>tables BA.</w:t>
      </w:r>
      <w:r w:rsidR="000A6FF4" w:rsidRPr="00FB3C9B">
        <w:t>1</w:t>
      </w:r>
      <w:r w:rsidR="004715A5">
        <w:t>8</w:t>
      </w:r>
      <w:r w:rsidRPr="00FB3C9B">
        <w:t xml:space="preserve"> and BA.</w:t>
      </w:r>
      <w:r w:rsidR="00657B66" w:rsidRPr="00FB3C9B">
        <w:t>1</w:t>
      </w:r>
      <w:r w:rsidR="004715A5">
        <w:t>9</w:t>
      </w:r>
      <w:r w:rsidR="00BC3F69">
        <w:t>,</w:t>
      </w:r>
      <w:r w:rsidRPr="00FB3C9B">
        <w:t xml:space="preserve"> respectively</w:t>
      </w:r>
      <w:r w:rsidR="00105924">
        <w:t>.</w:t>
      </w:r>
    </w:p>
    <w:p w:rsidR="00FD3F86" w:rsidRDefault="00FD3F86" w:rsidP="00FD3F86">
      <w:pPr>
        <w:pStyle w:val="Heading5"/>
        <w:rPr>
          <w:rStyle w:val="DraftingNote"/>
          <w:b w:val="0"/>
          <w:color w:val="auto"/>
          <w:sz w:val="26"/>
          <w:u w:val="none"/>
        </w:rPr>
      </w:pPr>
      <w:r w:rsidRPr="001D61EC">
        <w:rPr>
          <w:rStyle w:val="DraftingNote"/>
          <w:b w:val="0"/>
          <w:color w:val="auto"/>
          <w:sz w:val="26"/>
          <w:u w:val="none"/>
        </w:rPr>
        <w:t>School leaver destination by sector</w:t>
      </w:r>
    </w:p>
    <w:p w:rsidR="00207ABE" w:rsidRPr="00CD1FBA" w:rsidRDefault="00930AFB" w:rsidP="00930AFB">
      <w:pPr>
        <w:pStyle w:val="BodyText"/>
      </w:pPr>
      <w:r w:rsidRPr="00953F8A">
        <w:t>Nationally in 201</w:t>
      </w:r>
      <w:r w:rsidR="00FB3C9B" w:rsidRPr="00953F8A">
        <w:t>2</w:t>
      </w:r>
      <w:r w:rsidRPr="00953F8A">
        <w:t xml:space="preserve">, </w:t>
      </w:r>
      <w:r w:rsidR="001D61EC" w:rsidRPr="00953F8A">
        <w:t xml:space="preserve">33.5 </w:t>
      </w:r>
      <w:r w:rsidRPr="00953F8A">
        <w:t>per</w:t>
      </w:r>
      <w:r w:rsidR="004C4AB9" w:rsidRPr="00953F8A">
        <w:t xml:space="preserve"> </w:t>
      </w:r>
      <w:r w:rsidRPr="00953F8A">
        <w:t>cent of 15</w:t>
      </w:r>
      <w:r w:rsidR="00A644B6" w:rsidRPr="00953F8A">
        <w:t>–</w:t>
      </w:r>
      <w:r w:rsidRPr="00953F8A">
        <w:t xml:space="preserve">19 year old school leavers were enrolled in higher education, </w:t>
      </w:r>
      <w:r w:rsidR="001D61EC" w:rsidRPr="00953F8A">
        <w:t>25.3</w:t>
      </w:r>
      <w:r w:rsidRPr="00953F8A">
        <w:t xml:space="preserve"> </w:t>
      </w:r>
      <w:r w:rsidR="001D61EC" w:rsidRPr="00953F8A">
        <w:t xml:space="preserve">per cent </w:t>
      </w:r>
      <w:r w:rsidRPr="00953F8A">
        <w:t xml:space="preserve">were enrolled in TAFE or other study, and </w:t>
      </w:r>
      <w:r w:rsidR="00FB3C9B" w:rsidRPr="00953F8A">
        <w:br/>
      </w:r>
      <w:r w:rsidR="001D61EC" w:rsidRPr="00953F8A">
        <w:t>41.1 </w:t>
      </w:r>
      <w:r w:rsidR="00FB3C9B" w:rsidRPr="00953F8A">
        <w:t>per </w:t>
      </w:r>
      <w:r w:rsidRPr="00953F8A">
        <w:t>cent were not enrolled in further education</w:t>
      </w:r>
      <w:r w:rsidR="00450471" w:rsidRPr="00953F8A">
        <w:t xml:space="preserve"> (figure </w:t>
      </w:r>
      <w:r w:rsidR="00CA426B">
        <w:t>B.</w:t>
      </w:r>
      <w:r w:rsidR="00C20FA0">
        <w:t>9</w:t>
      </w:r>
      <w:r w:rsidR="00450471" w:rsidRPr="00CD1FBA">
        <w:t>).</w:t>
      </w:r>
    </w:p>
    <w:p w:rsidR="004F2E9B" w:rsidRPr="00322DE9" w:rsidRDefault="004F2E9B" w:rsidP="00866542">
      <w:pPr>
        <w:pStyle w:val="FigureTitle"/>
        <w:shd w:val="clear" w:color="auto" w:fill="FFFFFF" w:themeFill="background1"/>
      </w:pPr>
      <w:r w:rsidRPr="00C74D31">
        <w:rPr>
          <w:b w:val="0"/>
        </w:rPr>
        <w:t xml:space="preserve">Figure </w:t>
      </w:r>
      <w:r w:rsidR="00CA426B">
        <w:rPr>
          <w:b w:val="0"/>
        </w:rPr>
        <w:t>B.</w:t>
      </w:r>
      <w:r w:rsidR="00C20FA0">
        <w:rPr>
          <w:b w:val="0"/>
        </w:rPr>
        <w:t>9</w:t>
      </w:r>
      <w:r w:rsidRPr="00C74D31">
        <w:tab/>
        <w:t>School leaver destination by sector</w:t>
      </w:r>
      <w:r w:rsidR="00C74D31">
        <w:t>, all school leavers</w:t>
      </w:r>
      <w:r w:rsidRPr="00C74D31">
        <w:t xml:space="preserve"> </w:t>
      </w:r>
      <w:r w:rsidR="009821A0">
        <w:br/>
      </w:r>
      <w:r w:rsidRPr="00C74D31">
        <w:t>(15</w:t>
      </w:r>
      <w:r w:rsidR="009821A0">
        <w:t>–</w:t>
      </w:r>
      <w:r w:rsidRPr="00C74D31">
        <w:t>19</w:t>
      </w:r>
      <w:r w:rsidR="00637155">
        <w:t> </w:t>
      </w:r>
      <w:r w:rsidRPr="00C74D31">
        <w:t>years)</w:t>
      </w:r>
      <w:r w:rsidR="004C6DC3" w:rsidRPr="00C74D31">
        <w:t>, 201</w:t>
      </w:r>
      <w:r w:rsidR="00FB3C9B">
        <w:t>2</w:t>
      </w:r>
      <w:r w:rsidR="00881719">
        <w:rPr>
          <w:rStyle w:val="NoteLabel"/>
          <w:b/>
        </w:rPr>
        <w:t>a, b, c, d</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567"/>
      </w:tblGrid>
      <w:tr w:rsidR="004F2E9B" w:rsidTr="005D0840">
        <w:trPr>
          <w:trHeight w:val="4191"/>
        </w:trPr>
        <w:tc>
          <w:tcPr>
            <w:tcW w:w="8567" w:type="dxa"/>
          </w:tcPr>
          <w:p w:rsidR="00D01D1F" w:rsidRPr="00D01D1F" w:rsidRDefault="001D61EC" w:rsidP="00C74D31">
            <w:pPr>
              <w:pStyle w:val="Figure"/>
              <w:spacing w:before="0" w:after="0"/>
              <w:rPr>
                <w:b/>
                <w:sz w:val="20"/>
              </w:rPr>
            </w:pPr>
            <w:r>
              <w:rPr>
                <w:noProof/>
              </w:rPr>
              <w:drawing>
                <wp:inline distT="0" distB="0" distL="0" distR="0" wp14:anchorId="62B6EF19" wp14:editId="1EFF7597">
                  <wp:extent cx="5400000" cy="2520000"/>
                  <wp:effectExtent l="0" t="0" r="0" b="0"/>
                  <wp:docPr id="2" name="Chart 2" descr="Figure B.9 School leaver destination by sector, all school leavers (15-19 years), 2012&#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r>
    </w:tbl>
    <w:p w:rsidR="004F2E9B" w:rsidRDefault="004F2E9B" w:rsidP="008920ED">
      <w:pPr>
        <w:pStyle w:val="Note"/>
        <w:spacing w:before="0"/>
      </w:pPr>
      <w:r>
        <w:rPr>
          <w:rStyle w:val="NoteLabel"/>
        </w:rPr>
        <w:t>a</w:t>
      </w:r>
      <w:r>
        <w:sym w:font="Symbol" w:char="F020"/>
      </w:r>
      <w:r w:rsidR="00930AFB">
        <w:t>Data are for people who left school at any time</w:t>
      </w:r>
      <w:r>
        <w:t>.</w:t>
      </w:r>
      <w:r w:rsidR="00930AFB">
        <w:t xml:space="preserve"> </w:t>
      </w:r>
      <w:r w:rsidR="00930AFB">
        <w:rPr>
          <w:rStyle w:val="NoteLabel"/>
        </w:rPr>
        <w:t>b</w:t>
      </w:r>
      <w:r w:rsidR="00930AFB">
        <w:sym w:font="Symbol" w:char="F020"/>
      </w:r>
      <w:r w:rsidR="00930AFB">
        <w:t xml:space="preserve">’Other study’ includes study </w:t>
      </w:r>
      <w:r w:rsidR="0024525B">
        <w:t xml:space="preserve">undertaken </w:t>
      </w:r>
      <w:r w:rsidR="00930AFB">
        <w:t xml:space="preserve">at business colleges, industry skill centres and other educational institutions. </w:t>
      </w:r>
      <w:r w:rsidR="00881719">
        <w:rPr>
          <w:rStyle w:val="NoteLabel"/>
        </w:rPr>
        <w:t>c</w:t>
      </w:r>
      <w:r w:rsidR="00835F7A">
        <w:sym w:font="Symbol" w:char="F020"/>
      </w:r>
      <w:r w:rsidR="00835F7A" w:rsidRPr="005C646F">
        <w:t xml:space="preserve"> </w:t>
      </w:r>
      <w:r w:rsidR="00835F7A">
        <w:t>95 per cent confidence intervals associated with proportions are included in table BA.</w:t>
      </w:r>
      <w:r w:rsidR="004715A5">
        <w:t>20</w:t>
      </w:r>
      <w:r w:rsidR="00835F7A" w:rsidRPr="00BB33B4">
        <w:t xml:space="preserve"> </w:t>
      </w:r>
      <w:r w:rsidR="00881719">
        <w:rPr>
          <w:rStyle w:val="NoteLabel"/>
        </w:rPr>
        <w:t>d</w:t>
      </w:r>
      <w:r w:rsidR="00414B20">
        <w:t> </w:t>
      </w:r>
      <w:r w:rsidR="0024525B" w:rsidRPr="00B42E3B">
        <w:t>The ABS Survey of Education and Work is not conducted in Indigenous communities in very remote areas, which affects the comparability of NT results</w:t>
      </w:r>
      <w:r w:rsidR="0024525B">
        <w:t xml:space="preserve"> as these communities account for around 15 per cent of the NT population.</w:t>
      </w:r>
    </w:p>
    <w:p w:rsidR="004F2E9B" w:rsidRPr="00FF6A19" w:rsidRDefault="00B5637B">
      <w:pPr>
        <w:pStyle w:val="Source"/>
      </w:pPr>
      <w:r>
        <w:rPr>
          <w:i/>
        </w:rPr>
        <w:t>S</w:t>
      </w:r>
      <w:r w:rsidR="004F2E9B">
        <w:rPr>
          <w:i/>
        </w:rPr>
        <w:t>ource</w:t>
      </w:r>
      <w:r w:rsidR="004F2E9B" w:rsidRPr="00167F06">
        <w:t xml:space="preserve">: </w:t>
      </w:r>
      <w:r w:rsidR="00930AFB">
        <w:t xml:space="preserve">ABS (unpublished) </w:t>
      </w:r>
      <w:r w:rsidR="00930AFB">
        <w:rPr>
          <w:i/>
        </w:rPr>
        <w:t xml:space="preserve">Survey of Education </w:t>
      </w:r>
      <w:r w:rsidR="00930AFB" w:rsidRPr="00FF6A19">
        <w:rPr>
          <w:i/>
        </w:rPr>
        <w:t>and Work</w:t>
      </w:r>
      <w:r w:rsidR="00930AFB" w:rsidRPr="00FF6A19">
        <w:t>; table BA.</w:t>
      </w:r>
      <w:r w:rsidR="004715A5">
        <w:t>20</w:t>
      </w:r>
      <w:r w:rsidR="00835F7A">
        <w:t>.</w:t>
      </w:r>
    </w:p>
    <w:p w:rsidR="00706BBD" w:rsidRPr="00FB3C9B" w:rsidRDefault="00FB3C9B" w:rsidP="00FB3C9B">
      <w:pPr>
        <w:pStyle w:val="BodyText"/>
      </w:pPr>
      <w:r w:rsidRPr="00FB3C9B">
        <w:t>Year 12 leavers were more likely to go on to further education than early school leavers (</w:t>
      </w:r>
      <w:r w:rsidR="001D61EC">
        <w:t>67.7</w:t>
      </w:r>
      <w:r w:rsidRPr="00FB3C9B">
        <w:t xml:space="preserve"> per cent compared to </w:t>
      </w:r>
      <w:r w:rsidR="001D61EC">
        <w:t>39.4</w:t>
      </w:r>
      <w:r w:rsidRPr="00FB3C9B">
        <w:t xml:space="preserve"> per cent respectively) (table BA.</w:t>
      </w:r>
      <w:r w:rsidR="004715A5">
        <w:t>20</w:t>
      </w:r>
      <w:r w:rsidRPr="00FB3C9B">
        <w:t>).</w:t>
      </w:r>
      <w:r>
        <w:t xml:space="preserve"> </w:t>
      </w:r>
      <w:r w:rsidR="00706BBD" w:rsidRPr="00FB3C9B">
        <w:t xml:space="preserve">Additional national data on school leaver destination by sector are also reported by sex, for </w:t>
      </w:r>
      <w:r w:rsidR="00835F7A" w:rsidRPr="00FB3C9B">
        <w:t xml:space="preserve">the </w:t>
      </w:r>
      <w:r w:rsidR="00706BBD" w:rsidRPr="00FB3C9B">
        <w:t>age group</w:t>
      </w:r>
      <w:r w:rsidR="00835F7A" w:rsidRPr="00FB3C9B">
        <w:t>s</w:t>
      </w:r>
      <w:r w:rsidR="00706BBD" w:rsidRPr="00FB3C9B">
        <w:t xml:space="preserve"> 15</w:t>
      </w:r>
      <w:r w:rsidR="00A644B6" w:rsidRPr="00FB3C9B">
        <w:t>–</w:t>
      </w:r>
      <w:r w:rsidR="00706BBD" w:rsidRPr="00FB3C9B">
        <w:t>19</w:t>
      </w:r>
      <w:r w:rsidR="00BA024C" w:rsidRPr="00FB3C9B">
        <w:t xml:space="preserve"> and 15</w:t>
      </w:r>
      <w:r w:rsidR="00A644B6" w:rsidRPr="00FB3C9B">
        <w:t>–</w:t>
      </w:r>
      <w:r w:rsidR="00BA024C" w:rsidRPr="00FB3C9B">
        <w:t xml:space="preserve">24 </w:t>
      </w:r>
      <w:r w:rsidR="00706BBD" w:rsidRPr="00FB3C9B">
        <w:t>(table</w:t>
      </w:r>
      <w:r w:rsidR="00995CB8">
        <w:t>s</w:t>
      </w:r>
      <w:r w:rsidR="00706BBD" w:rsidRPr="00FB3C9B">
        <w:t xml:space="preserve"> BA.</w:t>
      </w:r>
      <w:r w:rsidR="00361D70">
        <w:t>2</w:t>
      </w:r>
      <w:r w:rsidR="004715A5">
        <w:t>1</w:t>
      </w:r>
      <w:r w:rsidR="00BA024C" w:rsidRPr="00FB3C9B">
        <w:t xml:space="preserve"> and BA.</w:t>
      </w:r>
      <w:r w:rsidR="00361D70">
        <w:t>2</w:t>
      </w:r>
      <w:r w:rsidR="004715A5">
        <w:t>2</w:t>
      </w:r>
      <w:r w:rsidR="00706BBD" w:rsidRPr="00FB3C9B">
        <w:t>).</w:t>
      </w:r>
    </w:p>
    <w:p w:rsidR="000A7208" w:rsidRDefault="000A7208" w:rsidP="006C3DB3">
      <w:pPr>
        <w:pStyle w:val="BodyText"/>
        <w:rPr>
          <w:rStyle w:val="DraftingNote"/>
          <w:b w:val="0"/>
          <w:i/>
          <w:color w:val="auto"/>
          <w:sz w:val="26"/>
          <w:u w:val="none"/>
        </w:rPr>
      </w:pPr>
      <w:r>
        <w:rPr>
          <w:rStyle w:val="DraftingNote"/>
          <w:b w:val="0"/>
          <w:color w:val="auto"/>
          <w:sz w:val="26"/>
          <w:u w:val="none"/>
        </w:rPr>
        <w:br w:type="page"/>
      </w:r>
    </w:p>
    <w:p w:rsidR="00030228" w:rsidRPr="001F2D7B" w:rsidRDefault="00030228" w:rsidP="00231B1C">
      <w:pPr>
        <w:pStyle w:val="Heading5"/>
        <w:rPr>
          <w:rStyle w:val="DraftingNote"/>
          <w:b w:val="0"/>
          <w:color w:val="auto"/>
          <w:sz w:val="26"/>
          <w:u w:val="none"/>
        </w:rPr>
      </w:pPr>
      <w:r w:rsidRPr="001F2D7B">
        <w:rPr>
          <w:rStyle w:val="DraftingNote"/>
          <w:b w:val="0"/>
          <w:color w:val="auto"/>
          <w:sz w:val="26"/>
          <w:u w:val="none"/>
        </w:rPr>
        <w:lastRenderedPageBreak/>
        <w:t>Participation in higher education by selected groups</w:t>
      </w:r>
    </w:p>
    <w:p w:rsidR="00030228" w:rsidRPr="001F2D7B" w:rsidRDefault="00030228" w:rsidP="00030228">
      <w:pPr>
        <w:pStyle w:val="BodyText"/>
        <w:rPr>
          <w:b/>
        </w:rPr>
      </w:pPr>
      <w:r w:rsidRPr="001F2D7B">
        <w:t xml:space="preserve">In higher education, there is an under-representation </w:t>
      </w:r>
      <w:r w:rsidR="00EC573C" w:rsidRPr="001F2D7B">
        <w:t xml:space="preserve">of </w:t>
      </w:r>
      <w:r w:rsidRPr="001F2D7B">
        <w:t xml:space="preserve">people from regional areas of Australia, people with disability, </w:t>
      </w:r>
      <w:r w:rsidR="00EC573C" w:rsidRPr="001F2D7B">
        <w:t xml:space="preserve">people </w:t>
      </w:r>
      <w:r w:rsidR="006B6D78" w:rsidRPr="001F2D7B">
        <w:t xml:space="preserve">from </w:t>
      </w:r>
      <w:r w:rsidRPr="001F2D7B">
        <w:t>low socioeconomic backgrounds</w:t>
      </w:r>
      <w:r w:rsidR="006B6D78" w:rsidRPr="001F2D7B">
        <w:t>,</w:t>
      </w:r>
      <w:r w:rsidRPr="001F2D7B">
        <w:t xml:space="preserve"> and Indigenous Australians</w:t>
      </w:r>
      <w:r w:rsidR="00EC573C" w:rsidRPr="001F2D7B">
        <w:t xml:space="preserve">, compared </w:t>
      </w:r>
      <w:r w:rsidR="000A7208" w:rsidRPr="001F2D7B">
        <w:t>with</w:t>
      </w:r>
      <w:r w:rsidR="00EC573C" w:rsidRPr="001F2D7B">
        <w:t xml:space="preserve"> their representation in the community</w:t>
      </w:r>
      <w:r w:rsidRPr="001F2D7B">
        <w:t xml:space="preserve"> (figure </w:t>
      </w:r>
      <w:r w:rsidR="00CA426B" w:rsidRPr="001F2D7B">
        <w:t>B.1</w:t>
      </w:r>
      <w:r w:rsidR="00C20FA0" w:rsidRPr="001F2D7B">
        <w:t>0</w:t>
      </w:r>
      <w:r w:rsidRPr="001F2D7B">
        <w:t>).</w:t>
      </w:r>
    </w:p>
    <w:p w:rsidR="00207ABE" w:rsidRPr="00465E0C" w:rsidRDefault="00207ABE">
      <w:pPr>
        <w:pStyle w:val="FigureTitle"/>
      </w:pPr>
      <w:r w:rsidRPr="001F2D7B">
        <w:rPr>
          <w:b w:val="0"/>
        </w:rPr>
        <w:t xml:space="preserve">Figure </w:t>
      </w:r>
      <w:r w:rsidR="00CA426B" w:rsidRPr="001F2D7B">
        <w:rPr>
          <w:b w:val="0"/>
        </w:rPr>
        <w:t>B.1</w:t>
      </w:r>
      <w:r w:rsidR="00C20FA0" w:rsidRPr="001F2D7B">
        <w:rPr>
          <w:b w:val="0"/>
        </w:rPr>
        <w:t>0</w:t>
      </w:r>
      <w:r w:rsidRPr="001F2D7B">
        <w:tab/>
        <w:t>Participation in higher education by selected groups</w:t>
      </w:r>
      <w:r w:rsidR="0009649C" w:rsidRPr="001F2D7B">
        <w:t xml:space="preserve">, </w:t>
      </w:r>
      <w:r w:rsidR="006B6D78" w:rsidRPr="001F2D7B">
        <w:t xml:space="preserve">compared </w:t>
      </w:r>
      <w:r w:rsidR="000A7208" w:rsidRPr="001F2D7B">
        <w:t>with</w:t>
      </w:r>
      <w:r w:rsidR="006B6D78" w:rsidRPr="001F2D7B">
        <w:t xml:space="preserve"> their representation in the community, </w:t>
      </w:r>
      <w:r w:rsidR="0009649C" w:rsidRPr="001F2D7B">
        <w:t>201</w:t>
      </w:r>
      <w:r w:rsidR="00303270" w:rsidRPr="001F2D7B">
        <w:t>2</w:t>
      </w:r>
      <w:r w:rsidR="00835F7A" w:rsidRPr="001F2D7B">
        <w:rPr>
          <w:rStyle w:val="NoteLabel"/>
          <w:b/>
        </w:rPr>
        <w:t>a, b</w:t>
      </w:r>
      <w:r w:rsidR="00404E97" w:rsidRPr="001F2D7B">
        <w:rPr>
          <w:rStyle w:val="NoteLabel"/>
          <w:b/>
        </w:rPr>
        <w:t>, c</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207ABE" w:rsidRPr="001F2D7B" w:rsidTr="00A25F1B">
        <w:tc>
          <w:tcPr>
            <w:tcW w:w="8777" w:type="dxa"/>
          </w:tcPr>
          <w:p w:rsidR="00D01D1F" w:rsidRPr="001F2D7B" w:rsidRDefault="005F2276" w:rsidP="00AE7D31">
            <w:pPr>
              <w:pStyle w:val="Figure"/>
              <w:jc w:val="left"/>
            </w:pPr>
            <w:r w:rsidRPr="001F2D7B">
              <w:rPr>
                <w:noProof/>
              </w:rPr>
              <w:drawing>
                <wp:inline distT="0" distB="0" distL="0" distR="0" wp14:anchorId="494EDDB9" wp14:editId="719CE110">
                  <wp:extent cx="5404513" cy="2552131"/>
                  <wp:effectExtent l="0" t="0" r="5715" b="635"/>
                  <wp:docPr id="14" name="Chart 14" descr="Figure B.10 Participatoin in higher education by selected groups, compared with their representation in the community, 2012&#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r>
    </w:tbl>
    <w:p w:rsidR="00207ABE" w:rsidRPr="001F2D7B" w:rsidRDefault="00207ABE">
      <w:pPr>
        <w:pStyle w:val="Note"/>
      </w:pPr>
      <w:r w:rsidRPr="001F2D7B">
        <w:rPr>
          <w:rStyle w:val="NoteLabel"/>
        </w:rPr>
        <w:t>a</w:t>
      </w:r>
      <w:r w:rsidRPr="001F2D7B">
        <w:sym w:font="Symbol" w:char="F020"/>
      </w:r>
      <w:r w:rsidR="007E69A7" w:rsidRPr="001F2D7B">
        <w:t>Students can be included in more than one selected group</w:t>
      </w:r>
      <w:r w:rsidRPr="001F2D7B">
        <w:t>.</w:t>
      </w:r>
      <w:r w:rsidR="007E69A7" w:rsidRPr="001F2D7B">
        <w:t xml:space="preserve"> </w:t>
      </w:r>
      <w:r w:rsidR="00AB6264" w:rsidRPr="001F2D7B">
        <w:rPr>
          <w:rStyle w:val="NoteLabel"/>
        </w:rPr>
        <w:t>b</w:t>
      </w:r>
      <w:r w:rsidR="00AB6264" w:rsidRPr="001F2D7B">
        <w:t> Participation percentages are derived from Department of Industry</w:t>
      </w:r>
      <w:r w:rsidR="00BD5211" w:rsidRPr="001F2D7B">
        <w:t xml:space="preserve"> </w:t>
      </w:r>
      <w:r w:rsidR="00AB6264" w:rsidRPr="001F2D7B">
        <w:t>(</w:t>
      </w:r>
      <w:proofErr w:type="spellStart"/>
      <w:r w:rsidR="00BD5211" w:rsidRPr="001F2D7B">
        <w:t>DoI</w:t>
      </w:r>
      <w:proofErr w:type="spellEnd"/>
      <w:r w:rsidR="00AB6264" w:rsidRPr="001F2D7B">
        <w:t xml:space="preserve">) </w:t>
      </w:r>
      <w:r w:rsidR="00995CB8" w:rsidRPr="001F2D7B">
        <w:t>2012</w:t>
      </w:r>
      <w:r w:rsidR="00356A10" w:rsidRPr="001F2D7B">
        <w:t xml:space="preserve"> </w:t>
      </w:r>
      <w:r w:rsidR="00AB6264" w:rsidRPr="001F2D7B">
        <w:t>Higher Education Statistics. For derivation of ‘representation in the community’ data, see table BA.2</w:t>
      </w:r>
      <w:r w:rsidR="004715A5" w:rsidRPr="001F2D7B">
        <w:t>3</w:t>
      </w:r>
      <w:r w:rsidR="00AB6264" w:rsidRPr="001F2D7B">
        <w:t>.</w:t>
      </w:r>
      <w:r w:rsidR="001C055E" w:rsidRPr="001F2D7B">
        <w:t xml:space="preserve"> </w:t>
      </w:r>
      <w:r w:rsidR="001C055E" w:rsidRPr="001F2D7B">
        <w:rPr>
          <w:rStyle w:val="NoteLabel"/>
        </w:rPr>
        <w:t>c</w:t>
      </w:r>
      <w:r w:rsidR="001C055E" w:rsidRPr="001F2D7B">
        <w:t> </w:t>
      </w:r>
      <w:r w:rsidR="00B01D85" w:rsidRPr="001F2D7B">
        <w:t xml:space="preserve">Figure B.10 presents a broad </w:t>
      </w:r>
      <w:r w:rsidR="004B5CBA" w:rsidRPr="001F2D7B">
        <w:t xml:space="preserve">pattern of </w:t>
      </w:r>
      <w:r w:rsidR="00B01D85" w:rsidRPr="001F2D7B">
        <w:t xml:space="preserve">participation. However, </w:t>
      </w:r>
      <w:r w:rsidR="001C055E" w:rsidRPr="001F2D7B">
        <w:t xml:space="preserve">the </w:t>
      </w:r>
      <w:r w:rsidR="00FF64D5" w:rsidRPr="001F2D7B">
        <w:t xml:space="preserve">proportion </w:t>
      </w:r>
      <w:r w:rsidR="001C055E" w:rsidRPr="001F2D7B">
        <w:t xml:space="preserve">of people from selected groups in the community </w:t>
      </w:r>
      <w:r w:rsidR="00FC61B5" w:rsidRPr="001F2D7B">
        <w:t xml:space="preserve">(which cover all ages), do not have the same age profile as </w:t>
      </w:r>
      <w:r w:rsidR="001C055E" w:rsidRPr="001F2D7B">
        <w:t xml:space="preserve">people engaged in higher education study. </w:t>
      </w:r>
      <w:r w:rsidR="00B01D85" w:rsidRPr="001F2D7B">
        <w:t xml:space="preserve">Therefore, </w:t>
      </w:r>
      <w:r w:rsidR="00E336BA" w:rsidRPr="001F2D7B">
        <w:t>f</w:t>
      </w:r>
      <w:r w:rsidR="00B01D85" w:rsidRPr="001F2D7B">
        <w:t>igure B.10 might overstate the disparity between the participation of people from selected groups in higher education and their representation in the community</w:t>
      </w:r>
      <w:r w:rsidR="00FC61B5" w:rsidRPr="001F2D7B">
        <w:t>, among people of a similar age profile</w:t>
      </w:r>
      <w:r w:rsidR="00B01D85" w:rsidRPr="001F2D7B">
        <w:t>.</w:t>
      </w:r>
    </w:p>
    <w:p w:rsidR="00BA024C" w:rsidRPr="001F2D7B" w:rsidRDefault="00F738B9" w:rsidP="00831DE9">
      <w:pPr>
        <w:pStyle w:val="Source"/>
        <w:shd w:val="clear" w:color="auto" w:fill="FFFFFF" w:themeFill="background1"/>
      </w:pPr>
      <w:r w:rsidRPr="001F2D7B">
        <w:rPr>
          <w:i/>
        </w:rPr>
        <w:t>S</w:t>
      </w:r>
      <w:r w:rsidR="00207ABE" w:rsidRPr="001F2D7B">
        <w:rPr>
          <w:i/>
        </w:rPr>
        <w:t>ource</w:t>
      </w:r>
      <w:r w:rsidR="00207ABE" w:rsidRPr="001F2D7B">
        <w:t xml:space="preserve">: </w:t>
      </w:r>
      <w:proofErr w:type="spellStart"/>
      <w:r w:rsidR="00BD5211" w:rsidRPr="001F2D7B">
        <w:t>DoI</w:t>
      </w:r>
      <w:proofErr w:type="spellEnd"/>
      <w:r w:rsidR="00356A10" w:rsidRPr="001F2D7B">
        <w:t xml:space="preserve"> (Department of Industry) </w:t>
      </w:r>
      <w:r w:rsidR="00356A10" w:rsidRPr="001F2D7B">
        <w:rPr>
          <w:i/>
        </w:rPr>
        <w:t>201</w:t>
      </w:r>
      <w:r w:rsidR="0061717E" w:rsidRPr="001F2D7B">
        <w:rPr>
          <w:i/>
        </w:rPr>
        <w:t>2</w:t>
      </w:r>
      <w:r w:rsidR="00356A10" w:rsidRPr="001F2D7B">
        <w:rPr>
          <w:i/>
        </w:rPr>
        <w:t xml:space="preserve"> Statistics publications</w:t>
      </w:r>
      <w:r w:rsidR="00356A10" w:rsidRPr="001F2D7B">
        <w:t xml:space="preserve">; ABS 2009 </w:t>
      </w:r>
      <w:r w:rsidR="00356A10" w:rsidRPr="001F2D7B">
        <w:rPr>
          <w:i/>
        </w:rPr>
        <w:t>Survey of Disability and Carers</w:t>
      </w:r>
      <w:r w:rsidR="009821A0" w:rsidRPr="001F2D7B">
        <w:rPr>
          <w:i/>
        </w:rPr>
        <w:t>.</w:t>
      </w:r>
      <w:r w:rsidR="00356A10" w:rsidRPr="001F2D7B">
        <w:t xml:space="preserve"> Cat. no 4430.0; ABS </w:t>
      </w:r>
      <w:r w:rsidR="0061717E" w:rsidRPr="001F2D7B">
        <w:t>2013</w:t>
      </w:r>
      <w:r w:rsidR="00356A10" w:rsidRPr="001F2D7B">
        <w:t xml:space="preserve">, </w:t>
      </w:r>
      <w:r w:rsidR="00356A10" w:rsidRPr="001F2D7B">
        <w:rPr>
          <w:i/>
        </w:rPr>
        <w:t xml:space="preserve">Regional Population Growth, Australia, </w:t>
      </w:r>
      <w:r w:rsidR="0061717E" w:rsidRPr="001F2D7B">
        <w:rPr>
          <w:i/>
        </w:rPr>
        <w:t>2011-12</w:t>
      </w:r>
      <w:r w:rsidR="00356A10" w:rsidRPr="001F2D7B">
        <w:t xml:space="preserve">, Cat. no. </w:t>
      </w:r>
      <w:r w:rsidR="00356A10" w:rsidRPr="001F2D7B">
        <w:rPr>
          <w:shd w:val="clear" w:color="auto" w:fill="FFFFFF" w:themeFill="background1"/>
        </w:rPr>
        <w:t xml:space="preserve">3218.0; ABS </w:t>
      </w:r>
      <w:r w:rsidR="0061717E" w:rsidRPr="001F2D7B">
        <w:rPr>
          <w:shd w:val="clear" w:color="auto" w:fill="FFFFFF" w:themeFill="background1"/>
        </w:rPr>
        <w:t>2013</w:t>
      </w:r>
      <w:r w:rsidR="00356A10" w:rsidRPr="001F2D7B">
        <w:rPr>
          <w:shd w:val="clear" w:color="auto" w:fill="FFFFFF" w:themeFill="background1"/>
        </w:rPr>
        <w:t xml:space="preserve">, </w:t>
      </w:r>
      <w:r w:rsidR="00356A10" w:rsidRPr="001F2D7B">
        <w:rPr>
          <w:i/>
          <w:shd w:val="clear" w:color="auto" w:fill="FFFFFF" w:themeFill="background1"/>
        </w:rPr>
        <w:t>Australian Demographic Statistics, March 201</w:t>
      </w:r>
      <w:r w:rsidR="0061717E" w:rsidRPr="001F2D7B">
        <w:rPr>
          <w:i/>
          <w:shd w:val="clear" w:color="auto" w:fill="FFFFFF" w:themeFill="background1"/>
        </w:rPr>
        <w:t>3</w:t>
      </w:r>
      <w:r w:rsidR="00356A10" w:rsidRPr="001F2D7B">
        <w:rPr>
          <w:i/>
          <w:shd w:val="clear" w:color="auto" w:fill="FFFFFF" w:themeFill="background1"/>
        </w:rPr>
        <w:t>,</w:t>
      </w:r>
      <w:r w:rsidR="00356A10" w:rsidRPr="001F2D7B">
        <w:rPr>
          <w:shd w:val="clear" w:color="auto" w:fill="FFFFFF" w:themeFill="background1"/>
        </w:rPr>
        <w:t xml:space="preserve"> Cat. no. 3101.</w:t>
      </w:r>
      <w:r w:rsidR="001E4FD1" w:rsidRPr="001F2D7B">
        <w:rPr>
          <w:shd w:val="clear" w:color="auto" w:fill="FFFFFF" w:themeFill="background1"/>
        </w:rPr>
        <w:t xml:space="preserve">0; table </w:t>
      </w:r>
      <w:r w:rsidR="0061717E" w:rsidRPr="001F2D7B">
        <w:rPr>
          <w:shd w:val="clear" w:color="auto" w:fill="FFFFFF" w:themeFill="background1"/>
        </w:rPr>
        <w:t>2</w:t>
      </w:r>
      <w:r w:rsidR="001E4FD1" w:rsidRPr="001F2D7B">
        <w:rPr>
          <w:shd w:val="clear" w:color="auto" w:fill="FFFFFF" w:themeFill="background1"/>
        </w:rPr>
        <w:t xml:space="preserve">A.12; table </w:t>
      </w:r>
      <w:r w:rsidR="0061717E" w:rsidRPr="001F2D7B">
        <w:rPr>
          <w:shd w:val="clear" w:color="auto" w:fill="FFFFFF" w:themeFill="background1"/>
        </w:rPr>
        <w:t>2</w:t>
      </w:r>
      <w:r w:rsidR="001E4FD1" w:rsidRPr="001F2D7B">
        <w:rPr>
          <w:shd w:val="clear" w:color="auto" w:fill="FFFFFF" w:themeFill="background1"/>
        </w:rPr>
        <w:t>A.15</w:t>
      </w:r>
      <w:r w:rsidR="001B12D7" w:rsidRPr="001F2D7B">
        <w:rPr>
          <w:shd w:val="clear" w:color="auto" w:fill="FFFFFF" w:themeFill="background1"/>
        </w:rPr>
        <w:t>;</w:t>
      </w:r>
      <w:r w:rsidR="00995CB8" w:rsidRPr="001F2D7B">
        <w:rPr>
          <w:shd w:val="clear" w:color="auto" w:fill="FFFFFF" w:themeFill="background1"/>
        </w:rPr>
        <w:t xml:space="preserve"> table BA.2</w:t>
      </w:r>
      <w:r w:rsidR="004715A5" w:rsidRPr="001F2D7B">
        <w:rPr>
          <w:shd w:val="clear" w:color="auto" w:fill="FFFFFF" w:themeFill="background1"/>
        </w:rPr>
        <w:t>3</w:t>
      </w:r>
      <w:r w:rsidR="007E69A7" w:rsidRPr="001F2D7B">
        <w:t>.</w:t>
      </w:r>
    </w:p>
    <w:p w:rsidR="005209A1" w:rsidRPr="00F7745E" w:rsidRDefault="005209A1" w:rsidP="005209A1">
      <w:pPr>
        <w:pStyle w:val="Heading5"/>
        <w:rPr>
          <w:rStyle w:val="DraftingNote"/>
          <w:i w:val="0"/>
          <w:color w:val="auto"/>
        </w:rPr>
      </w:pPr>
      <w:r w:rsidRPr="001F2D7B">
        <w:rPr>
          <w:rStyle w:val="DraftingNote"/>
          <w:b w:val="0"/>
          <w:color w:val="auto"/>
          <w:sz w:val="26"/>
          <w:u w:val="none"/>
        </w:rPr>
        <w:t>Full</w:t>
      </w:r>
      <w:r w:rsidR="002F5C97" w:rsidRPr="001F2D7B">
        <w:rPr>
          <w:rStyle w:val="DraftingNote"/>
          <w:b w:val="0"/>
          <w:color w:val="auto"/>
          <w:sz w:val="26"/>
          <w:u w:val="none"/>
        </w:rPr>
        <w:t xml:space="preserve"> </w:t>
      </w:r>
      <w:r w:rsidRPr="001F2D7B">
        <w:rPr>
          <w:rStyle w:val="DraftingNote"/>
          <w:b w:val="0"/>
          <w:color w:val="auto"/>
          <w:sz w:val="26"/>
          <w:u w:val="none"/>
        </w:rPr>
        <w:t>time participation in employment, education</w:t>
      </w:r>
      <w:r w:rsidRPr="00831DE9">
        <w:rPr>
          <w:rStyle w:val="DraftingNote"/>
          <w:b w:val="0"/>
          <w:color w:val="auto"/>
          <w:sz w:val="26"/>
          <w:u w:val="none"/>
        </w:rPr>
        <w:t xml:space="preserve"> or training (by Indigenous status)</w:t>
      </w:r>
      <w:r w:rsidRPr="00F7745E">
        <w:rPr>
          <w:rStyle w:val="DraftingNote"/>
          <w:b w:val="0"/>
          <w:color w:val="auto"/>
          <w:sz w:val="26"/>
          <w:u w:val="none"/>
        </w:rPr>
        <w:t xml:space="preserve"> </w:t>
      </w:r>
    </w:p>
    <w:p w:rsidR="005209A1" w:rsidRDefault="005209A1" w:rsidP="005209A1">
      <w:pPr>
        <w:pStyle w:val="BodyText"/>
      </w:pPr>
      <w:r>
        <w:t>F</w:t>
      </w:r>
      <w:r w:rsidRPr="00CD33DD">
        <w:t xml:space="preserve">ull time participation </w:t>
      </w:r>
      <w:r>
        <w:t xml:space="preserve">in employment, education or training (school education, vocational training and higher education) </w:t>
      </w:r>
      <w:r w:rsidR="00E56CCC">
        <w:t xml:space="preserve">for </w:t>
      </w:r>
      <w:r w:rsidR="00835F7A">
        <w:t>age group</w:t>
      </w:r>
      <w:r w:rsidR="00631782">
        <w:t>s</w:t>
      </w:r>
      <w:r w:rsidR="00835F7A">
        <w:t xml:space="preserve"> </w:t>
      </w:r>
      <w:r w:rsidR="00E56CCC">
        <w:t>15</w:t>
      </w:r>
      <w:r w:rsidR="00A644B6">
        <w:t>–</w:t>
      </w:r>
      <w:r w:rsidR="00E56CCC">
        <w:t>19; 20</w:t>
      </w:r>
      <w:r w:rsidR="00A644B6">
        <w:t>–</w:t>
      </w:r>
      <w:r w:rsidR="00E56CCC">
        <w:t>24; 25</w:t>
      </w:r>
      <w:r w:rsidR="00A644B6">
        <w:t>–</w:t>
      </w:r>
      <w:r w:rsidR="00E56CCC">
        <w:t xml:space="preserve">29; </w:t>
      </w:r>
      <w:r w:rsidR="00A644B6">
        <w:br/>
      </w:r>
      <w:r w:rsidR="00E56CCC">
        <w:t>and 15</w:t>
      </w:r>
      <w:r w:rsidR="00A644B6">
        <w:t>–</w:t>
      </w:r>
      <w:r w:rsidR="00E56CCC">
        <w:t xml:space="preserve">64 </w:t>
      </w:r>
      <w:r w:rsidR="00835F7A">
        <w:t xml:space="preserve">years </w:t>
      </w:r>
      <w:r w:rsidR="00E56CCC">
        <w:t xml:space="preserve">are presented in </w:t>
      </w:r>
      <w:r w:rsidR="008827CF" w:rsidRPr="00CD33DD">
        <w:t>figure</w:t>
      </w:r>
      <w:r w:rsidR="00BA024C">
        <w:t xml:space="preserve"> </w:t>
      </w:r>
      <w:r w:rsidR="00CA426B">
        <w:t>B.1</w:t>
      </w:r>
      <w:r w:rsidR="00C20FA0">
        <w:t>1</w:t>
      </w:r>
      <w:r w:rsidR="008827CF" w:rsidRPr="00CD33DD">
        <w:t>.</w:t>
      </w:r>
    </w:p>
    <w:p w:rsidR="00207ABE" w:rsidRPr="00524419" w:rsidRDefault="00207ABE">
      <w:pPr>
        <w:pStyle w:val="FigureTitle"/>
      </w:pPr>
      <w:r>
        <w:rPr>
          <w:b w:val="0"/>
        </w:rPr>
        <w:lastRenderedPageBreak/>
        <w:t xml:space="preserve">Figure </w:t>
      </w:r>
      <w:r w:rsidR="00CA426B">
        <w:rPr>
          <w:b w:val="0"/>
        </w:rPr>
        <w:t>B.1</w:t>
      </w:r>
      <w:r w:rsidR="00C20FA0">
        <w:rPr>
          <w:b w:val="0"/>
        </w:rPr>
        <w:t>1</w:t>
      </w:r>
      <w:r>
        <w:tab/>
        <w:t>Full</w:t>
      </w:r>
      <w:r w:rsidR="002F5C97">
        <w:t xml:space="preserve"> </w:t>
      </w:r>
      <w:r>
        <w:t>time participation in em</w:t>
      </w:r>
      <w:r w:rsidR="008827CF">
        <w:t>ployme</w:t>
      </w:r>
      <w:r w:rsidR="00F166C9">
        <w:t>nt, education or training, 201</w:t>
      </w:r>
      <w:r w:rsidR="00A95A86">
        <w:t>2</w:t>
      </w:r>
      <w:r w:rsidR="00835F7A" w:rsidRPr="00835F7A">
        <w:rPr>
          <w:rStyle w:val="NoteLabel"/>
          <w:b/>
        </w:rPr>
        <w:t xml:space="preserve"> </w:t>
      </w:r>
      <w:r w:rsidR="00835F7A" w:rsidRPr="00721DD0">
        <w:rPr>
          <w:rStyle w:val="NoteLabel"/>
          <w:b/>
        </w:rPr>
        <w:t>a</w:t>
      </w:r>
      <w:r w:rsidR="00835F7A">
        <w:rPr>
          <w:rStyle w:val="NoteLabel"/>
          <w:b/>
        </w:rPr>
        <w:t>, b, c, d, e</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207ABE" w:rsidTr="002C54ED">
        <w:tc>
          <w:tcPr>
            <w:tcW w:w="8777" w:type="dxa"/>
          </w:tcPr>
          <w:p w:rsidR="00207ABE" w:rsidRDefault="002C54ED">
            <w:pPr>
              <w:pStyle w:val="Figure"/>
            </w:pPr>
            <w:r>
              <w:rPr>
                <w:noProof/>
              </w:rPr>
              <w:drawing>
                <wp:inline distT="0" distB="0" distL="0" distR="0" wp14:anchorId="2A73215E" wp14:editId="1DD3E50C">
                  <wp:extent cx="5400001" cy="2520000"/>
                  <wp:effectExtent l="0" t="0" r="0" b="0"/>
                  <wp:docPr id="11" name="Chart 11" descr="Figure B.11 Full time participation in employment, education or training, 2012&#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r>
    </w:tbl>
    <w:p w:rsidR="00DA1C7B" w:rsidRPr="00FF6A19" w:rsidRDefault="00DA1C7B" w:rsidP="005B1170">
      <w:pPr>
        <w:pStyle w:val="Note"/>
      </w:pPr>
      <w:proofErr w:type="spellStart"/>
      <w:r w:rsidRPr="00752ECC">
        <w:rPr>
          <w:rStyle w:val="NoteLabel"/>
        </w:rPr>
        <w:t>a</w:t>
      </w:r>
      <w:proofErr w:type="spellEnd"/>
      <w:r w:rsidRPr="00752ECC">
        <w:t xml:space="preserve"> Error bars represent the 95 per cent confidence interval associated with each point estimate. </w:t>
      </w:r>
      <w:r w:rsidRPr="00752ECC">
        <w:rPr>
          <w:rStyle w:val="NoteLabel"/>
        </w:rPr>
        <w:t>b</w:t>
      </w:r>
      <w:r w:rsidRPr="00752ECC">
        <w:t xml:space="preserve"> Full time participation is defined as participation in full time education or training or full time work, or a combination of both part time education or training and part time work.</w:t>
      </w:r>
      <w:r w:rsidRPr="000B33D2">
        <w:rPr>
          <w:rStyle w:val="NoteLabel"/>
        </w:rPr>
        <w:t xml:space="preserve"> </w:t>
      </w:r>
      <w:r>
        <w:rPr>
          <w:rStyle w:val="NoteLabel"/>
        </w:rPr>
        <w:t>c</w:t>
      </w:r>
      <w:r w:rsidRPr="00752ECC">
        <w:t xml:space="preserve"> </w:t>
      </w:r>
      <w:r w:rsidRPr="00293CF5">
        <w:t>Education or training includes school</w:t>
      </w:r>
      <w:r>
        <w:t xml:space="preserve"> education</w:t>
      </w:r>
      <w:r w:rsidRPr="00293CF5">
        <w:t>, vocational training and higher education.</w:t>
      </w:r>
      <w:r>
        <w:t xml:space="preserve"> </w:t>
      </w:r>
      <w:r>
        <w:rPr>
          <w:rStyle w:val="NoteLabel"/>
        </w:rPr>
        <w:t>d</w:t>
      </w:r>
      <w:r w:rsidRPr="00B23BA5">
        <w:t xml:space="preserve"> </w:t>
      </w:r>
      <w:r w:rsidRPr="000162C5">
        <w:t xml:space="preserve">Proportions are determined using the number of students educated in the jurisdiction divided by the estimated resident population for the </w:t>
      </w:r>
      <w:r w:rsidRPr="00882B88">
        <w:t>jurisdiction for the age</w:t>
      </w:r>
      <w:r w:rsidRPr="000162C5">
        <w:t xml:space="preserve"> group. In some cases students are educated in a different jurisdiction to their place of residence. These students are counted in their jurisdiction of education for the numerator (number of students educated in the jurisdiction) and their jurisdiction of residence for the </w:t>
      </w:r>
      <w:r w:rsidRPr="00FF6A19">
        <w:t xml:space="preserve">denominator (estimated resident population). </w:t>
      </w:r>
      <w:r w:rsidRPr="00FF6A19">
        <w:rPr>
          <w:rStyle w:val="NoteLabel"/>
        </w:rPr>
        <w:t>e</w:t>
      </w:r>
      <w:r w:rsidRPr="00FF6A19">
        <w:t xml:space="preserve"> </w:t>
      </w:r>
      <w:r w:rsidR="0024525B" w:rsidRPr="00B42E3B">
        <w:t>The ABS Survey of Education and Work is not conducted in Indigenous communities in very remote areas, which affects the comparability of NT results</w:t>
      </w:r>
      <w:r w:rsidR="0024525B">
        <w:t xml:space="preserve"> as these communities account for around 15 per cent of the NT population.</w:t>
      </w:r>
      <w:r w:rsidR="008F2091">
        <w:t xml:space="preserve"> </w:t>
      </w:r>
    </w:p>
    <w:p w:rsidR="00DA1C7B" w:rsidRPr="00FF6A19" w:rsidRDefault="00DA1C7B" w:rsidP="00DA1C7B">
      <w:pPr>
        <w:pStyle w:val="Source"/>
      </w:pPr>
      <w:r w:rsidRPr="00FF6A19">
        <w:rPr>
          <w:i/>
        </w:rPr>
        <w:t>Source</w:t>
      </w:r>
      <w:r w:rsidRPr="00FF6A19">
        <w:t>: ABS (20</w:t>
      </w:r>
      <w:r w:rsidR="008827CF" w:rsidRPr="00FF6A19">
        <w:t>1</w:t>
      </w:r>
      <w:r w:rsidR="00054F00">
        <w:t>3</w:t>
      </w:r>
      <w:r w:rsidRPr="00FF6A19">
        <w:t xml:space="preserve">) </w:t>
      </w:r>
      <w:r w:rsidRPr="00FF6A19">
        <w:rPr>
          <w:i/>
        </w:rPr>
        <w:t xml:space="preserve">Education and Work, </w:t>
      </w:r>
      <w:r w:rsidRPr="00FF6A19">
        <w:t>20</w:t>
      </w:r>
      <w:r w:rsidR="008827CF" w:rsidRPr="00FF6A19">
        <w:t>1</w:t>
      </w:r>
      <w:r w:rsidR="00A95A86">
        <w:t>2</w:t>
      </w:r>
      <w:r w:rsidR="00EB0484">
        <w:t xml:space="preserve"> Cat. no. 6227.0; table BA.</w:t>
      </w:r>
      <w:r w:rsidR="00657B66">
        <w:t>2</w:t>
      </w:r>
      <w:r w:rsidR="004715A5">
        <w:t>4</w:t>
      </w:r>
      <w:r w:rsidR="00EB0484">
        <w:t>.</w:t>
      </w:r>
    </w:p>
    <w:p w:rsidR="00BA024C" w:rsidRPr="00FF6A19" w:rsidRDefault="00E63749" w:rsidP="005209A1">
      <w:pPr>
        <w:pStyle w:val="BodyText"/>
      </w:pPr>
      <w:r w:rsidRPr="00FF6A19">
        <w:t>Participation rates in full</w:t>
      </w:r>
      <w:r w:rsidR="002F5C97" w:rsidRPr="00FF6A19">
        <w:t xml:space="preserve"> </w:t>
      </w:r>
      <w:r w:rsidRPr="00FF6A19">
        <w:t xml:space="preserve">time employment, education or training are presented </w:t>
      </w:r>
      <w:r w:rsidR="00BA024C" w:rsidRPr="00FF6A19">
        <w:t>for addition</w:t>
      </w:r>
      <w:r w:rsidR="00657B66">
        <w:t>al age categories</w:t>
      </w:r>
      <w:r w:rsidR="00835F7A">
        <w:t>, including single year ages from 15</w:t>
      </w:r>
      <w:r w:rsidR="00A644B6">
        <w:t>–</w:t>
      </w:r>
      <w:r w:rsidR="00835F7A">
        <w:t>24,</w:t>
      </w:r>
      <w:r w:rsidR="00657B66">
        <w:t xml:space="preserve"> in table BA.2</w:t>
      </w:r>
      <w:r w:rsidR="004715A5">
        <w:t>4</w:t>
      </w:r>
      <w:r w:rsidR="00BA024C" w:rsidRPr="00FF6A19">
        <w:t>.</w:t>
      </w:r>
      <w:r w:rsidRPr="00FF6A19">
        <w:t xml:space="preserve"> Full</w:t>
      </w:r>
      <w:r w:rsidR="002F5C97" w:rsidRPr="00FF6A19">
        <w:t xml:space="preserve"> </w:t>
      </w:r>
      <w:r w:rsidRPr="00FF6A19">
        <w:t>time participation in employment, education or t</w:t>
      </w:r>
      <w:r w:rsidR="008F4839">
        <w:t>raining at or above C</w:t>
      </w:r>
      <w:r w:rsidR="00FE74B0">
        <w:t>ertificate </w:t>
      </w:r>
      <w:r w:rsidRPr="00FF6A19">
        <w:t xml:space="preserve">III level are also presented </w:t>
      </w:r>
      <w:r w:rsidR="00A644B6">
        <w:t>for</w:t>
      </w:r>
      <w:r w:rsidR="00835F7A">
        <w:t xml:space="preserve"> age categories </w:t>
      </w:r>
      <w:r w:rsidRPr="00FF6A19">
        <w:t xml:space="preserve">in </w:t>
      </w:r>
      <w:r w:rsidR="00657B66">
        <w:t>table BA.2</w:t>
      </w:r>
      <w:r w:rsidR="004715A5">
        <w:t>5</w:t>
      </w:r>
      <w:r w:rsidR="00AE7D31" w:rsidRPr="00FF6A19">
        <w:t>.</w:t>
      </w:r>
    </w:p>
    <w:p w:rsidR="00BC3F69" w:rsidRDefault="00BC3F69" w:rsidP="00AF275A">
      <w:pPr>
        <w:pStyle w:val="BodyText"/>
        <w:rPr>
          <w:rStyle w:val="DraftingNote"/>
          <w:b w:val="0"/>
          <w:color w:val="auto"/>
          <w:sz w:val="26"/>
          <w:u w:val="none"/>
        </w:rPr>
      </w:pPr>
      <w:r>
        <w:rPr>
          <w:rStyle w:val="DraftingNote"/>
          <w:b w:val="0"/>
          <w:color w:val="auto"/>
          <w:sz w:val="26"/>
          <w:u w:val="none"/>
        </w:rPr>
        <w:br w:type="page"/>
      </w:r>
    </w:p>
    <w:p w:rsidR="00C20FA0" w:rsidRPr="00794705" w:rsidRDefault="00C20FA0" w:rsidP="00794705">
      <w:pPr>
        <w:pStyle w:val="BodyText"/>
      </w:pPr>
      <w:r w:rsidRPr="00794705">
        <w:rPr>
          <w:rStyle w:val="DraftingNote"/>
          <w:b w:val="0"/>
          <w:color w:val="auto"/>
          <w:sz w:val="26"/>
          <w:u w:val="none"/>
        </w:rPr>
        <w:lastRenderedPageBreak/>
        <w:t>Data from the 2011 Census show that nationally, in 2011, 72.7 per cent of young people aged 17</w:t>
      </w:r>
      <w:r w:rsidRPr="00794705">
        <w:rPr>
          <w:rStyle w:val="DraftingNote"/>
          <w:b w:val="0"/>
          <w:color w:val="auto"/>
          <w:sz w:val="26"/>
          <w:u w:val="none"/>
        </w:rPr>
        <w:noBreakHyphen/>
        <w:t xml:space="preserve">24 years were fully engaged in post-school education, training or employment (figure B.12). </w:t>
      </w:r>
    </w:p>
    <w:p w:rsidR="00C20FA0" w:rsidRDefault="00C20FA0" w:rsidP="00C20FA0">
      <w:pPr>
        <w:pStyle w:val="FigureTitle"/>
      </w:pPr>
      <w:r w:rsidRPr="00B83948">
        <w:rPr>
          <w:b w:val="0"/>
        </w:rPr>
        <w:t>Figure B.</w:t>
      </w:r>
      <w:r>
        <w:rPr>
          <w:b w:val="0"/>
        </w:rPr>
        <w:t>12</w:t>
      </w:r>
      <w:r w:rsidRPr="00B83948">
        <w:tab/>
        <w:t>Proportion of people 17-24 year</w:t>
      </w:r>
      <w:r>
        <w:t>s who are fully engaged in post</w:t>
      </w:r>
      <w:r>
        <w:noBreakHyphen/>
      </w:r>
      <w:r w:rsidRPr="00B83948">
        <w:t>school education, training or employment, 2011</w:t>
      </w:r>
      <w:r w:rsidRPr="00B83948">
        <w:rPr>
          <w:rStyle w:val="NoteLabel"/>
          <w:b/>
        </w:rPr>
        <w:t>a, b, c, d, e, f, g, h</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C20FA0" w:rsidTr="001A27C6">
        <w:tc>
          <w:tcPr>
            <w:tcW w:w="8777" w:type="dxa"/>
          </w:tcPr>
          <w:p w:rsidR="00C20FA0" w:rsidRDefault="00C20FA0" w:rsidP="001A27C6">
            <w:pPr>
              <w:pStyle w:val="Figure"/>
            </w:pPr>
            <w:r>
              <w:rPr>
                <w:noProof/>
              </w:rPr>
              <w:drawing>
                <wp:inline distT="0" distB="0" distL="0" distR="0" wp14:anchorId="6506C54A" wp14:editId="4FCB901C">
                  <wp:extent cx="5404514" cy="2565779"/>
                  <wp:effectExtent l="0" t="0" r="5715" b="6350"/>
                  <wp:docPr id="31" name="Chart 31" descr="Figure B.12 Proportion of people 17-24 years who are fully engaged in post-school education, training or employment, 2011&#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c>
      </w:tr>
    </w:tbl>
    <w:p w:rsidR="00C20FA0" w:rsidRPr="00792F35" w:rsidRDefault="00C20FA0" w:rsidP="00C20FA0">
      <w:pPr>
        <w:pStyle w:val="Note"/>
      </w:pPr>
      <w:r>
        <w:rPr>
          <w:rStyle w:val="NoteLabel"/>
        </w:rPr>
        <w:t>a</w:t>
      </w:r>
      <w:r>
        <w:t> </w:t>
      </w:r>
      <w:r w:rsidRPr="003C68A3">
        <w:t>People who were identified as studying at a school institution are excluded from the calculation (numerator and denominator).</w:t>
      </w:r>
      <w:r>
        <w:t xml:space="preserve"> </w:t>
      </w:r>
      <w:r>
        <w:rPr>
          <w:rStyle w:val="NoteLabel"/>
        </w:rPr>
        <w:t xml:space="preserve">b </w:t>
      </w:r>
      <w:r w:rsidRPr="003C68A3">
        <w:t xml:space="preserve">The Census does not collect level of current study, but does collect institution attended, therefore all people identified as studying (excluding those studying at a school institution) are included in the calculations for this indicator. This may include some people in </w:t>
      </w:r>
      <w:proofErr w:type="spellStart"/>
      <w:r w:rsidRPr="003C68A3">
        <w:t>non­formal</w:t>
      </w:r>
      <w:proofErr w:type="spellEnd"/>
      <w:r w:rsidRPr="003C68A3">
        <w:t xml:space="preserve"> education or school level education.</w:t>
      </w:r>
      <w:r>
        <w:rPr>
          <w:rStyle w:val="NoteLabel"/>
        </w:rPr>
        <w:t xml:space="preserve"> </w:t>
      </w:r>
      <w:r w:rsidRPr="005C27FA">
        <w:rPr>
          <w:rStyle w:val="NoteLabel"/>
        </w:rPr>
        <w:t>c </w:t>
      </w:r>
      <w:r w:rsidRPr="003C68A3">
        <w:t>People whose labour force status was not stated and who were not identified as studying full­time, are excluded. People whose student status was not stated and who were not identified as employed full­time, are also excluded.</w:t>
      </w:r>
      <w:r>
        <w:t xml:space="preserve"> </w:t>
      </w:r>
      <w:r>
        <w:rPr>
          <w:rStyle w:val="NoteLabel"/>
        </w:rPr>
        <w:t xml:space="preserve">d </w:t>
      </w:r>
      <w:r w:rsidRPr="003C68A3">
        <w:t>People whose labour force status could not be determined between full time or part time employed and who were not identified as studying are excluded. People who had stated attending an educational institution (but whose student status was not stated) and who were identified as not employed are excluded.</w:t>
      </w:r>
      <w:r w:rsidRPr="003C68A3">
        <w:rPr>
          <w:rStyle w:val="NoteLabel"/>
        </w:rPr>
        <w:t xml:space="preserve"> </w:t>
      </w:r>
      <w:r>
        <w:rPr>
          <w:rStyle w:val="NoteLabel"/>
        </w:rPr>
        <w:t xml:space="preserve">e </w:t>
      </w:r>
      <w:r w:rsidRPr="003C68A3">
        <w:t>People who did not state their labour force status and did not state their student status are excluded.</w:t>
      </w:r>
      <w:r w:rsidRPr="003C68A3">
        <w:rPr>
          <w:rStyle w:val="NoteLabel"/>
        </w:rPr>
        <w:t xml:space="preserve"> </w:t>
      </w:r>
      <w:r>
        <w:rPr>
          <w:rStyle w:val="NoteLabel"/>
        </w:rPr>
        <w:t>f</w:t>
      </w:r>
      <w:r w:rsidRPr="003C68A3">
        <w:t xml:space="preserve"> Australia includes 'Other territories'.</w:t>
      </w:r>
      <w:r>
        <w:t xml:space="preserve"> </w:t>
      </w:r>
      <w:r>
        <w:rPr>
          <w:rStyle w:val="NoteLabel"/>
        </w:rPr>
        <w:t xml:space="preserve">g </w:t>
      </w:r>
      <w:r w:rsidRPr="003C68A3">
        <w:t xml:space="preserve">People who were </w:t>
      </w:r>
      <w:r w:rsidRPr="009C4D5A">
        <w:t>engaged in a combination of education or training and employment, but whose full­time/</w:t>
      </w:r>
      <w:proofErr w:type="spellStart"/>
      <w:r w:rsidRPr="009C4D5A">
        <w:t>part­time</w:t>
      </w:r>
      <w:proofErr w:type="spellEnd"/>
      <w:r w:rsidRPr="009C4D5A">
        <w:t xml:space="preserve"> student status or their full­time/</w:t>
      </w:r>
      <w:proofErr w:type="spellStart"/>
      <w:r w:rsidRPr="009C4D5A">
        <w:t>part­time</w:t>
      </w:r>
      <w:proofErr w:type="spellEnd"/>
      <w:r w:rsidRPr="009C4D5A">
        <w:t xml:space="preserve"> employment status was not identified are included in 'Total Fully Engaged'. </w:t>
      </w:r>
      <w:r w:rsidRPr="009C4D5A">
        <w:rPr>
          <w:rStyle w:val="NoteLabel"/>
        </w:rPr>
        <w:t>h</w:t>
      </w:r>
      <w:r w:rsidRPr="009C4D5A">
        <w:t xml:space="preserve"> While there are no sampling data quality issues associated with Census data (for example, confidence intervals), there are other forms of non-sampling data quality issues such as undercounting that need to be taken into account when interpreting data.</w:t>
      </w:r>
      <w:r>
        <w:t xml:space="preserve"> </w:t>
      </w:r>
    </w:p>
    <w:p w:rsidR="00C20FA0" w:rsidRPr="00465558" w:rsidRDefault="00C20FA0" w:rsidP="00C20FA0">
      <w:pPr>
        <w:pStyle w:val="Source"/>
        <w:rPr>
          <w:rStyle w:val="NoteChar"/>
        </w:rPr>
      </w:pPr>
      <w:r w:rsidRPr="00DB6EDB">
        <w:rPr>
          <w:i/>
        </w:rPr>
        <w:t>Source</w:t>
      </w:r>
      <w:r w:rsidRPr="00DB6EDB">
        <w:t xml:space="preserve">: </w:t>
      </w:r>
      <w:r>
        <w:t>ABS (unpublished</w:t>
      </w:r>
      <w:r w:rsidRPr="00F12C5B">
        <w:t xml:space="preserve">) </w:t>
      </w:r>
      <w:r>
        <w:rPr>
          <w:i/>
        </w:rPr>
        <w:t>2011 Census of Population and Housing</w:t>
      </w:r>
      <w:r>
        <w:t xml:space="preserve">; </w:t>
      </w:r>
      <w:r w:rsidRPr="00FB3C9B">
        <w:t>table BA.1</w:t>
      </w:r>
      <w:r w:rsidR="004715A5">
        <w:t>4</w:t>
      </w:r>
      <w:r w:rsidRPr="00FF6A19">
        <w:t>.</w:t>
      </w:r>
    </w:p>
    <w:p w:rsidR="00C20FA0" w:rsidRPr="00614108" w:rsidRDefault="00C20FA0" w:rsidP="00614108">
      <w:pPr>
        <w:pStyle w:val="BodyText"/>
        <w:rPr>
          <w:rStyle w:val="DraftingNote"/>
          <w:b w:val="0"/>
          <w:color w:val="auto"/>
          <w:sz w:val="26"/>
          <w:u w:val="none"/>
        </w:rPr>
      </w:pPr>
      <w:r w:rsidRPr="00614108">
        <w:rPr>
          <w:rStyle w:val="DraftingNote"/>
          <w:b w:val="0"/>
          <w:color w:val="auto"/>
          <w:sz w:val="26"/>
          <w:u w:val="none"/>
        </w:rPr>
        <w:t>Additional data on school leaver participation in post school education, training and employment by socioeconomic status are presented in table BA.1</w:t>
      </w:r>
      <w:r w:rsidR="004715A5" w:rsidRPr="00614108">
        <w:rPr>
          <w:rStyle w:val="DraftingNote"/>
          <w:b w:val="0"/>
          <w:color w:val="auto"/>
          <w:sz w:val="26"/>
          <w:u w:val="none"/>
        </w:rPr>
        <w:t>5</w:t>
      </w:r>
      <w:r w:rsidRPr="00614108">
        <w:rPr>
          <w:rStyle w:val="DraftingNote"/>
          <w:b w:val="0"/>
          <w:color w:val="auto"/>
          <w:sz w:val="26"/>
          <w:u w:val="none"/>
        </w:rPr>
        <w:t xml:space="preserve"> (Survey of Education and Work data) and BA.</w:t>
      </w:r>
      <w:r w:rsidR="00EE7717" w:rsidRPr="00614108">
        <w:rPr>
          <w:rStyle w:val="DraftingNote"/>
          <w:b w:val="0"/>
          <w:color w:val="auto"/>
          <w:sz w:val="26"/>
          <w:u w:val="none"/>
        </w:rPr>
        <w:t>1</w:t>
      </w:r>
      <w:r w:rsidR="004715A5" w:rsidRPr="00614108">
        <w:rPr>
          <w:rStyle w:val="DraftingNote"/>
          <w:b w:val="0"/>
          <w:color w:val="auto"/>
          <w:sz w:val="26"/>
          <w:u w:val="none"/>
        </w:rPr>
        <w:t>6</w:t>
      </w:r>
      <w:r w:rsidRPr="00614108">
        <w:rPr>
          <w:rStyle w:val="DraftingNote"/>
          <w:b w:val="0"/>
          <w:color w:val="auto"/>
          <w:sz w:val="26"/>
          <w:u w:val="none"/>
        </w:rPr>
        <w:t xml:space="preserve"> (Census data).</w:t>
      </w:r>
    </w:p>
    <w:p w:rsidR="00BC3F69" w:rsidRDefault="00BC3F69">
      <w:pPr>
        <w:rPr>
          <w:szCs w:val="20"/>
        </w:rPr>
      </w:pPr>
      <w:r>
        <w:br w:type="page"/>
      </w:r>
    </w:p>
    <w:p w:rsidR="005209A1" w:rsidRPr="00AE7D31" w:rsidRDefault="005209A1" w:rsidP="005209A1">
      <w:pPr>
        <w:pStyle w:val="BodyText"/>
      </w:pPr>
      <w:r w:rsidRPr="00FF6A19">
        <w:lastRenderedPageBreak/>
        <w:t xml:space="preserve">Nationally in </w:t>
      </w:r>
      <w:r w:rsidR="006E25A9">
        <w:t>2011</w:t>
      </w:r>
      <w:r w:rsidRPr="00FF6A19">
        <w:t>, non</w:t>
      </w:r>
      <w:r w:rsidRPr="00FF6A19">
        <w:noBreakHyphen/>
        <w:t>Indigenous 1</w:t>
      </w:r>
      <w:r w:rsidR="006E25A9">
        <w:t>7</w:t>
      </w:r>
      <w:r w:rsidRPr="00FF6A19">
        <w:t xml:space="preserve">–24 year olds </w:t>
      </w:r>
      <w:r w:rsidR="00A644B6">
        <w:t xml:space="preserve">had higher rates of engagement in </w:t>
      </w:r>
      <w:r w:rsidR="00A644B6" w:rsidRPr="00FF6A19">
        <w:t xml:space="preserve">full time employment, education or training </w:t>
      </w:r>
      <w:r w:rsidR="00A644B6">
        <w:t>(</w:t>
      </w:r>
      <w:r w:rsidR="009C4D5A">
        <w:t>74.0</w:t>
      </w:r>
      <w:r w:rsidR="00A644B6">
        <w:t xml:space="preserve"> per cent) </w:t>
      </w:r>
      <w:r w:rsidRPr="00FF6A19">
        <w:t xml:space="preserve">than Indigenous </w:t>
      </w:r>
      <w:r w:rsidR="00A644B6">
        <w:br/>
      </w:r>
      <w:r w:rsidRPr="00FF6A19">
        <w:t>1</w:t>
      </w:r>
      <w:r w:rsidR="006E25A9">
        <w:t>7</w:t>
      </w:r>
      <w:r w:rsidR="006C2D96">
        <w:t>–24 year olds</w:t>
      </w:r>
      <w:r w:rsidRPr="00FF6A19">
        <w:t xml:space="preserve"> (</w:t>
      </w:r>
      <w:r w:rsidR="009C4D5A">
        <w:t>39.4</w:t>
      </w:r>
      <w:r w:rsidRPr="00FF6A19">
        <w:t> per cent</w:t>
      </w:r>
      <w:r w:rsidR="00A644B6">
        <w:t>)</w:t>
      </w:r>
      <w:r w:rsidRPr="00FF6A19">
        <w:t xml:space="preserve"> (figure </w:t>
      </w:r>
      <w:r w:rsidR="00CA426B">
        <w:t>B.13</w:t>
      </w:r>
      <w:r w:rsidR="00CF64E7" w:rsidRPr="00FF6A19">
        <w:t>).</w:t>
      </w:r>
      <w:r w:rsidR="0002095F">
        <w:t xml:space="preserve"> </w:t>
      </w:r>
    </w:p>
    <w:p w:rsidR="00DA1C7B" w:rsidRPr="00614108" w:rsidRDefault="00DA1C7B" w:rsidP="00DA1C7B">
      <w:pPr>
        <w:pStyle w:val="FigureTitle"/>
      </w:pPr>
      <w:r>
        <w:rPr>
          <w:b w:val="0"/>
        </w:rPr>
        <w:t xml:space="preserve">Figure </w:t>
      </w:r>
      <w:r w:rsidR="00CA426B">
        <w:rPr>
          <w:b w:val="0"/>
        </w:rPr>
        <w:t>B.13</w:t>
      </w:r>
      <w:r>
        <w:tab/>
        <w:t>Proportion of 1</w:t>
      </w:r>
      <w:r w:rsidR="006E25A9">
        <w:t>7</w:t>
      </w:r>
      <w:r>
        <w:rPr>
          <w:rFonts w:cs="Arial"/>
        </w:rPr>
        <w:t>–</w:t>
      </w:r>
      <w:r>
        <w:t xml:space="preserve">24 year olds engaged in full time employment, education or training, by Indigenous status, </w:t>
      </w:r>
      <w:r w:rsidR="00756EE2">
        <w:t>2011</w:t>
      </w:r>
      <w:r w:rsidRPr="005C27FA">
        <w:rPr>
          <w:rStyle w:val="NoteLabel"/>
          <w:b/>
        </w:rPr>
        <w:t>a, b, c, d, e, f, g, h</w:t>
      </w:r>
      <w:r w:rsidRPr="005E2CED">
        <w:rPr>
          <w:rStyle w:val="NoteLabel"/>
          <w:b/>
        </w:rPr>
        <w:t xml:space="preserve">, </w:t>
      </w:r>
      <w:proofErr w:type="spellStart"/>
      <w:r w:rsidR="00AE4653" w:rsidRPr="005E2CED">
        <w:rPr>
          <w:rStyle w:val="NoteLabel"/>
          <w:b/>
        </w:rPr>
        <w:t>i</w:t>
      </w:r>
      <w:proofErr w:type="spellEnd"/>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DA1C7B" w:rsidTr="00731509">
        <w:tc>
          <w:tcPr>
            <w:tcW w:w="8777" w:type="dxa"/>
          </w:tcPr>
          <w:p w:rsidR="00DA1C7B" w:rsidRDefault="00731509" w:rsidP="008F141E">
            <w:pPr>
              <w:pStyle w:val="Figure"/>
            </w:pPr>
            <w:r>
              <w:rPr>
                <w:noProof/>
              </w:rPr>
              <w:drawing>
                <wp:inline distT="0" distB="0" distL="0" distR="0" wp14:anchorId="4F644F0C" wp14:editId="56396722">
                  <wp:extent cx="5400000" cy="2520000"/>
                  <wp:effectExtent l="0" t="0" r="0" b="0"/>
                  <wp:docPr id="22" name="Chart 22" descr="Figure B.13 Proportion of 17-24 year olds engaged in full time employment, education or training, by Indigenous status, 2011&#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c>
      </w:tr>
    </w:tbl>
    <w:p w:rsidR="0024525B" w:rsidRPr="00DF4A0A" w:rsidRDefault="00DA1C7B" w:rsidP="005B1170">
      <w:pPr>
        <w:pStyle w:val="Note"/>
      </w:pPr>
      <w:r w:rsidRPr="00B23BA5">
        <w:rPr>
          <w:rStyle w:val="NoteLabel"/>
        </w:rPr>
        <w:t>a</w:t>
      </w:r>
      <w:r w:rsidRPr="00B23BA5">
        <w:t xml:space="preserve"> </w:t>
      </w:r>
      <w:r w:rsidR="00FC7EF1">
        <w:t xml:space="preserve">People who were identified as studying at a school institution are excluded from the calculation (numerator and denominator). </w:t>
      </w:r>
      <w:r w:rsidR="00FC7EF1" w:rsidRPr="00FC7EF1">
        <w:rPr>
          <w:rStyle w:val="NoteLabel"/>
        </w:rPr>
        <w:t xml:space="preserve">b </w:t>
      </w:r>
      <w:r w:rsidR="00FC7EF1">
        <w:t>The Census does not collect level of current study, but does collect institution attende</w:t>
      </w:r>
      <w:r w:rsidR="00086380">
        <w:t>d</w:t>
      </w:r>
      <w:r w:rsidR="00FC7EF1">
        <w:t xml:space="preserve">, therefore, all people identified as studying (excluding those studying at a school institution) are included in the calculations for this indicator. This may include some people in non-formal education or school level education. </w:t>
      </w:r>
      <w:r w:rsidR="00FC7EF1" w:rsidRPr="00FC7EF1">
        <w:rPr>
          <w:rStyle w:val="NoteLabel"/>
        </w:rPr>
        <w:t xml:space="preserve">c </w:t>
      </w:r>
      <w:r w:rsidR="00FC7EF1">
        <w:t>People whose labour force status was not stated and who were not identified as studying full</w:t>
      </w:r>
      <w:r w:rsidR="00756EE2">
        <w:t xml:space="preserve"> </w:t>
      </w:r>
      <w:r w:rsidR="00FC7EF1">
        <w:t xml:space="preserve">time are excluded. People whose student status was not stated and who were not identified as employed full time are also excluded. </w:t>
      </w:r>
      <w:r w:rsidR="00FC7EF1" w:rsidRPr="00FC7EF1">
        <w:rPr>
          <w:rStyle w:val="NoteLabel"/>
        </w:rPr>
        <w:t xml:space="preserve">d </w:t>
      </w:r>
      <w:r w:rsidR="00FC7EF1">
        <w:t>People who</w:t>
      </w:r>
      <w:r w:rsidR="00756EE2">
        <w:t>se</w:t>
      </w:r>
      <w:r w:rsidR="00FC7EF1">
        <w:t xml:space="preserve"> labour force status could not be determined between full time or part time employed and who were not identified as studying are excluded. People who had stated attending an educational institution (but whose student status was not stated) and who were identified as not employed are excluded. </w:t>
      </w:r>
      <w:r w:rsidR="00FC7EF1" w:rsidRPr="00FC7EF1">
        <w:rPr>
          <w:rStyle w:val="NoteLabel"/>
        </w:rPr>
        <w:t xml:space="preserve">e </w:t>
      </w:r>
      <w:r w:rsidR="00FC7EF1">
        <w:t>People who did not state their labou</w:t>
      </w:r>
      <w:r w:rsidR="00086380">
        <w:t>r</w:t>
      </w:r>
      <w:r w:rsidR="00FC7EF1">
        <w:t xml:space="preserve"> force status and did not state their student status are excluded. </w:t>
      </w:r>
      <w:r w:rsidR="00FC7EF1" w:rsidRPr="00FC7EF1">
        <w:rPr>
          <w:rStyle w:val="NoteLabel"/>
        </w:rPr>
        <w:t xml:space="preserve">f </w:t>
      </w:r>
      <w:r w:rsidR="00FC7EF1">
        <w:t xml:space="preserve">Australia </w:t>
      </w:r>
      <w:r w:rsidR="00FC7EF1" w:rsidRPr="00756EE2">
        <w:t>include</w:t>
      </w:r>
      <w:r w:rsidR="00756EE2" w:rsidRPr="00756EE2">
        <w:t>s</w:t>
      </w:r>
      <w:r w:rsidR="00FC7EF1" w:rsidRPr="00756EE2">
        <w:t xml:space="preserve"> ‘Other territories’. </w:t>
      </w:r>
      <w:r w:rsidR="00FC7EF1" w:rsidRPr="00756EE2">
        <w:rPr>
          <w:rStyle w:val="NoteLabel"/>
        </w:rPr>
        <w:t xml:space="preserve">g </w:t>
      </w:r>
      <w:r w:rsidR="00FC7EF1" w:rsidRPr="00756EE2">
        <w:t>Exclude</w:t>
      </w:r>
      <w:r w:rsidR="00756EE2" w:rsidRPr="00756EE2">
        <w:t>s</w:t>
      </w:r>
      <w:r w:rsidR="00FC7EF1" w:rsidRPr="00756EE2">
        <w:t xml:space="preserve"> people who did not state their Indigenous status. </w:t>
      </w:r>
      <w:r w:rsidR="00086380" w:rsidRPr="00756EE2">
        <w:rPr>
          <w:rStyle w:val="NoteLabel"/>
        </w:rPr>
        <w:t>h</w:t>
      </w:r>
      <w:r w:rsidR="00756EE2" w:rsidRPr="00756EE2">
        <w:t> </w:t>
      </w:r>
      <w:r w:rsidR="00FC7EF1" w:rsidRPr="00756EE2">
        <w:t>People who were engaged in a combination of education or training and employment but who</w:t>
      </w:r>
      <w:r w:rsidR="00756EE2" w:rsidRPr="00756EE2">
        <w:t>se</w:t>
      </w:r>
      <w:r w:rsidR="00FC7EF1" w:rsidRPr="00756EE2">
        <w:t xml:space="preserve"> full time/part time student status or their full time/part time employment status was not identified are included in ‘Total Fully Engaged’. </w:t>
      </w:r>
      <w:proofErr w:type="spellStart"/>
      <w:r w:rsidR="00086380" w:rsidRPr="00756EE2">
        <w:rPr>
          <w:rStyle w:val="NoteLabel"/>
        </w:rPr>
        <w:t>i</w:t>
      </w:r>
      <w:proofErr w:type="spellEnd"/>
      <w:r w:rsidR="00B22C32" w:rsidRPr="00756EE2">
        <w:rPr>
          <w:rStyle w:val="NoteLabel"/>
        </w:rPr>
        <w:t xml:space="preserve"> </w:t>
      </w:r>
      <w:r w:rsidR="00B22C32" w:rsidRPr="00756EE2">
        <w:t xml:space="preserve">While there are no sampling data quality issues associated with Census data (for example, confidence intervals), there are other forms of non-sampling data quality issues </w:t>
      </w:r>
      <w:r w:rsidR="00995CB8" w:rsidRPr="00756EE2">
        <w:t xml:space="preserve">such as undercounting </w:t>
      </w:r>
      <w:r w:rsidR="00B22C32" w:rsidRPr="00756EE2">
        <w:t>that need to be taken into account when interpreting data.</w:t>
      </w:r>
    </w:p>
    <w:p w:rsidR="00DA1C7B" w:rsidRPr="00FF6A19" w:rsidRDefault="00DA1C7B" w:rsidP="00DA1C7B">
      <w:pPr>
        <w:pStyle w:val="Source"/>
        <w:rPr>
          <w:b/>
        </w:rPr>
      </w:pPr>
      <w:r>
        <w:rPr>
          <w:i/>
        </w:rPr>
        <w:t>Source</w:t>
      </w:r>
      <w:r w:rsidRPr="00167F06">
        <w:t xml:space="preserve">: </w:t>
      </w:r>
      <w:r w:rsidRPr="00752ECC">
        <w:t xml:space="preserve">ABS </w:t>
      </w:r>
      <w:r>
        <w:t>(</w:t>
      </w:r>
      <w:r w:rsidRPr="00FF6A19">
        <w:t xml:space="preserve">unpublished) </w:t>
      </w:r>
      <w:r w:rsidR="006E25A9">
        <w:rPr>
          <w:i/>
        </w:rPr>
        <w:t>2011 Census of Population and Housing</w:t>
      </w:r>
      <w:r w:rsidR="00657B66">
        <w:t>; table BA.2</w:t>
      </w:r>
      <w:r w:rsidR="004715A5">
        <w:t>6</w:t>
      </w:r>
      <w:r w:rsidRPr="00FF6A19">
        <w:t>.</w:t>
      </w:r>
    </w:p>
    <w:p w:rsidR="003E0B85" w:rsidRPr="00FF6A19" w:rsidRDefault="003E0B85" w:rsidP="003E0B85">
      <w:pPr>
        <w:pStyle w:val="BodyText"/>
      </w:pPr>
      <w:r w:rsidRPr="00FF6A19">
        <w:t>Data on participation in full time employment, education or training</w:t>
      </w:r>
      <w:r w:rsidR="00C372C5" w:rsidRPr="00FF6A19">
        <w:t xml:space="preserve"> and participation in full time employment, education or training </w:t>
      </w:r>
      <w:r w:rsidR="000825E9">
        <w:t xml:space="preserve">at all levels and </w:t>
      </w:r>
      <w:r w:rsidR="008F4839">
        <w:t>at C</w:t>
      </w:r>
      <w:r w:rsidR="00C372C5" w:rsidRPr="00FF6A19">
        <w:t xml:space="preserve">ertificate level III or above are presented </w:t>
      </w:r>
      <w:r w:rsidRPr="00FF6A19">
        <w:t>by</w:t>
      </w:r>
      <w:r w:rsidR="004C4AB9">
        <w:t xml:space="preserve"> socio</w:t>
      </w:r>
      <w:r w:rsidRPr="00FF6A19">
        <w:t xml:space="preserve">economic status, </w:t>
      </w:r>
      <w:r w:rsidR="00CF64E7" w:rsidRPr="00FF6A19">
        <w:t>in table</w:t>
      </w:r>
      <w:r w:rsidR="00835F7A">
        <w:t>s</w:t>
      </w:r>
      <w:r w:rsidR="00657B66">
        <w:t xml:space="preserve"> BA.2</w:t>
      </w:r>
      <w:r w:rsidR="004715A5">
        <w:t>7</w:t>
      </w:r>
      <w:r w:rsidR="00657B66">
        <w:t xml:space="preserve"> and BA.2</w:t>
      </w:r>
      <w:r w:rsidR="004715A5">
        <w:t>8</w:t>
      </w:r>
      <w:r w:rsidRPr="00FF6A19">
        <w:t>.</w:t>
      </w:r>
    </w:p>
    <w:p w:rsidR="00B10673" w:rsidRDefault="00B10673">
      <w:pPr>
        <w:rPr>
          <w:rFonts w:ascii="Arial" w:hAnsi="Arial"/>
          <w:i/>
          <w:sz w:val="24"/>
          <w:szCs w:val="20"/>
        </w:rPr>
      </w:pPr>
      <w:r>
        <w:br w:type="page"/>
      </w:r>
    </w:p>
    <w:p w:rsidR="00207ABE" w:rsidRDefault="00207ABE" w:rsidP="00B10673">
      <w:pPr>
        <w:pStyle w:val="Heading4"/>
        <w:keepNext w:val="0"/>
        <w:widowControl w:val="0"/>
      </w:pPr>
      <w:r w:rsidRPr="00FF6A19">
        <w:lastRenderedPageBreak/>
        <w:t>Attainment</w:t>
      </w:r>
    </w:p>
    <w:p w:rsidR="00207ABE" w:rsidRDefault="00207ABE" w:rsidP="00B10673">
      <w:pPr>
        <w:pStyle w:val="BodyText"/>
        <w:widowControl w:val="0"/>
      </w:pPr>
      <w:r>
        <w:t>‘Attainment’ is a</w:t>
      </w:r>
      <w:r w:rsidR="00A871B3">
        <w:t>n</w:t>
      </w:r>
      <w:r>
        <w:t xml:space="preserve"> indicator o</w:t>
      </w:r>
      <w:r w:rsidR="00AC6F00">
        <w:t>f</w:t>
      </w:r>
      <w:r>
        <w:t xml:space="preserve"> governments</w:t>
      </w:r>
      <w:r w:rsidR="00540202">
        <w:t>’ objective</w:t>
      </w:r>
      <w:r w:rsidR="00AC6F00">
        <w:t xml:space="preserve"> for people to possess adequate skills to enable them to contribute to society and the economy </w:t>
      </w:r>
      <w:r w:rsidR="00540202">
        <w:t>(b</w:t>
      </w:r>
      <w:r>
        <w:t xml:space="preserve">ox </w:t>
      </w:r>
      <w:r w:rsidR="00A646DF">
        <w:t>B.8</w:t>
      </w:r>
      <w:r>
        <w:t>)</w:t>
      </w:r>
      <w:r w:rsidR="00AC6F00">
        <w:t>.</w:t>
      </w:r>
    </w:p>
    <w:p w:rsidR="004D092F" w:rsidRDefault="004D092F" w:rsidP="00B10673">
      <w:pPr>
        <w:pStyle w:val="BoxSpace"/>
        <w:keepNext w:val="0"/>
        <w:widowControl w:val="0"/>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D092F">
        <w:tc>
          <w:tcPr>
            <w:tcW w:w="8771" w:type="dxa"/>
            <w:tcBorders>
              <w:top w:val="single" w:sz="6" w:space="0" w:color="auto"/>
              <w:bottom w:val="nil"/>
            </w:tcBorders>
          </w:tcPr>
          <w:p w:rsidR="004D092F" w:rsidRDefault="004D092F" w:rsidP="00B10673">
            <w:pPr>
              <w:pStyle w:val="BoxTitle"/>
              <w:keepNext w:val="0"/>
              <w:keepLines w:val="0"/>
              <w:widowControl w:val="0"/>
            </w:pPr>
            <w:r>
              <w:rPr>
                <w:b w:val="0"/>
              </w:rPr>
              <w:t xml:space="preserve">Box </w:t>
            </w:r>
            <w:bookmarkStart w:id="13" w:name="OLE_LINK24"/>
            <w:r w:rsidR="00891AAF">
              <w:rPr>
                <w:b w:val="0"/>
              </w:rPr>
              <w:t>B.</w:t>
            </w:r>
            <w:bookmarkEnd w:id="13"/>
            <w:r w:rsidR="009B3C83">
              <w:rPr>
                <w:b w:val="0"/>
              </w:rPr>
              <w:t>8</w:t>
            </w:r>
            <w:r>
              <w:tab/>
              <w:t>Attainment</w:t>
            </w:r>
          </w:p>
        </w:tc>
      </w:tr>
      <w:tr w:rsidR="004D092F" w:rsidRPr="001F2D7B">
        <w:trPr>
          <w:cantSplit/>
        </w:trPr>
        <w:tc>
          <w:tcPr>
            <w:tcW w:w="8771" w:type="dxa"/>
            <w:tcBorders>
              <w:top w:val="nil"/>
              <w:left w:val="single" w:sz="6" w:space="0" w:color="auto"/>
              <w:bottom w:val="nil"/>
              <w:right w:val="single" w:sz="6" w:space="0" w:color="auto"/>
            </w:tcBorders>
          </w:tcPr>
          <w:p w:rsidR="004D092F" w:rsidRPr="001F2D7B" w:rsidRDefault="004D092F" w:rsidP="00B10673">
            <w:pPr>
              <w:pStyle w:val="Box"/>
              <w:keepNext w:val="0"/>
              <w:widowControl w:val="0"/>
            </w:pPr>
            <w:r w:rsidRPr="001F2D7B">
              <w:t xml:space="preserve">Attainment is defined </w:t>
            </w:r>
            <w:r w:rsidR="008E2CC2" w:rsidRPr="001F2D7B">
              <w:t xml:space="preserve">by </w:t>
            </w:r>
            <w:r w:rsidR="00075A4E" w:rsidRPr="001F2D7B">
              <w:t>five</w:t>
            </w:r>
            <w:r w:rsidR="006E2877" w:rsidRPr="001F2D7B">
              <w:t xml:space="preserve"> </w:t>
            </w:r>
            <w:r w:rsidRPr="001F2D7B">
              <w:t>measures</w:t>
            </w:r>
            <w:r w:rsidR="008E2CC2" w:rsidRPr="001F2D7B">
              <w:t>:</w:t>
            </w:r>
          </w:p>
          <w:p w:rsidR="004D092F" w:rsidRPr="001F2D7B" w:rsidRDefault="00F179FC" w:rsidP="00B10673">
            <w:pPr>
              <w:pStyle w:val="BoxListBullet"/>
              <w:keepNext w:val="0"/>
              <w:widowControl w:val="0"/>
              <w:rPr>
                <w:b/>
                <w:sz w:val="20"/>
              </w:rPr>
            </w:pPr>
            <w:r w:rsidRPr="001F2D7B">
              <w:t>‘L</w:t>
            </w:r>
            <w:r w:rsidR="004D092F" w:rsidRPr="001F2D7B">
              <w:t xml:space="preserve">evel of </w:t>
            </w:r>
            <w:r w:rsidR="00C648D7" w:rsidRPr="001F2D7B">
              <w:t>highest qualification completed</w:t>
            </w:r>
            <w:r w:rsidRPr="001F2D7B">
              <w:t>’</w:t>
            </w:r>
            <w:r w:rsidR="006E2456" w:rsidRPr="001F2D7B">
              <w:t>, defined as the level of highest qualification completed of the working age population.</w:t>
            </w:r>
          </w:p>
          <w:p w:rsidR="00933151" w:rsidRPr="001F2D7B" w:rsidRDefault="00F179FC" w:rsidP="00B10673">
            <w:pPr>
              <w:pStyle w:val="BoxListBullet"/>
              <w:keepNext w:val="0"/>
              <w:widowControl w:val="0"/>
            </w:pPr>
            <w:r w:rsidRPr="001F2D7B">
              <w:t>‘C</w:t>
            </w:r>
            <w:r w:rsidR="004D092F" w:rsidRPr="001F2D7B">
              <w:t xml:space="preserve">ompletion of year 12 or equivalent, or </w:t>
            </w:r>
            <w:r w:rsidR="008F4839" w:rsidRPr="001F2D7B">
              <w:t>C</w:t>
            </w:r>
            <w:r w:rsidR="004D092F" w:rsidRPr="001F2D7B">
              <w:t>ertificate level I</w:t>
            </w:r>
            <w:r w:rsidR="006E2877" w:rsidRPr="001F2D7B">
              <w:t>I or above</w:t>
            </w:r>
            <w:r w:rsidRPr="001F2D7B">
              <w:t>’</w:t>
            </w:r>
            <w:r w:rsidR="00933151" w:rsidRPr="001F2D7B">
              <w:t xml:space="preserve">, defined as the proportion of population completing year 12 or equivalent, or </w:t>
            </w:r>
            <w:r w:rsidR="008F4839" w:rsidRPr="001F2D7B">
              <w:t>C</w:t>
            </w:r>
            <w:r w:rsidR="00933151" w:rsidRPr="001F2D7B">
              <w:t>ertificate II or above (by Indigenous status)</w:t>
            </w:r>
            <w:r w:rsidR="00440B96" w:rsidRPr="001F2D7B">
              <w:t>.</w:t>
            </w:r>
          </w:p>
          <w:p w:rsidR="006E2456" w:rsidRPr="001F2D7B" w:rsidRDefault="00F179FC" w:rsidP="00B10673">
            <w:pPr>
              <w:pStyle w:val="BoxListBullet"/>
              <w:keepNext w:val="0"/>
              <w:widowControl w:val="0"/>
              <w:rPr>
                <w:b/>
              </w:rPr>
            </w:pPr>
            <w:r w:rsidRPr="001F2D7B">
              <w:t>‘C</w:t>
            </w:r>
            <w:r w:rsidR="006E2877" w:rsidRPr="001F2D7B">
              <w:t xml:space="preserve">ompletion of year 12 or equivalent, or </w:t>
            </w:r>
            <w:r w:rsidR="008F4839" w:rsidRPr="001F2D7B">
              <w:t>C</w:t>
            </w:r>
            <w:r w:rsidR="006E2877" w:rsidRPr="001F2D7B">
              <w:t>ertificate III or above</w:t>
            </w:r>
            <w:r w:rsidRPr="001F2D7B">
              <w:t>’,</w:t>
            </w:r>
            <w:r w:rsidR="00933151" w:rsidRPr="001F2D7B">
              <w:t xml:space="preserve"> defined as the proportion of population completing year 12 or equivalent, or </w:t>
            </w:r>
            <w:r w:rsidR="008F4839" w:rsidRPr="001F2D7B">
              <w:t>C</w:t>
            </w:r>
            <w:r w:rsidR="006E2456" w:rsidRPr="001F2D7B">
              <w:t>ertificate level III or above.</w:t>
            </w:r>
          </w:p>
          <w:p w:rsidR="004D092F" w:rsidRPr="001F2D7B" w:rsidRDefault="00F179FC" w:rsidP="00B10673">
            <w:pPr>
              <w:pStyle w:val="BoxListBullet"/>
              <w:keepNext w:val="0"/>
              <w:widowControl w:val="0"/>
              <w:rPr>
                <w:b/>
              </w:rPr>
            </w:pPr>
            <w:r w:rsidRPr="001F2D7B">
              <w:t>‘</w:t>
            </w:r>
            <w:r w:rsidR="00A420DC" w:rsidRPr="001F2D7B">
              <w:t xml:space="preserve">Population who have qualifications at </w:t>
            </w:r>
            <w:r w:rsidR="008F4839" w:rsidRPr="001F2D7B">
              <w:t>C</w:t>
            </w:r>
            <w:r w:rsidR="00A420DC" w:rsidRPr="001F2D7B">
              <w:t>ertificate level III or above</w:t>
            </w:r>
            <w:r w:rsidRPr="001F2D7B">
              <w:t>’</w:t>
            </w:r>
            <w:r w:rsidR="00A420DC" w:rsidRPr="001F2D7B">
              <w:t xml:space="preserve">, defined as </w:t>
            </w:r>
            <w:r w:rsidR="006E2456" w:rsidRPr="001F2D7B">
              <w:t xml:space="preserve">the proportion of 20-64 year olds who have qualifications at or above </w:t>
            </w:r>
            <w:r w:rsidR="008F4839" w:rsidRPr="001F2D7B">
              <w:t>C</w:t>
            </w:r>
            <w:r w:rsidR="006E2456" w:rsidRPr="001F2D7B">
              <w:t xml:space="preserve">ertificate III. This measure is </w:t>
            </w:r>
            <w:r w:rsidR="00C32F7D" w:rsidRPr="001F2D7B">
              <w:t xml:space="preserve">also </w:t>
            </w:r>
            <w:r w:rsidR="006E2456" w:rsidRPr="001F2D7B">
              <w:t>reported by Indigenous status.</w:t>
            </w:r>
          </w:p>
          <w:p w:rsidR="004D092F" w:rsidRPr="001F2D7B" w:rsidRDefault="00F179FC" w:rsidP="00B10673">
            <w:pPr>
              <w:pStyle w:val="BoxListBullet"/>
              <w:keepNext w:val="0"/>
              <w:widowControl w:val="0"/>
            </w:pPr>
            <w:r w:rsidRPr="001F2D7B">
              <w:t>‘A</w:t>
            </w:r>
            <w:r w:rsidR="004D092F" w:rsidRPr="001F2D7B">
              <w:t xml:space="preserve">chievement </w:t>
            </w:r>
            <w:r w:rsidR="00642EB8" w:rsidRPr="001F2D7B">
              <w:t>of foundation skills (literacy and numeracy)’</w:t>
            </w:r>
            <w:r w:rsidR="00995CB8" w:rsidRPr="001F2D7B">
              <w:t xml:space="preserve"> defined as </w:t>
            </w:r>
            <w:r w:rsidR="00464C24" w:rsidRPr="001F2D7B">
              <w:t>the proporti</w:t>
            </w:r>
            <w:r w:rsidR="00DE4896" w:rsidRPr="001F2D7B">
              <w:t xml:space="preserve">on of adults achieving literacy, </w:t>
            </w:r>
            <w:r w:rsidR="00464C24" w:rsidRPr="001F2D7B">
              <w:t xml:space="preserve">numeracy </w:t>
            </w:r>
            <w:r w:rsidR="00DE4896" w:rsidRPr="001F2D7B">
              <w:t xml:space="preserve">and technology </w:t>
            </w:r>
            <w:r w:rsidR="00464C24" w:rsidRPr="001F2D7B">
              <w:t xml:space="preserve">competencies according to the </w:t>
            </w:r>
            <w:proofErr w:type="spellStart"/>
            <w:r w:rsidR="00464C24" w:rsidRPr="001F2D7B">
              <w:t>Programme</w:t>
            </w:r>
            <w:proofErr w:type="spellEnd"/>
            <w:r w:rsidR="00464C24" w:rsidRPr="001F2D7B">
              <w:t xml:space="preserve"> for the International Assessment of Adult Competencies</w:t>
            </w:r>
            <w:r w:rsidR="00D60DD8" w:rsidRPr="001F2D7B">
              <w:t>.</w:t>
            </w:r>
          </w:p>
          <w:p w:rsidR="00CF64E7" w:rsidRPr="001F2D7B" w:rsidRDefault="00EB30A9" w:rsidP="00B10673">
            <w:pPr>
              <w:pStyle w:val="Box"/>
              <w:keepNext w:val="0"/>
              <w:widowControl w:val="0"/>
            </w:pPr>
            <w:r w:rsidRPr="001F2D7B">
              <w:t>An important objective of the education system is to add to the skill base of the population, with the benefits of improving employment, worker pr</w:t>
            </w:r>
            <w:r w:rsidR="00C95F63" w:rsidRPr="001F2D7B">
              <w:t>oductivity and economic growth.</w:t>
            </w:r>
          </w:p>
          <w:p w:rsidR="00540390" w:rsidRPr="001F2D7B" w:rsidRDefault="00EB30A9" w:rsidP="00B10673">
            <w:pPr>
              <w:pStyle w:val="Box"/>
              <w:keepNext w:val="0"/>
              <w:widowControl w:val="0"/>
            </w:pPr>
            <w:r w:rsidRPr="001F2D7B">
              <w:t>Educational attainment is used as a proxy ind</w:t>
            </w:r>
            <w:r w:rsidR="00CF64E7" w:rsidRPr="001F2D7B">
              <w:t xml:space="preserve">icator for the stock of skills. </w:t>
            </w:r>
            <w:r w:rsidR="00540390" w:rsidRPr="001F2D7B">
              <w:t>Holding other factors constant, a higher or increasing attainment level indicates an improvement in educational outcomes.</w:t>
            </w:r>
          </w:p>
          <w:p w:rsidR="00554FAD" w:rsidRPr="001F2D7B" w:rsidRDefault="00540390" w:rsidP="00B10673">
            <w:pPr>
              <w:pStyle w:val="Box"/>
              <w:keepNext w:val="0"/>
              <w:widowControl w:val="0"/>
            </w:pPr>
            <w:r w:rsidRPr="001F2D7B">
              <w:t>However</w:t>
            </w:r>
            <w:r w:rsidR="00F179FC" w:rsidRPr="001F2D7B">
              <w:t>,</w:t>
            </w:r>
            <w:r w:rsidRPr="001F2D7B">
              <w:t xml:space="preserve"> attainment should be interpreted with caution</w:t>
            </w:r>
            <w:r w:rsidR="00F179FC" w:rsidRPr="001F2D7B">
              <w:t>. I</w:t>
            </w:r>
            <w:r w:rsidRPr="001F2D7B">
              <w:t xml:space="preserve">t </w:t>
            </w:r>
            <w:r w:rsidR="00EB30A9" w:rsidRPr="001F2D7B">
              <w:t xml:space="preserve">understates the skill base because it does not capture skills acquired through partially completed courses, courses not leading to a formal qualification, or </w:t>
            </w:r>
            <w:r w:rsidR="00CF64E7" w:rsidRPr="001F2D7B">
              <w:t xml:space="preserve">informal learning (including </w:t>
            </w:r>
            <w:r w:rsidR="00EB30A9" w:rsidRPr="001F2D7B">
              <w:t>training and experience gained at work</w:t>
            </w:r>
            <w:r w:rsidR="00CF64E7" w:rsidRPr="001F2D7B">
              <w:t>)</w:t>
            </w:r>
            <w:r w:rsidR="008E2CC2" w:rsidRPr="001F2D7B">
              <w:t>.</w:t>
            </w:r>
            <w:r w:rsidR="00B91349" w:rsidRPr="001F2D7B">
              <w:t xml:space="preserve"> Industry endorsed skill sets are </w:t>
            </w:r>
            <w:r w:rsidR="00054B2A" w:rsidRPr="001F2D7B">
              <w:t xml:space="preserve">also </w:t>
            </w:r>
            <w:r w:rsidR="00B91349" w:rsidRPr="001F2D7B">
              <w:t xml:space="preserve">an important </w:t>
            </w:r>
            <w:r w:rsidR="00054B2A" w:rsidRPr="001F2D7B">
              <w:t xml:space="preserve">consideration for industry </w:t>
            </w:r>
            <w:r w:rsidR="00075A4E" w:rsidRPr="001F2D7B">
              <w:t xml:space="preserve">in course design. Skill sets </w:t>
            </w:r>
            <w:r w:rsidR="00054B2A" w:rsidRPr="001F2D7B">
              <w:t xml:space="preserve">recognise part qualifications and groups of competencies, </w:t>
            </w:r>
            <w:r w:rsidR="00F179FC" w:rsidRPr="001F2D7B">
              <w:t xml:space="preserve">but </w:t>
            </w:r>
            <w:r w:rsidR="00F30EDF" w:rsidRPr="001F2D7B">
              <w:t xml:space="preserve">data </w:t>
            </w:r>
            <w:r w:rsidR="00075A4E" w:rsidRPr="001F2D7B">
              <w:t xml:space="preserve">on skill sets </w:t>
            </w:r>
            <w:r w:rsidR="00F30EDF" w:rsidRPr="001F2D7B">
              <w:t xml:space="preserve">are not </w:t>
            </w:r>
            <w:r w:rsidR="00F179FC" w:rsidRPr="001F2D7B">
              <w:t>available for</w:t>
            </w:r>
            <w:r w:rsidR="00075A4E" w:rsidRPr="001F2D7B">
              <w:t xml:space="preserve"> this Report</w:t>
            </w:r>
            <w:r w:rsidR="00F30EDF" w:rsidRPr="001F2D7B">
              <w:t>.</w:t>
            </w:r>
          </w:p>
          <w:p w:rsidR="00464C24" w:rsidRPr="001F2D7B" w:rsidRDefault="00464C24" w:rsidP="00B10673">
            <w:pPr>
              <w:pStyle w:val="Box"/>
              <w:keepNext w:val="0"/>
              <w:widowControl w:val="0"/>
            </w:pPr>
            <w:r w:rsidRPr="001F2D7B">
              <w:t>Data reported for these measures are:</w:t>
            </w:r>
          </w:p>
          <w:p w:rsidR="00464C24" w:rsidRPr="001F2D7B" w:rsidRDefault="00464C24" w:rsidP="00B10673">
            <w:pPr>
              <w:pStyle w:val="BoxListBullet"/>
              <w:keepNext w:val="0"/>
              <w:widowControl w:val="0"/>
            </w:pPr>
            <w:r w:rsidRPr="001F2D7B">
              <w:t>comparable (subject to caveats) within jurisdictions over</w:t>
            </w:r>
            <w:r w:rsidR="00BC3F69" w:rsidRPr="001F2D7B">
              <w:t xml:space="preserve"> </w:t>
            </w:r>
            <w:r w:rsidRPr="001F2D7B">
              <w:t>time and across jurisdictions</w:t>
            </w:r>
          </w:p>
          <w:p w:rsidR="00464C24" w:rsidRPr="001F2D7B" w:rsidRDefault="00464C24" w:rsidP="00B10673">
            <w:pPr>
              <w:pStyle w:val="BoxListBullet"/>
              <w:keepNext w:val="0"/>
              <w:widowControl w:val="0"/>
            </w:pPr>
            <w:r w:rsidRPr="001F2D7B">
              <w:t xml:space="preserve">complete (subject to caveats) for the current reporting period. All required data are available for all jurisdictions. </w:t>
            </w:r>
          </w:p>
          <w:p w:rsidR="00F12A4D" w:rsidRPr="001F2D7B" w:rsidRDefault="00F12A4D" w:rsidP="00B10673">
            <w:pPr>
              <w:pStyle w:val="Box"/>
              <w:keepNext w:val="0"/>
              <w:widowControl w:val="0"/>
            </w:pPr>
            <w:r w:rsidRPr="001F2D7B">
              <w:t xml:space="preserve">Data quality information </w:t>
            </w:r>
            <w:r w:rsidR="00440B96" w:rsidRPr="001F2D7B">
              <w:t xml:space="preserve">for </w:t>
            </w:r>
            <w:r w:rsidRPr="001F2D7B">
              <w:t xml:space="preserve">this indicator is at </w:t>
            </w:r>
            <w:proofErr w:type="spellStart"/>
            <w:r w:rsidRPr="001F2D7B">
              <w:t>www.pc.gov.au</w:t>
            </w:r>
            <w:proofErr w:type="spellEnd"/>
            <w:r w:rsidRPr="001F2D7B">
              <w:t>/</w:t>
            </w:r>
            <w:proofErr w:type="spellStart"/>
            <w:r w:rsidRPr="001F2D7B">
              <w:t>gsp</w:t>
            </w:r>
            <w:proofErr w:type="spellEnd"/>
            <w:r w:rsidRPr="001F2D7B">
              <w:t>/reports/</w:t>
            </w:r>
            <w:proofErr w:type="spellStart"/>
            <w:r w:rsidRPr="001F2D7B">
              <w:t>rogs</w:t>
            </w:r>
            <w:proofErr w:type="spellEnd"/>
            <w:r w:rsidRPr="001F2D7B">
              <w:t>/201</w:t>
            </w:r>
            <w:r w:rsidR="00B74926" w:rsidRPr="001F2D7B">
              <w:t>4</w:t>
            </w:r>
            <w:r w:rsidRPr="001F2D7B">
              <w:t xml:space="preserve">. </w:t>
            </w:r>
          </w:p>
        </w:tc>
      </w:tr>
      <w:tr w:rsidR="004D092F" w:rsidRPr="001F2D7B">
        <w:trPr>
          <w:cantSplit/>
        </w:trPr>
        <w:tc>
          <w:tcPr>
            <w:tcW w:w="8771" w:type="dxa"/>
            <w:tcBorders>
              <w:top w:val="nil"/>
              <w:left w:val="single" w:sz="6" w:space="0" w:color="auto"/>
              <w:bottom w:val="single" w:sz="6" w:space="0" w:color="auto"/>
              <w:right w:val="single" w:sz="6" w:space="0" w:color="auto"/>
            </w:tcBorders>
          </w:tcPr>
          <w:p w:rsidR="004D092F" w:rsidRPr="001F2D7B" w:rsidRDefault="004D092F" w:rsidP="00B10673">
            <w:pPr>
              <w:pStyle w:val="Box"/>
              <w:keepNext w:val="0"/>
              <w:widowControl w:val="0"/>
              <w:spacing w:before="0" w:line="120" w:lineRule="exact"/>
            </w:pPr>
          </w:p>
        </w:tc>
      </w:tr>
    </w:tbl>
    <w:p w:rsidR="00EB30A9" w:rsidRPr="001F2D7B" w:rsidRDefault="00EB30A9" w:rsidP="00B10673">
      <w:pPr>
        <w:pStyle w:val="Heading5"/>
        <w:keepNext w:val="0"/>
        <w:widowControl w:val="0"/>
        <w:rPr>
          <w:rStyle w:val="DraftingNote"/>
          <w:b w:val="0"/>
          <w:color w:val="auto"/>
          <w:sz w:val="26"/>
          <w:u w:val="none"/>
        </w:rPr>
      </w:pPr>
      <w:r w:rsidRPr="001F2D7B">
        <w:rPr>
          <w:rStyle w:val="DraftingNote"/>
          <w:b w:val="0"/>
          <w:color w:val="auto"/>
          <w:sz w:val="26"/>
          <w:u w:val="none"/>
        </w:rPr>
        <w:lastRenderedPageBreak/>
        <w:t>Level of highest qualification completed</w:t>
      </w:r>
    </w:p>
    <w:p w:rsidR="00207ABE" w:rsidRPr="00223019" w:rsidRDefault="002F003B" w:rsidP="00B10673">
      <w:pPr>
        <w:pStyle w:val="BodyText"/>
        <w:widowControl w:val="0"/>
        <w:rPr>
          <w:b/>
        </w:rPr>
      </w:pPr>
      <w:r w:rsidRPr="001F2D7B">
        <w:t>In 201</w:t>
      </w:r>
      <w:r w:rsidR="00874E5C" w:rsidRPr="001F2D7B">
        <w:t>2</w:t>
      </w:r>
      <w:r w:rsidR="00281E24" w:rsidRPr="001F2D7B">
        <w:t>,</w:t>
      </w:r>
      <w:r w:rsidR="00EB0484" w:rsidRPr="001F2D7B">
        <w:t xml:space="preserve"> </w:t>
      </w:r>
      <w:r w:rsidR="00C52A14" w:rsidRPr="001F2D7B">
        <w:t>58.8</w:t>
      </w:r>
      <w:r w:rsidR="00C95F63" w:rsidRPr="001F2D7B">
        <w:t xml:space="preserve"> per cent of people aged 15</w:t>
      </w:r>
      <w:r w:rsidR="00F179FC" w:rsidRPr="001F2D7B">
        <w:t>–</w:t>
      </w:r>
      <w:r w:rsidR="00C95F63" w:rsidRPr="001F2D7B">
        <w:t>64 years</w:t>
      </w:r>
      <w:r w:rsidR="009179CC" w:rsidRPr="001F2D7B">
        <w:t xml:space="preserve"> had a non-school qualif</w:t>
      </w:r>
      <w:r w:rsidR="00EB0484" w:rsidRPr="001F2D7B">
        <w:t>ication and</w:t>
      </w:r>
      <w:r w:rsidR="00F179FC" w:rsidRPr="001F2D7B">
        <w:t>,</w:t>
      </w:r>
      <w:r w:rsidR="00EB0484" w:rsidRPr="001F2D7B">
        <w:t xml:space="preserve"> of these people</w:t>
      </w:r>
      <w:r w:rsidR="00F179FC" w:rsidRPr="001F2D7B">
        <w:t>,</w:t>
      </w:r>
      <w:r w:rsidR="00EB0484" w:rsidRPr="001F2D7B">
        <w:t xml:space="preserve"> </w:t>
      </w:r>
      <w:r w:rsidR="00C52A14" w:rsidRPr="001F2D7B">
        <w:t>35.4</w:t>
      </w:r>
      <w:r w:rsidR="009179CC" w:rsidRPr="001F2D7B">
        <w:t xml:space="preserve"> per cent had </w:t>
      </w:r>
      <w:r w:rsidR="00995CB8" w:rsidRPr="001F2D7B">
        <w:t>a</w:t>
      </w:r>
      <w:r w:rsidR="00DE4896" w:rsidRPr="001F2D7B">
        <w:t xml:space="preserve"> </w:t>
      </w:r>
      <w:r w:rsidR="005D527E" w:rsidRPr="001F2D7B">
        <w:t>D</w:t>
      </w:r>
      <w:r w:rsidR="00995CB8" w:rsidRPr="001F2D7B">
        <w:t>iploma/</w:t>
      </w:r>
      <w:r w:rsidR="005D527E" w:rsidRPr="001F2D7B">
        <w:t>A</w:t>
      </w:r>
      <w:r w:rsidR="00DE4896" w:rsidRPr="001F2D7B">
        <w:t xml:space="preserve">dvanced </w:t>
      </w:r>
      <w:r w:rsidR="005D527E" w:rsidRPr="001F2D7B">
        <w:t>D</w:t>
      </w:r>
      <w:r w:rsidR="00995CB8" w:rsidRPr="001F2D7B">
        <w:t>iploma or</w:t>
      </w:r>
      <w:r w:rsidR="00EB0484" w:rsidRPr="001F2D7B">
        <w:t xml:space="preserve"> </w:t>
      </w:r>
      <w:r w:rsidR="009179CC" w:rsidRPr="001F2D7B">
        <w:t xml:space="preserve">bachelor degree </w:t>
      </w:r>
      <w:r w:rsidR="00EB0484" w:rsidRPr="001F2D7B">
        <w:t xml:space="preserve">or higher </w:t>
      </w:r>
      <w:r w:rsidR="009179CC" w:rsidRPr="001F2D7B">
        <w:t xml:space="preserve">as their highest non-school qualification (figure </w:t>
      </w:r>
      <w:r w:rsidR="00CA426B" w:rsidRPr="001F2D7B">
        <w:t>B.14</w:t>
      </w:r>
      <w:r w:rsidR="009179CC" w:rsidRPr="001F2D7B">
        <w:t>)</w:t>
      </w:r>
      <w:r w:rsidR="00CF64E7" w:rsidRPr="001F2D7B">
        <w:t>.</w:t>
      </w:r>
    </w:p>
    <w:p w:rsidR="004D092F" w:rsidRPr="00E82A41" w:rsidRDefault="004D092F">
      <w:pPr>
        <w:pStyle w:val="FigureTitle"/>
      </w:pPr>
      <w:r>
        <w:rPr>
          <w:b w:val="0"/>
        </w:rPr>
        <w:t xml:space="preserve">Figure </w:t>
      </w:r>
      <w:r w:rsidR="00CA426B">
        <w:rPr>
          <w:b w:val="0"/>
        </w:rPr>
        <w:t>B.14</w:t>
      </w:r>
      <w:r>
        <w:tab/>
        <w:t>Level of highest qualification completed (15-64 years)</w:t>
      </w:r>
      <w:r w:rsidR="002F003B">
        <w:t>, 201</w:t>
      </w:r>
      <w:r w:rsidR="00874E5C">
        <w:t>2</w:t>
      </w:r>
      <w:r w:rsidR="00835F7A" w:rsidRPr="00721DD0">
        <w:rPr>
          <w:rStyle w:val="NoteLabel"/>
          <w:b/>
        </w:rPr>
        <w:t>a</w:t>
      </w:r>
      <w:r w:rsidR="009D7900">
        <w:rPr>
          <w:rStyle w:val="NoteLabel"/>
          <w:b/>
        </w:rPr>
        <w:t xml:space="preserve">, </w:t>
      </w:r>
      <w:r w:rsidR="009D7900" w:rsidRPr="00FD5C67">
        <w:rPr>
          <w:rStyle w:val="NoteLabel"/>
          <w:b/>
        </w:rPr>
        <w:t>b</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4D092F" w:rsidTr="00B01D85">
        <w:tc>
          <w:tcPr>
            <w:tcW w:w="8777" w:type="dxa"/>
          </w:tcPr>
          <w:p w:rsidR="00930D11" w:rsidRDefault="00B01D85" w:rsidP="00F24D7E">
            <w:pPr>
              <w:pStyle w:val="Figure"/>
            </w:pPr>
            <w:r>
              <w:rPr>
                <w:noProof/>
              </w:rPr>
              <w:drawing>
                <wp:inline distT="0" distB="0" distL="0" distR="0" wp14:anchorId="73367324" wp14:editId="0AEC2C95">
                  <wp:extent cx="5400000" cy="2520000"/>
                  <wp:effectExtent l="0" t="0" r="0" b="0"/>
                  <wp:docPr id="16" name="Chart 16" descr="Figure B.14 Level of highest qualification completed (15-64 years), 2012&#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tc>
      </w:tr>
    </w:tbl>
    <w:p w:rsidR="0097301A" w:rsidRDefault="0097301A" w:rsidP="005B1170">
      <w:pPr>
        <w:pStyle w:val="Source"/>
        <w:rPr>
          <w:i/>
        </w:rPr>
      </w:pPr>
      <w:proofErr w:type="spellStart"/>
      <w:r w:rsidRPr="00B23BA5">
        <w:rPr>
          <w:rStyle w:val="NoteLabel"/>
        </w:rPr>
        <w:t>a</w:t>
      </w:r>
      <w:proofErr w:type="spellEnd"/>
      <w:r>
        <w:t xml:space="preserve"> </w:t>
      </w:r>
      <w:r w:rsidR="008A54D3" w:rsidRPr="00B42E3B">
        <w:t>The ABS Survey of Education and Work is not conducted in Indigenous communities in very remote areas, which affects the comparability of NT results</w:t>
      </w:r>
      <w:r w:rsidR="008A54D3">
        <w:t xml:space="preserve"> as these communities account for around 15 per cent of the NT population. </w:t>
      </w:r>
      <w:r w:rsidR="009534C6">
        <w:rPr>
          <w:rStyle w:val="NoteLabel"/>
        </w:rPr>
        <w:t>b</w:t>
      </w:r>
      <w:r w:rsidR="0074014E">
        <w:rPr>
          <w:rStyle w:val="NoteLabel"/>
        </w:rPr>
        <w:t> </w:t>
      </w:r>
      <w:r w:rsidR="009534C6" w:rsidRPr="00BB33B4">
        <w:t>The</w:t>
      </w:r>
      <w:r w:rsidR="009534C6">
        <w:t xml:space="preserve"> 95 per cent confidence intervals associated with these proportions are included in table</w:t>
      </w:r>
      <w:r w:rsidR="00AD0C77">
        <w:t> </w:t>
      </w:r>
      <w:r w:rsidR="009534C6">
        <w:t>BA.2</w:t>
      </w:r>
      <w:r w:rsidR="004715A5">
        <w:t>9</w:t>
      </w:r>
      <w:r w:rsidR="00AD0C77">
        <w:t>.</w:t>
      </w:r>
    </w:p>
    <w:p w:rsidR="004D092F" w:rsidRDefault="0097301A" w:rsidP="00835F7A">
      <w:pPr>
        <w:pStyle w:val="Source"/>
        <w:spacing w:before="0"/>
      </w:pPr>
      <w:r>
        <w:rPr>
          <w:i/>
        </w:rPr>
        <w:t>S</w:t>
      </w:r>
      <w:r w:rsidR="004D092F">
        <w:rPr>
          <w:i/>
        </w:rPr>
        <w:t>ource</w:t>
      </w:r>
      <w:r w:rsidR="004D092F" w:rsidRPr="00E041E3">
        <w:t>:</w:t>
      </w:r>
      <w:r w:rsidR="004D092F" w:rsidRPr="0097301A">
        <w:rPr>
          <w:i/>
        </w:rPr>
        <w:t xml:space="preserve"> </w:t>
      </w:r>
      <w:r w:rsidR="004C6DC3" w:rsidRPr="0097301A">
        <w:t>ABS (201</w:t>
      </w:r>
      <w:r w:rsidR="00054F00">
        <w:t>3</w:t>
      </w:r>
      <w:r w:rsidR="004C6DC3" w:rsidRPr="0097301A">
        <w:t>) Education and Work, 201</w:t>
      </w:r>
      <w:r w:rsidR="00874E5C">
        <w:t>2</w:t>
      </w:r>
      <w:r w:rsidR="00B07271">
        <w:t>,</w:t>
      </w:r>
      <w:r w:rsidR="004C6DC3" w:rsidRPr="0097301A">
        <w:t xml:space="preserve"> Cat. no. </w:t>
      </w:r>
      <w:r w:rsidR="004C6DC3" w:rsidRPr="00FF6A19">
        <w:t xml:space="preserve">6227.0; </w:t>
      </w:r>
      <w:r w:rsidR="00AA4D12">
        <w:t>t</w:t>
      </w:r>
      <w:r w:rsidR="00E041E3">
        <w:t xml:space="preserve">able </w:t>
      </w:r>
      <w:r w:rsidR="00657B66">
        <w:t>BA.2</w:t>
      </w:r>
      <w:r w:rsidR="004715A5">
        <w:t>9</w:t>
      </w:r>
      <w:r w:rsidR="00E041E3">
        <w:t>.</w:t>
      </w:r>
    </w:p>
    <w:p w:rsidR="00D019B2" w:rsidRDefault="00FC0D40" w:rsidP="00BA3541">
      <w:pPr>
        <w:pStyle w:val="BodyText"/>
      </w:pPr>
      <w:r>
        <w:t>In 2011, t</w:t>
      </w:r>
      <w:r w:rsidR="002F003B">
        <w:t xml:space="preserve">he proportion of </w:t>
      </w:r>
      <w:r w:rsidR="00DE4896">
        <w:t xml:space="preserve">the </w:t>
      </w:r>
      <w:r w:rsidR="002F003B">
        <w:t xml:space="preserve">20-64 year old population with or working towards a non-school </w:t>
      </w:r>
      <w:proofErr w:type="spellStart"/>
      <w:r w:rsidR="002F003B">
        <w:t>AQF</w:t>
      </w:r>
      <w:proofErr w:type="spellEnd"/>
      <w:r w:rsidR="002F003B">
        <w:t xml:space="preserve"> qualification </w:t>
      </w:r>
      <w:r>
        <w:t>was 66.9 per cent (t</w:t>
      </w:r>
      <w:r w:rsidR="002F003B">
        <w:t>able BA.</w:t>
      </w:r>
      <w:r w:rsidR="004715A5">
        <w:t>30</w:t>
      </w:r>
      <w:r>
        <w:t>)</w:t>
      </w:r>
      <w:r w:rsidR="002F003B">
        <w:t>.</w:t>
      </w:r>
      <w:r w:rsidR="00D019B2">
        <w:t xml:space="preserve"> </w:t>
      </w:r>
    </w:p>
    <w:p w:rsidR="002F003B" w:rsidRPr="007D4CB8" w:rsidRDefault="00FF7CB5" w:rsidP="007D4CB8">
      <w:pPr>
        <w:pStyle w:val="BodyText"/>
        <w:rPr>
          <w:rStyle w:val="DraftingNote"/>
          <w:b w:val="0"/>
          <w:color w:val="auto"/>
          <w:sz w:val="26"/>
          <w:u w:val="none"/>
        </w:rPr>
      </w:pPr>
      <w:r w:rsidRPr="007D4CB8">
        <w:rPr>
          <w:rStyle w:val="DraftingNote"/>
          <w:b w:val="0"/>
          <w:color w:val="auto"/>
          <w:sz w:val="26"/>
          <w:u w:val="none"/>
        </w:rPr>
        <w:t xml:space="preserve">Nationally, </w:t>
      </w:r>
      <w:r w:rsidR="00DD308C" w:rsidRPr="007D4CB8">
        <w:rPr>
          <w:rStyle w:val="DraftingNote"/>
          <w:b w:val="0"/>
          <w:color w:val="auto"/>
          <w:sz w:val="26"/>
          <w:u w:val="none"/>
        </w:rPr>
        <w:t xml:space="preserve">2006 and 2011 Census data indicate that </w:t>
      </w:r>
      <w:r w:rsidRPr="007D4CB8">
        <w:rPr>
          <w:rStyle w:val="DraftingNote"/>
          <w:b w:val="0"/>
          <w:color w:val="auto"/>
          <w:sz w:val="26"/>
          <w:u w:val="none"/>
        </w:rPr>
        <w:t>the proportion of people aged 20-64 years with a non-school qualification</w:t>
      </w:r>
      <w:r w:rsidR="008927AC" w:rsidRPr="007D4CB8">
        <w:rPr>
          <w:rStyle w:val="DraftingNote"/>
          <w:b w:val="0"/>
          <w:color w:val="auto"/>
          <w:sz w:val="26"/>
          <w:u w:val="none"/>
        </w:rPr>
        <w:t>,</w:t>
      </w:r>
      <w:r w:rsidRPr="007D4CB8">
        <w:rPr>
          <w:rStyle w:val="DraftingNote"/>
          <w:b w:val="0"/>
          <w:color w:val="auto"/>
          <w:sz w:val="26"/>
          <w:u w:val="none"/>
        </w:rPr>
        <w:t xml:space="preserve"> or who are currently studying for a non-school qualification</w:t>
      </w:r>
      <w:r w:rsidR="008927AC" w:rsidRPr="007D4CB8">
        <w:rPr>
          <w:rStyle w:val="DraftingNote"/>
          <w:b w:val="0"/>
          <w:color w:val="auto"/>
          <w:sz w:val="26"/>
          <w:u w:val="none"/>
        </w:rPr>
        <w:t>,</w:t>
      </w:r>
      <w:r w:rsidRPr="007D4CB8">
        <w:rPr>
          <w:rStyle w:val="DraftingNote"/>
          <w:b w:val="0"/>
          <w:color w:val="auto"/>
          <w:sz w:val="26"/>
          <w:u w:val="none"/>
        </w:rPr>
        <w:t xml:space="preserve"> increased </w:t>
      </w:r>
      <w:r w:rsidR="00995CB8" w:rsidRPr="007D4CB8">
        <w:rPr>
          <w:rStyle w:val="DraftingNote"/>
          <w:b w:val="0"/>
          <w:color w:val="auto"/>
          <w:sz w:val="26"/>
          <w:u w:val="none"/>
        </w:rPr>
        <w:t xml:space="preserve">nationally </w:t>
      </w:r>
      <w:r w:rsidR="008927AC" w:rsidRPr="007D4CB8">
        <w:rPr>
          <w:rStyle w:val="DraftingNote"/>
          <w:b w:val="0"/>
          <w:color w:val="auto"/>
          <w:sz w:val="26"/>
          <w:u w:val="none"/>
        </w:rPr>
        <w:t>between</w:t>
      </w:r>
      <w:r w:rsidRPr="007D4CB8">
        <w:rPr>
          <w:rStyle w:val="DraftingNote"/>
          <w:b w:val="0"/>
          <w:color w:val="auto"/>
          <w:sz w:val="26"/>
          <w:u w:val="none"/>
        </w:rPr>
        <w:t xml:space="preserve"> 2006 (58.5 per cent) </w:t>
      </w:r>
      <w:r w:rsidR="008927AC" w:rsidRPr="007D4CB8">
        <w:rPr>
          <w:rStyle w:val="DraftingNote"/>
          <w:b w:val="0"/>
          <w:color w:val="auto"/>
          <w:sz w:val="26"/>
          <w:u w:val="none"/>
        </w:rPr>
        <w:t xml:space="preserve">and </w:t>
      </w:r>
      <w:r w:rsidRPr="007D4CB8">
        <w:rPr>
          <w:rStyle w:val="DraftingNote"/>
          <w:b w:val="0"/>
          <w:color w:val="auto"/>
          <w:sz w:val="26"/>
          <w:u w:val="none"/>
        </w:rPr>
        <w:t xml:space="preserve">2011 (64.1 per cent) (figure </w:t>
      </w:r>
      <w:r w:rsidR="00CA426B" w:rsidRPr="007D4CB8">
        <w:rPr>
          <w:rStyle w:val="DraftingNote"/>
          <w:b w:val="0"/>
          <w:color w:val="auto"/>
          <w:sz w:val="26"/>
          <w:u w:val="none"/>
        </w:rPr>
        <w:t>B.15</w:t>
      </w:r>
      <w:r w:rsidRPr="007D4CB8">
        <w:rPr>
          <w:rStyle w:val="DraftingNote"/>
          <w:b w:val="0"/>
          <w:color w:val="auto"/>
          <w:sz w:val="26"/>
          <w:u w:val="none"/>
        </w:rPr>
        <w:t>).</w:t>
      </w:r>
    </w:p>
    <w:p w:rsidR="00FF7CB5" w:rsidRPr="007D4CB8" w:rsidRDefault="00FF7CB5" w:rsidP="00FF7CB5">
      <w:pPr>
        <w:pStyle w:val="FigureTitle"/>
      </w:pPr>
      <w:r w:rsidRPr="008E738F">
        <w:rPr>
          <w:b w:val="0"/>
        </w:rPr>
        <w:lastRenderedPageBreak/>
        <w:t xml:space="preserve">Figure </w:t>
      </w:r>
      <w:r w:rsidR="00CA426B" w:rsidRPr="008E738F">
        <w:rPr>
          <w:b w:val="0"/>
        </w:rPr>
        <w:t>B.15</w:t>
      </w:r>
      <w:r w:rsidR="00574011">
        <w:tab/>
        <w:t>Proportion of 20-64 year</w:t>
      </w:r>
      <w:r w:rsidRPr="008E738F">
        <w:t xml:space="preserve"> olds with a non-school qualification or who are currently studying for a non-school qualification </w:t>
      </w:r>
      <w:r w:rsidRPr="008E738F">
        <w:rPr>
          <w:rStyle w:val="NoteLabel"/>
          <w:b/>
        </w:rPr>
        <w:t>a, b</w:t>
      </w:r>
      <w:r w:rsidR="008E738F" w:rsidRPr="008E738F">
        <w:rPr>
          <w:rStyle w:val="NoteLabel"/>
          <w:b/>
        </w:rPr>
        <w:t>, c, d, e, f, g, h</w:t>
      </w:r>
      <w:r w:rsidRPr="00FD5C67">
        <w:rPr>
          <w:rStyle w:val="NoteLabel"/>
          <w:b/>
        </w:rPr>
        <w:t xml:space="preserve"> </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FF7CB5" w:rsidTr="00FF7CB5">
        <w:tc>
          <w:tcPr>
            <w:tcW w:w="8777" w:type="dxa"/>
          </w:tcPr>
          <w:p w:rsidR="00FF7CB5" w:rsidRDefault="00FF7CB5" w:rsidP="00FF7CB5">
            <w:pPr>
              <w:pStyle w:val="Figure"/>
            </w:pPr>
            <w:r>
              <w:rPr>
                <w:noProof/>
              </w:rPr>
              <w:drawing>
                <wp:inline distT="0" distB="0" distL="0" distR="0" wp14:anchorId="21771763" wp14:editId="70C900D6">
                  <wp:extent cx="5404514" cy="2538484"/>
                  <wp:effectExtent l="0" t="0" r="5715" b="0"/>
                  <wp:docPr id="33" name="Chart 33" descr="Figure B.15 Proportion of 20-64 year olds with a non-school qualification or who are currently studying for a non-school qualification&#10;&#10;More details can be found within the text surrounding this image. "/>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tc>
      </w:tr>
    </w:tbl>
    <w:p w:rsidR="00FF7CB5" w:rsidRPr="00FF7951" w:rsidRDefault="00FF7CB5" w:rsidP="00FF7CB5">
      <w:pPr>
        <w:pStyle w:val="Source"/>
        <w:rPr>
          <w:rStyle w:val="NoteChar"/>
        </w:rPr>
      </w:pPr>
      <w:proofErr w:type="spellStart"/>
      <w:r w:rsidRPr="00B23BA5">
        <w:rPr>
          <w:rStyle w:val="NoteLabel"/>
        </w:rPr>
        <w:t>a</w:t>
      </w:r>
      <w:proofErr w:type="spellEnd"/>
      <w:r>
        <w:t xml:space="preserve"> </w:t>
      </w:r>
      <w:r w:rsidR="00DD308C" w:rsidRPr="00FF7951">
        <w:rPr>
          <w:rStyle w:val="NoteChar"/>
        </w:rPr>
        <w:t>The Census does not collect level of current study, therefore all people identified as studying are included in the calculations for this indicator. This may include some people in non-formal education or school level education.</w:t>
      </w:r>
      <w:r w:rsidR="00DD308C">
        <w:t xml:space="preserve"> </w:t>
      </w:r>
      <w:r w:rsidR="00DD308C" w:rsidRPr="00DD308C">
        <w:rPr>
          <w:rStyle w:val="NoteLabel"/>
        </w:rPr>
        <w:t>b</w:t>
      </w:r>
      <w:r w:rsidR="00DD308C">
        <w:t xml:space="preserve"> </w:t>
      </w:r>
      <w:r w:rsidR="00DD308C" w:rsidRPr="00FF7951">
        <w:rPr>
          <w:rStyle w:val="NoteChar"/>
        </w:rPr>
        <w:t>People who did not state their level of non-school qualification and were not attending an educational institution are excluded from the calculations (numerator and denominator). People who did not state if they were attending an educational institution and did not have a non-school qualification are also excluded.</w:t>
      </w:r>
      <w:r w:rsidR="00DD308C">
        <w:t xml:space="preserve"> </w:t>
      </w:r>
      <w:r w:rsidR="00DD308C" w:rsidRPr="00DD308C">
        <w:rPr>
          <w:rStyle w:val="NoteLabel"/>
        </w:rPr>
        <w:t>c</w:t>
      </w:r>
      <w:r w:rsidR="00DD308C">
        <w:t xml:space="preserve"> </w:t>
      </w:r>
      <w:r w:rsidR="00DD308C" w:rsidRPr="00FF7951">
        <w:rPr>
          <w:rStyle w:val="NoteChar"/>
        </w:rPr>
        <w:t>People who did not state their level of non-school qualification and did not state if they were attending an educational institution are excluded.</w:t>
      </w:r>
      <w:r w:rsidR="00DD308C">
        <w:t xml:space="preserve"> </w:t>
      </w:r>
      <w:r w:rsidR="00DD308C" w:rsidRPr="00DD308C">
        <w:rPr>
          <w:rStyle w:val="NoteLabel"/>
        </w:rPr>
        <w:t>d</w:t>
      </w:r>
      <w:r w:rsidR="00DD308C">
        <w:t xml:space="preserve"> </w:t>
      </w:r>
      <w:r w:rsidR="00DD308C" w:rsidRPr="00FF7951">
        <w:rPr>
          <w:rStyle w:val="NoteChar"/>
        </w:rPr>
        <w:t>Australia includes 'Other Territories'.</w:t>
      </w:r>
      <w:r w:rsidR="00DD308C">
        <w:t xml:space="preserve"> </w:t>
      </w:r>
      <w:r w:rsidR="00DD308C" w:rsidRPr="00DD308C">
        <w:rPr>
          <w:rStyle w:val="NoteLabel"/>
        </w:rPr>
        <w:t>e</w:t>
      </w:r>
      <w:r w:rsidR="00DD308C">
        <w:t xml:space="preserve"> </w:t>
      </w:r>
      <w:r w:rsidR="00DD308C" w:rsidRPr="00FF7951">
        <w:rPr>
          <w:rStyle w:val="NoteChar"/>
        </w:rPr>
        <w:t>The total may be less than the sum of those with and working towards a non-school qualification as a person can be counted in both categories, but is only counted once in the total.</w:t>
      </w:r>
      <w:r w:rsidR="00DD308C">
        <w:t xml:space="preserve"> </w:t>
      </w:r>
      <w:r w:rsidR="00DD308C" w:rsidRPr="00DD308C">
        <w:rPr>
          <w:rStyle w:val="NoteLabel"/>
        </w:rPr>
        <w:t>f</w:t>
      </w:r>
      <w:r w:rsidR="00DD308C">
        <w:t xml:space="preserve"> </w:t>
      </w:r>
      <w:r w:rsidR="00DD308C" w:rsidRPr="00FF7951">
        <w:rPr>
          <w:rStyle w:val="NoteChar"/>
        </w:rPr>
        <w:t>Includes all people aged 20–64 years who have attained a non-</w:t>
      </w:r>
      <w:r w:rsidR="00DD308C" w:rsidRPr="001064E2">
        <w:rPr>
          <w:rStyle w:val="NoteChar"/>
        </w:rPr>
        <w:t>school qualification.</w:t>
      </w:r>
      <w:r w:rsidR="00DD308C" w:rsidRPr="001064E2">
        <w:t xml:space="preserve"> </w:t>
      </w:r>
      <w:r w:rsidR="00DD308C" w:rsidRPr="001064E2">
        <w:rPr>
          <w:rStyle w:val="NoteLabel"/>
        </w:rPr>
        <w:t>g</w:t>
      </w:r>
      <w:r w:rsidR="00DD308C" w:rsidRPr="001064E2">
        <w:t xml:space="preserve"> </w:t>
      </w:r>
      <w:r w:rsidR="00DD308C" w:rsidRPr="001064E2">
        <w:rPr>
          <w:rStyle w:val="NoteChar"/>
        </w:rPr>
        <w:t>Includes all people aged 20–64 years who are currently studying, which may include people who have previously attained a non-school qualification.</w:t>
      </w:r>
      <w:r w:rsidR="008E738F" w:rsidRPr="001064E2">
        <w:rPr>
          <w:rStyle w:val="NoteChar"/>
        </w:rPr>
        <w:t xml:space="preserve"> </w:t>
      </w:r>
      <w:r w:rsidR="008E738F" w:rsidRPr="001064E2">
        <w:rPr>
          <w:rStyle w:val="NoteLabel"/>
        </w:rPr>
        <w:t xml:space="preserve">h </w:t>
      </w:r>
      <w:r w:rsidR="008E738F" w:rsidRPr="001064E2">
        <w:t xml:space="preserve">While there are no sampling data quality issues associated with Census data (for example, confidence intervals), there are other forms of non-sampling data quality issues </w:t>
      </w:r>
      <w:r w:rsidR="00B41AF4" w:rsidRPr="001064E2">
        <w:t xml:space="preserve">such as undercounting </w:t>
      </w:r>
      <w:r w:rsidR="008E738F" w:rsidRPr="001064E2">
        <w:t>that need to be taken into account when interpreting data.</w:t>
      </w:r>
    </w:p>
    <w:p w:rsidR="00FF7CB5" w:rsidRPr="00327447" w:rsidRDefault="00FF7CB5" w:rsidP="001C42C3">
      <w:pPr>
        <w:pStyle w:val="Source"/>
        <w:spacing w:before="0"/>
        <w:rPr>
          <w:rStyle w:val="NoteChar"/>
        </w:rPr>
      </w:pPr>
      <w:r>
        <w:rPr>
          <w:i/>
        </w:rPr>
        <w:t>Source</w:t>
      </w:r>
      <w:r w:rsidRPr="00E041E3">
        <w:t>:</w:t>
      </w:r>
      <w:r w:rsidRPr="0097301A">
        <w:rPr>
          <w:i/>
        </w:rPr>
        <w:t xml:space="preserve"> </w:t>
      </w:r>
      <w:r w:rsidRPr="0097301A">
        <w:t>ABS (</w:t>
      </w:r>
      <w:r w:rsidR="001C42C3">
        <w:t>unpublished</w:t>
      </w:r>
      <w:r w:rsidRPr="0097301A">
        <w:t xml:space="preserve">) </w:t>
      </w:r>
      <w:r w:rsidR="001C42C3">
        <w:t>2011 Census of Population and Housing; ABS (unpublished) 2006 Census of Population and Housing</w:t>
      </w:r>
      <w:r w:rsidRPr="00FF6A19">
        <w:t xml:space="preserve">; </w:t>
      </w:r>
      <w:r w:rsidR="00AA4D12">
        <w:t>t</w:t>
      </w:r>
      <w:r>
        <w:t xml:space="preserve">able </w:t>
      </w:r>
      <w:r w:rsidRPr="00443FA8">
        <w:t>BA.</w:t>
      </w:r>
      <w:r w:rsidR="004715A5">
        <w:t>31</w:t>
      </w:r>
      <w:r w:rsidRPr="00443FA8">
        <w:t>.</w:t>
      </w:r>
    </w:p>
    <w:p w:rsidR="00933151" w:rsidRPr="00FD5C67" w:rsidRDefault="00EB30A9" w:rsidP="00723EBD">
      <w:pPr>
        <w:pStyle w:val="Heading5"/>
        <w:rPr>
          <w:rStyle w:val="DraftingNote"/>
          <w:i w:val="0"/>
          <w:color w:val="auto"/>
        </w:rPr>
      </w:pPr>
      <w:r>
        <w:rPr>
          <w:rStyle w:val="DraftingNote"/>
          <w:b w:val="0"/>
          <w:color w:val="auto"/>
          <w:sz w:val="26"/>
          <w:u w:val="none"/>
        </w:rPr>
        <w:t xml:space="preserve">Completion of year 12 or equivalent, </w:t>
      </w:r>
      <w:r w:rsidR="00933151">
        <w:rPr>
          <w:rStyle w:val="DraftingNote"/>
          <w:b w:val="0"/>
          <w:color w:val="auto"/>
          <w:sz w:val="26"/>
          <w:u w:val="none"/>
        </w:rPr>
        <w:t xml:space="preserve">or </w:t>
      </w:r>
      <w:r w:rsidR="003F74DD">
        <w:rPr>
          <w:rStyle w:val="DraftingNote"/>
          <w:b w:val="0"/>
          <w:color w:val="auto"/>
          <w:sz w:val="26"/>
          <w:u w:val="none"/>
        </w:rPr>
        <w:t>C</w:t>
      </w:r>
      <w:r w:rsidR="00933151">
        <w:rPr>
          <w:rStyle w:val="DraftingNote"/>
          <w:b w:val="0"/>
          <w:color w:val="auto"/>
          <w:sz w:val="26"/>
          <w:u w:val="none"/>
        </w:rPr>
        <w:t xml:space="preserve">ertificate level II or </w:t>
      </w:r>
      <w:r w:rsidR="00933151" w:rsidRPr="00FD5C67">
        <w:rPr>
          <w:rStyle w:val="DraftingNote"/>
          <w:b w:val="0"/>
          <w:color w:val="auto"/>
          <w:sz w:val="26"/>
          <w:u w:val="none"/>
        </w:rPr>
        <w:t xml:space="preserve">above </w:t>
      </w:r>
    </w:p>
    <w:p w:rsidR="009179CC" w:rsidRDefault="009179CC" w:rsidP="00EB30A9">
      <w:pPr>
        <w:pStyle w:val="BodyText"/>
      </w:pPr>
      <w:r w:rsidRPr="00FD5C67">
        <w:t xml:space="preserve">Achieving year 12 (or equivalent) improves employment and earning </w:t>
      </w:r>
      <w:r>
        <w:t>outcome</w:t>
      </w:r>
      <w:r w:rsidR="00B567B8">
        <w:t>s for young people (ACER 2000</w:t>
      </w:r>
      <w:r w:rsidR="00455727">
        <w:t>; Ryan 2011</w:t>
      </w:r>
      <w:r w:rsidR="00B567B8">
        <w:t>).</w:t>
      </w:r>
    </w:p>
    <w:p w:rsidR="00EB30A9" w:rsidRDefault="00170458" w:rsidP="00EB30A9">
      <w:pPr>
        <w:pStyle w:val="BodyText"/>
      </w:pPr>
      <w:r>
        <w:t xml:space="preserve">Nationally, </w:t>
      </w:r>
      <w:r w:rsidR="00B74926">
        <w:t>85.9</w:t>
      </w:r>
      <w:r w:rsidR="00FC0D40">
        <w:t xml:space="preserve"> per cent</w:t>
      </w:r>
      <w:r>
        <w:t xml:space="preserve"> of 20</w:t>
      </w:r>
      <w:r w:rsidR="00FC0D40">
        <w:t>–</w:t>
      </w:r>
      <w:r>
        <w:t xml:space="preserve">24 year olds had completed year 12 or equivalent or gained a qualification at </w:t>
      </w:r>
      <w:r w:rsidR="003F74DD">
        <w:t>C</w:t>
      </w:r>
      <w:r>
        <w:t>ertificate level</w:t>
      </w:r>
      <w:r w:rsidR="00EB0484">
        <w:t xml:space="preserve"> II or above </w:t>
      </w:r>
      <w:r>
        <w:t>in 201</w:t>
      </w:r>
      <w:r w:rsidR="00EA151D">
        <w:t>2</w:t>
      </w:r>
      <w:r>
        <w:t xml:space="preserve">. </w:t>
      </w:r>
      <w:r w:rsidR="00FC0D40">
        <w:t>Among</w:t>
      </w:r>
      <w:r>
        <w:t xml:space="preserve"> 20-64 year olds</w:t>
      </w:r>
      <w:r w:rsidR="00FC0D40">
        <w:t xml:space="preserve">, </w:t>
      </w:r>
      <w:r w:rsidR="00B74926">
        <w:t>79.3</w:t>
      </w:r>
      <w:r w:rsidR="00FC0D40">
        <w:t xml:space="preserve"> per cent</w:t>
      </w:r>
      <w:r>
        <w:t xml:space="preserve"> had completed year 12 or equivalent or gained a qualification at </w:t>
      </w:r>
      <w:r w:rsidR="003F74DD">
        <w:t>C</w:t>
      </w:r>
      <w:r>
        <w:t>ertificate level II or above</w:t>
      </w:r>
      <w:r w:rsidRPr="000F7E22">
        <w:t>. The</w:t>
      </w:r>
      <w:r w:rsidR="00FC0D40">
        <w:t>se</w:t>
      </w:r>
      <w:r w:rsidRPr="000F7E22">
        <w:t xml:space="preserve"> proportions </w:t>
      </w:r>
      <w:r>
        <w:t>varied across jurisdictions (figure</w:t>
      </w:r>
      <w:r w:rsidR="00FC0D40">
        <w:t> </w:t>
      </w:r>
      <w:r w:rsidR="00CA426B">
        <w:t>B.16</w:t>
      </w:r>
      <w:r w:rsidR="00223019">
        <w:t>).</w:t>
      </w:r>
    </w:p>
    <w:p w:rsidR="004D092F" w:rsidRPr="004C1F74" w:rsidRDefault="004D092F">
      <w:pPr>
        <w:pStyle w:val="FigureTitle"/>
      </w:pPr>
      <w:r>
        <w:rPr>
          <w:b w:val="0"/>
        </w:rPr>
        <w:lastRenderedPageBreak/>
        <w:t xml:space="preserve">Figure </w:t>
      </w:r>
      <w:r w:rsidR="00CA426B">
        <w:rPr>
          <w:b w:val="0"/>
        </w:rPr>
        <w:t>B.16</w:t>
      </w:r>
      <w:r>
        <w:tab/>
        <w:t>Completio</w:t>
      </w:r>
      <w:r w:rsidR="003F74DD">
        <w:t>n of year 12 or equivalent, or C</w:t>
      </w:r>
      <w:r>
        <w:t xml:space="preserve">ertificate </w:t>
      </w:r>
      <w:r w:rsidR="00281E24">
        <w:t xml:space="preserve">level </w:t>
      </w:r>
      <w:r>
        <w:t>II or above</w:t>
      </w:r>
      <w:r w:rsidR="00E041E3" w:rsidRPr="00E041E3">
        <w:rPr>
          <w:rStyle w:val="NoteLabel"/>
          <w:b/>
        </w:rPr>
        <w:t xml:space="preserve"> </w:t>
      </w:r>
      <w:r w:rsidR="00E041E3" w:rsidRPr="00721DD0">
        <w:rPr>
          <w:rStyle w:val="NoteLabel"/>
          <w:b/>
        </w:rPr>
        <w:t>a</w:t>
      </w:r>
      <w:r w:rsidR="00E041E3">
        <w:rPr>
          <w:rStyle w:val="NoteLabel"/>
          <w:b/>
        </w:rPr>
        <w:t>, b, c</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4D092F" w:rsidTr="00EF1363">
        <w:tc>
          <w:tcPr>
            <w:tcW w:w="8777" w:type="dxa"/>
          </w:tcPr>
          <w:p w:rsidR="00DA1C7B" w:rsidRPr="00006D4C" w:rsidRDefault="00DA1C7B" w:rsidP="00DA1C7B">
            <w:pPr>
              <w:pStyle w:val="Figure"/>
              <w:spacing w:after="60"/>
              <w:rPr>
                <w:rFonts w:ascii="Arial" w:hAnsi="Arial" w:cs="Arial"/>
                <w:b/>
                <w:sz w:val="20"/>
              </w:rPr>
            </w:pPr>
            <w:r w:rsidRPr="00006D4C">
              <w:rPr>
                <w:rFonts w:ascii="Arial" w:hAnsi="Arial" w:cs="Arial"/>
                <w:b/>
                <w:sz w:val="20"/>
              </w:rPr>
              <w:t>20–24 year olds</w:t>
            </w:r>
          </w:p>
          <w:p w:rsidR="00DA1C7B" w:rsidRDefault="00EF1363" w:rsidP="00DA1C7B">
            <w:pPr>
              <w:pStyle w:val="Figure"/>
            </w:pPr>
            <w:r>
              <w:rPr>
                <w:noProof/>
              </w:rPr>
              <w:drawing>
                <wp:inline distT="0" distB="0" distL="0" distR="0" wp14:anchorId="6A3203B5" wp14:editId="1BC51B3C">
                  <wp:extent cx="5400000" cy="2520000"/>
                  <wp:effectExtent l="0" t="0" r="0" b="0"/>
                  <wp:docPr id="7" name="Chart 7" descr="Figure B.16 Completion of year 12 or equivalent, or Certificate level II or above&#10;&#10;20-24 year olds&#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DA1C7B" w:rsidRPr="000D5304" w:rsidRDefault="00DA1C7B" w:rsidP="00DA1C7B">
            <w:pPr>
              <w:pStyle w:val="Figure"/>
              <w:spacing w:before="80" w:after="60"/>
              <w:rPr>
                <w:rFonts w:ascii="Arial" w:hAnsi="Arial" w:cs="Arial"/>
                <w:b/>
                <w:sz w:val="20"/>
              </w:rPr>
            </w:pPr>
            <w:r w:rsidRPr="000D5304">
              <w:rPr>
                <w:rFonts w:ascii="Arial" w:hAnsi="Arial" w:cs="Arial"/>
                <w:b/>
                <w:sz w:val="20"/>
              </w:rPr>
              <w:t>20–64 year olds</w:t>
            </w:r>
          </w:p>
          <w:p w:rsidR="00DA1C7B" w:rsidRDefault="00EF1363" w:rsidP="00DA1C7B">
            <w:pPr>
              <w:pStyle w:val="Figure"/>
            </w:pPr>
            <w:r>
              <w:rPr>
                <w:noProof/>
              </w:rPr>
              <w:drawing>
                <wp:inline distT="0" distB="0" distL="0" distR="0" wp14:anchorId="73B29686" wp14:editId="254588B2">
                  <wp:extent cx="5400000" cy="2520000"/>
                  <wp:effectExtent l="0" t="0" r="0" b="0"/>
                  <wp:docPr id="8" name="Chart 8" descr="Figure B.16 Completion of year 12 or equivalent, or Certificate level II or above&#10;&#10;20-64 year olds&#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tc>
      </w:tr>
    </w:tbl>
    <w:p w:rsidR="00DA1C7B" w:rsidRDefault="00DA1C7B" w:rsidP="005B1170">
      <w:pPr>
        <w:pStyle w:val="Note"/>
        <w:tabs>
          <w:tab w:val="left" w:pos="4678"/>
        </w:tabs>
      </w:pPr>
      <w:proofErr w:type="spellStart"/>
      <w:r w:rsidRPr="00B23BA5">
        <w:rPr>
          <w:rStyle w:val="NoteLabel"/>
        </w:rPr>
        <w:t>a</w:t>
      </w:r>
      <w:proofErr w:type="spellEnd"/>
      <w:r w:rsidRPr="00B23BA5">
        <w:t xml:space="preserve"> Error bars represent the 95 per cent confidence interval associated with each point estimate.</w:t>
      </w:r>
      <w:r>
        <w:t xml:space="preserve"> </w:t>
      </w:r>
      <w:r>
        <w:rPr>
          <w:rStyle w:val="NoteLabel"/>
        </w:rPr>
        <w:t>b</w:t>
      </w:r>
      <w:r w:rsidRPr="000162C5">
        <w:t xml:space="preserve"> Proportions are determined using the number of students educated in the jurisdiction divided by the estimated resident population for the jurisdiction in </w:t>
      </w:r>
      <w:r w:rsidRPr="00C80290">
        <w:rPr>
          <w:szCs w:val="18"/>
        </w:rPr>
        <w:t xml:space="preserve">the </w:t>
      </w:r>
      <w:r w:rsidRPr="000162C5">
        <w:t>age group. In some cases students are educated in a different jurisdiction to their place of residence. These students are counted in their jurisdiction of education for the numerator (number of students educated in the jurisdiction) and their jurisdiction of residence for the denominator (estimated resident population).</w:t>
      </w:r>
      <w:r>
        <w:t xml:space="preserve"> </w:t>
      </w:r>
      <w:r>
        <w:rPr>
          <w:rStyle w:val="NoteLabel"/>
        </w:rPr>
        <w:t>c</w:t>
      </w:r>
      <w:r w:rsidRPr="005C27FA">
        <w:t> </w:t>
      </w:r>
      <w:r w:rsidR="00223019">
        <w:t xml:space="preserve"> </w:t>
      </w:r>
      <w:r w:rsidR="00B42E3B" w:rsidRPr="00B42E3B">
        <w:t xml:space="preserve">The ABS Survey of Education and Work was not conducted in </w:t>
      </w:r>
      <w:r w:rsidR="008F2091">
        <w:t xml:space="preserve">very remote areas prior to 2009 which affects the comparability of NT results as this accounts for 20 per </w:t>
      </w:r>
      <w:r w:rsidR="008A54D3">
        <w:t>cent of the NT population. The s</w:t>
      </w:r>
      <w:r w:rsidR="008F2091">
        <w:t xml:space="preserve">urvey was not conducted in </w:t>
      </w:r>
      <w:r w:rsidR="00B42E3B" w:rsidRPr="00B42E3B">
        <w:t>Indigenous communities in very remote areas since 2009, which affects the comparability of NT results</w:t>
      </w:r>
      <w:r w:rsidR="008F2091">
        <w:t xml:space="preserve"> as </w:t>
      </w:r>
      <w:r w:rsidR="008A54D3">
        <w:t xml:space="preserve">these communities </w:t>
      </w:r>
      <w:r w:rsidR="008F2091">
        <w:t>account for 15 per cent of the NT population</w:t>
      </w:r>
      <w:r w:rsidR="0097301A">
        <w:t>.</w:t>
      </w:r>
    </w:p>
    <w:p w:rsidR="00DA1C7B" w:rsidRDefault="00DA1C7B" w:rsidP="00DA1C7B">
      <w:pPr>
        <w:pStyle w:val="Source"/>
      </w:pPr>
      <w:r w:rsidRPr="005C27FA">
        <w:rPr>
          <w:rStyle w:val="SourceChar"/>
          <w:i/>
        </w:rPr>
        <w:t>Source</w:t>
      </w:r>
      <w:r w:rsidRPr="005C27FA">
        <w:rPr>
          <w:rStyle w:val="SourceChar"/>
        </w:rPr>
        <w:t xml:space="preserve">: </w:t>
      </w:r>
      <w:r w:rsidRPr="005C27FA">
        <w:t>ABS (</w:t>
      </w:r>
      <w:r w:rsidR="00BA47A8">
        <w:t>201</w:t>
      </w:r>
      <w:r w:rsidR="00054F00">
        <w:t>3</w:t>
      </w:r>
      <w:r w:rsidRPr="005C27FA">
        <w:t xml:space="preserve">) </w:t>
      </w:r>
      <w:r w:rsidRPr="00FF6A19">
        <w:rPr>
          <w:i/>
        </w:rPr>
        <w:t>Education and Work</w:t>
      </w:r>
      <w:r w:rsidR="00BA47A8" w:rsidRPr="00BA47A8">
        <w:t xml:space="preserve">, </w:t>
      </w:r>
      <w:r w:rsidR="00054F00" w:rsidRPr="00054F00">
        <w:rPr>
          <w:i/>
        </w:rPr>
        <w:t>2012</w:t>
      </w:r>
      <w:r w:rsidR="00054F00">
        <w:rPr>
          <w:i/>
        </w:rPr>
        <w:t>,</w:t>
      </w:r>
      <w:r w:rsidR="00054F00">
        <w:t xml:space="preserve"> </w:t>
      </w:r>
      <w:r w:rsidR="00BA47A8" w:rsidRPr="00BA47A8">
        <w:t>Cat. no. 6227.0, Canberra</w:t>
      </w:r>
      <w:r w:rsidR="00657B66">
        <w:t>; table BA.</w:t>
      </w:r>
      <w:r w:rsidR="00361D70">
        <w:t>3</w:t>
      </w:r>
      <w:r w:rsidR="004715A5">
        <w:t>2</w:t>
      </w:r>
      <w:r w:rsidRPr="00FF6A19">
        <w:t>.</w:t>
      </w:r>
    </w:p>
    <w:p w:rsidR="00D019B2" w:rsidRPr="001A39AA" w:rsidRDefault="00D019B2" w:rsidP="001A39AA">
      <w:pPr>
        <w:pStyle w:val="BodyText"/>
        <w:rPr>
          <w:rStyle w:val="DraftingNote"/>
          <w:b w:val="0"/>
          <w:color w:val="auto"/>
          <w:sz w:val="26"/>
          <w:u w:val="none"/>
        </w:rPr>
      </w:pPr>
      <w:r w:rsidRPr="001A39AA">
        <w:rPr>
          <w:rStyle w:val="DraftingNote"/>
          <w:b w:val="0"/>
          <w:color w:val="auto"/>
          <w:sz w:val="26"/>
          <w:u w:val="none"/>
        </w:rPr>
        <w:t xml:space="preserve">Additional Census data outlining the proportion of 20-24 year olds who have completed year 12 or equivalent, or </w:t>
      </w:r>
      <w:r w:rsidR="00BC3C99" w:rsidRPr="001A39AA">
        <w:rPr>
          <w:rStyle w:val="DraftingNote"/>
          <w:b w:val="0"/>
          <w:color w:val="auto"/>
          <w:sz w:val="26"/>
          <w:u w:val="none"/>
        </w:rPr>
        <w:t>C</w:t>
      </w:r>
      <w:r w:rsidRPr="001A39AA">
        <w:rPr>
          <w:rStyle w:val="DraftingNote"/>
          <w:b w:val="0"/>
          <w:color w:val="auto"/>
          <w:sz w:val="26"/>
          <w:u w:val="none"/>
        </w:rPr>
        <w:t>ertificate level II or above</w:t>
      </w:r>
      <w:r w:rsidR="000D759B" w:rsidRPr="001A39AA">
        <w:rPr>
          <w:rStyle w:val="DraftingNote"/>
          <w:b w:val="0"/>
          <w:color w:val="auto"/>
          <w:sz w:val="26"/>
          <w:u w:val="none"/>
        </w:rPr>
        <w:t>,</w:t>
      </w:r>
      <w:r w:rsidRPr="001A39AA">
        <w:rPr>
          <w:rStyle w:val="DraftingNote"/>
          <w:b w:val="0"/>
          <w:color w:val="auto"/>
          <w:sz w:val="26"/>
          <w:u w:val="none"/>
        </w:rPr>
        <w:t xml:space="preserve"> are presented in </w:t>
      </w:r>
      <w:r w:rsidR="00455727" w:rsidRPr="001A39AA">
        <w:rPr>
          <w:rStyle w:val="DraftingNote"/>
          <w:b w:val="0"/>
          <w:color w:val="auto"/>
          <w:sz w:val="26"/>
          <w:u w:val="none"/>
        </w:rPr>
        <w:t xml:space="preserve">figure B.17 and </w:t>
      </w:r>
      <w:r w:rsidR="008927AC" w:rsidRPr="001A39AA">
        <w:rPr>
          <w:rStyle w:val="DraftingNote"/>
          <w:b w:val="0"/>
          <w:color w:val="auto"/>
          <w:sz w:val="26"/>
          <w:u w:val="none"/>
        </w:rPr>
        <w:t>t</w:t>
      </w:r>
      <w:r w:rsidR="000D759B" w:rsidRPr="001A39AA">
        <w:rPr>
          <w:rStyle w:val="DraftingNote"/>
          <w:b w:val="0"/>
          <w:color w:val="auto"/>
          <w:sz w:val="26"/>
          <w:u w:val="none"/>
        </w:rPr>
        <w:t>able </w:t>
      </w:r>
      <w:r w:rsidRPr="001A39AA">
        <w:rPr>
          <w:rStyle w:val="DraftingNote"/>
          <w:b w:val="0"/>
          <w:color w:val="auto"/>
          <w:sz w:val="26"/>
          <w:u w:val="none"/>
        </w:rPr>
        <w:t>BA.</w:t>
      </w:r>
      <w:r w:rsidR="00361D70" w:rsidRPr="001A39AA">
        <w:rPr>
          <w:rStyle w:val="DraftingNote"/>
          <w:b w:val="0"/>
          <w:color w:val="auto"/>
          <w:sz w:val="26"/>
          <w:u w:val="none"/>
        </w:rPr>
        <w:t>3</w:t>
      </w:r>
      <w:r w:rsidR="004715A5" w:rsidRPr="001A39AA">
        <w:rPr>
          <w:rStyle w:val="DraftingNote"/>
          <w:b w:val="0"/>
          <w:color w:val="auto"/>
          <w:sz w:val="26"/>
          <w:u w:val="none"/>
        </w:rPr>
        <w:t>4</w:t>
      </w:r>
      <w:r w:rsidRPr="001A39AA">
        <w:rPr>
          <w:rStyle w:val="DraftingNote"/>
          <w:b w:val="0"/>
          <w:color w:val="auto"/>
          <w:sz w:val="26"/>
          <w:u w:val="none"/>
        </w:rPr>
        <w:t>.</w:t>
      </w:r>
    </w:p>
    <w:p w:rsidR="00175D20" w:rsidRPr="001A39AA" w:rsidRDefault="00175D20" w:rsidP="00207ABE">
      <w:pPr>
        <w:pStyle w:val="BodyText"/>
      </w:pPr>
      <w:r>
        <w:lastRenderedPageBreak/>
        <w:t>N</w:t>
      </w:r>
      <w:r w:rsidRPr="00CD33DD">
        <w:t>ationally</w:t>
      </w:r>
      <w:r>
        <w:t xml:space="preserve"> in 20</w:t>
      </w:r>
      <w:r w:rsidR="00EA151D">
        <w:t>11</w:t>
      </w:r>
      <w:r>
        <w:t xml:space="preserve">, </w:t>
      </w:r>
      <w:r w:rsidR="00DB4FEE">
        <w:t>86.0</w:t>
      </w:r>
      <w:r w:rsidR="00FC0D40">
        <w:t xml:space="preserve"> per cent of </w:t>
      </w:r>
      <w:r>
        <w:t>non</w:t>
      </w:r>
      <w:r w:rsidR="00FC0D40">
        <w:noBreakHyphen/>
      </w:r>
      <w:r>
        <w:t>Indigenous 20</w:t>
      </w:r>
      <w:r w:rsidR="00FC0D40">
        <w:t>–</w:t>
      </w:r>
      <w:r>
        <w:t>24</w:t>
      </w:r>
      <w:r w:rsidRPr="00CD33DD">
        <w:t xml:space="preserve"> year olds </w:t>
      </w:r>
      <w:r w:rsidR="00FC0D40">
        <w:t>had</w:t>
      </w:r>
      <w:r w:rsidR="00FC0D40" w:rsidRPr="00CD33DD">
        <w:t xml:space="preserve"> completed</w:t>
      </w:r>
      <w:r w:rsidRPr="00CD33DD">
        <w:t xml:space="preserve"> year</w:t>
      </w:r>
      <w:r>
        <w:t> </w:t>
      </w:r>
      <w:r w:rsidRPr="00CD33DD">
        <w:t>12 or equivalent</w:t>
      </w:r>
      <w:r>
        <w:t>,</w:t>
      </w:r>
      <w:r w:rsidRPr="00CD33DD">
        <w:t xml:space="preserve"> or gained a qualification at </w:t>
      </w:r>
      <w:r w:rsidR="00BC3C99">
        <w:t>C</w:t>
      </w:r>
      <w:r>
        <w:t xml:space="preserve">ertificate </w:t>
      </w:r>
      <w:r w:rsidRPr="00CD33DD">
        <w:t xml:space="preserve">II </w:t>
      </w:r>
      <w:r>
        <w:t>or above</w:t>
      </w:r>
      <w:r w:rsidR="00FC0D40">
        <w:t xml:space="preserve">, compared with </w:t>
      </w:r>
      <w:r w:rsidR="00DB4FEE">
        <w:t>53.9</w:t>
      </w:r>
      <w:r w:rsidR="00FC0D40">
        <w:t xml:space="preserve"> per cent of Indigenous 20–24 year olds</w:t>
      </w:r>
      <w:r>
        <w:t xml:space="preserve"> </w:t>
      </w:r>
      <w:r w:rsidRPr="004C6DC3">
        <w:t>(figure </w:t>
      </w:r>
      <w:r w:rsidR="00CA426B">
        <w:t>B.17</w:t>
      </w:r>
      <w:r w:rsidRPr="004C6DC3">
        <w:t>).</w:t>
      </w:r>
    </w:p>
    <w:p w:rsidR="007C4908" w:rsidRPr="001A39AA" w:rsidRDefault="007C4908" w:rsidP="007C4908">
      <w:pPr>
        <w:pStyle w:val="FigureTitle"/>
      </w:pPr>
      <w:r>
        <w:rPr>
          <w:b w:val="0"/>
        </w:rPr>
        <w:t xml:space="preserve">Figure </w:t>
      </w:r>
      <w:r w:rsidR="00CA426B">
        <w:rPr>
          <w:b w:val="0"/>
        </w:rPr>
        <w:t>B.17</w:t>
      </w:r>
      <w:r>
        <w:tab/>
      </w:r>
      <w:r w:rsidRPr="005C27FA">
        <w:t>Proportion of 20</w:t>
      </w:r>
      <w:r w:rsidRPr="005C27FA">
        <w:rPr>
          <w:rFonts w:cs="Arial"/>
        </w:rPr>
        <w:t>–</w:t>
      </w:r>
      <w:r w:rsidRPr="005C27FA">
        <w:t xml:space="preserve">24 year olds who have completed year 12 or equivalent, or gained a qualification at </w:t>
      </w:r>
      <w:r w:rsidR="00BC3C99">
        <w:t>C</w:t>
      </w:r>
      <w:r w:rsidRPr="005C27FA">
        <w:t xml:space="preserve">ertificate level II or </w:t>
      </w:r>
      <w:r w:rsidR="00B73B7F">
        <w:t>above, by Indigenous status, 2011</w:t>
      </w:r>
      <w:r w:rsidR="00B73B7F">
        <w:rPr>
          <w:rStyle w:val="NoteLabel"/>
          <w:b/>
        </w:rPr>
        <w:t>a, b, c, d, e, f</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7C4908" w:rsidTr="001064E2">
        <w:tc>
          <w:tcPr>
            <w:tcW w:w="8777" w:type="dxa"/>
          </w:tcPr>
          <w:p w:rsidR="007C4908" w:rsidRDefault="001064E2" w:rsidP="008F141E">
            <w:pPr>
              <w:pStyle w:val="Figure"/>
            </w:pPr>
            <w:r>
              <w:rPr>
                <w:noProof/>
              </w:rPr>
              <w:drawing>
                <wp:inline distT="0" distB="0" distL="0" distR="0" wp14:anchorId="7799CB6F" wp14:editId="621E590F">
                  <wp:extent cx="5404514" cy="2538483"/>
                  <wp:effectExtent l="0" t="0" r="5715" b="0"/>
                  <wp:docPr id="26" name="Chart 26" descr="Figure B.17 Proportion of 20-24 year olds who have completed year 12 or equivalent, or gained a qualification at Certificate level II or above, by Indigenous status, 2011&#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tc>
      </w:tr>
    </w:tbl>
    <w:p w:rsidR="007C4908" w:rsidRPr="00AE37F2" w:rsidRDefault="007C4908" w:rsidP="005B1170">
      <w:pPr>
        <w:pStyle w:val="Note"/>
        <w:keepNext/>
      </w:pPr>
      <w:r w:rsidRPr="005C27FA">
        <w:rPr>
          <w:rStyle w:val="NoteLabel"/>
        </w:rPr>
        <w:t>a</w:t>
      </w:r>
      <w:r w:rsidRPr="005C27FA">
        <w:t xml:space="preserve"> </w:t>
      </w:r>
      <w:r w:rsidR="001064E2">
        <w:t xml:space="preserve">Certificate II level or above includes ‘Certificate I or II </w:t>
      </w:r>
      <w:proofErr w:type="spellStart"/>
      <w:r w:rsidR="001064E2">
        <w:t>nfd</w:t>
      </w:r>
      <w:proofErr w:type="spellEnd"/>
      <w:r w:rsidR="001064E2">
        <w:t xml:space="preserve">’, but excludes ‘Certificate </w:t>
      </w:r>
      <w:proofErr w:type="spellStart"/>
      <w:r w:rsidR="001064E2">
        <w:t>nfd</w:t>
      </w:r>
      <w:proofErr w:type="spellEnd"/>
      <w:r w:rsidR="001064E2">
        <w:t xml:space="preserve">’. </w:t>
      </w:r>
      <w:r w:rsidR="001064E2" w:rsidRPr="00B73B7F">
        <w:rPr>
          <w:rStyle w:val="NoteLabel"/>
        </w:rPr>
        <w:t>b</w:t>
      </w:r>
      <w:r w:rsidR="001064E2">
        <w:t xml:space="preserve"> People who did not state if they had a non-school qualification (or whose level of education was inadequately described) and did not have year 12, are excluded from the </w:t>
      </w:r>
      <w:r w:rsidR="001064E2" w:rsidRPr="00B73B7F">
        <w:t xml:space="preserve">calculation (numerator and denominator). People who did not state their highest year of school and did not have a qualification at Certificate II level of above, are also excluded. </w:t>
      </w:r>
      <w:r w:rsidR="001064E2" w:rsidRPr="00B73B7F">
        <w:rPr>
          <w:rStyle w:val="NoteLabel"/>
        </w:rPr>
        <w:t>c</w:t>
      </w:r>
      <w:r w:rsidR="001064E2" w:rsidRPr="00B73B7F">
        <w:t xml:space="preserve"> </w:t>
      </w:r>
      <w:r w:rsidR="00421520" w:rsidRPr="00B73B7F">
        <w:t>People who are not state</w:t>
      </w:r>
      <w:r w:rsidR="00B73B7F" w:rsidRPr="00B73B7F">
        <w:t>d</w:t>
      </w:r>
      <w:r w:rsidR="00421520" w:rsidRPr="00B73B7F">
        <w:t xml:space="preserve"> or inadequately described </w:t>
      </w:r>
      <w:r w:rsidR="00B73B7F" w:rsidRPr="00B73B7F">
        <w:t>for</w:t>
      </w:r>
      <w:r w:rsidR="00421520" w:rsidRPr="00B73B7F">
        <w:t xml:space="preserve"> both</w:t>
      </w:r>
      <w:r w:rsidR="00B73B7F" w:rsidRPr="00B73B7F">
        <w:t xml:space="preserve"> highest year of school and non</w:t>
      </w:r>
      <w:r w:rsidR="00B73B7F" w:rsidRPr="00B73B7F">
        <w:noBreakHyphen/>
      </w:r>
      <w:r w:rsidR="00421520" w:rsidRPr="00B73B7F">
        <w:t xml:space="preserve">school qualification are excluded. </w:t>
      </w:r>
      <w:r w:rsidR="00421520" w:rsidRPr="00B73B7F">
        <w:rPr>
          <w:rStyle w:val="NoteLabel"/>
        </w:rPr>
        <w:t>d</w:t>
      </w:r>
      <w:r w:rsidR="00421520" w:rsidRPr="00B73B7F">
        <w:t xml:space="preserve"> </w:t>
      </w:r>
      <w:r w:rsidR="00B73B7F" w:rsidRPr="00B73B7F">
        <w:t xml:space="preserve">Excludes people who did not state their Indigenous status. </w:t>
      </w:r>
      <w:r w:rsidR="00B73B7F" w:rsidRPr="00B73B7F">
        <w:rPr>
          <w:rStyle w:val="NoteLabel"/>
        </w:rPr>
        <w:t>e</w:t>
      </w:r>
      <w:r w:rsidR="00B73B7F" w:rsidRPr="00B73B7F">
        <w:t xml:space="preserve"> Australia includes ‘Other Territories’. </w:t>
      </w:r>
      <w:r w:rsidR="00B73B7F" w:rsidRPr="00B73B7F">
        <w:rPr>
          <w:rStyle w:val="NoteLabel"/>
        </w:rPr>
        <w:t>f</w:t>
      </w:r>
      <w:r w:rsidR="00122D26" w:rsidRPr="00B73B7F">
        <w:rPr>
          <w:rStyle w:val="NoteLabel"/>
        </w:rPr>
        <w:t xml:space="preserve"> </w:t>
      </w:r>
      <w:r w:rsidR="00122D26" w:rsidRPr="00B73B7F">
        <w:t xml:space="preserve">While there are no sampling data quality issues associated with Census data (for example, confidence intervals), there are other forms of non-sampling data quality issues </w:t>
      </w:r>
      <w:r w:rsidR="00455727" w:rsidRPr="00B73B7F">
        <w:t xml:space="preserve">such as undercounting </w:t>
      </w:r>
      <w:r w:rsidR="00122D26" w:rsidRPr="00B73B7F">
        <w:t>that need to be taken into account when interpreting data.</w:t>
      </w:r>
    </w:p>
    <w:p w:rsidR="007C4908" w:rsidRPr="00FF6A19" w:rsidRDefault="007C4908" w:rsidP="007C4908">
      <w:pPr>
        <w:pStyle w:val="Source"/>
        <w:keepNext/>
      </w:pPr>
      <w:r>
        <w:rPr>
          <w:i/>
        </w:rPr>
        <w:t>Source</w:t>
      </w:r>
      <w:r w:rsidRPr="00167F06">
        <w:t xml:space="preserve">: </w:t>
      </w:r>
      <w:r w:rsidRPr="00FF6A19">
        <w:t xml:space="preserve">ABS (unpublished) </w:t>
      </w:r>
      <w:r w:rsidR="00EA151D">
        <w:rPr>
          <w:i/>
        </w:rPr>
        <w:t>2011 Census of Population and Housing</w:t>
      </w:r>
      <w:r w:rsidRPr="00FF6A19">
        <w:t>; table BA.</w:t>
      </w:r>
      <w:r w:rsidR="00361D70">
        <w:t>3</w:t>
      </w:r>
      <w:r w:rsidR="004715A5">
        <w:t>4</w:t>
      </w:r>
      <w:r w:rsidRPr="00FF6A19">
        <w:t>.</w:t>
      </w:r>
    </w:p>
    <w:p w:rsidR="00381586" w:rsidRDefault="00381586" w:rsidP="00540202">
      <w:pPr>
        <w:pStyle w:val="BodyText"/>
      </w:pPr>
      <w:r w:rsidRPr="00B83948">
        <w:t xml:space="preserve">The proportion of </w:t>
      </w:r>
      <w:r w:rsidR="00223019" w:rsidRPr="00B83948">
        <w:t xml:space="preserve">the </w:t>
      </w:r>
      <w:r w:rsidRPr="00B83948">
        <w:t>population</w:t>
      </w:r>
      <w:r w:rsidR="00455727">
        <w:t xml:space="preserve"> who have completed year </w:t>
      </w:r>
      <w:r w:rsidRPr="00B83948">
        <w:t>12 or equivalent</w:t>
      </w:r>
      <w:r w:rsidR="00BC3C99">
        <w:t>, or gained a qualification at C</w:t>
      </w:r>
      <w:r w:rsidRPr="00B83948">
        <w:t>ertificate level II</w:t>
      </w:r>
      <w:r w:rsidR="00281E24" w:rsidRPr="00B83948">
        <w:t xml:space="preserve"> or above</w:t>
      </w:r>
      <w:r w:rsidRPr="00B83948">
        <w:t xml:space="preserve"> are presented </w:t>
      </w:r>
      <w:r w:rsidR="00B23EEE" w:rsidRPr="00B83948">
        <w:t>f</w:t>
      </w:r>
      <w:r w:rsidR="003118A5" w:rsidRPr="00B83948">
        <w:t>o</w:t>
      </w:r>
      <w:r w:rsidR="00E041E3" w:rsidRPr="00B83948">
        <w:t>r 20</w:t>
      </w:r>
      <w:r w:rsidR="00FC0D40" w:rsidRPr="00B83948">
        <w:t>–</w:t>
      </w:r>
      <w:r w:rsidR="00EA151D" w:rsidRPr="00B83948">
        <w:t>2</w:t>
      </w:r>
      <w:r w:rsidR="00E041E3" w:rsidRPr="00B83948">
        <w:t>4 year olds</w:t>
      </w:r>
      <w:r w:rsidR="00455727">
        <w:t>, by Indigenous status,</w:t>
      </w:r>
      <w:r w:rsidR="00E041E3" w:rsidRPr="00B83948">
        <w:t xml:space="preserve"> in</w:t>
      </w:r>
      <w:r w:rsidR="00657B66" w:rsidRPr="00B83948">
        <w:t xml:space="preserve"> table BA.</w:t>
      </w:r>
      <w:r w:rsidR="00361D70">
        <w:t>3</w:t>
      </w:r>
      <w:r w:rsidR="004715A5">
        <w:t>4</w:t>
      </w:r>
      <w:r w:rsidR="00B23EEE" w:rsidRPr="00B83948">
        <w:t>. Similar data are presented by so</w:t>
      </w:r>
      <w:r w:rsidR="003118A5" w:rsidRPr="00B83948">
        <w:t>cioeconomic status in table BA.</w:t>
      </w:r>
      <w:r w:rsidR="00634EAD" w:rsidRPr="00B83948">
        <w:t>3</w:t>
      </w:r>
      <w:r w:rsidR="004715A5">
        <w:t>5</w:t>
      </w:r>
      <w:r w:rsidR="00D019B2" w:rsidRPr="00B83948">
        <w:t xml:space="preserve"> (Survey of Education and Work data</w:t>
      </w:r>
      <w:r w:rsidR="00EA151D" w:rsidRPr="00B83948">
        <w:t xml:space="preserve"> for 20-24 year olds and 20</w:t>
      </w:r>
      <w:r w:rsidR="00EA151D" w:rsidRPr="00B83948">
        <w:noBreakHyphen/>
        <w:t>64 year olds</w:t>
      </w:r>
      <w:r w:rsidR="00D019B2" w:rsidRPr="00B83948">
        <w:t>) and BA.</w:t>
      </w:r>
      <w:r w:rsidR="00623EEF">
        <w:t>3</w:t>
      </w:r>
      <w:r w:rsidR="004715A5">
        <w:t>6</w:t>
      </w:r>
      <w:r w:rsidR="00D019B2" w:rsidRPr="00B83948">
        <w:t xml:space="preserve"> (Census data</w:t>
      </w:r>
      <w:r w:rsidR="00EA151D" w:rsidRPr="00B83948">
        <w:t xml:space="preserve"> for 20-24 year olds</w:t>
      </w:r>
      <w:r w:rsidR="00D019B2" w:rsidRPr="00B83948">
        <w:t>)</w:t>
      </w:r>
      <w:r w:rsidR="00B23EEE" w:rsidRPr="00B83948">
        <w:t>.</w:t>
      </w:r>
    </w:p>
    <w:p w:rsidR="00B10673" w:rsidRDefault="00B10673" w:rsidP="00773D0B">
      <w:pPr>
        <w:pStyle w:val="BodyText"/>
        <w:rPr>
          <w:rStyle w:val="DraftingNote"/>
          <w:b w:val="0"/>
          <w:i/>
          <w:color w:val="auto"/>
          <w:sz w:val="26"/>
          <w:u w:val="none"/>
        </w:rPr>
      </w:pPr>
      <w:r>
        <w:rPr>
          <w:rStyle w:val="DraftingNote"/>
          <w:b w:val="0"/>
          <w:color w:val="auto"/>
          <w:sz w:val="26"/>
          <w:u w:val="none"/>
        </w:rPr>
        <w:br w:type="page"/>
      </w:r>
    </w:p>
    <w:p w:rsidR="00075A4E" w:rsidRDefault="00075A4E" w:rsidP="00896D17">
      <w:pPr>
        <w:pStyle w:val="Heading5"/>
        <w:rPr>
          <w:rStyle w:val="DraftingNote"/>
          <w:b w:val="0"/>
          <w:color w:val="auto"/>
          <w:sz w:val="26"/>
          <w:u w:val="none"/>
        </w:rPr>
      </w:pPr>
      <w:r>
        <w:rPr>
          <w:rStyle w:val="DraftingNote"/>
          <w:b w:val="0"/>
          <w:color w:val="auto"/>
          <w:sz w:val="26"/>
          <w:u w:val="none"/>
        </w:rPr>
        <w:lastRenderedPageBreak/>
        <w:t xml:space="preserve">Completion of year 12 or equivalent, or </w:t>
      </w:r>
      <w:r w:rsidR="003F74DD">
        <w:rPr>
          <w:rStyle w:val="DraftingNote"/>
          <w:b w:val="0"/>
          <w:color w:val="auto"/>
          <w:sz w:val="26"/>
          <w:u w:val="none"/>
        </w:rPr>
        <w:t>C</w:t>
      </w:r>
      <w:r>
        <w:rPr>
          <w:rStyle w:val="DraftingNote"/>
          <w:b w:val="0"/>
          <w:color w:val="auto"/>
          <w:sz w:val="26"/>
          <w:u w:val="none"/>
        </w:rPr>
        <w:t>ertificate level III or above</w:t>
      </w:r>
    </w:p>
    <w:p w:rsidR="00290C1D" w:rsidRDefault="00290C1D" w:rsidP="00364A60">
      <w:pPr>
        <w:pStyle w:val="BodyText"/>
      </w:pPr>
      <w:r w:rsidRPr="00FF6A19">
        <w:t>Nationally in 201</w:t>
      </w:r>
      <w:r w:rsidR="00207704">
        <w:t>2</w:t>
      </w:r>
      <w:r w:rsidR="00FC0D40">
        <w:t xml:space="preserve">, </w:t>
      </w:r>
      <w:r w:rsidR="00D950FA">
        <w:t>84.6</w:t>
      </w:r>
      <w:r w:rsidR="00FC0D40">
        <w:t xml:space="preserve"> per cent of</w:t>
      </w:r>
      <w:r w:rsidRPr="00FF6A19">
        <w:t xml:space="preserve"> 20</w:t>
      </w:r>
      <w:r w:rsidR="00FC0D40">
        <w:t>–</w:t>
      </w:r>
      <w:r w:rsidRPr="00FF6A19">
        <w:t xml:space="preserve">24 year olds had achieved year 12 or a </w:t>
      </w:r>
      <w:r w:rsidR="00BC3C99">
        <w:t>C</w:t>
      </w:r>
      <w:r w:rsidRPr="00FF6A19">
        <w:t xml:space="preserve">ertificate III or above. </w:t>
      </w:r>
      <w:r w:rsidR="00E041E3">
        <w:t>This figure varied</w:t>
      </w:r>
      <w:r w:rsidRPr="00FF6A19">
        <w:t xml:space="preserve"> a</w:t>
      </w:r>
      <w:r w:rsidR="003118A5" w:rsidRPr="00FF6A19">
        <w:t xml:space="preserve">cross jurisdictions </w:t>
      </w:r>
      <w:r w:rsidR="00E041E3">
        <w:t>(</w:t>
      </w:r>
      <w:r w:rsidR="00740F28">
        <w:t xml:space="preserve">figure </w:t>
      </w:r>
      <w:r w:rsidR="00CA426B">
        <w:t>B.18</w:t>
      </w:r>
      <w:r w:rsidR="00E041E3">
        <w:t>)</w:t>
      </w:r>
      <w:r w:rsidR="006E2877" w:rsidRPr="00FF6A19">
        <w:t>.</w:t>
      </w:r>
    </w:p>
    <w:p w:rsidR="00740F28" w:rsidRPr="00B85340" w:rsidRDefault="00740F28" w:rsidP="00364A60">
      <w:pPr>
        <w:pStyle w:val="FigureTitle"/>
      </w:pPr>
      <w:r>
        <w:rPr>
          <w:b w:val="0"/>
        </w:rPr>
        <w:t xml:space="preserve">Figure </w:t>
      </w:r>
      <w:r w:rsidR="00CA426B">
        <w:rPr>
          <w:b w:val="0"/>
        </w:rPr>
        <w:t>B.18</w:t>
      </w:r>
      <w:r>
        <w:tab/>
      </w:r>
      <w:r w:rsidRPr="005C27FA">
        <w:t xml:space="preserve">Proportion </w:t>
      </w:r>
      <w:r>
        <w:t xml:space="preserve">of </w:t>
      </w:r>
      <w:r w:rsidRPr="005C27FA">
        <w:t>20-24 year olds who have achieved year 12 or equivalent o</w:t>
      </w:r>
      <w:r w:rsidR="003F74DD">
        <w:t>r C</w:t>
      </w:r>
      <w:r>
        <w:t>ertificate III or above, 201</w:t>
      </w:r>
      <w:r w:rsidR="00207704">
        <w:t>2</w:t>
      </w:r>
      <w:r w:rsidRPr="005C0AA8">
        <w:rPr>
          <w:rStyle w:val="NoteLabel"/>
          <w:b/>
        </w:rPr>
        <w:t>a, b, c, d</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740F28" w:rsidTr="00D73236">
        <w:tc>
          <w:tcPr>
            <w:tcW w:w="8777" w:type="dxa"/>
          </w:tcPr>
          <w:p w:rsidR="00740F28" w:rsidRDefault="00D73236" w:rsidP="00364A60">
            <w:pPr>
              <w:pStyle w:val="Figure"/>
            </w:pPr>
            <w:r>
              <w:rPr>
                <w:noProof/>
              </w:rPr>
              <w:drawing>
                <wp:inline distT="0" distB="0" distL="0" distR="0" wp14:anchorId="07EBDB52" wp14:editId="7E499C39">
                  <wp:extent cx="5400000" cy="2520000"/>
                  <wp:effectExtent l="0" t="0" r="0" b="0"/>
                  <wp:docPr id="9" name="Chart 9" descr="Figure B.18 Proportion of 20-24 year olds who have achieved year 12 or equivalent or Certificate III or above, 2012&#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tc>
      </w:tr>
    </w:tbl>
    <w:p w:rsidR="00740F28" w:rsidRPr="00851B29" w:rsidRDefault="00740F28" w:rsidP="00364A60">
      <w:pPr>
        <w:pStyle w:val="Note"/>
        <w:rPr>
          <w:szCs w:val="18"/>
        </w:rPr>
      </w:pPr>
      <w:proofErr w:type="spellStart"/>
      <w:r w:rsidRPr="005C27FA">
        <w:rPr>
          <w:rStyle w:val="NoteLabel"/>
        </w:rPr>
        <w:t>a</w:t>
      </w:r>
      <w:proofErr w:type="spellEnd"/>
      <w:r w:rsidRPr="005C27FA">
        <w:t xml:space="preserve"> Error bars represent the 95 per cent confidence interval associated with each point estimate. </w:t>
      </w:r>
      <w:r w:rsidRPr="005C27FA">
        <w:rPr>
          <w:rStyle w:val="NoteLabel"/>
        </w:rPr>
        <w:t>b</w:t>
      </w:r>
      <w:r w:rsidRPr="005C27FA">
        <w:t xml:space="preserve"> People aged 20–24 years</w:t>
      </w:r>
      <w:r w:rsidR="002A3ABC">
        <w:t xml:space="preserve"> who have completed year 12 or C</w:t>
      </w:r>
      <w:r w:rsidRPr="005C27FA">
        <w:t xml:space="preserve">ertificate III or above includes </w:t>
      </w:r>
      <w:r w:rsidR="00BC3C99">
        <w:t>C</w:t>
      </w:r>
      <w:r w:rsidRPr="005C27FA">
        <w:t xml:space="preserve">ertificate I or II </w:t>
      </w:r>
      <w:proofErr w:type="spellStart"/>
      <w:r w:rsidRPr="005C27FA">
        <w:t>nfd</w:t>
      </w:r>
      <w:proofErr w:type="spellEnd"/>
      <w:r w:rsidRPr="005C27FA">
        <w:t xml:space="preserve"> but excludes people with a </w:t>
      </w:r>
      <w:r w:rsidR="002A3ABC">
        <w:t>C</w:t>
      </w:r>
      <w:r w:rsidRPr="005C27FA">
        <w:t xml:space="preserve">ertificate </w:t>
      </w:r>
      <w:proofErr w:type="spellStart"/>
      <w:r w:rsidRPr="005C27FA">
        <w:t>nfd</w:t>
      </w:r>
      <w:proofErr w:type="spellEnd"/>
      <w:r w:rsidRPr="005C27FA">
        <w:t xml:space="preserve"> and people whose level of non-school qualification could not be determined.</w:t>
      </w:r>
      <w:r w:rsidRPr="005C27FA">
        <w:sym w:font="Symbol" w:char="F020"/>
      </w:r>
      <w:r w:rsidRPr="005C27FA">
        <w:rPr>
          <w:rStyle w:val="NoteLabel"/>
        </w:rPr>
        <w:t xml:space="preserve"> c </w:t>
      </w:r>
      <w:r w:rsidRPr="005C27FA">
        <w:t xml:space="preserve">Proportions are determined using the number of students educated in the jurisdiction divided by the estimated resident population for the jurisdiction in the age group. In some cases students are educated in a different jurisdiction to their place of residence. These students are counted in their jurisdiction of education for the numerator (number of students educated in the jurisdiction) and their jurisdiction of residence for the denominator (estimated resident population). </w:t>
      </w:r>
      <w:r w:rsidRPr="005C27FA">
        <w:rPr>
          <w:rStyle w:val="NoteLabel"/>
        </w:rPr>
        <w:t>d</w:t>
      </w:r>
      <w:r w:rsidRPr="005C27FA">
        <w:t> </w:t>
      </w:r>
      <w:r w:rsidR="008A54D3" w:rsidRPr="00B42E3B">
        <w:t>The ABS Survey of Education and Work is not conducted in Indigenous communities in very remote areas, which affects the comparability of NT results</w:t>
      </w:r>
      <w:r w:rsidR="008A54D3">
        <w:t xml:space="preserve"> as these communities account for around 15 per cent of the NT population.</w:t>
      </w:r>
    </w:p>
    <w:p w:rsidR="00D23AE7" w:rsidRDefault="00740F28" w:rsidP="00146551">
      <w:pPr>
        <w:pStyle w:val="Source"/>
      </w:pPr>
      <w:r>
        <w:rPr>
          <w:i/>
        </w:rPr>
        <w:t>Source</w:t>
      </w:r>
      <w:r w:rsidRPr="00167F06">
        <w:t xml:space="preserve">: </w:t>
      </w:r>
      <w:r>
        <w:t>ABS (20</w:t>
      </w:r>
      <w:r w:rsidR="00281E24">
        <w:t>1</w:t>
      </w:r>
      <w:r w:rsidR="00054F00">
        <w:t>3</w:t>
      </w:r>
      <w:r w:rsidRPr="00C61A16">
        <w:t xml:space="preserve">) </w:t>
      </w:r>
      <w:r w:rsidRPr="00C61A16">
        <w:rPr>
          <w:i/>
        </w:rPr>
        <w:t>Education and Work, 20</w:t>
      </w:r>
      <w:r w:rsidR="00FD5C67">
        <w:rPr>
          <w:i/>
        </w:rPr>
        <w:t>1</w:t>
      </w:r>
      <w:r w:rsidR="002732DF">
        <w:rPr>
          <w:i/>
        </w:rPr>
        <w:t>2</w:t>
      </w:r>
      <w:r w:rsidR="00657B66">
        <w:t>, Cat. no. 6227.0; table BA.</w:t>
      </w:r>
      <w:r w:rsidR="00623EEF">
        <w:t>3</w:t>
      </w:r>
      <w:r w:rsidR="004715A5">
        <w:t>7</w:t>
      </w:r>
      <w:r w:rsidR="00146551">
        <w:t>.</w:t>
      </w:r>
    </w:p>
    <w:p w:rsidR="002D0590" w:rsidRPr="00883821" w:rsidRDefault="002732DF" w:rsidP="00883821">
      <w:pPr>
        <w:pStyle w:val="BodyText"/>
        <w:rPr>
          <w:rStyle w:val="DraftingNote"/>
          <w:b w:val="0"/>
          <w:color w:val="auto"/>
          <w:sz w:val="26"/>
          <w:u w:val="none"/>
        </w:rPr>
      </w:pPr>
      <w:r w:rsidRPr="00883821">
        <w:rPr>
          <w:rStyle w:val="DraftingNote"/>
          <w:b w:val="0"/>
          <w:color w:val="auto"/>
          <w:sz w:val="26"/>
          <w:u w:val="none"/>
        </w:rPr>
        <w:t xml:space="preserve">Data from the 2006 </w:t>
      </w:r>
      <w:r w:rsidR="00443FA8" w:rsidRPr="00883821">
        <w:rPr>
          <w:rStyle w:val="DraftingNote"/>
          <w:b w:val="0"/>
          <w:color w:val="auto"/>
          <w:sz w:val="26"/>
          <w:u w:val="none"/>
        </w:rPr>
        <w:t>a</w:t>
      </w:r>
      <w:r w:rsidR="00DE4896" w:rsidRPr="00883821">
        <w:rPr>
          <w:rStyle w:val="DraftingNote"/>
          <w:b w:val="0"/>
          <w:color w:val="auto"/>
          <w:sz w:val="26"/>
          <w:u w:val="none"/>
        </w:rPr>
        <w:t>nd 2011 Census indicate</w:t>
      </w:r>
      <w:r w:rsidRPr="00883821">
        <w:rPr>
          <w:rStyle w:val="DraftingNote"/>
          <w:b w:val="0"/>
          <w:color w:val="auto"/>
          <w:sz w:val="26"/>
          <w:u w:val="none"/>
        </w:rPr>
        <w:t xml:space="preserve"> that t</w:t>
      </w:r>
      <w:r w:rsidR="008927AC" w:rsidRPr="00883821">
        <w:rPr>
          <w:rStyle w:val="DraftingNote"/>
          <w:b w:val="0"/>
          <w:color w:val="auto"/>
          <w:sz w:val="26"/>
          <w:u w:val="none"/>
        </w:rPr>
        <w:t xml:space="preserve">he proportion of the 20-24 year old population having attained at least a year 12 or equivalent, or </w:t>
      </w:r>
      <w:proofErr w:type="spellStart"/>
      <w:r w:rsidR="008927AC" w:rsidRPr="00883821">
        <w:rPr>
          <w:rStyle w:val="DraftingNote"/>
          <w:b w:val="0"/>
          <w:color w:val="auto"/>
          <w:sz w:val="26"/>
          <w:u w:val="none"/>
        </w:rPr>
        <w:t>AQF</w:t>
      </w:r>
      <w:proofErr w:type="spellEnd"/>
      <w:r w:rsidR="008927AC" w:rsidRPr="00883821">
        <w:rPr>
          <w:rStyle w:val="DraftingNote"/>
          <w:b w:val="0"/>
          <w:color w:val="auto"/>
          <w:sz w:val="26"/>
          <w:u w:val="none"/>
        </w:rPr>
        <w:t xml:space="preserve"> </w:t>
      </w:r>
      <w:r w:rsidR="00BC3C99" w:rsidRPr="00883821">
        <w:rPr>
          <w:rStyle w:val="DraftingNote"/>
          <w:b w:val="0"/>
          <w:color w:val="auto"/>
          <w:sz w:val="26"/>
          <w:u w:val="none"/>
        </w:rPr>
        <w:t>Certificate </w:t>
      </w:r>
      <w:r w:rsidR="008927AC" w:rsidRPr="00883821">
        <w:rPr>
          <w:rStyle w:val="DraftingNote"/>
          <w:b w:val="0"/>
          <w:color w:val="auto"/>
          <w:sz w:val="26"/>
          <w:u w:val="none"/>
        </w:rPr>
        <w:t>III or above</w:t>
      </w:r>
      <w:r w:rsidR="000D759B" w:rsidRPr="00883821">
        <w:rPr>
          <w:rStyle w:val="DraftingNote"/>
          <w:b w:val="0"/>
          <w:color w:val="auto"/>
          <w:sz w:val="26"/>
          <w:u w:val="none"/>
        </w:rPr>
        <w:t>,</w:t>
      </w:r>
      <w:r w:rsidR="008927AC" w:rsidRPr="00883821">
        <w:rPr>
          <w:rStyle w:val="DraftingNote"/>
          <w:b w:val="0"/>
          <w:color w:val="auto"/>
          <w:sz w:val="26"/>
          <w:u w:val="none"/>
        </w:rPr>
        <w:t xml:space="preserve"> increased </w:t>
      </w:r>
      <w:r w:rsidRPr="00883821">
        <w:rPr>
          <w:rStyle w:val="DraftingNote"/>
          <w:b w:val="0"/>
          <w:color w:val="auto"/>
          <w:sz w:val="26"/>
          <w:u w:val="none"/>
        </w:rPr>
        <w:t>from</w:t>
      </w:r>
      <w:r w:rsidR="008927AC" w:rsidRPr="00883821">
        <w:rPr>
          <w:rStyle w:val="DraftingNote"/>
          <w:b w:val="0"/>
          <w:color w:val="auto"/>
          <w:sz w:val="26"/>
          <w:u w:val="none"/>
        </w:rPr>
        <w:t xml:space="preserve"> 81.9 per cent</w:t>
      </w:r>
      <w:r w:rsidR="00455727" w:rsidRPr="00883821">
        <w:rPr>
          <w:rStyle w:val="DraftingNote"/>
          <w:b w:val="0"/>
          <w:color w:val="auto"/>
          <w:sz w:val="26"/>
          <w:u w:val="none"/>
        </w:rPr>
        <w:t xml:space="preserve"> in 2006</w:t>
      </w:r>
      <w:r w:rsidR="008927AC" w:rsidRPr="00883821">
        <w:rPr>
          <w:rStyle w:val="DraftingNote"/>
          <w:b w:val="0"/>
          <w:color w:val="auto"/>
          <w:sz w:val="26"/>
          <w:u w:val="none"/>
        </w:rPr>
        <w:t xml:space="preserve"> </w:t>
      </w:r>
      <w:r w:rsidRPr="00883821">
        <w:rPr>
          <w:rStyle w:val="DraftingNote"/>
          <w:b w:val="0"/>
          <w:color w:val="auto"/>
          <w:sz w:val="26"/>
          <w:u w:val="none"/>
        </w:rPr>
        <w:t xml:space="preserve">to </w:t>
      </w:r>
      <w:r w:rsidR="008927AC" w:rsidRPr="00883821">
        <w:rPr>
          <w:rStyle w:val="DraftingNote"/>
          <w:b w:val="0"/>
          <w:color w:val="auto"/>
          <w:sz w:val="26"/>
          <w:u w:val="none"/>
        </w:rPr>
        <w:t>84.2 per cent</w:t>
      </w:r>
      <w:r w:rsidR="00455727" w:rsidRPr="00883821">
        <w:rPr>
          <w:rStyle w:val="DraftingNote"/>
          <w:b w:val="0"/>
          <w:color w:val="auto"/>
          <w:sz w:val="26"/>
          <w:u w:val="none"/>
        </w:rPr>
        <w:t xml:space="preserve"> in 2011</w:t>
      </w:r>
      <w:r w:rsidRPr="00883821">
        <w:rPr>
          <w:rStyle w:val="DraftingNote"/>
          <w:b w:val="0"/>
          <w:color w:val="auto"/>
          <w:sz w:val="26"/>
          <w:u w:val="none"/>
        </w:rPr>
        <w:t xml:space="preserve"> (figure </w:t>
      </w:r>
      <w:r w:rsidR="00CA426B" w:rsidRPr="00883821">
        <w:rPr>
          <w:rStyle w:val="DraftingNote"/>
          <w:b w:val="0"/>
          <w:color w:val="auto"/>
          <w:sz w:val="26"/>
          <w:u w:val="none"/>
        </w:rPr>
        <w:t>B.19</w:t>
      </w:r>
      <w:r w:rsidR="008927AC" w:rsidRPr="00883821">
        <w:rPr>
          <w:rStyle w:val="DraftingNote"/>
          <w:b w:val="0"/>
          <w:color w:val="auto"/>
          <w:sz w:val="26"/>
          <w:u w:val="none"/>
        </w:rPr>
        <w:t>).</w:t>
      </w:r>
      <w:r w:rsidR="0002095F" w:rsidRPr="00883821">
        <w:rPr>
          <w:rStyle w:val="DraftingNote"/>
          <w:b w:val="0"/>
          <w:color w:val="auto"/>
          <w:sz w:val="26"/>
          <w:u w:val="none"/>
        </w:rPr>
        <w:t xml:space="preserve"> </w:t>
      </w:r>
    </w:p>
    <w:p w:rsidR="008927AC" w:rsidRPr="000E5F6D" w:rsidRDefault="008927AC" w:rsidP="00364A60">
      <w:pPr>
        <w:pStyle w:val="FigureTitle"/>
        <w:rPr>
          <w:rStyle w:val="NoteLabel"/>
          <w:b/>
        </w:rPr>
      </w:pPr>
      <w:r w:rsidRPr="00B83948">
        <w:rPr>
          <w:b w:val="0"/>
        </w:rPr>
        <w:lastRenderedPageBreak/>
        <w:t xml:space="preserve">Figure </w:t>
      </w:r>
      <w:r w:rsidR="00CA426B" w:rsidRPr="00B83948">
        <w:rPr>
          <w:b w:val="0"/>
        </w:rPr>
        <w:t>B.19</w:t>
      </w:r>
      <w:r w:rsidRPr="00B83948">
        <w:tab/>
        <w:t xml:space="preserve">Proportion of 20-24 year olds who have achieved year 12 or equivalent or </w:t>
      </w:r>
      <w:r w:rsidR="00BC3C99">
        <w:t>C</w:t>
      </w:r>
      <w:r w:rsidRPr="00B83948">
        <w:t xml:space="preserve">ertificate III or above </w:t>
      </w:r>
      <w:r w:rsidRPr="00B83948">
        <w:rPr>
          <w:rStyle w:val="NoteLabel"/>
          <w:b/>
        </w:rPr>
        <w:t>a, b, c, d</w:t>
      </w:r>
      <w:r w:rsidR="00122D26" w:rsidRPr="00B83948">
        <w:rPr>
          <w:rStyle w:val="NoteLabel"/>
          <w:b/>
        </w:rPr>
        <w:t>, e</w:t>
      </w:r>
    </w:p>
    <w:tbl>
      <w:tblPr>
        <w:tblW w:w="0" w:type="auto"/>
        <w:tblInd w:w="119" w:type="dxa"/>
        <w:tblBorders>
          <w:top w:val="single" w:sz="4" w:space="0" w:color="auto"/>
          <w:bottom w:val="single" w:sz="4" w:space="0" w:color="auto"/>
        </w:tblBorders>
        <w:tblLayout w:type="fixed"/>
        <w:tblLook w:val="0000" w:firstRow="0" w:lastRow="0" w:firstColumn="0" w:lastColumn="0" w:noHBand="0" w:noVBand="0"/>
      </w:tblPr>
      <w:tblGrid>
        <w:gridCol w:w="8777"/>
      </w:tblGrid>
      <w:tr w:rsidR="008927AC" w:rsidTr="005D0840">
        <w:tc>
          <w:tcPr>
            <w:tcW w:w="8777" w:type="dxa"/>
          </w:tcPr>
          <w:p w:rsidR="008927AC" w:rsidRDefault="00703909" w:rsidP="00364A60">
            <w:pPr>
              <w:pStyle w:val="Figure"/>
            </w:pPr>
            <w:r>
              <w:rPr>
                <w:noProof/>
              </w:rPr>
              <w:drawing>
                <wp:inline distT="0" distB="0" distL="0" distR="0" wp14:anchorId="15D94A31" wp14:editId="4BFFEABB">
                  <wp:extent cx="5404514" cy="2497541"/>
                  <wp:effectExtent l="0" t="0" r="5715" b="0"/>
                  <wp:docPr id="35" name="Chart 35" descr="Figure B.19 Proportion of 20-24 year olds who have achieved year 12 or equivalent or Certificate III or above&#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tc>
      </w:tr>
    </w:tbl>
    <w:p w:rsidR="008927AC" w:rsidRPr="00A53DDE" w:rsidRDefault="008927AC" w:rsidP="00364A60">
      <w:pPr>
        <w:pStyle w:val="Note"/>
        <w:rPr>
          <w:szCs w:val="18"/>
        </w:rPr>
      </w:pPr>
      <w:r w:rsidRPr="005C27FA">
        <w:rPr>
          <w:rStyle w:val="NoteLabel"/>
        </w:rPr>
        <w:t>a</w:t>
      </w:r>
      <w:r w:rsidRPr="005C27FA">
        <w:t> </w:t>
      </w:r>
      <w:r w:rsidR="00294C89" w:rsidRPr="00294C89">
        <w:t xml:space="preserve">Certificate III level or above excludes 'Certificate </w:t>
      </w:r>
      <w:proofErr w:type="spellStart"/>
      <w:r w:rsidR="00294C89" w:rsidRPr="00294C89">
        <w:t>nfd</w:t>
      </w:r>
      <w:proofErr w:type="spellEnd"/>
      <w:r w:rsidR="00294C89" w:rsidRPr="00294C89">
        <w:t>'.</w:t>
      </w:r>
      <w:r w:rsidR="00294C89" w:rsidRPr="00294C89">
        <w:rPr>
          <w:rStyle w:val="NoteLabel"/>
        </w:rPr>
        <w:t>b</w:t>
      </w:r>
      <w:r w:rsidR="00294C89">
        <w:t xml:space="preserve"> </w:t>
      </w:r>
      <w:r w:rsidR="00294C89" w:rsidRPr="00294C89">
        <w:t xml:space="preserve">People who did not state if they had a </w:t>
      </w:r>
      <w:proofErr w:type="spellStart"/>
      <w:r w:rsidR="00294C89" w:rsidRPr="00294C89">
        <w:t>non­school</w:t>
      </w:r>
      <w:proofErr w:type="spellEnd"/>
      <w:r w:rsidR="00294C89" w:rsidRPr="00294C89">
        <w:t xml:space="preserve"> qualification (or whose level of education was inadequately described) and did not have year 12, are excluded from the calculation (numerator and </w:t>
      </w:r>
      <w:r w:rsidR="00294C89" w:rsidRPr="00A53DDE">
        <w:t xml:space="preserve">denominator). People who did not state their highest year of school and did not have a qualification at Certificate III level or above, are also excluded. </w:t>
      </w:r>
      <w:r w:rsidR="00294C89" w:rsidRPr="00A53DDE">
        <w:rPr>
          <w:rStyle w:val="NoteLabel"/>
        </w:rPr>
        <w:t>c</w:t>
      </w:r>
      <w:r w:rsidR="00294C89" w:rsidRPr="00A53DDE">
        <w:t xml:space="preserve"> People who are not stated or inadequately described to both highest year of school and </w:t>
      </w:r>
      <w:proofErr w:type="spellStart"/>
      <w:r w:rsidR="00294C89" w:rsidRPr="00A53DDE">
        <w:t>non­school</w:t>
      </w:r>
      <w:proofErr w:type="spellEnd"/>
      <w:r w:rsidR="00294C89" w:rsidRPr="00A53DDE">
        <w:t xml:space="preserve"> qualification are excluded. </w:t>
      </w:r>
      <w:r w:rsidR="00294C89" w:rsidRPr="00A53DDE">
        <w:rPr>
          <w:rStyle w:val="NoteLabel"/>
        </w:rPr>
        <w:t>d</w:t>
      </w:r>
      <w:r w:rsidR="00294C89" w:rsidRPr="00A53DDE">
        <w:t xml:space="preserve"> 'Australia includes 'Other Territories'.</w:t>
      </w:r>
      <w:r w:rsidR="00122D26" w:rsidRPr="00A53DDE">
        <w:t xml:space="preserve"> </w:t>
      </w:r>
      <w:r w:rsidR="00122D26" w:rsidRPr="00A53DDE">
        <w:rPr>
          <w:rStyle w:val="NoteLabel"/>
        </w:rPr>
        <w:t>e</w:t>
      </w:r>
      <w:r w:rsidR="00122D26" w:rsidRPr="00A53DDE">
        <w:t xml:space="preserve"> While there are no sampling data quality issues associated with Census data (for example, confidence intervals), there are other forms of non-sampling data quality issues </w:t>
      </w:r>
      <w:r w:rsidR="00455727" w:rsidRPr="00A53DDE">
        <w:t xml:space="preserve">such as undercounting </w:t>
      </w:r>
      <w:r w:rsidR="00122D26" w:rsidRPr="00A53DDE">
        <w:t>that need to be taken into account when interpreting data.</w:t>
      </w:r>
    </w:p>
    <w:p w:rsidR="008927AC" w:rsidRDefault="008927AC" w:rsidP="00364A60">
      <w:pPr>
        <w:pStyle w:val="Source"/>
      </w:pPr>
      <w:r w:rsidRPr="00A53DDE">
        <w:rPr>
          <w:i/>
        </w:rPr>
        <w:t>Source</w:t>
      </w:r>
      <w:r w:rsidRPr="00A53DDE">
        <w:t>: ABS (unpublished) 2011 Census of Population and Housing; ABS</w:t>
      </w:r>
      <w:r w:rsidRPr="008927AC">
        <w:t xml:space="preserve"> (unpublished) 2006 Census of Population and Housing;</w:t>
      </w:r>
      <w:r>
        <w:rPr>
          <w:i/>
        </w:rPr>
        <w:t xml:space="preserve"> </w:t>
      </w:r>
      <w:r>
        <w:t>table B</w:t>
      </w:r>
      <w:r w:rsidRPr="002732DF">
        <w:t>A.</w:t>
      </w:r>
      <w:r w:rsidR="00623EEF">
        <w:t>3</w:t>
      </w:r>
      <w:r w:rsidR="004715A5">
        <w:t>8</w:t>
      </w:r>
      <w:r>
        <w:t>.</w:t>
      </w:r>
    </w:p>
    <w:p w:rsidR="00B10673" w:rsidRPr="00490B2F" w:rsidRDefault="00B10673" w:rsidP="00364A60">
      <w:pPr>
        <w:pStyle w:val="BodyText"/>
        <w:rPr>
          <w:rStyle w:val="DraftingNote"/>
          <w:b w:val="0"/>
          <w:color w:val="auto"/>
          <w:sz w:val="26"/>
          <w:u w:val="none"/>
        </w:rPr>
      </w:pPr>
      <w:r w:rsidRPr="00490B2F">
        <w:rPr>
          <w:rStyle w:val="DraftingNote"/>
          <w:b w:val="0"/>
          <w:color w:val="auto"/>
          <w:sz w:val="26"/>
          <w:u w:val="none"/>
        </w:rPr>
        <w:t xml:space="preserve">Data from the 2006 and 2011 Census indicate that the proportion of the 20-64 year old population having attained at least a year 12 or equivalent, or </w:t>
      </w:r>
      <w:proofErr w:type="spellStart"/>
      <w:r w:rsidRPr="00490B2F">
        <w:rPr>
          <w:rStyle w:val="DraftingNote"/>
          <w:b w:val="0"/>
          <w:color w:val="auto"/>
          <w:sz w:val="26"/>
          <w:u w:val="none"/>
        </w:rPr>
        <w:t>AQF</w:t>
      </w:r>
      <w:proofErr w:type="spellEnd"/>
      <w:r w:rsidRPr="00490B2F">
        <w:rPr>
          <w:rStyle w:val="DraftingNote"/>
          <w:b w:val="0"/>
          <w:color w:val="auto"/>
          <w:sz w:val="26"/>
          <w:u w:val="none"/>
        </w:rPr>
        <w:t xml:space="preserve"> Certificate III or above, increased from 48.3 per cent in 2006 to 54.2 per cent in 2011 (figure B.20).</w:t>
      </w:r>
    </w:p>
    <w:p w:rsidR="00B10673" w:rsidRPr="000E5F6D" w:rsidRDefault="00B10673" w:rsidP="00B10673">
      <w:pPr>
        <w:pStyle w:val="FigureTitle"/>
        <w:rPr>
          <w:rStyle w:val="NoteLabel"/>
          <w:b/>
        </w:rPr>
      </w:pPr>
      <w:r w:rsidRPr="00B83948">
        <w:rPr>
          <w:b w:val="0"/>
        </w:rPr>
        <w:lastRenderedPageBreak/>
        <w:t>Figure B.2</w:t>
      </w:r>
      <w:r>
        <w:rPr>
          <w:b w:val="0"/>
        </w:rPr>
        <w:t>0</w:t>
      </w:r>
      <w:r w:rsidRPr="00B83948">
        <w:tab/>
        <w:t xml:space="preserve">Proportion of 20-64 year olds who have achieved year 12 or equivalent or </w:t>
      </w:r>
      <w:r>
        <w:t>C</w:t>
      </w:r>
      <w:r w:rsidRPr="00B83948">
        <w:t>ertificate III or above</w:t>
      </w:r>
      <w:r w:rsidRPr="00B83948">
        <w:rPr>
          <w:rStyle w:val="NoteLabel"/>
          <w:b/>
        </w:rPr>
        <w:t>a, b, c, d, e</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B10673" w:rsidTr="00FD58E2">
        <w:tc>
          <w:tcPr>
            <w:tcW w:w="8777" w:type="dxa"/>
          </w:tcPr>
          <w:p w:rsidR="00B10673" w:rsidRDefault="00B10673" w:rsidP="00FD58E2">
            <w:pPr>
              <w:pStyle w:val="Figure"/>
            </w:pPr>
            <w:r>
              <w:rPr>
                <w:noProof/>
              </w:rPr>
              <w:drawing>
                <wp:inline distT="0" distB="0" distL="0" distR="0" wp14:anchorId="1EB9DA8F" wp14:editId="5B026CF9">
                  <wp:extent cx="5400000" cy="2520000"/>
                  <wp:effectExtent l="0" t="0" r="0" b="0"/>
                  <wp:docPr id="37" name="Chart 37" descr="Figure B.20 Proportion of 20-64 year olds who have achieved year 12 or equivalent or Certificate III or above&#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tc>
      </w:tr>
    </w:tbl>
    <w:p w:rsidR="00B10673" w:rsidRPr="00851B29" w:rsidRDefault="00B10673" w:rsidP="00B10673">
      <w:pPr>
        <w:pStyle w:val="Note"/>
        <w:rPr>
          <w:szCs w:val="18"/>
        </w:rPr>
      </w:pPr>
      <w:r w:rsidRPr="005C27FA">
        <w:rPr>
          <w:rStyle w:val="NoteLabel"/>
        </w:rPr>
        <w:t>a</w:t>
      </w:r>
      <w:r w:rsidRPr="005C27FA">
        <w:t> </w:t>
      </w:r>
      <w:r w:rsidRPr="00294C89">
        <w:t xml:space="preserve">Certificate III level or above excludes 'Certificate </w:t>
      </w:r>
      <w:proofErr w:type="spellStart"/>
      <w:r w:rsidRPr="00294C89">
        <w:t>nfd</w:t>
      </w:r>
      <w:proofErr w:type="spellEnd"/>
      <w:r w:rsidRPr="00294C89">
        <w:t>'.</w:t>
      </w:r>
      <w:r>
        <w:t xml:space="preserve"> </w:t>
      </w:r>
      <w:r w:rsidRPr="00294C89">
        <w:rPr>
          <w:rStyle w:val="NoteLabel"/>
        </w:rPr>
        <w:t>b</w:t>
      </w:r>
      <w:r>
        <w:t xml:space="preserve"> </w:t>
      </w:r>
      <w:r w:rsidRPr="00294C89">
        <w:t xml:space="preserve">People who did not state if they had a </w:t>
      </w:r>
      <w:proofErr w:type="spellStart"/>
      <w:r w:rsidRPr="00294C89">
        <w:t>non­school</w:t>
      </w:r>
      <w:proofErr w:type="spellEnd"/>
      <w:r w:rsidRPr="00294C89">
        <w:t xml:space="preserve"> qualification (or whose level of education was inadequately described) and did not have year 12, are excluded from the calculation (numerator and denominator). People who did not state their highest year of school and did not have a qualification at </w:t>
      </w:r>
      <w:r w:rsidRPr="00A53DDE">
        <w:t xml:space="preserve">Certificate III level or above, are also excluded. </w:t>
      </w:r>
      <w:r w:rsidRPr="00A53DDE">
        <w:rPr>
          <w:rStyle w:val="NoteLabel"/>
        </w:rPr>
        <w:t>c</w:t>
      </w:r>
      <w:r w:rsidRPr="00A53DDE">
        <w:t xml:space="preserve"> People who are not stated or inadequately described to both highest year of school and </w:t>
      </w:r>
      <w:proofErr w:type="spellStart"/>
      <w:r w:rsidRPr="00A53DDE">
        <w:t>non­school</w:t>
      </w:r>
      <w:proofErr w:type="spellEnd"/>
      <w:r w:rsidRPr="00A53DDE">
        <w:t xml:space="preserve"> qualification are excluded. </w:t>
      </w:r>
      <w:r w:rsidRPr="00A53DDE">
        <w:rPr>
          <w:rStyle w:val="NoteLabel"/>
        </w:rPr>
        <w:t>d</w:t>
      </w:r>
      <w:r w:rsidRPr="00A53DDE">
        <w:t xml:space="preserve"> 'Australia includes 'Other Territories'. </w:t>
      </w:r>
      <w:r w:rsidRPr="00A53DDE">
        <w:rPr>
          <w:rStyle w:val="NoteLabel"/>
        </w:rPr>
        <w:t>e</w:t>
      </w:r>
      <w:r w:rsidRPr="00A53DDE">
        <w:t xml:space="preserve"> While there are no sampling data quality issues associated with Census data (for example, confidence intervals), there are other forms of non-sampling data quality issues such as undercounting that need to be taken into account when interpreting data.</w:t>
      </w:r>
    </w:p>
    <w:p w:rsidR="00B10673" w:rsidRDefault="00B10673" w:rsidP="00B10673">
      <w:pPr>
        <w:pStyle w:val="Source"/>
      </w:pPr>
      <w:r>
        <w:rPr>
          <w:i/>
        </w:rPr>
        <w:t>Source</w:t>
      </w:r>
      <w:r w:rsidRPr="00167F06">
        <w:t xml:space="preserve">: </w:t>
      </w:r>
      <w:r>
        <w:t>ABS (unpublished</w:t>
      </w:r>
      <w:r w:rsidRPr="00C61A16">
        <w:t>)</w:t>
      </w:r>
      <w:r w:rsidRPr="008927AC">
        <w:t xml:space="preserve"> 2011 Census of Population and Housing; ABS (unpublished) 2006 Census of Population and Housing;</w:t>
      </w:r>
      <w:r>
        <w:rPr>
          <w:i/>
        </w:rPr>
        <w:t xml:space="preserve"> </w:t>
      </w:r>
      <w:r>
        <w:t>tabl</w:t>
      </w:r>
      <w:r w:rsidRPr="002732DF">
        <w:t>e BA.</w:t>
      </w:r>
      <w:r>
        <w:t>40.</w:t>
      </w:r>
    </w:p>
    <w:p w:rsidR="00B10673" w:rsidRPr="00C51003" w:rsidRDefault="00B10673" w:rsidP="00C51003">
      <w:pPr>
        <w:pStyle w:val="BodyText"/>
        <w:rPr>
          <w:rStyle w:val="DraftingNote"/>
          <w:b w:val="0"/>
          <w:color w:val="auto"/>
          <w:sz w:val="26"/>
          <w:u w:val="none"/>
        </w:rPr>
      </w:pPr>
      <w:r w:rsidRPr="00C51003">
        <w:rPr>
          <w:rStyle w:val="DraftingNote"/>
          <w:b w:val="0"/>
          <w:color w:val="auto"/>
          <w:sz w:val="26"/>
          <w:u w:val="none"/>
        </w:rPr>
        <w:br w:type="page"/>
      </w:r>
    </w:p>
    <w:p w:rsidR="00175D20" w:rsidRPr="00D30E74" w:rsidRDefault="00175D20" w:rsidP="00175D20">
      <w:pPr>
        <w:pStyle w:val="Heading5"/>
        <w:rPr>
          <w:rStyle w:val="DraftingNote"/>
          <w:b w:val="0"/>
          <w:color w:val="auto"/>
          <w:sz w:val="26"/>
          <w:u w:val="none"/>
        </w:rPr>
      </w:pPr>
      <w:r w:rsidRPr="00D30E74">
        <w:rPr>
          <w:rStyle w:val="DraftingNote"/>
          <w:b w:val="0"/>
          <w:color w:val="auto"/>
          <w:sz w:val="26"/>
          <w:u w:val="none"/>
        </w:rPr>
        <w:lastRenderedPageBreak/>
        <w:t xml:space="preserve">Population </w:t>
      </w:r>
      <w:r w:rsidR="002F003B" w:rsidRPr="00D30E74">
        <w:rPr>
          <w:rStyle w:val="DraftingNote"/>
          <w:b w:val="0"/>
          <w:color w:val="auto"/>
          <w:sz w:val="26"/>
          <w:u w:val="none"/>
        </w:rPr>
        <w:t xml:space="preserve">with </w:t>
      </w:r>
      <w:r w:rsidRPr="00D30E74">
        <w:rPr>
          <w:rStyle w:val="DraftingNote"/>
          <w:b w:val="0"/>
          <w:color w:val="auto"/>
          <w:sz w:val="26"/>
          <w:u w:val="none"/>
        </w:rPr>
        <w:t>qualifications</w:t>
      </w:r>
      <w:r w:rsidR="003F74DD" w:rsidRPr="00D30E74">
        <w:rPr>
          <w:rStyle w:val="DraftingNote"/>
          <w:b w:val="0"/>
          <w:color w:val="auto"/>
          <w:sz w:val="26"/>
          <w:u w:val="none"/>
        </w:rPr>
        <w:t xml:space="preserve"> at or above C</w:t>
      </w:r>
      <w:r w:rsidRPr="00D30E74">
        <w:rPr>
          <w:rStyle w:val="DraftingNote"/>
          <w:b w:val="0"/>
          <w:color w:val="auto"/>
          <w:sz w:val="26"/>
          <w:u w:val="none"/>
        </w:rPr>
        <w:t>ertificate III (by Indigenous status)</w:t>
      </w:r>
    </w:p>
    <w:p w:rsidR="00540202" w:rsidRPr="00D30E74" w:rsidRDefault="002F003B" w:rsidP="007C4908">
      <w:pPr>
        <w:pStyle w:val="BodyText"/>
      </w:pPr>
      <w:r w:rsidRPr="00D30E74">
        <w:t>Nationally</w:t>
      </w:r>
      <w:r w:rsidR="00FC0D40" w:rsidRPr="00D30E74">
        <w:t>, in 201</w:t>
      </w:r>
      <w:r w:rsidR="002732DF" w:rsidRPr="00D30E74">
        <w:t>2</w:t>
      </w:r>
      <w:r w:rsidR="00FC0D40" w:rsidRPr="00D30E74">
        <w:t>,</w:t>
      </w:r>
      <w:r w:rsidRPr="00D30E74">
        <w:t xml:space="preserve"> </w:t>
      </w:r>
      <w:r w:rsidR="007765F9" w:rsidRPr="00D30E74">
        <w:t>58.1</w:t>
      </w:r>
      <w:r w:rsidR="00281E24" w:rsidRPr="00D30E74">
        <w:t> per </w:t>
      </w:r>
      <w:r w:rsidR="00540202" w:rsidRPr="00D30E74">
        <w:t xml:space="preserve">cent of the population aged </w:t>
      </w:r>
      <w:r w:rsidR="007765F9" w:rsidRPr="00D30E74">
        <w:t>20</w:t>
      </w:r>
      <w:r w:rsidR="00FC0D40" w:rsidRPr="00D30E74">
        <w:t>–</w:t>
      </w:r>
      <w:r w:rsidR="00540202" w:rsidRPr="00D30E74">
        <w:t xml:space="preserve">64 years </w:t>
      </w:r>
      <w:r w:rsidRPr="00D30E74">
        <w:t xml:space="preserve">had attained </w:t>
      </w:r>
      <w:r w:rsidR="003F74DD" w:rsidRPr="00D30E74">
        <w:t>a qualification at or above C</w:t>
      </w:r>
      <w:r w:rsidR="00540202" w:rsidRPr="00D30E74">
        <w:t xml:space="preserve">ertificate III (figure </w:t>
      </w:r>
      <w:r w:rsidR="00CA426B" w:rsidRPr="00D30E74">
        <w:t>B.2</w:t>
      </w:r>
      <w:r w:rsidR="00B10673" w:rsidRPr="00D30E74">
        <w:t>1</w:t>
      </w:r>
      <w:r w:rsidR="00540202" w:rsidRPr="00D30E74">
        <w:t>).</w:t>
      </w:r>
    </w:p>
    <w:p w:rsidR="004D092F" w:rsidRPr="00B44D6F" w:rsidRDefault="004D092F">
      <w:pPr>
        <w:pStyle w:val="FigureTitle"/>
      </w:pPr>
      <w:r w:rsidRPr="00D30E74">
        <w:rPr>
          <w:b w:val="0"/>
        </w:rPr>
        <w:t xml:space="preserve">Figure </w:t>
      </w:r>
      <w:r w:rsidR="00CA426B" w:rsidRPr="00D30E74">
        <w:rPr>
          <w:b w:val="0"/>
        </w:rPr>
        <w:t>B.2</w:t>
      </w:r>
      <w:r w:rsidR="00B10673" w:rsidRPr="00D30E74">
        <w:rPr>
          <w:b w:val="0"/>
        </w:rPr>
        <w:t>1</w:t>
      </w:r>
      <w:r w:rsidRPr="00D30E74">
        <w:tab/>
        <w:t>P</w:t>
      </w:r>
      <w:r w:rsidR="00175D20" w:rsidRPr="00D30E74">
        <w:t xml:space="preserve">roportion of </w:t>
      </w:r>
      <w:r w:rsidR="007765F9" w:rsidRPr="00D30E74">
        <w:t>20</w:t>
      </w:r>
      <w:r w:rsidR="00175D20" w:rsidRPr="00D30E74">
        <w:t xml:space="preserve">-64 year olds </w:t>
      </w:r>
      <w:r w:rsidR="002F003B" w:rsidRPr="00D30E74">
        <w:t xml:space="preserve">with </w:t>
      </w:r>
      <w:r w:rsidR="00175D20" w:rsidRPr="00D30E74">
        <w:t>qualification</w:t>
      </w:r>
      <w:r w:rsidR="002F003B" w:rsidRPr="00D30E74">
        <w:t>s</w:t>
      </w:r>
      <w:r w:rsidR="00175D20" w:rsidRPr="00D30E74">
        <w:t xml:space="preserve"> at or above </w:t>
      </w:r>
      <w:r w:rsidR="003F74DD" w:rsidRPr="00D30E74">
        <w:t>C</w:t>
      </w:r>
      <w:r w:rsidR="00175D20" w:rsidRPr="00D30E74">
        <w:t>ertificate III</w:t>
      </w:r>
      <w:r w:rsidR="002F003B" w:rsidRPr="00D30E74">
        <w:t>, 201</w:t>
      </w:r>
      <w:r w:rsidR="002732DF" w:rsidRPr="00D30E74">
        <w:t>2</w:t>
      </w:r>
      <w:r w:rsidR="0097301A" w:rsidRPr="00D30E74">
        <w:rPr>
          <w:rStyle w:val="NoteLabel"/>
          <w:b/>
        </w:rPr>
        <w:t xml:space="preserve"> a</w:t>
      </w:r>
      <w:r w:rsidR="006A5E8B" w:rsidRPr="00D30E74">
        <w:rPr>
          <w:rStyle w:val="NoteLabel"/>
          <w:b/>
        </w:rPr>
        <w:t>, b</w:t>
      </w:r>
    </w:p>
    <w:tbl>
      <w:tblPr>
        <w:tblW w:w="0" w:type="auto"/>
        <w:tblInd w:w="119" w:type="dxa"/>
        <w:tblBorders>
          <w:top w:val="single" w:sz="4" w:space="0" w:color="auto"/>
          <w:bottom w:val="single" w:sz="4" w:space="0" w:color="auto"/>
        </w:tblBorders>
        <w:tblLayout w:type="fixed"/>
        <w:tblLook w:val="0000" w:firstRow="0" w:lastRow="0" w:firstColumn="0" w:lastColumn="0" w:noHBand="0" w:noVBand="0"/>
      </w:tblPr>
      <w:tblGrid>
        <w:gridCol w:w="8777"/>
      </w:tblGrid>
      <w:tr w:rsidR="004D092F" w:rsidTr="005D0840">
        <w:tc>
          <w:tcPr>
            <w:tcW w:w="8777" w:type="dxa"/>
          </w:tcPr>
          <w:p w:rsidR="004D092F" w:rsidRDefault="007765F9">
            <w:pPr>
              <w:pStyle w:val="Figure"/>
            </w:pPr>
            <w:r>
              <w:rPr>
                <w:noProof/>
              </w:rPr>
              <w:drawing>
                <wp:inline distT="0" distB="0" distL="0" distR="0" wp14:anchorId="071B822C" wp14:editId="455D932C">
                  <wp:extent cx="5400675" cy="2524125"/>
                  <wp:effectExtent l="0" t="0" r="0" b="0"/>
                  <wp:docPr id="15" name="Chart 15" descr="Figure B.21 Proportion of 20-64 year olds with qualifications at or above Certificate III, 2012&#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tc>
      </w:tr>
    </w:tbl>
    <w:p w:rsidR="004D092F" w:rsidRDefault="004D092F" w:rsidP="005B1170">
      <w:pPr>
        <w:pStyle w:val="Note"/>
      </w:pPr>
      <w:proofErr w:type="spellStart"/>
      <w:r>
        <w:rPr>
          <w:rStyle w:val="NoteLabel"/>
        </w:rPr>
        <w:t>a</w:t>
      </w:r>
      <w:proofErr w:type="spellEnd"/>
      <w:r>
        <w:sym w:font="Symbol" w:char="F020"/>
      </w:r>
      <w:r w:rsidR="0097301A">
        <w:t> </w:t>
      </w:r>
      <w:r w:rsidR="008A54D3" w:rsidRPr="00B42E3B">
        <w:t>The ABS Survey of Education and Work is not conducted in Indigenous communities in very remote areas, which affects the comparability of NT results</w:t>
      </w:r>
      <w:r w:rsidR="008A54D3">
        <w:t xml:space="preserve"> as these communities account for around 15 per cent of the NT population.</w:t>
      </w:r>
      <w:r w:rsidR="006A5E8B">
        <w:t xml:space="preserve"> </w:t>
      </w:r>
      <w:r w:rsidR="006A5E8B">
        <w:rPr>
          <w:rStyle w:val="NoteLabel"/>
        </w:rPr>
        <w:t>b</w:t>
      </w:r>
      <w:r w:rsidR="006A5E8B">
        <w:sym w:font="Symbol" w:char="F020"/>
      </w:r>
      <w:r w:rsidR="006A5E8B">
        <w:t xml:space="preserve">  </w:t>
      </w:r>
      <w:r w:rsidR="006A5E8B" w:rsidRPr="006A5E8B">
        <w:t>'Cert</w:t>
      </w:r>
      <w:r w:rsidR="005D527E">
        <w:t>ificate III or above' includes C</w:t>
      </w:r>
      <w:r w:rsidR="006A5E8B" w:rsidRPr="006A5E8B">
        <w:t xml:space="preserve">ertificate III, IV, </w:t>
      </w:r>
      <w:r w:rsidR="005D527E">
        <w:t>D</w:t>
      </w:r>
      <w:r w:rsidR="006A5E8B" w:rsidRPr="006A5E8B">
        <w:t xml:space="preserve">iploma, </w:t>
      </w:r>
      <w:r w:rsidR="005D527E">
        <w:t>A</w:t>
      </w:r>
      <w:r w:rsidR="006A5E8B" w:rsidRPr="006A5E8B">
        <w:t xml:space="preserve">dvanced </w:t>
      </w:r>
      <w:r w:rsidR="005D527E">
        <w:t>D</w:t>
      </w:r>
      <w:r w:rsidR="006A5E8B" w:rsidRPr="006A5E8B">
        <w:t xml:space="preserve">iploma, </w:t>
      </w:r>
      <w:r w:rsidR="0054209C" w:rsidRPr="006A5E8B">
        <w:t>bachelor’s</w:t>
      </w:r>
      <w:r w:rsidR="006A5E8B" w:rsidRPr="006A5E8B">
        <w:t xml:space="preserve"> degree and above. Persons whose level of non-school qualification is determined to be </w:t>
      </w:r>
      <w:r w:rsidR="005D527E">
        <w:t>C</w:t>
      </w:r>
      <w:r w:rsidR="006A5E8B" w:rsidRPr="006A5E8B">
        <w:t>ertificate level but is not able to be further defined (i</w:t>
      </w:r>
      <w:r w:rsidR="003F74DD">
        <w:t>.</w:t>
      </w:r>
      <w:r w:rsidR="006A5E8B" w:rsidRPr="006A5E8B">
        <w:t>e</w:t>
      </w:r>
      <w:r w:rsidR="003F74DD">
        <w:t>.</w:t>
      </w:r>
      <w:r w:rsidR="006A5E8B" w:rsidRPr="006A5E8B">
        <w:t xml:space="preserve">, Certificate </w:t>
      </w:r>
      <w:proofErr w:type="spellStart"/>
      <w:r w:rsidR="006A5E8B" w:rsidRPr="006A5E8B">
        <w:t>nfd</w:t>
      </w:r>
      <w:proofErr w:type="spellEnd"/>
      <w:r w:rsidR="006A5E8B" w:rsidRPr="006A5E8B">
        <w:t>) are assumed to have attained below Certificate level III and are therefore included in the calculations (numerator and denominator) for these data. Persons whose level of non-school qualification cannot be determined are assumed to have attained below Certificate level III and are therefore included in the calculations (numerator and denominator) for these data.</w:t>
      </w:r>
    </w:p>
    <w:p w:rsidR="004D092F" w:rsidRPr="00FF6A19" w:rsidRDefault="0097301A">
      <w:pPr>
        <w:pStyle w:val="Source"/>
      </w:pPr>
      <w:r w:rsidRPr="00FF6A19">
        <w:rPr>
          <w:i/>
        </w:rPr>
        <w:t>S</w:t>
      </w:r>
      <w:r w:rsidR="004D092F" w:rsidRPr="00FF6A19">
        <w:rPr>
          <w:i/>
        </w:rPr>
        <w:t>ource</w:t>
      </w:r>
      <w:r w:rsidR="004D092F" w:rsidRPr="00FF6A19">
        <w:t xml:space="preserve">: </w:t>
      </w:r>
      <w:r w:rsidR="002F003B">
        <w:t>ABS (201</w:t>
      </w:r>
      <w:r w:rsidR="00054F00">
        <w:t>3</w:t>
      </w:r>
      <w:r w:rsidR="004C6DC3" w:rsidRPr="00FF6A19">
        <w:t xml:space="preserve">) </w:t>
      </w:r>
      <w:r w:rsidR="004C6DC3" w:rsidRPr="00054F00">
        <w:rPr>
          <w:i/>
        </w:rPr>
        <w:t>Education and Work, 201</w:t>
      </w:r>
      <w:r w:rsidR="002732DF" w:rsidRPr="00054F00">
        <w:rPr>
          <w:i/>
        </w:rPr>
        <w:t>2</w:t>
      </w:r>
      <w:r w:rsidR="004C6DC3" w:rsidRPr="00054F00">
        <w:rPr>
          <w:i/>
        </w:rPr>
        <w:t>,</w:t>
      </w:r>
      <w:r w:rsidR="004C6DC3" w:rsidRPr="00FF6A19">
        <w:t xml:space="preserve"> Cat. no. 6227.0; </w:t>
      </w:r>
      <w:r w:rsidR="00D15368">
        <w:t xml:space="preserve">Table </w:t>
      </w:r>
      <w:r w:rsidR="00657B66">
        <w:t>BA.</w:t>
      </w:r>
      <w:r w:rsidR="00623EEF">
        <w:t>3</w:t>
      </w:r>
      <w:r w:rsidR="004715A5">
        <w:t>9</w:t>
      </w:r>
      <w:r w:rsidR="00D15368">
        <w:t>.</w:t>
      </w:r>
    </w:p>
    <w:p w:rsidR="00AE2C1B" w:rsidRDefault="00B23EEE" w:rsidP="00207ABE">
      <w:pPr>
        <w:pStyle w:val="BodyText"/>
      </w:pPr>
      <w:r w:rsidRPr="00FF6A19">
        <w:t xml:space="preserve">Additional age categories on the proportion of population </w:t>
      </w:r>
      <w:r w:rsidR="002F003B">
        <w:t xml:space="preserve">with </w:t>
      </w:r>
      <w:r w:rsidRPr="00FF6A19">
        <w:t xml:space="preserve">qualifications at or above </w:t>
      </w:r>
      <w:r w:rsidR="003F74DD">
        <w:t>C</w:t>
      </w:r>
      <w:r w:rsidRPr="00FF6A19">
        <w:t>ertificate III are pr</w:t>
      </w:r>
      <w:r w:rsidR="00657B66">
        <w:t xml:space="preserve">esented </w:t>
      </w:r>
      <w:r w:rsidR="00D15368">
        <w:t xml:space="preserve">in </w:t>
      </w:r>
      <w:r w:rsidR="00657B66">
        <w:t>table BA.3</w:t>
      </w:r>
      <w:r w:rsidR="004715A5">
        <w:t>9</w:t>
      </w:r>
      <w:r w:rsidR="00EB3ACE" w:rsidRPr="00FF6A19">
        <w:t>.</w:t>
      </w:r>
    </w:p>
    <w:p w:rsidR="00D60DD8" w:rsidRPr="000E5F6D" w:rsidRDefault="00FC0D40" w:rsidP="00175D20">
      <w:pPr>
        <w:pStyle w:val="BodyText"/>
      </w:pPr>
      <w:r>
        <w:t>Nationally, in 2</w:t>
      </w:r>
      <w:r w:rsidR="002732DF">
        <w:t>011</w:t>
      </w:r>
      <w:r>
        <w:t xml:space="preserve">, </w:t>
      </w:r>
      <w:r w:rsidR="002732DF">
        <w:t>29.6</w:t>
      </w:r>
      <w:r>
        <w:t xml:space="preserve"> per cent of Indigenous 20–64 </w:t>
      </w:r>
      <w:r w:rsidR="002F003B">
        <w:t xml:space="preserve">year olds </w:t>
      </w:r>
      <w:r>
        <w:t xml:space="preserve">had </w:t>
      </w:r>
      <w:r w:rsidRPr="00FF6A19">
        <w:t>qualification</w:t>
      </w:r>
      <w:r>
        <w:t xml:space="preserve">s at or above a </w:t>
      </w:r>
      <w:r w:rsidR="003F74DD">
        <w:t>C</w:t>
      </w:r>
      <w:r>
        <w:t xml:space="preserve">ertificate III, compared with </w:t>
      </w:r>
      <w:r w:rsidR="002732DF">
        <w:t>54.8</w:t>
      </w:r>
      <w:r w:rsidR="00455727">
        <w:t xml:space="preserve"> per </w:t>
      </w:r>
      <w:r w:rsidR="00175D20">
        <w:t xml:space="preserve">cent </w:t>
      </w:r>
      <w:r>
        <w:t xml:space="preserve">of non-Indigenous </w:t>
      </w:r>
      <w:r w:rsidR="002732DF">
        <w:br/>
      </w:r>
      <w:r>
        <w:t>20–64 year olds</w:t>
      </w:r>
      <w:r w:rsidR="00175D20">
        <w:t xml:space="preserve"> </w:t>
      </w:r>
      <w:r w:rsidR="00175D20" w:rsidRPr="00CD33DD">
        <w:t>(figure</w:t>
      </w:r>
      <w:r w:rsidR="00175D20">
        <w:t xml:space="preserve"> </w:t>
      </w:r>
      <w:r w:rsidR="00CA426B">
        <w:t>B.22</w:t>
      </w:r>
      <w:r w:rsidR="005468DE">
        <w:t>).</w:t>
      </w:r>
    </w:p>
    <w:p w:rsidR="007C4908" w:rsidRPr="003D707A" w:rsidRDefault="007C4908" w:rsidP="007C4908">
      <w:pPr>
        <w:pStyle w:val="FigureTitle"/>
      </w:pPr>
      <w:r>
        <w:rPr>
          <w:b w:val="0"/>
        </w:rPr>
        <w:lastRenderedPageBreak/>
        <w:t xml:space="preserve">Figure </w:t>
      </w:r>
      <w:r w:rsidR="00CA426B">
        <w:rPr>
          <w:b w:val="0"/>
        </w:rPr>
        <w:t>B.22</w:t>
      </w:r>
      <w:r>
        <w:tab/>
        <w:t>Proportion of 20</w:t>
      </w:r>
      <w:r>
        <w:rPr>
          <w:rFonts w:cs="Arial"/>
        </w:rPr>
        <w:t>–</w:t>
      </w:r>
      <w:r>
        <w:t xml:space="preserve">64 year olds </w:t>
      </w:r>
      <w:r w:rsidR="002F003B">
        <w:t xml:space="preserve">with </w:t>
      </w:r>
      <w:r w:rsidRPr="00471238">
        <w:t xml:space="preserve">qualifications at or above </w:t>
      </w:r>
      <w:r w:rsidR="003F74DD">
        <w:t>C</w:t>
      </w:r>
      <w:r w:rsidRPr="00471238">
        <w:t>ertificate III, by Indigenous status, 20</w:t>
      </w:r>
      <w:r w:rsidR="002732DF">
        <w:t>11</w:t>
      </w:r>
      <w:r w:rsidRPr="00471238">
        <w:rPr>
          <w:rStyle w:val="NoteLabel"/>
          <w:b/>
        </w:rPr>
        <w:t>a, b, c, d, e</w:t>
      </w:r>
      <w:r w:rsidR="00122D26">
        <w:rPr>
          <w:rStyle w:val="NoteLabel"/>
          <w:b/>
        </w:rPr>
        <w:t>, f</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7C4908" w:rsidTr="00A53DDE">
        <w:tc>
          <w:tcPr>
            <w:tcW w:w="8777" w:type="dxa"/>
          </w:tcPr>
          <w:p w:rsidR="007C4908" w:rsidRDefault="00A53DDE" w:rsidP="008F141E">
            <w:pPr>
              <w:pStyle w:val="Figure"/>
            </w:pPr>
            <w:r>
              <w:rPr>
                <w:noProof/>
              </w:rPr>
              <w:drawing>
                <wp:inline distT="0" distB="0" distL="0" distR="0" wp14:anchorId="31E3D9E0" wp14:editId="0D2A2684">
                  <wp:extent cx="5400000" cy="2700000"/>
                  <wp:effectExtent l="0" t="0" r="0" b="5715"/>
                  <wp:docPr id="27" name="Chart 27" descr="Figure B.22 Proportion of 20-64 year olds with qualifications at or above Certificate III, by Indigenous status, 2011&#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tc>
      </w:tr>
    </w:tbl>
    <w:p w:rsidR="008A54D3" w:rsidRPr="009278F9" w:rsidRDefault="007C4908" w:rsidP="005B1170">
      <w:pPr>
        <w:pStyle w:val="Note"/>
      </w:pPr>
      <w:r w:rsidRPr="005C27FA">
        <w:rPr>
          <w:rStyle w:val="NoteLabel"/>
        </w:rPr>
        <w:t>a</w:t>
      </w:r>
      <w:r w:rsidRPr="005C27FA">
        <w:t xml:space="preserve"> </w:t>
      </w:r>
      <w:r w:rsidR="000A314F">
        <w:t xml:space="preserve">Working age population is defined as people aged 20-64 years. </w:t>
      </w:r>
      <w:r w:rsidR="000A314F" w:rsidRPr="009278F9">
        <w:rPr>
          <w:rStyle w:val="NoteLabel"/>
        </w:rPr>
        <w:t>b</w:t>
      </w:r>
      <w:r w:rsidR="000A314F">
        <w:t xml:space="preserve"> People whose level of non-school qualification was recorded as Certificate </w:t>
      </w:r>
      <w:proofErr w:type="spellStart"/>
      <w:r w:rsidR="000A314F">
        <w:t>nfd</w:t>
      </w:r>
      <w:proofErr w:type="spellEnd"/>
      <w:r w:rsidR="000A314F">
        <w:t xml:space="preserve"> or inadequately described are assumed to have attained below Certificate level III and are therefore excluded from the numerator, but included in the denominator for this indicator. </w:t>
      </w:r>
      <w:r w:rsidR="000A314F" w:rsidRPr="009278F9">
        <w:rPr>
          <w:rStyle w:val="NoteLabel"/>
        </w:rPr>
        <w:t>c</w:t>
      </w:r>
      <w:r w:rsidR="000A314F">
        <w:t xml:space="preserve"> Not stated responses are excluded from the calculations (</w:t>
      </w:r>
      <w:r w:rsidR="000A314F" w:rsidRPr="009278F9">
        <w:t xml:space="preserve">numerator and denominator). </w:t>
      </w:r>
      <w:r w:rsidR="000A314F" w:rsidRPr="009278F9">
        <w:rPr>
          <w:rStyle w:val="NoteLabel"/>
        </w:rPr>
        <w:t>d</w:t>
      </w:r>
      <w:r w:rsidR="000A314F" w:rsidRPr="009278F9">
        <w:t xml:space="preserve"> Australia includes ‘Other Territories’. </w:t>
      </w:r>
      <w:r w:rsidR="000A314F" w:rsidRPr="009278F9">
        <w:rPr>
          <w:rStyle w:val="NoteLabel"/>
        </w:rPr>
        <w:t>e</w:t>
      </w:r>
      <w:r w:rsidR="000A314F" w:rsidRPr="009278F9">
        <w:t xml:space="preserve"> Excludes people who did not state their Indigenous status. </w:t>
      </w:r>
      <w:r w:rsidR="00122D26" w:rsidRPr="009278F9">
        <w:rPr>
          <w:rStyle w:val="NoteLabel"/>
        </w:rPr>
        <w:t xml:space="preserve">f </w:t>
      </w:r>
      <w:r w:rsidR="00122D26" w:rsidRPr="009278F9">
        <w:t xml:space="preserve">While there are no sampling data quality issues associated with Census data (for example, confidence intervals), there are other forms of non-sampling data quality issues </w:t>
      </w:r>
      <w:r w:rsidR="00455727" w:rsidRPr="009278F9">
        <w:t xml:space="preserve">such as undercounting </w:t>
      </w:r>
      <w:r w:rsidR="00122D26" w:rsidRPr="009278F9">
        <w:t>that need to be taken into account when interpreting data.</w:t>
      </w:r>
    </w:p>
    <w:p w:rsidR="007C4908" w:rsidRPr="00FF6A19" w:rsidRDefault="007C4908" w:rsidP="005B1170">
      <w:pPr>
        <w:pStyle w:val="Note"/>
      </w:pPr>
      <w:r w:rsidRPr="009278F9">
        <w:rPr>
          <w:i/>
        </w:rPr>
        <w:t>Source</w:t>
      </w:r>
      <w:r w:rsidRPr="009278F9">
        <w:t xml:space="preserve">: ABS (unpublished) </w:t>
      </w:r>
      <w:r w:rsidR="00B17011" w:rsidRPr="009278F9">
        <w:rPr>
          <w:i/>
        </w:rPr>
        <w:t>2011 Census of Population and Housing;</w:t>
      </w:r>
      <w:r w:rsidR="00B17011">
        <w:rPr>
          <w:i/>
        </w:rPr>
        <w:t xml:space="preserve"> </w:t>
      </w:r>
      <w:r w:rsidR="00B17011">
        <w:t xml:space="preserve">ABS (unpublished) </w:t>
      </w:r>
      <w:r w:rsidR="00B17011" w:rsidRPr="00B17011">
        <w:rPr>
          <w:i/>
        </w:rPr>
        <w:t>2006 Census of Population and Housing</w:t>
      </w:r>
      <w:r w:rsidRPr="00FF6A19">
        <w:t>; table BA.</w:t>
      </w:r>
      <w:r w:rsidR="00623EEF">
        <w:t>4</w:t>
      </w:r>
      <w:r w:rsidR="004715A5">
        <w:t>1</w:t>
      </w:r>
      <w:r w:rsidRPr="00FF6A19">
        <w:t>.</w:t>
      </w:r>
    </w:p>
    <w:p w:rsidR="005C79D1" w:rsidRPr="00751291" w:rsidRDefault="005C79D1" w:rsidP="00751291">
      <w:pPr>
        <w:pStyle w:val="BodyText"/>
      </w:pPr>
      <w:r w:rsidRPr="00751291">
        <w:rPr>
          <w:rStyle w:val="DraftingNote"/>
          <w:b w:val="0"/>
          <w:color w:val="auto"/>
          <w:sz w:val="26"/>
          <w:u w:val="none"/>
        </w:rPr>
        <w:t xml:space="preserve">Additional Census data </w:t>
      </w:r>
      <w:r w:rsidR="00BF5976" w:rsidRPr="00751291">
        <w:rPr>
          <w:rStyle w:val="DraftingNote"/>
          <w:b w:val="0"/>
          <w:color w:val="auto"/>
          <w:sz w:val="26"/>
          <w:u w:val="none"/>
        </w:rPr>
        <w:t xml:space="preserve">for 2006 and 2011 </w:t>
      </w:r>
      <w:r w:rsidRPr="00751291">
        <w:rPr>
          <w:rStyle w:val="DraftingNote"/>
          <w:b w:val="0"/>
          <w:color w:val="auto"/>
          <w:sz w:val="26"/>
          <w:u w:val="none"/>
        </w:rPr>
        <w:t>outlining the proportion of 20-64 year olds w</w:t>
      </w:r>
      <w:r w:rsidR="003F74DD" w:rsidRPr="00751291">
        <w:rPr>
          <w:rStyle w:val="DraftingNote"/>
          <w:b w:val="0"/>
          <w:color w:val="auto"/>
          <w:sz w:val="26"/>
          <w:u w:val="none"/>
        </w:rPr>
        <w:t>ith qualifications at or above C</w:t>
      </w:r>
      <w:r w:rsidRPr="00751291">
        <w:rPr>
          <w:rStyle w:val="DraftingNote"/>
          <w:b w:val="0"/>
          <w:color w:val="auto"/>
          <w:sz w:val="26"/>
          <w:u w:val="none"/>
        </w:rPr>
        <w:t>ertificate level III, by level of socioeconomic disadvantage, are presented in table BA.</w:t>
      </w:r>
      <w:r w:rsidR="00623EEF" w:rsidRPr="00751291">
        <w:rPr>
          <w:rStyle w:val="DraftingNote"/>
          <w:b w:val="0"/>
          <w:color w:val="auto"/>
          <w:sz w:val="26"/>
          <w:u w:val="none"/>
        </w:rPr>
        <w:t>4</w:t>
      </w:r>
      <w:r w:rsidR="004715A5" w:rsidRPr="00751291">
        <w:rPr>
          <w:rStyle w:val="DraftingNote"/>
          <w:b w:val="0"/>
          <w:color w:val="auto"/>
          <w:sz w:val="26"/>
          <w:u w:val="none"/>
        </w:rPr>
        <w:t>3</w:t>
      </w:r>
      <w:r w:rsidRPr="00751291">
        <w:rPr>
          <w:rStyle w:val="DraftingNote"/>
          <w:b w:val="0"/>
          <w:color w:val="auto"/>
          <w:sz w:val="26"/>
          <w:u w:val="none"/>
        </w:rPr>
        <w:t>.</w:t>
      </w:r>
    </w:p>
    <w:p w:rsidR="005C79D1" w:rsidRDefault="00EB3ACE" w:rsidP="00EB3ACE">
      <w:pPr>
        <w:pStyle w:val="BodyText"/>
      </w:pPr>
      <w:r w:rsidRPr="00FF6A19">
        <w:t>The proportion</w:t>
      </w:r>
      <w:r w:rsidR="00D15368">
        <w:t>s</w:t>
      </w:r>
      <w:r w:rsidR="002F003B">
        <w:t xml:space="preserve"> of 20</w:t>
      </w:r>
      <w:r w:rsidR="00FC0D40">
        <w:t>–</w:t>
      </w:r>
      <w:r w:rsidR="002F003B">
        <w:t>64 year olds with</w:t>
      </w:r>
      <w:r w:rsidRPr="00FF6A19">
        <w:t xml:space="preserve"> qualifications at or above </w:t>
      </w:r>
      <w:r w:rsidR="003F74DD">
        <w:t>C</w:t>
      </w:r>
      <w:r w:rsidRPr="00FF6A19">
        <w:t xml:space="preserve">ertificate III </w:t>
      </w:r>
      <w:r w:rsidR="00F06308" w:rsidRPr="00FF6A19">
        <w:t xml:space="preserve">by level of socioeconomic disadvantage (based on </w:t>
      </w:r>
      <w:proofErr w:type="spellStart"/>
      <w:r w:rsidR="00F06308" w:rsidRPr="00FF6A19">
        <w:t>SEIFA</w:t>
      </w:r>
      <w:proofErr w:type="spellEnd"/>
      <w:r w:rsidR="00F06308" w:rsidRPr="00FF6A19">
        <w:t xml:space="preserve"> </w:t>
      </w:r>
      <w:proofErr w:type="spellStart"/>
      <w:r w:rsidR="00F06308" w:rsidRPr="00FF6A19">
        <w:t>IRS</w:t>
      </w:r>
      <w:r w:rsidR="00657B66">
        <w:t>D</w:t>
      </w:r>
      <w:proofErr w:type="spellEnd"/>
      <w:r w:rsidR="00657B66">
        <w:t>), are presented in table</w:t>
      </w:r>
      <w:r w:rsidR="00FC0D40">
        <w:t> </w:t>
      </w:r>
      <w:r w:rsidR="00657B66">
        <w:t>BA.3</w:t>
      </w:r>
      <w:r w:rsidR="004715A5">
        <w:t>5</w:t>
      </w:r>
      <w:r w:rsidRPr="00FF6A19">
        <w:t>. Nationally and in all jurisdictions, in 201</w:t>
      </w:r>
      <w:r w:rsidR="002F003B">
        <w:t>1</w:t>
      </w:r>
      <w:r w:rsidRPr="00FF6A19">
        <w:t>, 20</w:t>
      </w:r>
      <w:r w:rsidR="00FC0D40">
        <w:t>–</w:t>
      </w:r>
      <w:r w:rsidRPr="00FF6A19">
        <w:t>64 year olds from geographic areas of most socioeconomic disadvantage (</w:t>
      </w:r>
      <w:proofErr w:type="spellStart"/>
      <w:r w:rsidRPr="00FF6A19">
        <w:t>SEIFA</w:t>
      </w:r>
      <w:proofErr w:type="spellEnd"/>
      <w:r w:rsidRPr="00FF6A19">
        <w:t xml:space="preserve"> </w:t>
      </w:r>
      <w:proofErr w:type="spellStart"/>
      <w:r w:rsidRPr="00FF6A19">
        <w:t>IRSD</w:t>
      </w:r>
      <w:proofErr w:type="spellEnd"/>
      <w:r w:rsidRPr="00FF6A19">
        <w:t xml:space="preserve"> Quintile 1) were </w:t>
      </w:r>
      <w:r w:rsidR="002F003B">
        <w:t xml:space="preserve">less </w:t>
      </w:r>
      <w:r w:rsidRPr="00FF6A19">
        <w:t xml:space="preserve">likely to </w:t>
      </w:r>
      <w:r w:rsidR="002F003B">
        <w:t xml:space="preserve">have </w:t>
      </w:r>
      <w:r w:rsidRPr="00FF6A19">
        <w:t xml:space="preserve">qualifications at or above a </w:t>
      </w:r>
      <w:r w:rsidR="003F74DD">
        <w:t>C</w:t>
      </w:r>
      <w:r w:rsidRPr="00FF6A19">
        <w:t>ertificate III than 20</w:t>
      </w:r>
      <w:r w:rsidR="00FC0D40">
        <w:t>–</w:t>
      </w:r>
      <w:r w:rsidRPr="00FF6A19">
        <w:t>64 year olds from geographic areas of least socioeconomic disadvantage (</w:t>
      </w:r>
      <w:proofErr w:type="spellStart"/>
      <w:r w:rsidRPr="00FF6A19">
        <w:t>SEI</w:t>
      </w:r>
      <w:r w:rsidR="00F06308" w:rsidRPr="00FF6A19">
        <w:t>FA</w:t>
      </w:r>
      <w:proofErr w:type="spellEnd"/>
      <w:r w:rsidR="00F06308" w:rsidRPr="00FF6A19">
        <w:t xml:space="preserve"> </w:t>
      </w:r>
      <w:proofErr w:type="spellStart"/>
      <w:r w:rsidR="00F06308" w:rsidRPr="00FF6A19">
        <w:t>IRSD</w:t>
      </w:r>
      <w:proofErr w:type="spellEnd"/>
      <w:r w:rsidR="00F06308" w:rsidRPr="00FF6A19">
        <w:t xml:space="preserve"> Quintile 5).</w:t>
      </w:r>
      <w:r w:rsidR="00673585">
        <w:t xml:space="preserve"> </w:t>
      </w:r>
    </w:p>
    <w:p w:rsidR="00E5325C" w:rsidRPr="00FF6A19" w:rsidRDefault="00E5325C" w:rsidP="00EB3ACE">
      <w:pPr>
        <w:pStyle w:val="BodyText"/>
      </w:pPr>
      <w:r w:rsidRPr="00FF6A19">
        <w:t>Data on the proportion</w:t>
      </w:r>
      <w:r w:rsidR="00D15368">
        <w:t>s</w:t>
      </w:r>
      <w:r w:rsidRPr="00FF6A19">
        <w:t xml:space="preserve"> of 25</w:t>
      </w:r>
      <w:r w:rsidR="00FC0D40">
        <w:t>–</w:t>
      </w:r>
      <w:r w:rsidRPr="00FF6A19">
        <w:t xml:space="preserve">29 year olds who have gained a post-secondary qualification at </w:t>
      </w:r>
      <w:r w:rsidR="003F74DD">
        <w:t>C</w:t>
      </w:r>
      <w:r w:rsidRPr="00FF6A19">
        <w:t xml:space="preserve">ertificate III </w:t>
      </w:r>
      <w:r w:rsidR="00657B66">
        <w:t>or above are shown in table BA.</w:t>
      </w:r>
      <w:r w:rsidR="00623EEF">
        <w:t>4</w:t>
      </w:r>
      <w:r w:rsidR="004715A5">
        <w:t>4</w:t>
      </w:r>
      <w:r w:rsidR="00F06308" w:rsidRPr="00FF6A19">
        <w:t>.</w:t>
      </w:r>
    </w:p>
    <w:p w:rsidR="00B10673" w:rsidRDefault="00B10673">
      <w:pPr>
        <w:rPr>
          <w:szCs w:val="20"/>
        </w:rPr>
      </w:pPr>
      <w:r>
        <w:br w:type="page"/>
      </w:r>
    </w:p>
    <w:p w:rsidR="00E5325C" w:rsidRPr="00EB3ACE" w:rsidRDefault="00F06308" w:rsidP="00EB3ACE">
      <w:pPr>
        <w:pStyle w:val="BodyText"/>
      </w:pPr>
      <w:r w:rsidRPr="00FF6A19">
        <w:lastRenderedPageBreak/>
        <w:t>The proportion</w:t>
      </w:r>
      <w:r w:rsidR="00D15368">
        <w:t>s</w:t>
      </w:r>
      <w:r w:rsidRPr="00FF6A19">
        <w:t xml:space="preserve"> of the population with or working towards a post school qualification are presented </w:t>
      </w:r>
      <w:r w:rsidR="00493DBB" w:rsidRPr="00FF6A19">
        <w:t xml:space="preserve">by Indigenous status </w:t>
      </w:r>
      <w:r w:rsidR="00657B66">
        <w:t>in table BA.</w:t>
      </w:r>
      <w:r w:rsidR="00623EEF">
        <w:t>4</w:t>
      </w:r>
      <w:r w:rsidR="004715A5">
        <w:t>5</w:t>
      </w:r>
      <w:r w:rsidRPr="00FF6A19">
        <w:t xml:space="preserve">. </w:t>
      </w:r>
      <w:r w:rsidR="00F8026E">
        <w:t>Nationally in 20</w:t>
      </w:r>
      <w:r w:rsidR="00BF5976">
        <w:t>11</w:t>
      </w:r>
      <w:r w:rsidR="00F8026E">
        <w:t xml:space="preserve">, </w:t>
      </w:r>
      <w:r w:rsidR="00BF5976">
        <w:t>40.8</w:t>
      </w:r>
      <w:r w:rsidR="00F8026E">
        <w:t xml:space="preserve"> per cent of Indigenous 20–64 year olds had, or were working towards </w:t>
      </w:r>
      <w:r w:rsidR="00F8026E" w:rsidRPr="00F67CED">
        <w:t xml:space="preserve">a </w:t>
      </w:r>
      <w:r w:rsidR="003F74DD">
        <w:t>C</w:t>
      </w:r>
      <w:r w:rsidR="00F8026E" w:rsidRPr="00F67CED">
        <w:t xml:space="preserve">ertificate III, IV, </w:t>
      </w:r>
      <w:r w:rsidR="003F74DD">
        <w:t>D</w:t>
      </w:r>
      <w:r w:rsidR="00F8026E">
        <w:t xml:space="preserve">iploma or </w:t>
      </w:r>
      <w:r w:rsidR="003F74DD">
        <w:t>A</w:t>
      </w:r>
      <w:r w:rsidR="00F8026E">
        <w:t xml:space="preserve">dvance </w:t>
      </w:r>
      <w:r w:rsidR="003F74DD">
        <w:t>D</w:t>
      </w:r>
      <w:r w:rsidR="00F8026E">
        <w:t xml:space="preserve">iploma, compared to </w:t>
      </w:r>
      <w:r w:rsidR="00BF5976">
        <w:t>64.6</w:t>
      </w:r>
      <w:r w:rsidR="00F8026E">
        <w:t xml:space="preserve"> per cent of non</w:t>
      </w:r>
      <w:r w:rsidR="00F8026E">
        <w:noBreakHyphen/>
        <w:t xml:space="preserve">Indigenous </w:t>
      </w:r>
      <w:r w:rsidR="00E5325C">
        <w:t>20-64 year olds</w:t>
      </w:r>
      <w:r w:rsidR="00493DBB" w:rsidRPr="00F67CED">
        <w:t>.</w:t>
      </w:r>
    </w:p>
    <w:p w:rsidR="00175D20" w:rsidRPr="00B83948" w:rsidRDefault="00175D20" w:rsidP="00B83948">
      <w:pPr>
        <w:pStyle w:val="Heading5"/>
      </w:pPr>
      <w:r w:rsidRPr="00B83948">
        <w:t xml:space="preserve">Achievement </w:t>
      </w:r>
      <w:r w:rsidR="007327F7" w:rsidRPr="00B83948">
        <w:rPr>
          <w:rStyle w:val="DraftingNote"/>
          <w:b w:val="0"/>
          <w:color w:val="auto"/>
          <w:sz w:val="26"/>
          <w:u w:val="none"/>
        </w:rPr>
        <w:t>of foundation skills (literacy and numeracy)</w:t>
      </w:r>
    </w:p>
    <w:p w:rsidR="00F83D44" w:rsidRPr="001F2D7B" w:rsidRDefault="00175D20" w:rsidP="00F83D44">
      <w:pPr>
        <w:pStyle w:val="BodyText"/>
      </w:pPr>
      <w:r w:rsidRPr="00B83948">
        <w:t xml:space="preserve">Data </w:t>
      </w:r>
      <w:r w:rsidR="007327F7" w:rsidRPr="00B83948">
        <w:t>for</w:t>
      </w:r>
      <w:r w:rsidR="00BF5976" w:rsidRPr="00B83948">
        <w:t xml:space="preserve"> 2011-12 for</w:t>
      </w:r>
      <w:r w:rsidR="007327F7" w:rsidRPr="00B83948">
        <w:t xml:space="preserve"> this </w:t>
      </w:r>
      <w:r w:rsidR="00BF5976" w:rsidRPr="00B83948">
        <w:t xml:space="preserve">measure </w:t>
      </w:r>
      <w:r w:rsidR="007327F7" w:rsidRPr="00B83948">
        <w:t xml:space="preserve">are sourced from the </w:t>
      </w:r>
      <w:proofErr w:type="spellStart"/>
      <w:r w:rsidR="007327F7" w:rsidRPr="00B83948">
        <w:rPr>
          <w:i/>
        </w:rPr>
        <w:t>Programme</w:t>
      </w:r>
      <w:proofErr w:type="spellEnd"/>
      <w:r w:rsidR="007327F7" w:rsidRPr="00B83948">
        <w:rPr>
          <w:i/>
        </w:rPr>
        <w:t xml:space="preserve"> for the International Assessment of Adult </w:t>
      </w:r>
      <w:r w:rsidR="007327F7" w:rsidRPr="001F2D7B">
        <w:rPr>
          <w:i/>
        </w:rPr>
        <w:t>Competencies</w:t>
      </w:r>
      <w:r w:rsidR="007327F7" w:rsidRPr="001F2D7B">
        <w:t xml:space="preserve"> (</w:t>
      </w:r>
      <w:proofErr w:type="spellStart"/>
      <w:r w:rsidR="007327F7" w:rsidRPr="001F2D7B">
        <w:t>PIAAC</w:t>
      </w:r>
      <w:proofErr w:type="spellEnd"/>
      <w:r w:rsidR="007327F7" w:rsidRPr="001F2D7B">
        <w:t xml:space="preserve">). In previous reports, this </w:t>
      </w:r>
      <w:r w:rsidR="00BF5976" w:rsidRPr="001F2D7B">
        <w:t xml:space="preserve">measure </w:t>
      </w:r>
      <w:r w:rsidR="007327F7" w:rsidRPr="001F2D7B">
        <w:t xml:space="preserve">was enumerated by data sourced from </w:t>
      </w:r>
      <w:r w:rsidRPr="001F2D7B">
        <w:t xml:space="preserve">the </w:t>
      </w:r>
      <w:r w:rsidRPr="001F2D7B">
        <w:rPr>
          <w:i/>
        </w:rPr>
        <w:t>Adult Literacy and Life Skills Survey</w:t>
      </w:r>
      <w:r w:rsidR="00A871B3" w:rsidRPr="001F2D7B">
        <w:rPr>
          <w:i/>
        </w:rPr>
        <w:t xml:space="preserve"> </w:t>
      </w:r>
      <w:r w:rsidR="00A871B3" w:rsidRPr="001F2D7B">
        <w:t>(</w:t>
      </w:r>
      <w:proofErr w:type="spellStart"/>
      <w:r w:rsidR="00A871B3" w:rsidRPr="001F2D7B">
        <w:t>ALLS</w:t>
      </w:r>
      <w:proofErr w:type="spellEnd"/>
      <w:r w:rsidR="00A871B3" w:rsidRPr="001F2D7B">
        <w:t>)</w:t>
      </w:r>
      <w:r w:rsidR="00540202" w:rsidRPr="001F2D7B">
        <w:t xml:space="preserve"> (ABS 2008b). </w:t>
      </w:r>
    </w:p>
    <w:p w:rsidR="00175D20" w:rsidRPr="001F2D7B" w:rsidRDefault="007327F7" w:rsidP="007327F7">
      <w:pPr>
        <w:pStyle w:val="BodyText"/>
      </w:pPr>
      <w:r w:rsidRPr="001F2D7B">
        <w:t xml:space="preserve">The </w:t>
      </w:r>
      <w:proofErr w:type="spellStart"/>
      <w:r w:rsidRPr="001F2D7B">
        <w:t>PIAAC</w:t>
      </w:r>
      <w:proofErr w:type="spellEnd"/>
      <w:r w:rsidRPr="001F2D7B">
        <w:t xml:space="preserve"> is an </w:t>
      </w:r>
      <w:r w:rsidR="00AE2EB8" w:rsidRPr="001F2D7B">
        <w:t>OECD</w:t>
      </w:r>
      <w:r w:rsidRPr="001F2D7B">
        <w:t xml:space="preserve"> survey </w:t>
      </w:r>
      <w:r w:rsidR="007424D2" w:rsidRPr="001F2D7B">
        <w:t>that</w:t>
      </w:r>
      <w:r w:rsidRPr="001F2D7B">
        <w:t xml:space="preserve"> measure</w:t>
      </w:r>
      <w:r w:rsidR="007424D2" w:rsidRPr="001F2D7B">
        <w:t>s</w:t>
      </w:r>
      <w:r w:rsidRPr="001F2D7B">
        <w:t xml:space="preserve"> adult skills and competencies. </w:t>
      </w:r>
      <w:r w:rsidR="00DE4896" w:rsidRPr="001F2D7B">
        <w:t>D</w:t>
      </w:r>
      <w:r w:rsidR="007424D2" w:rsidRPr="001F2D7B">
        <w:t>ata are presented fo</w:t>
      </w:r>
      <w:r w:rsidR="00DE4896" w:rsidRPr="001F2D7B">
        <w:t xml:space="preserve">r all skill levels for literacy, </w:t>
      </w:r>
      <w:r w:rsidR="007424D2" w:rsidRPr="001F2D7B">
        <w:t xml:space="preserve">numeracy </w:t>
      </w:r>
      <w:r w:rsidR="00DE4896" w:rsidRPr="001F2D7B">
        <w:t xml:space="preserve">and technology </w:t>
      </w:r>
      <w:r w:rsidR="007424D2" w:rsidRPr="001F2D7B">
        <w:t>competencies</w:t>
      </w:r>
      <w:r w:rsidR="00B70ED6" w:rsidRPr="001F2D7B">
        <w:t xml:space="preserve"> (where level 1 represents the poorest level of skill attainment and level 5 the highest level of skill attainment</w:t>
      </w:r>
      <w:r w:rsidR="00123E05" w:rsidRPr="001F2D7B">
        <w:t xml:space="preserve"> for literacy and numeracy; level 3 represents the highest level of skill attainment for technology</w:t>
      </w:r>
      <w:r w:rsidR="00B70ED6" w:rsidRPr="001F2D7B">
        <w:t>)</w:t>
      </w:r>
      <w:r w:rsidR="007424D2" w:rsidRPr="001F2D7B">
        <w:t>.</w:t>
      </w:r>
    </w:p>
    <w:p w:rsidR="00DE4896" w:rsidRPr="00B948D4" w:rsidRDefault="00570208" w:rsidP="00175D20">
      <w:pPr>
        <w:pStyle w:val="BodyText"/>
      </w:pPr>
      <w:bookmarkStart w:id="14" w:name="FigureTitle"/>
      <w:bookmarkEnd w:id="14"/>
      <w:r w:rsidRPr="001F2D7B">
        <w:t>The proportions of the population aged 20</w:t>
      </w:r>
      <w:r w:rsidR="00F8026E" w:rsidRPr="001F2D7B">
        <w:t>–</w:t>
      </w:r>
      <w:r w:rsidR="009E6DA0" w:rsidRPr="001F2D7B">
        <w:t xml:space="preserve">64 years </w:t>
      </w:r>
      <w:r w:rsidR="00123E05" w:rsidRPr="001F2D7B">
        <w:t xml:space="preserve">across all </w:t>
      </w:r>
      <w:proofErr w:type="spellStart"/>
      <w:r w:rsidR="00123E05" w:rsidRPr="001F2D7B">
        <w:t>PIAAC</w:t>
      </w:r>
      <w:proofErr w:type="spellEnd"/>
      <w:r w:rsidR="00123E05" w:rsidRPr="001F2D7B">
        <w:t xml:space="preserve"> literacy, </w:t>
      </w:r>
      <w:r w:rsidR="00642EB8" w:rsidRPr="001F2D7B">
        <w:t>numeracy</w:t>
      </w:r>
      <w:r w:rsidR="004B5CBA" w:rsidRPr="001F2D7B">
        <w:t>,</w:t>
      </w:r>
      <w:r w:rsidR="00642EB8" w:rsidRPr="001F2D7B">
        <w:t xml:space="preserve"> </w:t>
      </w:r>
      <w:r w:rsidR="00123E05" w:rsidRPr="001F2D7B">
        <w:t xml:space="preserve">and technology </w:t>
      </w:r>
      <w:r w:rsidR="00642EB8" w:rsidRPr="001F2D7B">
        <w:t>skill levels</w:t>
      </w:r>
      <w:r w:rsidRPr="001F2D7B">
        <w:t xml:space="preserve"> in 2011-12</w:t>
      </w:r>
      <w:r w:rsidRPr="00B83948">
        <w:t xml:space="preserve"> are presented in </w:t>
      </w:r>
      <w:r w:rsidR="00E5325C" w:rsidRPr="00B83948">
        <w:t>figure B.</w:t>
      </w:r>
      <w:r w:rsidR="00AD42F4" w:rsidRPr="00B83948">
        <w:t>23</w:t>
      </w:r>
      <w:r w:rsidR="00175D20" w:rsidRPr="00B83948">
        <w:t>.</w:t>
      </w:r>
    </w:p>
    <w:p w:rsidR="007C4908" w:rsidRPr="00CC15D3" w:rsidRDefault="007C4908" w:rsidP="007C4908">
      <w:pPr>
        <w:pStyle w:val="FigureTitle"/>
      </w:pPr>
      <w:r w:rsidRPr="00B83948">
        <w:rPr>
          <w:b w:val="0"/>
        </w:rPr>
        <w:lastRenderedPageBreak/>
        <w:t xml:space="preserve">Figure </w:t>
      </w:r>
      <w:r w:rsidR="00CA426B" w:rsidRPr="00B83948">
        <w:rPr>
          <w:b w:val="0"/>
        </w:rPr>
        <w:t>B.23</w:t>
      </w:r>
      <w:r w:rsidRPr="00B83948">
        <w:tab/>
        <w:t xml:space="preserve">Proportion of </w:t>
      </w:r>
      <w:r w:rsidR="00570208" w:rsidRPr="00B83948">
        <w:t>20</w:t>
      </w:r>
      <w:r w:rsidRPr="00B83948">
        <w:t xml:space="preserve">–64 year olds </w:t>
      </w:r>
      <w:r w:rsidR="00123E05">
        <w:t xml:space="preserve">across all </w:t>
      </w:r>
      <w:proofErr w:type="spellStart"/>
      <w:r w:rsidR="00123E05">
        <w:t>PIAAC</w:t>
      </w:r>
      <w:proofErr w:type="spellEnd"/>
      <w:r w:rsidR="00123E05">
        <w:t xml:space="preserve"> literacy, </w:t>
      </w:r>
      <w:r w:rsidR="00642EB8" w:rsidRPr="00B83948">
        <w:t xml:space="preserve">numeracy </w:t>
      </w:r>
      <w:r w:rsidR="00123E05">
        <w:t xml:space="preserve">and technology </w:t>
      </w:r>
      <w:r w:rsidR="00570208" w:rsidRPr="00B83948">
        <w:t>skill levels</w:t>
      </w:r>
      <w:r w:rsidRPr="00B83948">
        <w:t xml:space="preserve">, </w:t>
      </w:r>
      <w:r w:rsidR="00570208" w:rsidRPr="00B83948">
        <w:t>2011-</w:t>
      </w:r>
      <w:r w:rsidR="00570208" w:rsidRPr="0002095F">
        <w:t>12</w:t>
      </w:r>
      <w:r w:rsidR="00547D13" w:rsidRPr="0002095F">
        <w:rPr>
          <w:rStyle w:val="NoteLabel"/>
          <w:b/>
        </w:rPr>
        <w:t>a</w:t>
      </w:r>
      <w:r w:rsidR="00123E05">
        <w:rPr>
          <w:rStyle w:val="NoteLabel"/>
          <w:b/>
        </w:rPr>
        <w:t>, b</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7C4908" w:rsidRPr="00CC15D3" w:rsidTr="009707EA">
        <w:trPr>
          <w:trHeight w:val="6771"/>
        </w:trPr>
        <w:tc>
          <w:tcPr>
            <w:tcW w:w="8777" w:type="dxa"/>
          </w:tcPr>
          <w:p w:rsidR="00642EB8" w:rsidRPr="00642EB8" w:rsidRDefault="00642EB8" w:rsidP="00642EB8">
            <w:pPr>
              <w:jc w:val="center"/>
              <w:rPr>
                <w:rFonts w:ascii="Arial" w:hAnsi="Arial" w:cs="Arial"/>
                <w:b/>
                <w:sz w:val="20"/>
                <w:szCs w:val="20"/>
              </w:rPr>
            </w:pPr>
            <w:r w:rsidRPr="00642EB8">
              <w:rPr>
                <w:rFonts w:ascii="Arial" w:hAnsi="Arial" w:cs="Arial"/>
                <w:b/>
                <w:sz w:val="20"/>
                <w:szCs w:val="20"/>
              </w:rPr>
              <w:t xml:space="preserve">(a) </w:t>
            </w:r>
            <w:proofErr w:type="spellStart"/>
            <w:r w:rsidRPr="00642EB8">
              <w:rPr>
                <w:rFonts w:ascii="Arial" w:hAnsi="Arial" w:cs="Arial"/>
                <w:b/>
                <w:sz w:val="20"/>
                <w:szCs w:val="20"/>
              </w:rPr>
              <w:t>PIAAC</w:t>
            </w:r>
            <w:proofErr w:type="spellEnd"/>
            <w:r w:rsidRPr="00642EB8">
              <w:rPr>
                <w:rFonts w:ascii="Arial" w:hAnsi="Arial" w:cs="Arial"/>
                <w:b/>
                <w:sz w:val="20"/>
                <w:szCs w:val="20"/>
              </w:rPr>
              <w:t xml:space="preserve"> literacy results</w:t>
            </w:r>
          </w:p>
          <w:p w:rsidR="00DE4896" w:rsidRDefault="00E53721" w:rsidP="00DE4896">
            <w:pPr>
              <w:pStyle w:val="Figure"/>
              <w:rPr>
                <w:rFonts w:ascii="Arial" w:hAnsi="Arial" w:cs="Arial"/>
                <w:b/>
                <w:sz w:val="20"/>
              </w:rPr>
            </w:pPr>
            <w:r>
              <w:rPr>
                <w:noProof/>
              </w:rPr>
              <w:drawing>
                <wp:inline distT="0" distB="0" distL="0" distR="0" wp14:anchorId="25145C03" wp14:editId="191AB290">
                  <wp:extent cx="5400000" cy="2124000"/>
                  <wp:effectExtent l="0" t="0" r="0" b="0"/>
                  <wp:docPr id="17" name="Chart 17" descr="Figure B.23 Proportion of 20-64 year olds across all PIAAC literacy, numeracy and technology skill levels, 2011-12&#10;&#10;(a) PIAAC literacy results&#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7C4908" w:rsidRDefault="00642EB8" w:rsidP="00DE4896">
            <w:pPr>
              <w:pStyle w:val="Figure"/>
              <w:rPr>
                <w:rFonts w:ascii="Arial" w:hAnsi="Arial" w:cs="Arial"/>
                <w:b/>
                <w:noProof/>
                <w:sz w:val="20"/>
              </w:rPr>
            </w:pPr>
            <w:r w:rsidRPr="00642EB8">
              <w:rPr>
                <w:rFonts w:ascii="Arial" w:hAnsi="Arial" w:cs="Arial"/>
                <w:b/>
                <w:sz w:val="20"/>
              </w:rPr>
              <w:t xml:space="preserve">(b) </w:t>
            </w:r>
            <w:proofErr w:type="spellStart"/>
            <w:r w:rsidRPr="00642EB8">
              <w:rPr>
                <w:rFonts w:ascii="Arial" w:hAnsi="Arial" w:cs="Arial"/>
                <w:b/>
                <w:sz w:val="20"/>
              </w:rPr>
              <w:t>PIAAC</w:t>
            </w:r>
            <w:proofErr w:type="spellEnd"/>
            <w:r w:rsidRPr="00642EB8">
              <w:rPr>
                <w:rFonts w:ascii="Arial" w:hAnsi="Arial" w:cs="Arial"/>
                <w:b/>
                <w:sz w:val="20"/>
              </w:rPr>
              <w:t xml:space="preserve"> numeracy results</w:t>
            </w:r>
          </w:p>
          <w:p w:rsidR="00DE4896" w:rsidRDefault="00E53721" w:rsidP="00642EB8">
            <w:pPr>
              <w:tabs>
                <w:tab w:val="left" w:pos="3769"/>
              </w:tabs>
              <w:rPr>
                <w:rFonts w:ascii="Arial" w:hAnsi="Arial" w:cs="Arial"/>
                <w:b/>
                <w:noProof/>
                <w:sz w:val="20"/>
                <w:szCs w:val="20"/>
              </w:rPr>
            </w:pPr>
            <w:r>
              <w:rPr>
                <w:noProof/>
              </w:rPr>
              <w:drawing>
                <wp:inline distT="0" distB="0" distL="0" distR="0" wp14:anchorId="3040FF20" wp14:editId="48884D09">
                  <wp:extent cx="5400000" cy="2124000"/>
                  <wp:effectExtent l="0" t="0" r="0" b="0"/>
                  <wp:docPr id="19" name="Chart 19" descr="Figure B.23 Proportion of 20-64 year olds across all PIAAC literacy, numeracy and technology skill levels, 2011-12&#10;&#10;(b) PIAAC numeracy results&#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rsidR="00DE4896" w:rsidRDefault="00DE4896" w:rsidP="00642EB8">
            <w:pPr>
              <w:tabs>
                <w:tab w:val="left" w:pos="3769"/>
              </w:tabs>
              <w:rPr>
                <w:rFonts w:ascii="Arial" w:hAnsi="Arial" w:cs="Arial"/>
                <w:b/>
                <w:noProof/>
                <w:sz w:val="20"/>
                <w:szCs w:val="20"/>
              </w:rPr>
            </w:pPr>
          </w:p>
          <w:p w:rsidR="00DE4896" w:rsidRDefault="00DE4896" w:rsidP="00DE4896">
            <w:pPr>
              <w:jc w:val="center"/>
              <w:rPr>
                <w:rFonts w:ascii="Arial" w:hAnsi="Arial" w:cs="Arial"/>
                <w:b/>
                <w:sz w:val="20"/>
                <w:szCs w:val="20"/>
              </w:rPr>
            </w:pPr>
            <w:r w:rsidRPr="00642EB8">
              <w:rPr>
                <w:rFonts w:ascii="Arial" w:hAnsi="Arial" w:cs="Arial"/>
                <w:b/>
                <w:sz w:val="20"/>
                <w:szCs w:val="20"/>
              </w:rPr>
              <w:t>(</w:t>
            </w:r>
            <w:r>
              <w:rPr>
                <w:rFonts w:ascii="Arial" w:hAnsi="Arial" w:cs="Arial"/>
                <w:b/>
                <w:sz w:val="20"/>
                <w:szCs w:val="20"/>
              </w:rPr>
              <w:t>c</w:t>
            </w:r>
            <w:r w:rsidRPr="00642EB8">
              <w:rPr>
                <w:rFonts w:ascii="Arial" w:hAnsi="Arial" w:cs="Arial"/>
                <w:b/>
                <w:sz w:val="20"/>
                <w:szCs w:val="20"/>
              </w:rPr>
              <w:t xml:space="preserve">) </w:t>
            </w:r>
            <w:proofErr w:type="spellStart"/>
            <w:r w:rsidRPr="00642EB8">
              <w:rPr>
                <w:rFonts w:ascii="Arial" w:hAnsi="Arial" w:cs="Arial"/>
                <w:b/>
                <w:sz w:val="20"/>
                <w:szCs w:val="20"/>
              </w:rPr>
              <w:t>PIAAC</w:t>
            </w:r>
            <w:proofErr w:type="spellEnd"/>
            <w:r w:rsidRPr="00642EB8">
              <w:rPr>
                <w:rFonts w:ascii="Arial" w:hAnsi="Arial" w:cs="Arial"/>
                <w:b/>
                <w:sz w:val="20"/>
                <w:szCs w:val="20"/>
              </w:rPr>
              <w:t xml:space="preserve"> </w:t>
            </w:r>
            <w:r>
              <w:rPr>
                <w:rFonts w:ascii="Arial" w:hAnsi="Arial" w:cs="Arial"/>
                <w:b/>
                <w:sz w:val="20"/>
                <w:szCs w:val="20"/>
              </w:rPr>
              <w:t xml:space="preserve">technology </w:t>
            </w:r>
            <w:r w:rsidRPr="00642EB8">
              <w:rPr>
                <w:rFonts w:ascii="Arial" w:hAnsi="Arial" w:cs="Arial"/>
                <w:b/>
                <w:sz w:val="20"/>
                <w:szCs w:val="20"/>
              </w:rPr>
              <w:t>results</w:t>
            </w:r>
          </w:p>
          <w:p w:rsidR="00DE4896" w:rsidRDefault="009707EA" w:rsidP="00642EB8">
            <w:pPr>
              <w:tabs>
                <w:tab w:val="left" w:pos="3769"/>
              </w:tabs>
              <w:rPr>
                <w:rFonts w:ascii="Arial" w:hAnsi="Arial" w:cs="Arial"/>
                <w:b/>
                <w:noProof/>
                <w:sz w:val="20"/>
                <w:szCs w:val="20"/>
              </w:rPr>
            </w:pPr>
            <w:r>
              <w:rPr>
                <w:noProof/>
              </w:rPr>
              <w:drawing>
                <wp:inline distT="0" distB="0" distL="0" distR="0" wp14:anchorId="30002704" wp14:editId="10E588A4">
                  <wp:extent cx="5400000" cy="2124000"/>
                  <wp:effectExtent l="0" t="0" r="0" b="0"/>
                  <wp:docPr id="5" name="Chart 5" descr="Figure B.23 Proportion of 20-64 year olds across all PIAAC literacy, numeracy and technology skill levels, 2011-12&#10;&#10;(c) PIAAC technology results&#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DE4896" w:rsidRPr="00642EB8" w:rsidRDefault="00DE4896" w:rsidP="00642EB8">
            <w:pPr>
              <w:tabs>
                <w:tab w:val="left" w:pos="3769"/>
              </w:tabs>
              <w:rPr>
                <w:rFonts w:ascii="Arial" w:hAnsi="Arial" w:cs="Arial"/>
                <w:b/>
                <w:noProof/>
                <w:sz w:val="20"/>
                <w:szCs w:val="20"/>
              </w:rPr>
            </w:pPr>
          </w:p>
        </w:tc>
      </w:tr>
    </w:tbl>
    <w:p w:rsidR="007C4908" w:rsidRPr="001F2D7B" w:rsidRDefault="007C4908" w:rsidP="005B1170">
      <w:pPr>
        <w:pStyle w:val="Note"/>
      </w:pPr>
      <w:proofErr w:type="spellStart"/>
      <w:r w:rsidRPr="00CC15D3">
        <w:rPr>
          <w:rStyle w:val="NoteLabel"/>
        </w:rPr>
        <w:t>a</w:t>
      </w:r>
      <w:proofErr w:type="spellEnd"/>
      <w:r w:rsidRPr="00CC15D3">
        <w:t xml:space="preserve"> Error bars </w:t>
      </w:r>
      <w:r w:rsidRPr="001F2D7B">
        <w:t xml:space="preserve">represent the 95 per cent confidence interval associated with each point estimate. </w:t>
      </w:r>
      <w:r w:rsidR="00123E05" w:rsidRPr="001F2D7B">
        <w:rPr>
          <w:rStyle w:val="NoteLabel"/>
        </w:rPr>
        <w:t>b</w:t>
      </w:r>
      <w:r w:rsidR="00123E05" w:rsidRPr="001F2D7B">
        <w:t xml:space="preserve"> See source tables for detailed footnotes.</w:t>
      </w:r>
    </w:p>
    <w:p w:rsidR="00642EB8" w:rsidRDefault="007C4908" w:rsidP="00DE4896">
      <w:pPr>
        <w:pStyle w:val="Source"/>
        <w:rPr>
          <w:b/>
        </w:rPr>
      </w:pPr>
      <w:r w:rsidRPr="001F2D7B">
        <w:rPr>
          <w:i/>
        </w:rPr>
        <w:t>Source</w:t>
      </w:r>
      <w:r w:rsidRPr="001F2D7B">
        <w:t xml:space="preserve">: ABS (unpublished) </w:t>
      </w:r>
      <w:proofErr w:type="spellStart"/>
      <w:r w:rsidR="00CC15D3" w:rsidRPr="001F2D7B">
        <w:rPr>
          <w:i/>
        </w:rPr>
        <w:t>Programme</w:t>
      </w:r>
      <w:proofErr w:type="spellEnd"/>
      <w:r w:rsidR="00CC15D3" w:rsidRPr="001F2D7B">
        <w:rPr>
          <w:i/>
        </w:rPr>
        <w:t xml:space="preserve"> for the International Assessment of Adult Competencies, Australia, 2011-12</w:t>
      </w:r>
      <w:r w:rsidRPr="001F2D7B">
        <w:t>; table</w:t>
      </w:r>
      <w:r w:rsidR="00642EB8" w:rsidRPr="001F2D7B">
        <w:t>s</w:t>
      </w:r>
      <w:r w:rsidRPr="001F2D7B">
        <w:t xml:space="preserve"> BA.</w:t>
      </w:r>
      <w:r w:rsidR="00623EEF" w:rsidRPr="001F2D7B">
        <w:t>4</w:t>
      </w:r>
      <w:r w:rsidR="004715A5" w:rsidRPr="001F2D7B">
        <w:t>6</w:t>
      </w:r>
      <w:r w:rsidR="00E53721" w:rsidRPr="001F2D7B">
        <w:t xml:space="preserve">, </w:t>
      </w:r>
      <w:r w:rsidR="00642EB8" w:rsidRPr="001F2D7B">
        <w:t>BA.</w:t>
      </w:r>
      <w:r w:rsidR="00623EEF" w:rsidRPr="001F2D7B">
        <w:t>4</w:t>
      </w:r>
      <w:r w:rsidR="004715A5" w:rsidRPr="001F2D7B">
        <w:t>7</w:t>
      </w:r>
      <w:r w:rsidR="00E53721" w:rsidRPr="001F2D7B">
        <w:t xml:space="preserve"> and BA.4</w:t>
      </w:r>
      <w:r w:rsidR="004715A5" w:rsidRPr="001F2D7B">
        <w:t>8</w:t>
      </w:r>
      <w:r w:rsidRPr="001F2D7B">
        <w:t>.</w:t>
      </w:r>
      <w:r w:rsidR="00DE4896">
        <w:t xml:space="preserve"> </w:t>
      </w:r>
      <w:r w:rsidR="00642EB8">
        <w:br w:type="page"/>
      </w:r>
    </w:p>
    <w:p w:rsidR="008B55A6" w:rsidRDefault="008B55A6" w:rsidP="005C5CD9">
      <w:pPr>
        <w:pStyle w:val="Heading3"/>
        <w:spacing w:before="240"/>
      </w:pPr>
      <w:r>
        <w:lastRenderedPageBreak/>
        <w:t xml:space="preserve">Service-specific </w:t>
      </w:r>
      <w:r w:rsidR="007F7175">
        <w:t>performance indicator frameworks</w:t>
      </w:r>
    </w:p>
    <w:p w:rsidR="004C6115" w:rsidRDefault="004C6115" w:rsidP="008B55A6">
      <w:pPr>
        <w:pStyle w:val="BodyText"/>
      </w:pPr>
      <w:r>
        <w:t xml:space="preserve">This section summarises information from the </w:t>
      </w:r>
      <w:r w:rsidR="00F04E19">
        <w:t xml:space="preserve">three </w:t>
      </w:r>
      <w:r w:rsidR="00F048B0">
        <w:t>Child care, education and training</w:t>
      </w:r>
      <w:r w:rsidR="00D60DD8">
        <w:t xml:space="preserve"> service specific </w:t>
      </w:r>
      <w:r w:rsidR="00F23A69">
        <w:t>indicator framework</w:t>
      </w:r>
      <w:r w:rsidR="00D60DD8">
        <w:t>s</w:t>
      </w:r>
      <w:r>
        <w:t>:</w:t>
      </w:r>
    </w:p>
    <w:p w:rsidR="004C6115" w:rsidRDefault="00A77F79" w:rsidP="004C6115">
      <w:pPr>
        <w:pStyle w:val="ListBullet"/>
      </w:pPr>
      <w:r>
        <w:t>early childhood education and care</w:t>
      </w:r>
      <w:r w:rsidR="004C6115">
        <w:t xml:space="preserve"> (see chapter 3 for more detail)</w:t>
      </w:r>
    </w:p>
    <w:p w:rsidR="00D60DD8" w:rsidRDefault="00D60DD8" w:rsidP="004C6115">
      <w:pPr>
        <w:pStyle w:val="ListBullet"/>
      </w:pPr>
      <w:r>
        <w:t>school education (see chapter 4 for more detail)</w:t>
      </w:r>
    </w:p>
    <w:p w:rsidR="00D60DD8" w:rsidRDefault="00D60DD8" w:rsidP="004C6115">
      <w:pPr>
        <w:pStyle w:val="ListBullet"/>
      </w:pPr>
      <w:r>
        <w:t>vocational education and training (see chapter 5 for more detail).</w:t>
      </w:r>
    </w:p>
    <w:p w:rsidR="004C6115" w:rsidRDefault="004C6115" w:rsidP="004C6115">
      <w:pPr>
        <w:pStyle w:val="BodyText"/>
      </w:pPr>
      <w:r>
        <w:t>Additional information is available to assist the interpretation of these results:</w:t>
      </w:r>
    </w:p>
    <w:p w:rsidR="004C6115" w:rsidRDefault="004C6115" w:rsidP="004C6115">
      <w:pPr>
        <w:pStyle w:val="ListBullet"/>
      </w:pPr>
      <w:r>
        <w:t>indicator interpretation boxes, which define the measures used and indicate any significant conceptual or methodological issues with the reported information (chapter</w:t>
      </w:r>
      <w:r w:rsidR="00F8026E">
        <w:t>s</w:t>
      </w:r>
      <w:r>
        <w:t xml:space="preserve"> 3</w:t>
      </w:r>
      <w:r w:rsidR="00D60DD8">
        <w:t>, 4 and 5</w:t>
      </w:r>
      <w:r>
        <w:t>)</w:t>
      </w:r>
    </w:p>
    <w:p w:rsidR="004C6115" w:rsidRDefault="004C6115" w:rsidP="004C6115">
      <w:pPr>
        <w:pStyle w:val="ListBullet"/>
      </w:pPr>
      <w:r>
        <w:t>caveats and footnotes to the reported data (chapter</w:t>
      </w:r>
      <w:r w:rsidR="00F8026E">
        <w:t>s</w:t>
      </w:r>
      <w:r w:rsidR="00D959D3">
        <w:t xml:space="preserve"> 3</w:t>
      </w:r>
      <w:r w:rsidR="00D60DD8">
        <w:t>, 4 and 5</w:t>
      </w:r>
      <w:r>
        <w:t>)</w:t>
      </w:r>
    </w:p>
    <w:p w:rsidR="004C6115" w:rsidRDefault="004C6115" w:rsidP="004C6115">
      <w:pPr>
        <w:pStyle w:val="ListBullet"/>
      </w:pPr>
      <w:r>
        <w:t>additional measures and further disaggregation of reported measures (for example by Indigenous status, socioeconomic status and age (chapter</w:t>
      </w:r>
      <w:r w:rsidR="00F8026E">
        <w:t>s</w:t>
      </w:r>
      <w:r>
        <w:t xml:space="preserve"> 3</w:t>
      </w:r>
      <w:r w:rsidR="00D60DD8">
        <w:t>, 4 and 5</w:t>
      </w:r>
      <w:r w:rsidR="00D959D3">
        <w:t xml:space="preserve"> </w:t>
      </w:r>
      <w:r>
        <w:t xml:space="preserve">and </w:t>
      </w:r>
      <w:r w:rsidR="00F8026E">
        <w:t>a</w:t>
      </w:r>
      <w:r>
        <w:t>ttachment</w:t>
      </w:r>
      <w:r w:rsidR="00F8026E">
        <w:t>s</w:t>
      </w:r>
      <w:r>
        <w:t xml:space="preserve"> 3A</w:t>
      </w:r>
      <w:r w:rsidR="00D60DD8">
        <w:t>, 4A and 5A</w:t>
      </w:r>
      <w:r>
        <w:t>)</w:t>
      </w:r>
    </w:p>
    <w:p w:rsidR="00EF61E3" w:rsidRDefault="00EF61E3" w:rsidP="004C6115">
      <w:pPr>
        <w:pStyle w:val="ListBullet"/>
      </w:pPr>
      <w:r>
        <w:t xml:space="preserve">data quality information for </w:t>
      </w:r>
      <w:r w:rsidR="00D959D3">
        <w:t xml:space="preserve">several </w:t>
      </w:r>
      <w:r>
        <w:t>indicators, based on t</w:t>
      </w:r>
      <w:r w:rsidR="008B4D4F">
        <w:t>he ABS Data Quality Framework (c</w:t>
      </w:r>
      <w:r>
        <w:t>hapter</w:t>
      </w:r>
      <w:r w:rsidR="00F8026E">
        <w:t>s</w:t>
      </w:r>
      <w:r>
        <w:t xml:space="preserve"> 3</w:t>
      </w:r>
      <w:r w:rsidR="00D60DD8">
        <w:t>, 4 and 5 Data Quality Information).</w:t>
      </w:r>
    </w:p>
    <w:p w:rsidR="002C52CB" w:rsidRDefault="002C52CB" w:rsidP="002C52CB">
      <w:pPr>
        <w:pStyle w:val="BodyText"/>
      </w:pPr>
      <w:r w:rsidRPr="00E95371">
        <w:t>A full list of attachment tables and available data quality information is provided at</w:t>
      </w:r>
      <w:r w:rsidRPr="000563F7">
        <w:t xml:space="preserve"> the end of </w:t>
      </w:r>
      <w:r>
        <w:t xml:space="preserve">chapters 3, 4 and 5. </w:t>
      </w:r>
    </w:p>
    <w:p w:rsidR="0022130F" w:rsidRDefault="00A77F79" w:rsidP="0022130F">
      <w:pPr>
        <w:pStyle w:val="Heading4"/>
      </w:pPr>
      <w:r>
        <w:t>Early childhood education and care</w:t>
      </w:r>
    </w:p>
    <w:p w:rsidR="00EF61E3" w:rsidRDefault="00EF61E3" w:rsidP="00EF61E3">
      <w:pPr>
        <w:pStyle w:val="BodyText"/>
      </w:pPr>
      <w:r>
        <w:t>The performance indicator framework</w:t>
      </w:r>
      <w:r w:rsidR="00F23A69">
        <w:t xml:space="preserve"> </w:t>
      </w:r>
      <w:r w:rsidR="00D60DD8">
        <w:t xml:space="preserve">for </w:t>
      </w:r>
      <w:r w:rsidR="00A77F79">
        <w:t>early childhood education and care</w:t>
      </w:r>
      <w:r w:rsidR="00D60DD8">
        <w:t xml:space="preserve"> is presented in </w:t>
      </w:r>
      <w:r>
        <w:t>figure</w:t>
      </w:r>
      <w:r w:rsidR="00D60DD8">
        <w:t> </w:t>
      </w:r>
      <w:r w:rsidR="00CA426B">
        <w:t>B.24</w:t>
      </w:r>
      <w:r>
        <w:t>.</w:t>
      </w:r>
      <w:r w:rsidR="0022130F">
        <w:t xml:space="preserve"> This</w:t>
      </w:r>
      <w:r w:rsidR="0022130F" w:rsidRPr="00E6147C">
        <w:t xml:space="preserve"> framework provides comprehensive information on the equity, effectiveness</w:t>
      </w:r>
      <w:r w:rsidR="0022130F">
        <w:t>,</w:t>
      </w:r>
      <w:r w:rsidR="0022130F" w:rsidRPr="00E6147C">
        <w:t xml:space="preserve"> efficiency </w:t>
      </w:r>
      <w:r w:rsidR="0022130F">
        <w:t xml:space="preserve">and the outcomes </w:t>
      </w:r>
      <w:r w:rsidR="0022130F" w:rsidRPr="00E6147C">
        <w:t>of</w:t>
      </w:r>
      <w:r w:rsidR="0022130F">
        <w:t xml:space="preserve"> </w:t>
      </w:r>
      <w:r w:rsidR="00A77F79">
        <w:rPr>
          <w:color w:val="000000"/>
        </w:rPr>
        <w:t>early childhood education and care</w:t>
      </w:r>
      <w:r w:rsidR="0022130F">
        <w:rPr>
          <w:color w:val="000000"/>
        </w:rPr>
        <w:t>.</w:t>
      </w:r>
    </w:p>
    <w:p w:rsidR="00EF61E3" w:rsidRDefault="00EF61E3" w:rsidP="00EF61E3">
      <w:pPr>
        <w:pStyle w:val="FigureTitle"/>
      </w:pPr>
      <w:r w:rsidRPr="00580D37">
        <w:rPr>
          <w:b w:val="0"/>
        </w:rPr>
        <w:lastRenderedPageBreak/>
        <w:t xml:space="preserve">Figure </w:t>
      </w:r>
      <w:r w:rsidR="00CA426B">
        <w:rPr>
          <w:b w:val="0"/>
        </w:rPr>
        <w:t>B.24</w:t>
      </w:r>
      <w:r>
        <w:tab/>
      </w:r>
      <w:r w:rsidR="00A77F79">
        <w:t>Early childhood education and care</w:t>
      </w:r>
      <w:r w:rsidR="000214D6">
        <w:t xml:space="preserve"> performance indicator framework</w:t>
      </w:r>
    </w:p>
    <w:tbl>
      <w:tblPr>
        <w:tblW w:w="8888" w:type="dxa"/>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888"/>
      </w:tblGrid>
      <w:tr w:rsidR="00EF61E3" w:rsidTr="005C5CD9">
        <w:trPr>
          <w:trHeight w:val="11035"/>
        </w:trPr>
        <w:tc>
          <w:tcPr>
            <w:tcW w:w="8888" w:type="dxa"/>
          </w:tcPr>
          <w:p w:rsidR="00EF61E3" w:rsidRDefault="00CB0D70">
            <w:pPr>
              <w:pStyle w:val="Figure"/>
            </w:pPr>
            <w:r w:rsidRPr="00E425B6">
              <w:rPr>
                <w:noProof/>
              </w:rPr>
              <w:drawing>
                <wp:inline distT="0" distB="0" distL="0" distR="0" wp14:anchorId="50B7BA4B" wp14:editId="3372AA5C">
                  <wp:extent cx="5554768" cy="7410202"/>
                  <wp:effectExtent l="0" t="0" r="8255" b="635"/>
                  <wp:docPr id="10" name="Picture 10" descr="Figure B.24 Early childhood education and care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554858" cy="7410322"/>
                          </a:xfrm>
                          <a:prstGeom prst="rect">
                            <a:avLst/>
                          </a:prstGeom>
                          <a:noFill/>
                          <a:ln>
                            <a:noFill/>
                          </a:ln>
                        </pic:spPr>
                      </pic:pic>
                    </a:graphicData>
                  </a:graphic>
                </wp:inline>
              </w:drawing>
            </w:r>
          </w:p>
        </w:tc>
      </w:tr>
    </w:tbl>
    <w:p w:rsidR="00EF61E3" w:rsidRDefault="005C5CD9" w:rsidP="00EF61E3">
      <w:pPr>
        <w:pStyle w:val="BodyText"/>
      </w:pPr>
      <w:r>
        <w:lastRenderedPageBreak/>
        <w:t>A</w:t>
      </w:r>
      <w:r w:rsidR="00EF61E3">
        <w:t xml:space="preserve">n overview of the </w:t>
      </w:r>
      <w:r w:rsidR="00A77F79">
        <w:t>early childhood education and care</w:t>
      </w:r>
      <w:r w:rsidR="00EF61E3">
        <w:t xml:space="preserve"> performance indicator results for </w:t>
      </w:r>
      <w:r w:rsidR="00D60DD8">
        <w:t xml:space="preserve">the most recent period </w:t>
      </w:r>
      <w:r w:rsidR="00EF61E3">
        <w:t>are presented in table B.1.</w:t>
      </w:r>
      <w:r w:rsidR="00FF488C">
        <w:t xml:space="preserve"> Information to assist the interpretation of these data can be found in the indicator interpretation boxes in chapter 3 and the footnotes in attachment 3A.</w:t>
      </w:r>
    </w:p>
    <w:p w:rsidR="00181B2A" w:rsidRPr="00B817EA" w:rsidRDefault="00181B2A" w:rsidP="00181B2A">
      <w:pPr>
        <w:pStyle w:val="TableTitle"/>
        <w:spacing w:after="0"/>
      </w:pPr>
      <w:r w:rsidRPr="00C50A9D">
        <w:rPr>
          <w:b w:val="0"/>
        </w:rPr>
        <w:lastRenderedPageBreak/>
        <w:t xml:space="preserve">Table </w:t>
      </w:r>
      <w:r>
        <w:rPr>
          <w:b w:val="0"/>
        </w:rPr>
        <w:t>B.</w:t>
      </w:r>
      <w:r w:rsidR="005C0C17">
        <w:rPr>
          <w:b w:val="0"/>
          <w:noProof/>
        </w:rPr>
        <w:t>1</w:t>
      </w:r>
      <w:r w:rsidRPr="00C50A9D">
        <w:rPr>
          <w:b w:val="0"/>
        </w:rPr>
        <w:tab/>
      </w:r>
      <w:r w:rsidRPr="00B817EA">
        <w:t xml:space="preserve">Performance indicators for </w:t>
      </w:r>
      <w:r>
        <w:t xml:space="preserve">early childhood education and care </w:t>
      </w:r>
      <w:r>
        <w:rPr>
          <w:vertAlign w:val="superscript"/>
        </w:rPr>
        <w:t xml:space="preserve">a, </w:t>
      </w:r>
      <w:r w:rsidRPr="0063741B">
        <w:rPr>
          <w:vertAlign w:val="superscript"/>
        </w:rPr>
        <w:t>b</w:t>
      </w:r>
    </w:p>
    <w:tbl>
      <w:tblPr>
        <w:tblW w:w="5038" w:type="pct"/>
        <w:tblCellMar>
          <w:left w:w="0" w:type="dxa"/>
          <w:right w:w="0" w:type="dxa"/>
        </w:tblCellMar>
        <w:tblLook w:val="0000" w:firstRow="0" w:lastRow="0" w:firstColumn="0" w:lastColumn="0" w:noHBand="0" w:noVBand="0"/>
      </w:tblPr>
      <w:tblGrid>
        <w:gridCol w:w="728"/>
        <w:gridCol w:w="574"/>
        <w:gridCol w:w="300"/>
        <w:gridCol w:w="682"/>
        <w:gridCol w:w="693"/>
        <w:gridCol w:w="714"/>
        <w:gridCol w:w="693"/>
        <w:gridCol w:w="695"/>
        <w:gridCol w:w="694"/>
        <w:gridCol w:w="635"/>
        <w:gridCol w:w="768"/>
        <w:gridCol w:w="712"/>
        <w:gridCol w:w="956"/>
        <w:gridCol w:w="12"/>
      </w:tblGrid>
      <w:tr w:rsidR="00181B2A" w:rsidRPr="00B817EA" w:rsidTr="00C4575E">
        <w:trPr>
          <w:trHeight w:val="335"/>
        </w:trPr>
        <w:tc>
          <w:tcPr>
            <w:tcW w:w="904" w:type="pct"/>
            <w:gridSpan w:val="3"/>
            <w:tcBorders>
              <w:top w:val="single" w:sz="6" w:space="0" w:color="auto"/>
              <w:bottom w:val="single" w:sz="6" w:space="0" w:color="auto"/>
            </w:tcBorders>
            <w:shd w:val="clear" w:color="auto" w:fill="auto"/>
          </w:tcPr>
          <w:p w:rsidR="00181B2A" w:rsidRPr="00B817EA" w:rsidRDefault="00181B2A" w:rsidP="00C4575E">
            <w:pPr>
              <w:pStyle w:val="TableColumnHeading"/>
              <w:jc w:val="left"/>
            </w:pPr>
          </w:p>
        </w:tc>
        <w:tc>
          <w:tcPr>
            <w:tcW w:w="385" w:type="pct"/>
            <w:tcBorders>
              <w:top w:val="single" w:sz="6" w:space="0" w:color="auto"/>
              <w:bottom w:val="single" w:sz="6" w:space="0" w:color="auto"/>
            </w:tcBorders>
            <w:shd w:val="clear" w:color="auto" w:fill="auto"/>
          </w:tcPr>
          <w:p w:rsidR="00181B2A" w:rsidRPr="00B817EA" w:rsidRDefault="00181B2A" w:rsidP="00C4575E">
            <w:pPr>
              <w:pStyle w:val="TableColumnHeading"/>
            </w:pPr>
            <w:r w:rsidRPr="00B817EA">
              <w:t>NSW</w:t>
            </w:r>
          </w:p>
        </w:tc>
        <w:tc>
          <w:tcPr>
            <w:tcW w:w="391" w:type="pct"/>
            <w:tcBorders>
              <w:top w:val="single" w:sz="6" w:space="0" w:color="auto"/>
              <w:bottom w:val="single" w:sz="6" w:space="0" w:color="auto"/>
            </w:tcBorders>
            <w:shd w:val="clear" w:color="auto" w:fill="auto"/>
          </w:tcPr>
          <w:p w:rsidR="00181B2A" w:rsidRPr="00B817EA" w:rsidRDefault="00181B2A" w:rsidP="00C4575E">
            <w:pPr>
              <w:pStyle w:val="TableColumnHeading"/>
            </w:pPr>
            <w:r w:rsidRPr="00B817EA">
              <w:t>Vic</w:t>
            </w:r>
          </w:p>
        </w:tc>
        <w:tc>
          <w:tcPr>
            <w:tcW w:w="403" w:type="pct"/>
            <w:tcBorders>
              <w:top w:val="single" w:sz="6" w:space="0" w:color="auto"/>
              <w:bottom w:val="single" w:sz="6" w:space="0" w:color="auto"/>
            </w:tcBorders>
            <w:shd w:val="clear" w:color="auto" w:fill="auto"/>
          </w:tcPr>
          <w:p w:rsidR="00181B2A" w:rsidRPr="00B817EA" w:rsidRDefault="00181B2A" w:rsidP="00C4575E">
            <w:pPr>
              <w:pStyle w:val="TableColumnHeading"/>
            </w:pPr>
            <w:r w:rsidRPr="00B817EA">
              <w:t>Qld</w:t>
            </w:r>
          </w:p>
        </w:tc>
        <w:tc>
          <w:tcPr>
            <w:tcW w:w="391" w:type="pct"/>
            <w:tcBorders>
              <w:top w:val="single" w:sz="6" w:space="0" w:color="auto"/>
              <w:bottom w:val="single" w:sz="6" w:space="0" w:color="auto"/>
            </w:tcBorders>
            <w:shd w:val="clear" w:color="auto" w:fill="auto"/>
          </w:tcPr>
          <w:p w:rsidR="00181B2A" w:rsidRPr="00B817EA" w:rsidRDefault="00181B2A" w:rsidP="00C4575E">
            <w:pPr>
              <w:pStyle w:val="TableColumnHeading"/>
            </w:pPr>
            <w:r w:rsidRPr="00B817EA">
              <w:t>WA</w:t>
            </w:r>
          </w:p>
        </w:tc>
        <w:tc>
          <w:tcPr>
            <w:tcW w:w="392" w:type="pct"/>
            <w:tcBorders>
              <w:top w:val="single" w:sz="6" w:space="0" w:color="auto"/>
              <w:bottom w:val="single" w:sz="6" w:space="0" w:color="auto"/>
            </w:tcBorders>
            <w:shd w:val="clear" w:color="auto" w:fill="auto"/>
          </w:tcPr>
          <w:p w:rsidR="00181B2A" w:rsidRPr="00B817EA" w:rsidRDefault="00181B2A" w:rsidP="00C4575E">
            <w:pPr>
              <w:pStyle w:val="TableColumnHeading"/>
            </w:pPr>
            <w:r w:rsidRPr="00B817EA">
              <w:t>SA</w:t>
            </w:r>
          </w:p>
        </w:tc>
        <w:tc>
          <w:tcPr>
            <w:tcW w:w="392" w:type="pct"/>
            <w:tcBorders>
              <w:top w:val="single" w:sz="6" w:space="0" w:color="auto"/>
              <w:bottom w:val="single" w:sz="6" w:space="0" w:color="auto"/>
            </w:tcBorders>
            <w:shd w:val="clear" w:color="auto" w:fill="auto"/>
          </w:tcPr>
          <w:p w:rsidR="00181B2A" w:rsidRPr="00B817EA" w:rsidRDefault="00181B2A" w:rsidP="00C4575E">
            <w:pPr>
              <w:pStyle w:val="TableColumnHeading"/>
            </w:pPr>
            <w:proofErr w:type="spellStart"/>
            <w:r w:rsidRPr="00B817EA">
              <w:t>Tas</w:t>
            </w:r>
            <w:proofErr w:type="spellEnd"/>
          </w:p>
        </w:tc>
        <w:tc>
          <w:tcPr>
            <w:tcW w:w="359" w:type="pct"/>
            <w:tcBorders>
              <w:top w:val="single" w:sz="6" w:space="0" w:color="auto"/>
              <w:bottom w:val="single" w:sz="6" w:space="0" w:color="auto"/>
            </w:tcBorders>
            <w:shd w:val="clear" w:color="auto" w:fill="auto"/>
          </w:tcPr>
          <w:p w:rsidR="00181B2A" w:rsidRPr="00B817EA" w:rsidRDefault="00181B2A" w:rsidP="00C4575E">
            <w:pPr>
              <w:pStyle w:val="TableColumnHeading"/>
            </w:pPr>
            <w:r w:rsidRPr="00B817EA">
              <w:t>ACT</w:t>
            </w:r>
          </w:p>
        </w:tc>
        <w:tc>
          <w:tcPr>
            <w:tcW w:w="434" w:type="pct"/>
            <w:tcBorders>
              <w:top w:val="single" w:sz="6" w:space="0" w:color="auto"/>
              <w:bottom w:val="single" w:sz="6" w:space="0" w:color="auto"/>
            </w:tcBorders>
            <w:shd w:val="clear" w:color="auto" w:fill="auto"/>
          </w:tcPr>
          <w:p w:rsidR="00181B2A" w:rsidRPr="00B817EA" w:rsidRDefault="00181B2A" w:rsidP="00C4575E">
            <w:pPr>
              <w:pStyle w:val="TableColumnHeading"/>
            </w:pPr>
            <w:r w:rsidRPr="00B817EA">
              <w:t>NT</w:t>
            </w:r>
          </w:p>
        </w:tc>
        <w:tc>
          <w:tcPr>
            <w:tcW w:w="402" w:type="pct"/>
            <w:tcBorders>
              <w:top w:val="single" w:sz="6" w:space="0" w:color="auto"/>
              <w:bottom w:val="single" w:sz="6" w:space="0" w:color="auto"/>
            </w:tcBorders>
          </w:tcPr>
          <w:p w:rsidR="00181B2A" w:rsidRPr="00B817EA" w:rsidRDefault="00181B2A" w:rsidP="00C4575E">
            <w:pPr>
              <w:pStyle w:val="TableColumnHeading"/>
            </w:pPr>
            <w:proofErr w:type="spellStart"/>
            <w:r w:rsidRPr="00B817EA">
              <w:t>Aust</w:t>
            </w:r>
            <w:proofErr w:type="spellEnd"/>
          </w:p>
        </w:tc>
        <w:tc>
          <w:tcPr>
            <w:tcW w:w="548" w:type="pct"/>
            <w:gridSpan w:val="2"/>
            <w:tcBorders>
              <w:top w:val="single" w:sz="6" w:space="0" w:color="auto"/>
              <w:bottom w:val="single" w:sz="6" w:space="0" w:color="auto"/>
            </w:tcBorders>
          </w:tcPr>
          <w:p w:rsidR="00181B2A" w:rsidRPr="00B817EA" w:rsidRDefault="00181B2A" w:rsidP="00C4575E">
            <w:pPr>
              <w:pStyle w:val="TableColumnHeading"/>
            </w:pPr>
            <w:r w:rsidRPr="00B817EA">
              <w:t>Source</w:t>
            </w:r>
          </w:p>
        </w:tc>
      </w:tr>
      <w:tr w:rsidR="00181B2A" w:rsidRPr="00B20E15" w:rsidTr="00C4575E">
        <w:trPr>
          <w:gridAfter w:val="1"/>
          <w:wAfter w:w="7" w:type="pct"/>
          <w:trHeight w:val="329"/>
        </w:trPr>
        <w:tc>
          <w:tcPr>
            <w:tcW w:w="4993" w:type="pct"/>
            <w:gridSpan w:val="13"/>
            <w:tcBorders>
              <w:top w:val="single" w:sz="6" w:space="0" w:color="auto"/>
            </w:tcBorders>
          </w:tcPr>
          <w:p w:rsidR="00181B2A" w:rsidRPr="00B20E15" w:rsidRDefault="00181B2A" w:rsidP="00C4575E">
            <w:pPr>
              <w:pStyle w:val="TableColumnHeading"/>
              <w:spacing w:before="60" w:after="60"/>
              <w:jc w:val="left"/>
              <w:rPr>
                <w:b/>
                <w:i w:val="0"/>
              </w:rPr>
            </w:pPr>
            <w:r w:rsidRPr="00B20E15">
              <w:rPr>
                <w:b/>
                <w:i w:val="0"/>
              </w:rPr>
              <w:t>Equity — Access indicators</w:t>
            </w:r>
          </w:p>
        </w:tc>
      </w:tr>
      <w:tr w:rsidR="00181B2A" w:rsidRPr="00B817EA" w:rsidTr="00C4575E">
        <w:trPr>
          <w:trHeight w:val="418"/>
        </w:trPr>
        <w:tc>
          <w:tcPr>
            <w:tcW w:w="5000" w:type="pct"/>
            <w:gridSpan w:val="14"/>
          </w:tcPr>
          <w:p w:rsidR="00181B2A" w:rsidRDefault="00181B2A" w:rsidP="00C4575E">
            <w:pPr>
              <w:pStyle w:val="TableColumnHeading"/>
              <w:jc w:val="left"/>
            </w:pPr>
            <w:r>
              <w:t>Participation rates for special needs groups in child care</w:t>
            </w:r>
            <w:r>
              <w:br/>
            </w:r>
            <w:r w:rsidRPr="00B662E2">
              <w:rPr>
                <w:i w:val="0"/>
                <w:sz w:val="16"/>
                <w:szCs w:val="16"/>
              </w:rPr>
              <w:t xml:space="preserve"> Most recent data for all measures are comparable and complete (chapter 3)</w:t>
            </w:r>
          </w:p>
        </w:tc>
      </w:tr>
      <w:tr w:rsidR="00181B2A" w:rsidRPr="00B817EA" w:rsidTr="00C4575E">
        <w:trPr>
          <w:trHeight w:val="329"/>
        </w:trPr>
        <w:tc>
          <w:tcPr>
            <w:tcW w:w="5000" w:type="pct"/>
            <w:gridSpan w:val="14"/>
          </w:tcPr>
          <w:p w:rsidR="00181B2A" w:rsidRPr="00B817EA" w:rsidRDefault="00181B2A" w:rsidP="00C4575E">
            <w:pPr>
              <w:pStyle w:val="TableColumnHeading"/>
              <w:jc w:val="left"/>
            </w:pPr>
            <w:r>
              <w:rPr>
                <w:i w:val="0"/>
              </w:rPr>
              <w:t>Indigenous children (0–12 years), 2013</w:t>
            </w:r>
          </w:p>
        </w:tc>
      </w:tr>
      <w:tr w:rsidR="00181B2A" w:rsidRPr="00B817EA" w:rsidTr="00C4575E">
        <w:tc>
          <w:tcPr>
            <w:tcW w:w="735" w:type="pct"/>
            <w:gridSpan w:val="2"/>
            <w:shd w:val="clear" w:color="auto" w:fill="auto"/>
          </w:tcPr>
          <w:p w:rsidR="00181B2A" w:rsidRPr="00B817EA" w:rsidRDefault="00181B2A" w:rsidP="00C4575E">
            <w:pPr>
              <w:pStyle w:val="TableBodyText"/>
              <w:jc w:val="left"/>
            </w:pPr>
            <w:r>
              <w:t>in service</w:t>
            </w:r>
          </w:p>
        </w:tc>
        <w:tc>
          <w:tcPr>
            <w:tcW w:w="169" w:type="pct"/>
          </w:tcPr>
          <w:p w:rsidR="00181B2A" w:rsidRPr="00B817EA" w:rsidRDefault="00181B2A" w:rsidP="00C4575E">
            <w:pPr>
              <w:pStyle w:val="TableBodyText"/>
              <w:jc w:val="left"/>
            </w:pPr>
            <w:r>
              <w:t>%</w:t>
            </w:r>
          </w:p>
        </w:tc>
        <w:tc>
          <w:tcPr>
            <w:tcW w:w="385" w:type="pct"/>
          </w:tcPr>
          <w:p w:rsidR="00181B2A" w:rsidRPr="004A0F91" w:rsidRDefault="00181B2A" w:rsidP="00C4575E">
            <w:pPr>
              <w:pStyle w:val="TableBodyText"/>
            </w:pPr>
            <w:r>
              <w:t>2.8</w:t>
            </w:r>
          </w:p>
        </w:tc>
        <w:tc>
          <w:tcPr>
            <w:tcW w:w="391" w:type="pct"/>
          </w:tcPr>
          <w:p w:rsidR="00181B2A" w:rsidRPr="004A0F91" w:rsidRDefault="00181B2A" w:rsidP="00C4575E">
            <w:pPr>
              <w:pStyle w:val="TableBodyText"/>
            </w:pPr>
            <w:r>
              <w:t>0.8</w:t>
            </w:r>
          </w:p>
        </w:tc>
        <w:tc>
          <w:tcPr>
            <w:tcW w:w="403" w:type="pct"/>
          </w:tcPr>
          <w:p w:rsidR="00181B2A" w:rsidRPr="004A0F91" w:rsidRDefault="00181B2A" w:rsidP="00C4575E">
            <w:pPr>
              <w:pStyle w:val="TableBodyText"/>
            </w:pPr>
            <w:r>
              <w:t>4.0</w:t>
            </w:r>
          </w:p>
        </w:tc>
        <w:tc>
          <w:tcPr>
            <w:tcW w:w="391" w:type="pct"/>
          </w:tcPr>
          <w:p w:rsidR="00181B2A" w:rsidRPr="004A0F91" w:rsidRDefault="00181B2A" w:rsidP="00C4575E">
            <w:pPr>
              <w:pStyle w:val="TableBodyText"/>
            </w:pPr>
            <w:r>
              <w:t>2.6</w:t>
            </w:r>
          </w:p>
        </w:tc>
        <w:tc>
          <w:tcPr>
            <w:tcW w:w="392" w:type="pct"/>
          </w:tcPr>
          <w:p w:rsidR="00181B2A" w:rsidRPr="004A0F91" w:rsidRDefault="00181B2A" w:rsidP="00C4575E">
            <w:pPr>
              <w:pStyle w:val="TableBodyText"/>
            </w:pPr>
            <w:r>
              <w:t>1.8</w:t>
            </w:r>
          </w:p>
        </w:tc>
        <w:tc>
          <w:tcPr>
            <w:tcW w:w="392" w:type="pct"/>
          </w:tcPr>
          <w:p w:rsidR="00181B2A" w:rsidRPr="004A0F91" w:rsidRDefault="00181B2A" w:rsidP="00C4575E">
            <w:pPr>
              <w:pStyle w:val="TableBodyText"/>
            </w:pPr>
            <w:r>
              <w:t>5.7</w:t>
            </w:r>
          </w:p>
        </w:tc>
        <w:tc>
          <w:tcPr>
            <w:tcW w:w="359" w:type="pct"/>
          </w:tcPr>
          <w:p w:rsidR="00181B2A" w:rsidRPr="004A0F91" w:rsidRDefault="00181B2A" w:rsidP="00C4575E">
            <w:pPr>
              <w:pStyle w:val="TableBodyText"/>
            </w:pPr>
            <w:r>
              <w:t>1.4</w:t>
            </w:r>
          </w:p>
        </w:tc>
        <w:tc>
          <w:tcPr>
            <w:tcW w:w="434" w:type="pct"/>
          </w:tcPr>
          <w:p w:rsidR="00181B2A" w:rsidRPr="004A0F91" w:rsidRDefault="00181B2A" w:rsidP="00C4575E">
            <w:pPr>
              <w:pStyle w:val="TableBodyText"/>
            </w:pPr>
            <w:r>
              <w:t>11.8</w:t>
            </w:r>
          </w:p>
        </w:tc>
        <w:tc>
          <w:tcPr>
            <w:tcW w:w="402" w:type="pct"/>
          </w:tcPr>
          <w:p w:rsidR="00181B2A" w:rsidRPr="004A0F91" w:rsidRDefault="00181B2A" w:rsidP="00C4575E">
            <w:pPr>
              <w:pStyle w:val="TableBodyText"/>
            </w:pPr>
            <w:r>
              <w:t>2.6</w:t>
            </w:r>
          </w:p>
        </w:tc>
        <w:tc>
          <w:tcPr>
            <w:tcW w:w="548" w:type="pct"/>
            <w:gridSpan w:val="2"/>
          </w:tcPr>
          <w:p w:rsidR="00181B2A" w:rsidRPr="00B817EA" w:rsidRDefault="00181B2A" w:rsidP="00FF7960">
            <w:pPr>
              <w:pStyle w:val="TableBodyText"/>
            </w:pPr>
            <w:r>
              <w:t>3A.</w:t>
            </w:r>
            <w:r w:rsidR="00FF7960" w:rsidRPr="00C36189">
              <w:t>13</w:t>
            </w:r>
          </w:p>
        </w:tc>
      </w:tr>
      <w:tr w:rsidR="00181B2A" w:rsidRPr="00B817EA" w:rsidTr="00C4575E">
        <w:tc>
          <w:tcPr>
            <w:tcW w:w="735" w:type="pct"/>
            <w:gridSpan w:val="2"/>
            <w:shd w:val="clear" w:color="auto" w:fill="auto"/>
          </w:tcPr>
          <w:p w:rsidR="00181B2A" w:rsidRDefault="00181B2A" w:rsidP="00C4575E">
            <w:pPr>
              <w:pStyle w:val="TableBodyText"/>
              <w:jc w:val="left"/>
            </w:pPr>
            <w:r>
              <w:t>community</w:t>
            </w:r>
          </w:p>
          <w:p w:rsidR="00181B2A" w:rsidRPr="00B817EA" w:rsidRDefault="00181B2A" w:rsidP="00C4575E">
            <w:pPr>
              <w:pStyle w:val="TableBodyText"/>
              <w:jc w:val="left"/>
            </w:pPr>
            <w:r>
              <w:t>(2012)</w:t>
            </w:r>
          </w:p>
        </w:tc>
        <w:tc>
          <w:tcPr>
            <w:tcW w:w="169" w:type="pct"/>
          </w:tcPr>
          <w:p w:rsidR="00181B2A" w:rsidRPr="00B817EA" w:rsidRDefault="00181B2A" w:rsidP="00C4575E">
            <w:pPr>
              <w:pStyle w:val="TableBodyText"/>
              <w:jc w:val="left"/>
            </w:pPr>
            <w:r w:rsidRPr="00B817EA">
              <w:t>%</w:t>
            </w:r>
          </w:p>
        </w:tc>
        <w:tc>
          <w:tcPr>
            <w:tcW w:w="385" w:type="pct"/>
          </w:tcPr>
          <w:p w:rsidR="00181B2A" w:rsidRPr="004A0F91" w:rsidRDefault="00181B2A" w:rsidP="00C4575E">
            <w:pPr>
              <w:pStyle w:val="TableBodyText"/>
            </w:pPr>
            <w:r>
              <w:t>4.5</w:t>
            </w:r>
          </w:p>
        </w:tc>
        <w:tc>
          <w:tcPr>
            <w:tcW w:w="391" w:type="pct"/>
          </w:tcPr>
          <w:p w:rsidR="00181B2A" w:rsidRPr="004A0F91" w:rsidRDefault="00181B2A" w:rsidP="00C4575E">
            <w:pPr>
              <w:pStyle w:val="TableBodyText"/>
            </w:pPr>
            <w:r>
              <w:t>1.3</w:t>
            </w:r>
          </w:p>
        </w:tc>
        <w:tc>
          <w:tcPr>
            <w:tcW w:w="403" w:type="pct"/>
          </w:tcPr>
          <w:p w:rsidR="00181B2A" w:rsidRPr="004A0F91" w:rsidRDefault="00181B2A" w:rsidP="00C4575E">
            <w:pPr>
              <w:pStyle w:val="TableBodyText"/>
            </w:pPr>
            <w:r>
              <w:t>6.7</w:t>
            </w:r>
          </w:p>
        </w:tc>
        <w:tc>
          <w:tcPr>
            <w:tcW w:w="391" w:type="pct"/>
          </w:tcPr>
          <w:p w:rsidR="00181B2A" w:rsidRPr="004A0F91" w:rsidRDefault="00181B2A" w:rsidP="00C4575E">
            <w:pPr>
              <w:pStyle w:val="TableBodyText"/>
            </w:pPr>
            <w:r>
              <w:t>5.8</w:t>
            </w:r>
          </w:p>
        </w:tc>
        <w:tc>
          <w:tcPr>
            <w:tcW w:w="392" w:type="pct"/>
          </w:tcPr>
          <w:p w:rsidR="00181B2A" w:rsidRPr="004A0F91" w:rsidRDefault="00181B2A" w:rsidP="00C4575E">
            <w:pPr>
              <w:pStyle w:val="TableBodyText"/>
            </w:pPr>
            <w:r>
              <w:t>3.7</w:t>
            </w:r>
          </w:p>
        </w:tc>
        <w:tc>
          <w:tcPr>
            <w:tcW w:w="392" w:type="pct"/>
          </w:tcPr>
          <w:p w:rsidR="00181B2A" w:rsidRPr="004A0F91" w:rsidRDefault="00181B2A" w:rsidP="00C4575E">
            <w:pPr>
              <w:pStyle w:val="TableBodyText"/>
            </w:pPr>
            <w:r>
              <w:t>7.2</w:t>
            </w:r>
          </w:p>
        </w:tc>
        <w:tc>
          <w:tcPr>
            <w:tcW w:w="359" w:type="pct"/>
          </w:tcPr>
          <w:p w:rsidR="00181B2A" w:rsidRPr="004A0F91" w:rsidRDefault="00181B2A" w:rsidP="00C4575E">
            <w:pPr>
              <w:pStyle w:val="TableBodyText"/>
            </w:pPr>
            <w:r>
              <w:t>2.5</w:t>
            </w:r>
          </w:p>
        </w:tc>
        <w:tc>
          <w:tcPr>
            <w:tcW w:w="434" w:type="pct"/>
          </w:tcPr>
          <w:p w:rsidR="00181B2A" w:rsidRPr="004A0F91" w:rsidRDefault="00181B2A" w:rsidP="00C4575E">
            <w:pPr>
              <w:pStyle w:val="TableBodyText"/>
            </w:pPr>
            <w:r>
              <w:t>42.8</w:t>
            </w:r>
          </w:p>
        </w:tc>
        <w:tc>
          <w:tcPr>
            <w:tcW w:w="402" w:type="pct"/>
          </w:tcPr>
          <w:p w:rsidR="00181B2A" w:rsidRPr="004A0F91" w:rsidRDefault="00181B2A" w:rsidP="00C4575E">
            <w:pPr>
              <w:pStyle w:val="TableBodyText"/>
            </w:pPr>
            <w:r>
              <w:t>4.8</w:t>
            </w:r>
          </w:p>
        </w:tc>
        <w:tc>
          <w:tcPr>
            <w:tcW w:w="548" w:type="pct"/>
            <w:gridSpan w:val="2"/>
          </w:tcPr>
          <w:p w:rsidR="00181B2A" w:rsidRPr="00B817EA" w:rsidRDefault="00181B2A" w:rsidP="00C4575E">
            <w:pPr>
              <w:pStyle w:val="TableBodyText"/>
            </w:pPr>
          </w:p>
        </w:tc>
      </w:tr>
      <w:tr w:rsidR="00181B2A" w:rsidRPr="00B817EA" w:rsidTr="00C4575E">
        <w:trPr>
          <w:trHeight w:val="329"/>
        </w:trPr>
        <w:tc>
          <w:tcPr>
            <w:tcW w:w="5000" w:type="pct"/>
            <w:gridSpan w:val="14"/>
          </w:tcPr>
          <w:p w:rsidR="00181B2A" w:rsidRPr="004A0F91" w:rsidRDefault="00181B2A" w:rsidP="00C4575E">
            <w:pPr>
              <w:pStyle w:val="TableColumnHeading"/>
              <w:jc w:val="left"/>
            </w:pPr>
            <w:r w:rsidRPr="004A0F91">
              <w:rPr>
                <w:i w:val="0"/>
              </w:rPr>
              <w:t>Children from non-English speaking backgrounds</w:t>
            </w:r>
            <w:r>
              <w:rPr>
                <w:i w:val="0"/>
              </w:rPr>
              <w:t xml:space="preserve"> (0–</w:t>
            </w:r>
            <w:r w:rsidRPr="004A0F91">
              <w:rPr>
                <w:i w:val="0"/>
              </w:rPr>
              <w:t>12 years)</w:t>
            </w:r>
            <w:r>
              <w:rPr>
                <w:i w:val="0"/>
              </w:rPr>
              <w:t xml:space="preserve">, </w:t>
            </w:r>
            <w:r w:rsidRPr="004A0F91">
              <w:rPr>
                <w:i w:val="0"/>
              </w:rPr>
              <w:t>201</w:t>
            </w:r>
            <w:r>
              <w:rPr>
                <w:i w:val="0"/>
              </w:rPr>
              <w:t>3</w:t>
            </w:r>
          </w:p>
        </w:tc>
      </w:tr>
      <w:tr w:rsidR="00181B2A" w:rsidRPr="00B817EA" w:rsidTr="00C4575E">
        <w:tc>
          <w:tcPr>
            <w:tcW w:w="735" w:type="pct"/>
            <w:gridSpan w:val="2"/>
            <w:shd w:val="clear" w:color="auto" w:fill="auto"/>
          </w:tcPr>
          <w:p w:rsidR="00181B2A" w:rsidRPr="00B817EA" w:rsidRDefault="00181B2A" w:rsidP="00C4575E">
            <w:pPr>
              <w:pStyle w:val="TableBodyText"/>
              <w:jc w:val="left"/>
            </w:pPr>
            <w:r>
              <w:t>in service</w:t>
            </w:r>
          </w:p>
        </w:tc>
        <w:tc>
          <w:tcPr>
            <w:tcW w:w="169" w:type="pct"/>
          </w:tcPr>
          <w:p w:rsidR="00181B2A" w:rsidRPr="00B817EA" w:rsidRDefault="00181B2A" w:rsidP="00C4575E">
            <w:pPr>
              <w:pStyle w:val="TableBodyText"/>
              <w:jc w:val="left"/>
            </w:pPr>
            <w:r>
              <w:t>%</w:t>
            </w:r>
          </w:p>
        </w:tc>
        <w:tc>
          <w:tcPr>
            <w:tcW w:w="385" w:type="pct"/>
          </w:tcPr>
          <w:p w:rsidR="00181B2A" w:rsidRPr="004A0F91" w:rsidRDefault="00181B2A" w:rsidP="00C4575E">
            <w:pPr>
              <w:pStyle w:val="TableBodyText"/>
            </w:pPr>
            <w:r>
              <w:t>21.3</w:t>
            </w:r>
          </w:p>
        </w:tc>
        <w:tc>
          <w:tcPr>
            <w:tcW w:w="391" w:type="pct"/>
          </w:tcPr>
          <w:p w:rsidR="00181B2A" w:rsidRPr="004A0F91" w:rsidRDefault="00181B2A" w:rsidP="00C4575E">
            <w:pPr>
              <w:pStyle w:val="TableBodyText"/>
            </w:pPr>
            <w:r>
              <w:t>24.8</w:t>
            </w:r>
          </w:p>
        </w:tc>
        <w:tc>
          <w:tcPr>
            <w:tcW w:w="403" w:type="pct"/>
          </w:tcPr>
          <w:p w:rsidR="00181B2A" w:rsidRPr="004A0F91" w:rsidRDefault="00181B2A" w:rsidP="00C4575E">
            <w:pPr>
              <w:pStyle w:val="TableBodyText"/>
            </w:pPr>
            <w:r>
              <w:t>9.0</w:t>
            </w:r>
          </w:p>
        </w:tc>
        <w:tc>
          <w:tcPr>
            <w:tcW w:w="391" w:type="pct"/>
          </w:tcPr>
          <w:p w:rsidR="00181B2A" w:rsidRPr="004A0F91" w:rsidRDefault="00181B2A" w:rsidP="00C4575E">
            <w:pPr>
              <w:pStyle w:val="TableBodyText"/>
            </w:pPr>
            <w:r>
              <w:t>13.4</w:t>
            </w:r>
          </w:p>
        </w:tc>
        <w:tc>
          <w:tcPr>
            <w:tcW w:w="392" w:type="pct"/>
          </w:tcPr>
          <w:p w:rsidR="00181B2A" w:rsidRPr="004A0F91" w:rsidRDefault="00181B2A" w:rsidP="00C4575E">
            <w:pPr>
              <w:pStyle w:val="TableBodyText"/>
            </w:pPr>
            <w:r>
              <w:t>10.4</w:t>
            </w:r>
          </w:p>
        </w:tc>
        <w:tc>
          <w:tcPr>
            <w:tcW w:w="392" w:type="pct"/>
          </w:tcPr>
          <w:p w:rsidR="00181B2A" w:rsidRPr="004A0F91" w:rsidRDefault="00181B2A" w:rsidP="00C4575E">
            <w:pPr>
              <w:pStyle w:val="TableBodyText"/>
            </w:pPr>
            <w:r>
              <w:t>3.5</w:t>
            </w:r>
          </w:p>
        </w:tc>
        <w:tc>
          <w:tcPr>
            <w:tcW w:w="359" w:type="pct"/>
          </w:tcPr>
          <w:p w:rsidR="00181B2A" w:rsidRPr="004A0F91" w:rsidRDefault="00181B2A" w:rsidP="00C4575E">
            <w:pPr>
              <w:pStyle w:val="TableBodyText"/>
            </w:pPr>
            <w:r>
              <w:t>16.0</w:t>
            </w:r>
          </w:p>
        </w:tc>
        <w:tc>
          <w:tcPr>
            <w:tcW w:w="434" w:type="pct"/>
          </w:tcPr>
          <w:p w:rsidR="00181B2A" w:rsidRPr="004A0F91" w:rsidRDefault="00181B2A" w:rsidP="00C4575E">
            <w:pPr>
              <w:pStyle w:val="TableBodyText"/>
            </w:pPr>
            <w:r>
              <w:t>10.6</w:t>
            </w:r>
          </w:p>
        </w:tc>
        <w:tc>
          <w:tcPr>
            <w:tcW w:w="402" w:type="pct"/>
          </w:tcPr>
          <w:p w:rsidR="00181B2A" w:rsidRPr="004A0F91" w:rsidRDefault="00181B2A" w:rsidP="00C4575E">
            <w:pPr>
              <w:pStyle w:val="TableBodyText"/>
            </w:pPr>
            <w:r>
              <w:t>17.3</w:t>
            </w:r>
          </w:p>
        </w:tc>
        <w:tc>
          <w:tcPr>
            <w:tcW w:w="548" w:type="pct"/>
            <w:gridSpan w:val="2"/>
          </w:tcPr>
          <w:p w:rsidR="00181B2A" w:rsidRPr="00B817EA" w:rsidRDefault="00181B2A" w:rsidP="00FF7960">
            <w:pPr>
              <w:pStyle w:val="TableBodyText"/>
            </w:pPr>
            <w:r>
              <w:t>3A.</w:t>
            </w:r>
            <w:r w:rsidR="00FF7960" w:rsidRPr="00C36189">
              <w:t>13</w:t>
            </w:r>
          </w:p>
        </w:tc>
      </w:tr>
      <w:tr w:rsidR="00181B2A" w:rsidRPr="00B817EA" w:rsidTr="00C4575E">
        <w:tc>
          <w:tcPr>
            <w:tcW w:w="735" w:type="pct"/>
            <w:gridSpan w:val="2"/>
            <w:shd w:val="clear" w:color="auto" w:fill="auto"/>
          </w:tcPr>
          <w:p w:rsidR="00181B2A" w:rsidRPr="00B817EA" w:rsidRDefault="00181B2A" w:rsidP="00C4575E">
            <w:pPr>
              <w:pStyle w:val="TableBodyText"/>
              <w:jc w:val="left"/>
            </w:pPr>
            <w:r>
              <w:t>community (2011)</w:t>
            </w:r>
          </w:p>
        </w:tc>
        <w:tc>
          <w:tcPr>
            <w:tcW w:w="169" w:type="pct"/>
          </w:tcPr>
          <w:p w:rsidR="00181B2A" w:rsidRPr="00B817EA" w:rsidRDefault="00181B2A" w:rsidP="00C4575E">
            <w:pPr>
              <w:pStyle w:val="TableBodyText"/>
              <w:jc w:val="left"/>
            </w:pPr>
            <w:r w:rsidRPr="00B817EA">
              <w:t>%</w:t>
            </w:r>
          </w:p>
        </w:tc>
        <w:tc>
          <w:tcPr>
            <w:tcW w:w="385" w:type="pct"/>
          </w:tcPr>
          <w:p w:rsidR="00181B2A" w:rsidRPr="004A0F91" w:rsidRDefault="00181B2A" w:rsidP="00C4575E">
            <w:pPr>
              <w:pStyle w:val="TableBodyText"/>
            </w:pPr>
            <w:r>
              <w:t>23.7</w:t>
            </w:r>
          </w:p>
        </w:tc>
        <w:tc>
          <w:tcPr>
            <w:tcW w:w="391" w:type="pct"/>
          </w:tcPr>
          <w:p w:rsidR="00181B2A" w:rsidRPr="004A0F91" w:rsidRDefault="00181B2A" w:rsidP="00C4575E">
            <w:pPr>
              <w:pStyle w:val="TableBodyText"/>
            </w:pPr>
            <w:r>
              <w:t>23.4</w:t>
            </w:r>
          </w:p>
        </w:tc>
        <w:tc>
          <w:tcPr>
            <w:tcW w:w="403" w:type="pct"/>
          </w:tcPr>
          <w:p w:rsidR="00181B2A" w:rsidRPr="004A0F91" w:rsidRDefault="00181B2A" w:rsidP="00C4575E">
            <w:pPr>
              <w:pStyle w:val="TableBodyText"/>
            </w:pPr>
            <w:r>
              <w:t>13.2</w:t>
            </w:r>
          </w:p>
        </w:tc>
        <w:tc>
          <w:tcPr>
            <w:tcW w:w="391" w:type="pct"/>
          </w:tcPr>
          <w:p w:rsidR="00181B2A" w:rsidRPr="004A0F91" w:rsidRDefault="00181B2A" w:rsidP="00C4575E">
            <w:pPr>
              <w:pStyle w:val="TableBodyText"/>
            </w:pPr>
            <w:r>
              <w:t>18.0</w:t>
            </w:r>
          </w:p>
        </w:tc>
        <w:tc>
          <w:tcPr>
            <w:tcW w:w="392" w:type="pct"/>
          </w:tcPr>
          <w:p w:rsidR="00181B2A" w:rsidRPr="004A0F91" w:rsidRDefault="00181B2A" w:rsidP="00C4575E">
            <w:pPr>
              <w:pStyle w:val="TableBodyText"/>
            </w:pPr>
            <w:r>
              <w:t>15.7</w:t>
            </w:r>
          </w:p>
        </w:tc>
        <w:tc>
          <w:tcPr>
            <w:tcW w:w="392" w:type="pct"/>
          </w:tcPr>
          <w:p w:rsidR="00181B2A" w:rsidRPr="004A0F91" w:rsidRDefault="00181B2A" w:rsidP="00C4575E">
            <w:pPr>
              <w:pStyle w:val="TableBodyText"/>
            </w:pPr>
            <w:r>
              <w:t>7.3</w:t>
            </w:r>
          </w:p>
        </w:tc>
        <w:tc>
          <w:tcPr>
            <w:tcW w:w="359" w:type="pct"/>
          </w:tcPr>
          <w:p w:rsidR="00181B2A" w:rsidRPr="004A0F91" w:rsidRDefault="00181B2A" w:rsidP="00C4575E">
            <w:pPr>
              <w:pStyle w:val="TableBodyText"/>
            </w:pPr>
            <w:r>
              <w:t>19.2</w:t>
            </w:r>
          </w:p>
        </w:tc>
        <w:tc>
          <w:tcPr>
            <w:tcW w:w="434" w:type="pct"/>
          </w:tcPr>
          <w:p w:rsidR="00181B2A" w:rsidRPr="004A0F91" w:rsidRDefault="00181B2A" w:rsidP="00C4575E">
            <w:pPr>
              <w:pStyle w:val="TableBodyText"/>
            </w:pPr>
            <w:r>
              <w:t>40.0</w:t>
            </w:r>
          </w:p>
        </w:tc>
        <w:tc>
          <w:tcPr>
            <w:tcW w:w="402" w:type="pct"/>
          </w:tcPr>
          <w:p w:rsidR="00181B2A" w:rsidRPr="004A0F91" w:rsidRDefault="00181B2A" w:rsidP="00C4575E">
            <w:pPr>
              <w:pStyle w:val="TableBodyText"/>
            </w:pPr>
            <w:r>
              <w:t>20.0</w:t>
            </w:r>
          </w:p>
        </w:tc>
        <w:tc>
          <w:tcPr>
            <w:tcW w:w="548" w:type="pct"/>
            <w:gridSpan w:val="2"/>
          </w:tcPr>
          <w:p w:rsidR="00181B2A" w:rsidRPr="00B817EA" w:rsidRDefault="00181B2A" w:rsidP="00C4575E">
            <w:pPr>
              <w:pStyle w:val="TableBodyText"/>
            </w:pPr>
          </w:p>
        </w:tc>
      </w:tr>
      <w:tr w:rsidR="00181B2A" w:rsidRPr="00B817EA" w:rsidTr="00C4575E">
        <w:trPr>
          <w:trHeight w:val="329"/>
        </w:trPr>
        <w:tc>
          <w:tcPr>
            <w:tcW w:w="5000" w:type="pct"/>
            <w:gridSpan w:val="14"/>
          </w:tcPr>
          <w:p w:rsidR="00181B2A" w:rsidRDefault="00181B2A" w:rsidP="00C4575E">
            <w:pPr>
              <w:pStyle w:val="TableColumnHeading"/>
              <w:jc w:val="left"/>
            </w:pPr>
            <w:r>
              <w:t>Participation rates for special needs groups in preschool (Indigenous children 3–5 years), 2012</w:t>
            </w:r>
            <w:r>
              <w:br/>
            </w:r>
            <w:r w:rsidRPr="00B662E2">
              <w:rPr>
                <w:i w:val="0"/>
                <w:sz w:val="16"/>
                <w:szCs w:val="16"/>
              </w:rPr>
              <w:t>Most recent data for all measures are either not comparable and/or not complete (chapter 3)</w:t>
            </w:r>
          </w:p>
        </w:tc>
      </w:tr>
      <w:tr w:rsidR="00181B2A" w:rsidRPr="00B817EA" w:rsidTr="00C36189">
        <w:trPr>
          <w:trHeight w:val="260"/>
        </w:trPr>
        <w:tc>
          <w:tcPr>
            <w:tcW w:w="735" w:type="pct"/>
            <w:gridSpan w:val="2"/>
            <w:shd w:val="clear" w:color="auto" w:fill="auto"/>
          </w:tcPr>
          <w:p w:rsidR="00181B2A" w:rsidRPr="00B817EA" w:rsidRDefault="00181B2A" w:rsidP="00C4575E">
            <w:pPr>
              <w:pStyle w:val="TableBodyText"/>
              <w:jc w:val="left"/>
            </w:pPr>
            <w:r>
              <w:t>in service</w:t>
            </w:r>
          </w:p>
        </w:tc>
        <w:tc>
          <w:tcPr>
            <w:tcW w:w="169" w:type="pct"/>
          </w:tcPr>
          <w:p w:rsidR="00181B2A" w:rsidRPr="00B817EA" w:rsidRDefault="00181B2A" w:rsidP="00C4575E">
            <w:pPr>
              <w:pStyle w:val="TableBodyText"/>
              <w:jc w:val="left"/>
            </w:pPr>
            <w:r>
              <w:t>%</w:t>
            </w:r>
          </w:p>
        </w:tc>
        <w:tc>
          <w:tcPr>
            <w:tcW w:w="385" w:type="pct"/>
            <w:shd w:val="clear" w:color="auto" w:fill="FFFFFF" w:themeFill="background1"/>
            <w:vAlign w:val="center"/>
          </w:tcPr>
          <w:p w:rsidR="00181B2A" w:rsidRPr="00C36189" w:rsidRDefault="006B0A44" w:rsidP="00C4575E">
            <w:pPr>
              <w:pStyle w:val="TableBodyText"/>
            </w:pPr>
            <w:r w:rsidRPr="00C36189">
              <w:t>4.5</w:t>
            </w:r>
          </w:p>
        </w:tc>
        <w:tc>
          <w:tcPr>
            <w:tcW w:w="391" w:type="pct"/>
            <w:shd w:val="clear" w:color="auto" w:fill="FFFFFF" w:themeFill="background1"/>
            <w:vAlign w:val="center"/>
          </w:tcPr>
          <w:p w:rsidR="00181B2A" w:rsidRPr="00C36189" w:rsidRDefault="006B0A44" w:rsidP="00C4575E">
            <w:pPr>
              <w:pStyle w:val="TableBodyText"/>
            </w:pPr>
            <w:r w:rsidRPr="00C36189">
              <w:t>1.2</w:t>
            </w:r>
          </w:p>
        </w:tc>
        <w:tc>
          <w:tcPr>
            <w:tcW w:w="403" w:type="pct"/>
            <w:shd w:val="clear" w:color="auto" w:fill="FFFFFF" w:themeFill="background1"/>
            <w:vAlign w:val="center"/>
          </w:tcPr>
          <w:p w:rsidR="00181B2A" w:rsidRPr="00C36189" w:rsidRDefault="006B0A44" w:rsidP="00C4575E">
            <w:pPr>
              <w:pStyle w:val="TableBodyText"/>
            </w:pPr>
            <w:r w:rsidRPr="00C36189">
              <w:t>4</w:t>
            </w:r>
            <w:r w:rsidR="00181B2A" w:rsidRPr="00C36189">
              <w:t>.4</w:t>
            </w:r>
          </w:p>
        </w:tc>
        <w:tc>
          <w:tcPr>
            <w:tcW w:w="391" w:type="pct"/>
            <w:shd w:val="clear" w:color="auto" w:fill="FFFFFF" w:themeFill="background1"/>
            <w:vAlign w:val="center"/>
          </w:tcPr>
          <w:p w:rsidR="00181B2A" w:rsidRPr="00C36189" w:rsidRDefault="006B0A44" w:rsidP="00C4575E">
            <w:pPr>
              <w:pStyle w:val="TableBodyText"/>
            </w:pPr>
            <w:r w:rsidRPr="00C36189">
              <w:t>6.8</w:t>
            </w:r>
          </w:p>
        </w:tc>
        <w:tc>
          <w:tcPr>
            <w:tcW w:w="392" w:type="pct"/>
            <w:shd w:val="clear" w:color="auto" w:fill="FFFFFF" w:themeFill="background1"/>
            <w:vAlign w:val="center"/>
          </w:tcPr>
          <w:p w:rsidR="00181B2A" w:rsidRPr="00C36189" w:rsidRDefault="006B0A44" w:rsidP="00C4575E">
            <w:pPr>
              <w:pStyle w:val="TableBodyText"/>
            </w:pPr>
            <w:r w:rsidRPr="00C36189">
              <w:t>6.1</w:t>
            </w:r>
          </w:p>
        </w:tc>
        <w:tc>
          <w:tcPr>
            <w:tcW w:w="392" w:type="pct"/>
            <w:shd w:val="clear" w:color="auto" w:fill="FFFFFF" w:themeFill="background1"/>
            <w:vAlign w:val="center"/>
          </w:tcPr>
          <w:p w:rsidR="00181B2A" w:rsidRPr="00C36189" w:rsidRDefault="006B0A44" w:rsidP="00C4575E">
            <w:pPr>
              <w:pStyle w:val="TableBodyText"/>
            </w:pPr>
            <w:r w:rsidRPr="00C36189">
              <w:t>7.5</w:t>
            </w:r>
          </w:p>
        </w:tc>
        <w:tc>
          <w:tcPr>
            <w:tcW w:w="359" w:type="pct"/>
            <w:shd w:val="clear" w:color="auto" w:fill="FFFFFF" w:themeFill="background1"/>
            <w:vAlign w:val="center"/>
          </w:tcPr>
          <w:p w:rsidR="00181B2A" w:rsidRPr="00C36189" w:rsidRDefault="006B0A44" w:rsidP="00C4575E">
            <w:pPr>
              <w:pStyle w:val="TableBodyText"/>
            </w:pPr>
            <w:r w:rsidRPr="00C36189">
              <w:t>3.1</w:t>
            </w:r>
          </w:p>
        </w:tc>
        <w:tc>
          <w:tcPr>
            <w:tcW w:w="434" w:type="pct"/>
            <w:shd w:val="clear" w:color="auto" w:fill="FFFFFF" w:themeFill="background1"/>
            <w:vAlign w:val="center"/>
          </w:tcPr>
          <w:p w:rsidR="00181B2A" w:rsidRPr="00C36189" w:rsidRDefault="006B0A44" w:rsidP="00C4575E">
            <w:pPr>
              <w:pStyle w:val="TableBodyText"/>
            </w:pPr>
            <w:r w:rsidRPr="00C36189">
              <w:t>38.4</w:t>
            </w:r>
          </w:p>
        </w:tc>
        <w:tc>
          <w:tcPr>
            <w:tcW w:w="402" w:type="pct"/>
            <w:shd w:val="clear" w:color="auto" w:fill="FFFFFF" w:themeFill="background1"/>
            <w:vAlign w:val="center"/>
          </w:tcPr>
          <w:p w:rsidR="00181B2A" w:rsidRPr="00C36189" w:rsidRDefault="006B0A44" w:rsidP="00C4575E">
            <w:pPr>
              <w:pStyle w:val="TableBodyText"/>
            </w:pPr>
            <w:r w:rsidRPr="00C36189">
              <w:t>4.4</w:t>
            </w:r>
          </w:p>
        </w:tc>
        <w:tc>
          <w:tcPr>
            <w:tcW w:w="548" w:type="pct"/>
            <w:gridSpan w:val="2"/>
            <w:shd w:val="clear" w:color="auto" w:fill="FFFFFF" w:themeFill="background1"/>
          </w:tcPr>
          <w:p w:rsidR="00181B2A" w:rsidRPr="00B817EA" w:rsidRDefault="00A75FDF" w:rsidP="00C4575E">
            <w:pPr>
              <w:pStyle w:val="TableBodyText"/>
            </w:pPr>
            <w:r w:rsidRPr="00C36189">
              <w:t>3A.14</w:t>
            </w:r>
          </w:p>
        </w:tc>
      </w:tr>
      <w:tr w:rsidR="00181B2A" w:rsidRPr="00B817EA" w:rsidTr="00C36189">
        <w:trPr>
          <w:trHeight w:val="241"/>
        </w:trPr>
        <w:tc>
          <w:tcPr>
            <w:tcW w:w="735" w:type="pct"/>
            <w:gridSpan w:val="2"/>
            <w:shd w:val="clear" w:color="auto" w:fill="auto"/>
          </w:tcPr>
          <w:p w:rsidR="00181B2A" w:rsidRDefault="00181B2A" w:rsidP="00C4575E">
            <w:pPr>
              <w:pStyle w:val="TableBodyText"/>
              <w:jc w:val="left"/>
            </w:pPr>
            <w:r>
              <w:t>community</w:t>
            </w:r>
          </w:p>
          <w:p w:rsidR="00181B2A" w:rsidRPr="00B817EA" w:rsidRDefault="00181B2A" w:rsidP="00C4575E">
            <w:pPr>
              <w:pStyle w:val="TableBodyText"/>
              <w:jc w:val="left"/>
            </w:pPr>
            <w:r>
              <w:t>(2012)</w:t>
            </w:r>
          </w:p>
        </w:tc>
        <w:tc>
          <w:tcPr>
            <w:tcW w:w="169" w:type="pct"/>
          </w:tcPr>
          <w:p w:rsidR="00181B2A" w:rsidRPr="00B817EA" w:rsidRDefault="00181B2A" w:rsidP="00C4575E">
            <w:pPr>
              <w:pStyle w:val="TableBodyText"/>
              <w:jc w:val="left"/>
            </w:pPr>
            <w:r w:rsidRPr="00B817EA">
              <w:t>%</w:t>
            </w:r>
          </w:p>
        </w:tc>
        <w:tc>
          <w:tcPr>
            <w:tcW w:w="385" w:type="pct"/>
            <w:shd w:val="clear" w:color="auto" w:fill="FFFFFF" w:themeFill="background1"/>
            <w:vAlign w:val="center"/>
          </w:tcPr>
          <w:p w:rsidR="00181B2A" w:rsidRPr="00C36189" w:rsidRDefault="006B0A44" w:rsidP="00C4575E">
            <w:pPr>
              <w:pStyle w:val="TableBodyText"/>
            </w:pPr>
            <w:r w:rsidRPr="00C36189">
              <w:t>4.6</w:t>
            </w:r>
          </w:p>
        </w:tc>
        <w:tc>
          <w:tcPr>
            <w:tcW w:w="391" w:type="pct"/>
            <w:shd w:val="clear" w:color="auto" w:fill="FFFFFF" w:themeFill="background1"/>
            <w:vAlign w:val="center"/>
          </w:tcPr>
          <w:p w:rsidR="00181B2A" w:rsidRPr="00C36189" w:rsidRDefault="006B0A44" w:rsidP="00C4575E">
            <w:pPr>
              <w:pStyle w:val="TableBodyText"/>
            </w:pPr>
            <w:r w:rsidRPr="00C36189">
              <w:t>1.2</w:t>
            </w:r>
          </w:p>
        </w:tc>
        <w:tc>
          <w:tcPr>
            <w:tcW w:w="403" w:type="pct"/>
            <w:shd w:val="clear" w:color="auto" w:fill="FFFFFF" w:themeFill="background1"/>
            <w:vAlign w:val="center"/>
          </w:tcPr>
          <w:p w:rsidR="00181B2A" w:rsidRPr="00C36189" w:rsidRDefault="006B0A44" w:rsidP="00C4575E">
            <w:pPr>
              <w:pStyle w:val="TableBodyText"/>
            </w:pPr>
            <w:r w:rsidRPr="00C36189">
              <w:t>6.7</w:t>
            </w:r>
          </w:p>
        </w:tc>
        <w:tc>
          <w:tcPr>
            <w:tcW w:w="391" w:type="pct"/>
            <w:shd w:val="clear" w:color="auto" w:fill="FFFFFF" w:themeFill="background1"/>
            <w:vAlign w:val="center"/>
          </w:tcPr>
          <w:p w:rsidR="00181B2A" w:rsidRPr="00C36189" w:rsidRDefault="006B0A44" w:rsidP="00C4575E">
            <w:pPr>
              <w:pStyle w:val="TableBodyText"/>
            </w:pPr>
            <w:r w:rsidRPr="00C36189">
              <w:t>5.7</w:t>
            </w:r>
          </w:p>
        </w:tc>
        <w:tc>
          <w:tcPr>
            <w:tcW w:w="392" w:type="pct"/>
            <w:shd w:val="clear" w:color="auto" w:fill="FFFFFF" w:themeFill="background1"/>
            <w:vAlign w:val="center"/>
          </w:tcPr>
          <w:p w:rsidR="00181B2A" w:rsidRPr="00C36189" w:rsidRDefault="006B0A44" w:rsidP="00C4575E">
            <w:pPr>
              <w:pStyle w:val="TableBodyText"/>
            </w:pPr>
            <w:r w:rsidRPr="00C36189">
              <w:t>3.6</w:t>
            </w:r>
          </w:p>
        </w:tc>
        <w:tc>
          <w:tcPr>
            <w:tcW w:w="392" w:type="pct"/>
            <w:shd w:val="clear" w:color="auto" w:fill="FFFFFF" w:themeFill="background1"/>
            <w:vAlign w:val="center"/>
          </w:tcPr>
          <w:p w:rsidR="00181B2A" w:rsidRPr="00C36189" w:rsidRDefault="006B0A44" w:rsidP="00C4575E">
            <w:pPr>
              <w:pStyle w:val="TableBodyText"/>
            </w:pPr>
            <w:r w:rsidRPr="00C36189">
              <w:t>7.0</w:t>
            </w:r>
          </w:p>
        </w:tc>
        <w:tc>
          <w:tcPr>
            <w:tcW w:w="359" w:type="pct"/>
            <w:shd w:val="clear" w:color="auto" w:fill="FFFFFF" w:themeFill="background1"/>
            <w:vAlign w:val="center"/>
          </w:tcPr>
          <w:p w:rsidR="00181B2A" w:rsidRPr="00C36189" w:rsidRDefault="006B0A44" w:rsidP="00C4575E">
            <w:pPr>
              <w:pStyle w:val="TableBodyText"/>
            </w:pPr>
            <w:r w:rsidRPr="00C36189">
              <w:t>2.5</w:t>
            </w:r>
          </w:p>
        </w:tc>
        <w:tc>
          <w:tcPr>
            <w:tcW w:w="434" w:type="pct"/>
            <w:shd w:val="clear" w:color="auto" w:fill="FFFFFF" w:themeFill="background1"/>
            <w:vAlign w:val="center"/>
          </w:tcPr>
          <w:p w:rsidR="00181B2A" w:rsidRPr="00C36189" w:rsidRDefault="006B0A44" w:rsidP="00C4575E">
            <w:pPr>
              <w:pStyle w:val="TableBodyText"/>
            </w:pPr>
            <w:r w:rsidRPr="00C36189">
              <w:t>40.9</w:t>
            </w:r>
          </w:p>
        </w:tc>
        <w:tc>
          <w:tcPr>
            <w:tcW w:w="402" w:type="pct"/>
            <w:shd w:val="clear" w:color="auto" w:fill="FFFFFF" w:themeFill="background1"/>
            <w:vAlign w:val="center"/>
          </w:tcPr>
          <w:p w:rsidR="00181B2A" w:rsidRPr="00C36189" w:rsidRDefault="006B0A44" w:rsidP="00C4575E">
            <w:pPr>
              <w:pStyle w:val="TableBodyText"/>
            </w:pPr>
            <w:r w:rsidRPr="00C36189">
              <w:t>4.8</w:t>
            </w:r>
          </w:p>
        </w:tc>
        <w:tc>
          <w:tcPr>
            <w:tcW w:w="548" w:type="pct"/>
            <w:gridSpan w:val="2"/>
          </w:tcPr>
          <w:p w:rsidR="00181B2A" w:rsidRPr="00B817EA" w:rsidRDefault="00181B2A" w:rsidP="00C4575E">
            <w:pPr>
              <w:pStyle w:val="TableBodyText"/>
            </w:pPr>
          </w:p>
        </w:tc>
      </w:tr>
      <w:tr w:rsidR="00181B2A" w:rsidRPr="00B20E15" w:rsidTr="00C4575E">
        <w:trPr>
          <w:gridAfter w:val="1"/>
          <w:wAfter w:w="7" w:type="pct"/>
          <w:trHeight w:val="329"/>
        </w:trPr>
        <w:tc>
          <w:tcPr>
            <w:tcW w:w="4993" w:type="pct"/>
            <w:gridSpan w:val="13"/>
          </w:tcPr>
          <w:p w:rsidR="00181B2A" w:rsidRPr="00B20E15" w:rsidRDefault="00181B2A" w:rsidP="00C4575E">
            <w:pPr>
              <w:pStyle w:val="TableColumnHeading"/>
              <w:spacing w:before="60" w:after="60"/>
              <w:jc w:val="left"/>
              <w:rPr>
                <w:b/>
                <w:i w:val="0"/>
              </w:rPr>
            </w:pPr>
            <w:r>
              <w:rPr>
                <w:b/>
                <w:i w:val="0"/>
              </w:rPr>
              <w:t>Effectiveness</w:t>
            </w:r>
            <w:r w:rsidRPr="00B20E15">
              <w:rPr>
                <w:b/>
                <w:i w:val="0"/>
              </w:rPr>
              <w:t xml:space="preserve"> —</w:t>
            </w:r>
            <w:r>
              <w:rPr>
                <w:b/>
                <w:i w:val="0"/>
              </w:rPr>
              <w:t xml:space="preserve"> </w:t>
            </w:r>
            <w:r w:rsidRPr="00B20E15">
              <w:rPr>
                <w:b/>
                <w:i w:val="0"/>
              </w:rPr>
              <w:t>indicators</w:t>
            </w:r>
          </w:p>
        </w:tc>
      </w:tr>
      <w:tr w:rsidR="00181B2A" w:rsidRPr="00B817EA" w:rsidTr="00C4575E">
        <w:trPr>
          <w:trHeight w:val="273"/>
        </w:trPr>
        <w:tc>
          <w:tcPr>
            <w:tcW w:w="5000" w:type="pct"/>
            <w:gridSpan w:val="14"/>
            <w:shd w:val="clear" w:color="auto" w:fill="auto"/>
          </w:tcPr>
          <w:p w:rsidR="00181B2A" w:rsidRDefault="00181B2A" w:rsidP="00C4575E">
            <w:pPr>
              <w:pStyle w:val="TableColumnHeading"/>
              <w:jc w:val="left"/>
            </w:pPr>
            <w:r>
              <w:t>Children using child care (Australian and State and Territory government, 0–12 years), 2012-13</w:t>
            </w:r>
            <w:r>
              <w:br/>
            </w:r>
            <w:r w:rsidRPr="00B662E2">
              <w:rPr>
                <w:i w:val="0"/>
                <w:sz w:val="16"/>
                <w:szCs w:val="16"/>
              </w:rPr>
              <w:t>Most recent data for at least one measure are comparable and complete (chapter 3)</w:t>
            </w:r>
          </w:p>
        </w:tc>
      </w:tr>
      <w:tr w:rsidR="00181B2A" w:rsidRPr="00B817EA" w:rsidTr="00C4575E">
        <w:tc>
          <w:tcPr>
            <w:tcW w:w="735" w:type="pct"/>
            <w:gridSpan w:val="2"/>
            <w:shd w:val="clear" w:color="auto" w:fill="auto"/>
          </w:tcPr>
          <w:p w:rsidR="00181B2A" w:rsidRPr="00B817EA" w:rsidRDefault="00181B2A" w:rsidP="00C4575E">
            <w:pPr>
              <w:pStyle w:val="TableBodyText"/>
              <w:jc w:val="left"/>
            </w:pPr>
          </w:p>
        </w:tc>
        <w:tc>
          <w:tcPr>
            <w:tcW w:w="169" w:type="pct"/>
            <w:shd w:val="clear" w:color="auto" w:fill="auto"/>
          </w:tcPr>
          <w:p w:rsidR="00181B2A" w:rsidRPr="00B817EA" w:rsidRDefault="00181B2A" w:rsidP="00C4575E">
            <w:pPr>
              <w:pStyle w:val="TableBodyText"/>
              <w:jc w:val="left"/>
            </w:pPr>
            <w:r w:rsidRPr="00B817EA">
              <w:t>%</w:t>
            </w:r>
          </w:p>
        </w:tc>
        <w:tc>
          <w:tcPr>
            <w:tcW w:w="385" w:type="pct"/>
            <w:shd w:val="clear" w:color="auto" w:fill="auto"/>
            <w:vAlign w:val="center"/>
          </w:tcPr>
          <w:p w:rsidR="00181B2A" w:rsidRPr="00A3293D" w:rsidRDefault="00181B2A" w:rsidP="00C4575E">
            <w:pPr>
              <w:pStyle w:val="TableBodyText"/>
            </w:pPr>
            <w:r>
              <w:t>37.5</w:t>
            </w:r>
          </w:p>
        </w:tc>
        <w:tc>
          <w:tcPr>
            <w:tcW w:w="391" w:type="pct"/>
            <w:shd w:val="clear" w:color="auto" w:fill="auto"/>
            <w:vAlign w:val="center"/>
          </w:tcPr>
          <w:p w:rsidR="00181B2A" w:rsidRPr="00A3293D" w:rsidRDefault="00181B2A" w:rsidP="00C4575E">
            <w:pPr>
              <w:pStyle w:val="TableBodyText"/>
            </w:pPr>
            <w:r>
              <w:t>26.6</w:t>
            </w:r>
          </w:p>
        </w:tc>
        <w:tc>
          <w:tcPr>
            <w:tcW w:w="403" w:type="pct"/>
            <w:shd w:val="clear" w:color="auto" w:fill="auto"/>
            <w:vAlign w:val="center"/>
          </w:tcPr>
          <w:p w:rsidR="00181B2A" w:rsidRPr="00A3293D" w:rsidRDefault="00181B2A" w:rsidP="00C4575E">
            <w:pPr>
              <w:pStyle w:val="TableBodyText"/>
            </w:pPr>
            <w:r>
              <w:t>31.8</w:t>
            </w:r>
          </w:p>
        </w:tc>
        <w:tc>
          <w:tcPr>
            <w:tcW w:w="391" w:type="pct"/>
            <w:shd w:val="clear" w:color="auto" w:fill="auto"/>
            <w:vAlign w:val="center"/>
          </w:tcPr>
          <w:p w:rsidR="00181B2A" w:rsidRPr="00A3293D" w:rsidRDefault="00181B2A" w:rsidP="00C4575E">
            <w:pPr>
              <w:pStyle w:val="TableBodyText"/>
            </w:pPr>
            <w:r>
              <w:t>19.5</w:t>
            </w:r>
          </w:p>
        </w:tc>
        <w:tc>
          <w:tcPr>
            <w:tcW w:w="392" w:type="pct"/>
            <w:shd w:val="clear" w:color="auto" w:fill="auto"/>
            <w:vAlign w:val="center"/>
          </w:tcPr>
          <w:p w:rsidR="00181B2A" w:rsidRPr="00A3293D" w:rsidRDefault="00181B2A" w:rsidP="00C4575E">
            <w:pPr>
              <w:pStyle w:val="TableBodyText"/>
            </w:pPr>
            <w:r>
              <w:t>31.4</w:t>
            </w:r>
          </w:p>
        </w:tc>
        <w:tc>
          <w:tcPr>
            <w:tcW w:w="392" w:type="pct"/>
            <w:shd w:val="clear" w:color="auto" w:fill="auto"/>
            <w:vAlign w:val="center"/>
          </w:tcPr>
          <w:p w:rsidR="00181B2A" w:rsidRPr="00A3293D" w:rsidRDefault="00181B2A" w:rsidP="00C4575E">
            <w:pPr>
              <w:pStyle w:val="TableBodyText"/>
            </w:pPr>
            <w:r>
              <w:t>27.8</w:t>
            </w:r>
          </w:p>
        </w:tc>
        <w:tc>
          <w:tcPr>
            <w:tcW w:w="359" w:type="pct"/>
            <w:shd w:val="clear" w:color="auto" w:fill="auto"/>
            <w:vAlign w:val="center"/>
          </w:tcPr>
          <w:p w:rsidR="00181B2A" w:rsidRPr="00A3293D" w:rsidRDefault="00181B2A" w:rsidP="00C4575E">
            <w:pPr>
              <w:pStyle w:val="TableBodyText"/>
            </w:pPr>
            <w:r>
              <w:t>35.6</w:t>
            </w:r>
          </w:p>
        </w:tc>
        <w:tc>
          <w:tcPr>
            <w:tcW w:w="434" w:type="pct"/>
            <w:shd w:val="clear" w:color="auto" w:fill="auto"/>
            <w:vAlign w:val="center"/>
          </w:tcPr>
          <w:p w:rsidR="00181B2A" w:rsidRPr="00A3293D" w:rsidRDefault="00181B2A" w:rsidP="00C4575E">
            <w:pPr>
              <w:pStyle w:val="TableBodyText"/>
            </w:pPr>
            <w:r>
              <w:t>17.7</w:t>
            </w:r>
          </w:p>
        </w:tc>
        <w:tc>
          <w:tcPr>
            <w:tcW w:w="402" w:type="pct"/>
            <w:shd w:val="clear" w:color="auto" w:fill="FFFFFF" w:themeFill="background1"/>
            <w:vAlign w:val="center"/>
          </w:tcPr>
          <w:p w:rsidR="00181B2A" w:rsidRPr="00A3293D" w:rsidRDefault="00181B2A" w:rsidP="00C4575E">
            <w:pPr>
              <w:pStyle w:val="TableBodyText"/>
            </w:pPr>
            <w:r>
              <w:t>30.7</w:t>
            </w:r>
          </w:p>
        </w:tc>
        <w:tc>
          <w:tcPr>
            <w:tcW w:w="548" w:type="pct"/>
            <w:gridSpan w:val="2"/>
            <w:shd w:val="clear" w:color="auto" w:fill="auto"/>
          </w:tcPr>
          <w:p w:rsidR="00181B2A" w:rsidRPr="00A3293D" w:rsidRDefault="00181B2A" w:rsidP="00FF7960">
            <w:pPr>
              <w:pStyle w:val="TableBodyText"/>
            </w:pPr>
            <w:r>
              <w:t>3A.</w:t>
            </w:r>
            <w:r w:rsidRPr="006437E3">
              <w:rPr>
                <w:shd w:val="clear" w:color="auto" w:fill="FFFFFF" w:themeFill="background1"/>
              </w:rPr>
              <w:t>1</w:t>
            </w:r>
            <w:r w:rsidR="00FF7960" w:rsidRPr="006437E3">
              <w:rPr>
                <w:shd w:val="clear" w:color="auto" w:fill="FFFFFF" w:themeFill="background1"/>
              </w:rPr>
              <w:t>0</w:t>
            </w:r>
          </w:p>
        </w:tc>
      </w:tr>
      <w:tr w:rsidR="00181B2A" w:rsidRPr="00B817EA" w:rsidTr="00C4575E">
        <w:tc>
          <w:tcPr>
            <w:tcW w:w="5000" w:type="pct"/>
            <w:gridSpan w:val="14"/>
            <w:shd w:val="clear" w:color="auto" w:fill="FFFFFF" w:themeFill="background1"/>
          </w:tcPr>
          <w:p w:rsidR="00181B2A" w:rsidRDefault="00181B2A" w:rsidP="00C4575E">
            <w:pPr>
              <w:pStyle w:val="TableColumnHeading"/>
              <w:jc w:val="left"/>
            </w:pPr>
            <w:r>
              <w:t>Children enrolled in preschool (year before full time schooling), 2012</w:t>
            </w:r>
            <w:r>
              <w:br/>
            </w:r>
            <w:r w:rsidRPr="00C04561">
              <w:rPr>
                <w:i w:val="0"/>
                <w:sz w:val="16"/>
                <w:szCs w:val="16"/>
              </w:rPr>
              <w:t>Most recent data for all measures are comparable and complete (chapter 3)</w:t>
            </w:r>
          </w:p>
        </w:tc>
      </w:tr>
      <w:tr w:rsidR="00181B2A" w:rsidRPr="00B817EA" w:rsidTr="00C4575E">
        <w:tc>
          <w:tcPr>
            <w:tcW w:w="735" w:type="pct"/>
            <w:gridSpan w:val="2"/>
            <w:shd w:val="clear" w:color="auto" w:fill="auto"/>
          </w:tcPr>
          <w:p w:rsidR="00181B2A" w:rsidRPr="00B817EA" w:rsidRDefault="00181B2A" w:rsidP="00C4575E">
            <w:pPr>
              <w:pStyle w:val="TableBodyText"/>
              <w:jc w:val="left"/>
            </w:pPr>
          </w:p>
        </w:tc>
        <w:tc>
          <w:tcPr>
            <w:tcW w:w="169" w:type="pct"/>
            <w:shd w:val="clear" w:color="auto" w:fill="auto"/>
          </w:tcPr>
          <w:p w:rsidR="00181B2A" w:rsidRPr="00B817EA" w:rsidRDefault="00181B2A" w:rsidP="00C4575E">
            <w:pPr>
              <w:pStyle w:val="TableBodyText"/>
              <w:jc w:val="left"/>
            </w:pPr>
            <w:r w:rsidRPr="00B817EA">
              <w:t>%</w:t>
            </w:r>
          </w:p>
        </w:tc>
        <w:tc>
          <w:tcPr>
            <w:tcW w:w="385" w:type="pct"/>
            <w:shd w:val="clear" w:color="auto" w:fill="FFFFFF" w:themeFill="background1"/>
            <w:vAlign w:val="bottom"/>
          </w:tcPr>
          <w:p w:rsidR="00181B2A" w:rsidRDefault="00181B2A" w:rsidP="00C4575E">
            <w:pPr>
              <w:pStyle w:val="TableBodyText"/>
            </w:pPr>
            <w:r>
              <w:t>66.2</w:t>
            </w:r>
          </w:p>
        </w:tc>
        <w:tc>
          <w:tcPr>
            <w:tcW w:w="391" w:type="pct"/>
            <w:shd w:val="clear" w:color="auto" w:fill="FFFFFF" w:themeFill="background1"/>
            <w:vAlign w:val="bottom"/>
          </w:tcPr>
          <w:p w:rsidR="00181B2A" w:rsidRDefault="00181B2A" w:rsidP="00C4575E">
            <w:pPr>
              <w:pStyle w:val="TableBodyText"/>
            </w:pPr>
            <w:r>
              <w:t>103.7</w:t>
            </w:r>
          </w:p>
        </w:tc>
        <w:tc>
          <w:tcPr>
            <w:tcW w:w="403" w:type="pct"/>
            <w:shd w:val="clear" w:color="auto" w:fill="FFFFFF" w:themeFill="background1"/>
            <w:vAlign w:val="bottom"/>
          </w:tcPr>
          <w:p w:rsidR="00181B2A" w:rsidRDefault="00181B2A" w:rsidP="00C4575E">
            <w:pPr>
              <w:pStyle w:val="TableBodyText"/>
            </w:pPr>
            <w:r>
              <w:t>84.7</w:t>
            </w:r>
          </w:p>
        </w:tc>
        <w:tc>
          <w:tcPr>
            <w:tcW w:w="391" w:type="pct"/>
            <w:shd w:val="clear" w:color="auto" w:fill="FFFFFF" w:themeFill="background1"/>
            <w:vAlign w:val="bottom"/>
          </w:tcPr>
          <w:p w:rsidR="00181B2A" w:rsidRDefault="00181B2A" w:rsidP="00C4575E">
            <w:pPr>
              <w:pStyle w:val="TableBodyText"/>
            </w:pPr>
            <w:r>
              <w:t>98.7</w:t>
            </w:r>
          </w:p>
        </w:tc>
        <w:tc>
          <w:tcPr>
            <w:tcW w:w="392" w:type="pct"/>
            <w:shd w:val="clear" w:color="auto" w:fill="FFFFFF" w:themeFill="background1"/>
            <w:vAlign w:val="bottom"/>
          </w:tcPr>
          <w:p w:rsidR="00181B2A" w:rsidRDefault="00181B2A" w:rsidP="00C4575E">
            <w:pPr>
              <w:pStyle w:val="TableBodyText"/>
            </w:pPr>
            <w:r>
              <w:t>95.1</w:t>
            </w:r>
          </w:p>
        </w:tc>
        <w:tc>
          <w:tcPr>
            <w:tcW w:w="392" w:type="pct"/>
            <w:shd w:val="clear" w:color="auto" w:fill="FFFFFF" w:themeFill="background1"/>
            <w:vAlign w:val="bottom"/>
          </w:tcPr>
          <w:p w:rsidR="00181B2A" w:rsidRDefault="00181B2A" w:rsidP="00C4575E">
            <w:pPr>
              <w:pStyle w:val="TableBodyText"/>
            </w:pPr>
            <w:r>
              <w:t>102.6</w:t>
            </w:r>
          </w:p>
        </w:tc>
        <w:tc>
          <w:tcPr>
            <w:tcW w:w="359" w:type="pct"/>
            <w:shd w:val="clear" w:color="auto" w:fill="FFFFFF" w:themeFill="background1"/>
            <w:vAlign w:val="bottom"/>
          </w:tcPr>
          <w:p w:rsidR="00181B2A" w:rsidRDefault="00181B2A" w:rsidP="00C4575E">
            <w:pPr>
              <w:pStyle w:val="TableBodyText"/>
            </w:pPr>
            <w:r>
              <w:t>105.7</w:t>
            </w:r>
          </w:p>
        </w:tc>
        <w:tc>
          <w:tcPr>
            <w:tcW w:w="434" w:type="pct"/>
            <w:shd w:val="clear" w:color="auto" w:fill="FFFFFF" w:themeFill="background1"/>
            <w:vAlign w:val="bottom"/>
          </w:tcPr>
          <w:p w:rsidR="00181B2A" w:rsidRDefault="00181B2A" w:rsidP="00C4575E">
            <w:pPr>
              <w:pStyle w:val="TableBodyText"/>
            </w:pPr>
            <w:r>
              <w:t>87.6</w:t>
            </w:r>
          </w:p>
        </w:tc>
        <w:tc>
          <w:tcPr>
            <w:tcW w:w="402" w:type="pct"/>
            <w:shd w:val="clear" w:color="auto" w:fill="FFFFFF" w:themeFill="background1"/>
            <w:vAlign w:val="bottom"/>
          </w:tcPr>
          <w:p w:rsidR="00181B2A" w:rsidRDefault="00181B2A" w:rsidP="00C4575E">
            <w:pPr>
              <w:pStyle w:val="TableBodyText"/>
            </w:pPr>
            <w:r>
              <w:t>86.3</w:t>
            </w:r>
          </w:p>
        </w:tc>
        <w:tc>
          <w:tcPr>
            <w:tcW w:w="548" w:type="pct"/>
            <w:gridSpan w:val="2"/>
            <w:shd w:val="clear" w:color="auto" w:fill="FFFFFF" w:themeFill="background1"/>
          </w:tcPr>
          <w:p w:rsidR="00181B2A" w:rsidRPr="00B817EA" w:rsidRDefault="00181B2A" w:rsidP="00FF7960">
            <w:pPr>
              <w:pStyle w:val="TableBodyText"/>
            </w:pPr>
            <w:r>
              <w:t>3A.</w:t>
            </w:r>
            <w:r w:rsidRPr="00C36189">
              <w:t>1</w:t>
            </w:r>
            <w:r w:rsidR="00FF7960" w:rsidRPr="00C36189">
              <w:t>6</w:t>
            </w:r>
          </w:p>
        </w:tc>
      </w:tr>
      <w:tr w:rsidR="00181B2A" w:rsidRPr="00B817EA" w:rsidTr="00C4575E">
        <w:trPr>
          <w:trHeight w:val="442"/>
        </w:trPr>
        <w:tc>
          <w:tcPr>
            <w:tcW w:w="5000" w:type="pct"/>
            <w:gridSpan w:val="14"/>
            <w:shd w:val="clear" w:color="auto" w:fill="auto"/>
          </w:tcPr>
          <w:p w:rsidR="00181B2A" w:rsidRDefault="00181B2A" w:rsidP="00C4575E">
            <w:pPr>
              <w:pStyle w:val="TableColumnHeading"/>
              <w:jc w:val="left"/>
            </w:pPr>
            <w:r>
              <w:t>Children attending preschool (year before full time schooling), 2012</w:t>
            </w:r>
            <w:r>
              <w:br/>
            </w:r>
            <w:r w:rsidRPr="00C04561">
              <w:rPr>
                <w:i w:val="0"/>
                <w:sz w:val="16"/>
                <w:szCs w:val="16"/>
              </w:rPr>
              <w:t>Most recent data for all measures are comparable and complete (chapter 3)</w:t>
            </w:r>
          </w:p>
          <w:tbl>
            <w:tblPr>
              <w:tblW w:w="8856" w:type="dxa"/>
              <w:tblCellMar>
                <w:left w:w="0" w:type="dxa"/>
                <w:right w:w="0" w:type="dxa"/>
              </w:tblCellMar>
              <w:tblLook w:val="0000" w:firstRow="0" w:lastRow="0" w:firstColumn="0" w:lastColumn="0" w:noHBand="0" w:noVBand="0"/>
            </w:tblPr>
            <w:tblGrid>
              <w:gridCol w:w="1301"/>
              <w:gridCol w:w="298"/>
              <w:gridCol w:w="680"/>
              <w:gridCol w:w="693"/>
              <w:gridCol w:w="710"/>
              <w:gridCol w:w="693"/>
              <w:gridCol w:w="694"/>
              <w:gridCol w:w="694"/>
              <w:gridCol w:w="636"/>
              <w:gridCol w:w="769"/>
              <w:gridCol w:w="712"/>
              <w:gridCol w:w="976"/>
            </w:tblGrid>
            <w:tr w:rsidR="00181B2A" w:rsidRPr="00B817EA" w:rsidTr="00C4575E">
              <w:tc>
                <w:tcPr>
                  <w:tcW w:w="735" w:type="pct"/>
                  <w:shd w:val="clear" w:color="auto" w:fill="auto"/>
                </w:tcPr>
                <w:p w:rsidR="00181B2A" w:rsidRPr="00B817EA" w:rsidRDefault="00181B2A" w:rsidP="00C4575E">
                  <w:pPr>
                    <w:pStyle w:val="TableBodyText"/>
                    <w:jc w:val="left"/>
                  </w:pPr>
                </w:p>
              </w:tc>
              <w:tc>
                <w:tcPr>
                  <w:tcW w:w="168" w:type="pct"/>
                  <w:shd w:val="clear" w:color="auto" w:fill="auto"/>
                </w:tcPr>
                <w:p w:rsidR="00181B2A" w:rsidRDefault="00181B2A" w:rsidP="00C4575E">
                  <w:pPr>
                    <w:pStyle w:val="TableBodyText"/>
                    <w:jc w:val="left"/>
                  </w:pPr>
                  <w:r>
                    <w:t>%</w:t>
                  </w:r>
                </w:p>
              </w:tc>
              <w:tc>
                <w:tcPr>
                  <w:tcW w:w="384" w:type="pct"/>
                  <w:shd w:val="clear" w:color="auto" w:fill="auto"/>
                  <w:vAlign w:val="center"/>
                </w:tcPr>
                <w:p w:rsidR="00181B2A" w:rsidRPr="00A3293D" w:rsidRDefault="00181B2A" w:rsidP="00C4575E">
                  <w:pPr>
                    <w:pStyle w:val="TableBodyText"/>
                  </w:pPr>
                  <w:r>
                    <w:t>64.7</w:t>
                  </w:r>
                </w:p>
              </w:tc>
              <w:tc>
                <w:tcPr>
                  <w:tcW w:w="391" w:type="pct"/>
                  <w:shd w:val="clear" w:color="auto" w:fill="auto"/>
                  <w:vAlign w:val="center"/>
                </w:tcPr>
                <w:p w:rsidR="00181B2A" w:rsidRPr="00A3293D" w:rsidRDefault="00181B2A" w:rsidP="00C4575E">
                  <w:pPr>
                    <w:pStyle w:val="TableBodyText"/>
                  </w:pPr>
                  <w:r>
                    <w:t>99.1</w:t>
                  </w:r>
                </w:p>
              </w:tc>
              <w:tc>
                <w:tcPr>
                  <w:tcW w:w="401" w:type="pct"/>
                  <w:shd w:val="clear" w:color="auto" w:fill="auto"/>
                  <w:vAlign w:val="center"/>
                </w:tcPr>
                <w:p w:rsidR="00181B2A" w:rsidRPr="00A3293D" w:rsidRDefault="00181B2A" w:rsidP="00C4575E">
                  <w:pPr>
                    <w:pStyle w:val="TableBodyText"/>
                  </w:pPr>
                  <w:r>
                    <w:t>82.4</w:t>
                  </w:r>
                </w:p>
              </w:tc>
              <w:tc>
                <w:tcPr>
                  <w:tcW w:w="391" w:type="pct"/>
                  <w:shd w:val="clear" w:color="auto" w:fill="auto"/>
                  <w:vAlign w:val="center"/>
                </w:tcPr>
                <w:p w:rsidR="00181B2A" w:rsidRPr="00A3293D" w:rsidRDefault="00181B2A" w:rsidP="00C4575E">
                  <w:pPr>
                    <w:pStyle w:val="TableBodyText"/>
                  </w:pPr>
                  <w:r>
                    <w:t>98.7</w:t>
                  </w:r>
                </w:p>
              </w:tc>
              <w:tc>
                <w:tcPr>
                  <w:tcW w:w="392" w:type="pct"/>
                  <w:shd w:val="clear" w:color="auto" w:fill="auto"/>
                  <w:vAlign w:val="center"/>
                </w:tcPr>
                <w:p w:rsidR="00181B2A" w:rsidRPr="00A3293D" w:rsidRDefault="00181B2A" w:rsidP="00C4575E">
                  <w:pPr>
                    <w:pStyle w:val="TableBodyText"/>
                  </w:pPr>
                  <w:r>
                    <w:t>93.8</w:t>
                  </w:r>
                </w:p>
              </w:tc>
              <w:tc>
                <w:tcPr>
                  <w:tcW w:w="392" w:type="pct"/>
                  <w:shd w:val="clear" w:color="auto" w:fill="auto"/>
                  <w:vAlign w:val="center"/>
                </w:tcPr>
                <w:p w:rsidR="00181B2A" w:rsidRPr="00A3293D" w:rsidRDefault="00181B2A" w:rsidP="00C4575E">
                  <w:pPr>
                    <w:pStyle w:val="TableBodyText"/>
                  </w:pPr>
                  <w:r>
                    <w:t>101.1</w:t>
                  </w:r>
                </w:p>
              </w:tc>
              <w:tc>
                <w:tcPr>
                  <w:tcW w:w="359" w:type="pct"/>
                  <w:shd w:val="clear" w:color="auto" w:fill="auto"/>
                  <w:vAlign w:val="center"/>
                </w:tcPr>
                <w:p w:rsidR="00181B2A" w:rsidRPr="00A3293D" w:rsidRDefault="00181B2A" w:rsidP="00C4575E">
                  <w:pPr>
                    <w:pStyle w:val="TableBodyText"/>
                  </w:pPr>
                  <w:r>
                    <w:t>103.5</w:t>
                  </w:r>
                </w:p>
              </w:tc>
              <w:tc>
                <w:tcPr>
                  <w:tcW w:w="434" w:type="pct"/>
                  <w:shd w:val="clear" w:color="auto" w:fill="auto"/>
                  <w:vAlign w:val="center"/>
                </w:tcPr>
                <w:p w:rsidR="00181B2A" w:rsidRPr="00A3293D" w:rsidRDefault="00181B2A" w:rsidP="00C4575E">
                  <w:pPr>
                    <w:pStyle w:val="TableBodyText"/>
                  </w:pPr>
                  <w:r>
                    <w:t>79.0</w:t>
                  </w:r>
                </w:p>
              </w:tc>
              <w:tc>
                <w:tcPr>
                  <w:tcW w:w="402" w:type="pct"/>
                  <w:shd w:val="clear" w:color="auto" w:fill="auto"/>
                  <w:vAlign w:val="center"/>
                </w:tcPr>
                <w:p w:rsidR="00181B2A" w:rsidRPr="00A3293D" w:rsidRDefault="00181B2A" w:rsidP="00C4575E">
                  <w:pPr>
                    <w:pStyle w:val="TableBodyText"/>
                  </w:pPr>
                  <w:r>
                    <w:t>84.0</w:t>
                  </w:r>
                </w:p>
              </w:tc>
              <w:tc>
                <w:tcPr>
                  <w:tcW w:w="552" w:type="pct"/>
                </w:tcPr>
                <w:p w:rsidR="00181B2A" w:rsidRPr="00B817EA" w:rsidRDefault="00181B2A" w:rsidP="00FF7960">
                  <w:pPr>
                    <w:pStyle w:val="TableBodyText"/>
                  </w:pPr>
                  <w:r>
                    <w:t>3A.</w:t>
                  </w:r>
                  <w:r w:rsidRPr="00C36189">
                    <w:t>2</w:t>
                  </w:r>
                  <w:r w:rsidR="00FF7960" w:rsidRPr="00C36189">
                    <w:t>1</w:t>
                  </w:r>
                </w:p>
              </w:tc>
            </w:tr>
          </w:tbl>
          <w:p w:rsidR="00181B2A" w:rsidRDefault="00181B2A" w:rsidP="00C4575E">
            <w:pPr>
              <w:pStyle w:val="TableColumnHeading"/>
              <w:ind w:left="0"/>
              <w:jc w:val="left"/>
            </w:pPr>
            <w:r>
              <w:t>Non-standard hour</w:t>
            </w:r>
            <w:r w:rsidR="006B0A44">
              <w:t>s of care in child care service</w:t>
            </w:r>
            <w:r w:rsidR="006B0A44" w:rsidRPr="00C36189">
              <w:rPr>
                <w:shd w:val="clear" w:color="auto" w:fill="FFFFFF" w:themeFill="background1"/>
              </w:rPr>
              <w:t>, 2013</w:t>
            </w:r>
            <w:r>
              <w:t xml:space="preserve"> </w:t>
            </w:r>
            <w:r>
              <w:br/>
            </w:r>
            <w:r w:rsidRPr="0002724D">
              <w:rPr>
                <w:i w:val="0"/>
                <w:sz w:val="16"/>
                <w:szCs w:val="16"/>
              </w:rPr>
              <w:t>Most recent data for all me</w:t>
            </w:r>
            <w:r>
              <w:rPr>
                <w:i w:val="0"/>
                <w:sz w:val="16"/>
                <w:szCs w:val="16"/>
              </w:rPr>
              <w:t>asures are comparable and comple</w:t>
            </w:r>
            <w:r w:rsidRPr="0002724D">
              <w:rPr>
                <w:i w:val="0"/>
                <w:sz w:val="16"/>
                <w:szCs w:val="16"/>
              </w:rPr>
              <w:t>te (chapter 3)</w:t>
            </w:r>
          </w:p>
        </w:tc>
      </w:tr>
      <w:tr w:rsidR="00181B2A" w:rsidRPr="00B817EA" w:rsidTr="00C4575E">
        <w:tc>
          <w:tcPr>
            <w:tcW w:w="735" w:type="pct"/>
            <w:gridSpan w:val="2"/>
            <w:shd w:val="clear" w:color="auto" w:fill="auto"/>
          </w:tcPr>
          <w:p w:rsidR="00181B2A" w:rsidRPr="00B817EA" w:rsidRDefault="00181B2A" w:rsidP="00C4575E">
            <w:pPr>
              <w:pStyle w:val="TableBodyText"/>
              <w:jc w:val="left"/>
            </w:pPr>
            <w:proofErr w:type="spellStart"/>
            <w:r>
              <w:t>LDC</w:t>
            </w:r>
            <w:proofErr w:type="spellEnd"/>
          </w:p>
        </w:tc>
        <w:tc>
          <w:tcPr>
            <w:tcW w:w="169" w:type="pct"/>
            <w:shd w:val="clear" w:color="auto" w:fill="auto"/>
          </w:tcPr>
          <w:p w:rsidR="00181B2A" w:rsidRDefault="00181B2A" w:rsidP="00C4575E">
            <w:pPr>
              <w:pStyle w:val="TableBodyText"/>
              <w:jc w:val="left"/>
            </w:pPr>
            <w:r>
              <w:t>%</w:t>
            </w:r>
          </w:p>
        </w:tc>
        <w:tc>
          <w:tcPr>
            <w:tcW w:w="385" w:type="pct"/>
            <w:shd w:val="clear" w:color="auto" w:fill="auto"/>
            <w:vAlign w:val="center"/>
          </w:tcPr>
          <w:p w:rsidR="00181B2A" w:rsidRPr="00A3293D" w:rsidRDefault="00181B2A" w:rsidP="00C4575E">
            <w:pPr>
              <w:pStyle w:val="TableBodyText"/>
            </w:pPr>
            <w:r>
              <w:t>70.7</w:t>
            </w:r>
          </w:p>
        </w:tc>
        <w:tc>
          <w:tcPr>
            <w:tcW w:w="391" w:type="pct"/>
            <w:shd w:val="clear" w:color="auto" w:fill="auto"/>
            <w:vAlign w:val="center"/>
          </w:tcPr>
          <w:p w:rsidR="00181B2A" w:rsidRPr="00A3293D" w:rsidRDefault="00181B2A" w:rsidP="00C4575E">
            <w:pPr>
              <w:pStyle w:val="TableBodyText"/>
            </w:pPr>
            <w:r>
              <w:t>92.2</w:t>
            </w:r>
          </w:p>
        </w:tc>
        <w:tc>
          <w:tcPr>
            <w:tcW w:w="403" w:type="pct"/>
            <w:shd w:val="clear" w:color="auto" w:fill="auto"/>
            <w:vAlign w:val="center"/>
          </w:tcPr>
          <w:p w:rsidR="00181B2A" w:rsidRPr="00A3293D" w:rsidRDefault="00181B2A" w:rsidP="00C4575E">
            <w:pPr>
              <w:pStyle w:val="TableBodyText"/>
            </w:pPr>
            <w:r>
              <w:t>90.4</w:t>
            </w:r>
          </w:p>
        </w:tc>
        <w:tc>
          <w:tcPr>
            <w:tcW w:w="391" w:type="pct"/>
            <w:shd w:val="clear" w:color="auto" w:fill="auto"/>
            <w:vAlign w:val="center"/>
          </w:tcPr>
          <w:p w:rsidR="00181B2A" w:rsidRPr="00A3293D" w:rsidRDefault="00181B2A" w:rsidP="00C4575E">
            <w:pPr>
              <w:pStyle w:val="TableBodyText"/>
            </w:pPr>
            <w:r>
              <w:t>83.5</w:t>
            </w:r>
          </w:p>
        </w:tc>
        <w:tc>
          <w:tcPr>
            <w:tcW w:w="392" w:type="pct"/>
            <w:shd w:val="clear" w:color="auto" w:fill="auto"/>
            <w:vAlign w:val="center"/>
          </w:tcPr>
          <w:p w:rsidR="00181B2A" w:rsidRPr="00A3293D" w:rsidRDefault="00181B2A" w:rsidP="00C4575E">
            <w:pPr>
              <w:pStyle w:val="TableBodyText"/>
            </w:pPr>
            <w:r>
              <w:t>86.5</w:t>
            </w:r>
          </w:p>
        </w:tc>
        <w:tc>
          <w:tcPr>
            <w:tcW w:w="392" w:type="pct"/>
            <w:shd w:val="clear" w:color="auto" w:fill="auto"/>
            <w:vAlign w:val="center"/>
          </w:tcPr>
          <w:p w:rsidR="00181B2A" w:rsidRPr="00A3293D" w:rsidRDefault="00181B2A" w:rsidP="00C4575E">
            <w:pPr>
              <w:pStyle w:val="TableBodyText"/>
            </w:pPr>
            <w:r>
              <w:t>73.7</w:t>
            </w:r>
          </w:p>
        </w:tc>
        <w:tc>
          <w:tcPr>
            <w:tcW w:w="359" w:type="pct"/>
            <w:shd w:val="clear" w:color="auto" w:fill="auto"/>
            <w:vAlign w:val="center"/>
          </w:tcPr>
          <w:p w:rsidR="00181B2A" w:rsidRPr="00A3293D" w:rsidRDefault="00181B2A" w:rsidP="00C4575E">
            <w:pPr>
              <w:pStyle w:val="TableBodyText"/>
            </w:pPr>
            <w:r>
              <w:t>66.1</w:t>
            </w:r>
          </w:p>
        </w:tc>
        <w:tc>
          <w:tcPr>
            <w:tcW w:w="434" w:type="pct"/>
            <w:shd w:val="clear" w:color="auto" w:fill="auto"/>
            <w:vAlign w:val="center"/>
          </w:tcPr>
          <w:p w:rsidR="00181B2A" w:rsidRPr="00A3293D" w:rsidRDefault="00181B2A" w:rsidP="00C4575E">
            <w:pPr>
              <w:pStyle w:val="TableBodyText"/>
            </w:pPr>
            <w:r>
              <w:t>71.3</w:t>
            </w:r>
          </w:p>
        </w:tc>
        <w:tc>
          <w:tcPr>
            <w:tcW w:w="402" w:type="pct"/>
            <w:shd w:val="clear" w:color="auto" w:fill="auto"/>
            <w:vAlign w:val="center"/>
          </w:tcPr>
          <w:p w:rsidR="00181B2A" w:rsidRPr="00A3293D" w:rsidRDefault="00181B2A" w:rsidP="00C4575E">
            <w:pPr>
              <w:pStyle w:val="TableBodyText"/>
            </w:pPr>
            <w:r>
              <w:t>80.9</w:t>
            </w:r>
          </w:p>
        </w:tc>
        <w:tc>
          <w:tcPr>
            <w:tcW w:w="548" w:type="pct"/>
            <w:gridSpan w:val="2"/>
          </w:tcPr>
          <w:p w:rsidR="00181B2A" w:rsidRPr="00B817EA" w:rsidRDefault="00181B2A" w:rsidP="00FF7960">
            <w:pPr>
              <w:pStyle w:val="TableBodyText"/>
            </w:pPr>
            <w:r>
              <w:t>3A.</w:t>
            </w:r>
            <w:r w:rsidRPr="00C36189">
              <w:rPr>
                <w:shd w:val="clear" w:color="auto" w:fill="FFFFFF" w:themeFill="background1"/>
              </w:rPr>
              <w:t>2</w:t>
            </w:r>
            <w:r w:rsidR="00FF7960" w:rsidRPr="00C36189">
              <w:rPr>
                <w:shd w:val="clear" w:color="auto" w:fill="FFFFFF" w:themeFill="background1"/>
              </w:rPr>
              <w:t>8</w:t>
            </w:r>
          </w:p>
        </w:tc>
      </w:tr>
      <w:tr w:rsidR="00181B2A" w:rsidRPr="00B817EA" w:rsidTr="00C4575E">
        <w:tc>
          <w:tcPr>
            <w:tcW w:w="735" w:type="pct"/>
            <w:gridSpan w:val="2"/>
            <w:shd w:val="clear" w:color="auto" w:fill="auto"/>
          </w:tcPr>
          <w:p w:rsidR="00181B2A" w:rsidRDefault="00181B2A" w:rsidP="00C4575E">
            <w:pPr>
              <w:pStyle w:val="TableBodyText"/>
              <w:jc w:val="left"/>
            </w:pPr>
            <w:proofErr w:type="spellStart"/>
            <w:r>
              <w:t>FDC</w:t>
            </w:r>
            <w:proofErr w:type="spellEnd"/>
          </w:p>
        </w:tc>
        <w:tc>
          <w:tcPr>
            <w:tcW w:w="169" w:type="pct"/>
            <w:shd w:val="clear" w:color="auto" w:fill="auto"/>
          </w:tcPr>
          <w:p w:rsidR="00181B2A" w:rsidRDefault="00181B2A" w:rsidP="00C4575E">
            <w:pPr>
              <w:pStyle w:val="TableBodyText"/>
              <w:jc w:val="left"/>
            </w:pPr>
            <w:r>
              <w:t>%</w:t>
            </w:r>
          </w:p>
        </w:tc>
        <w:tc>
          <w:tcPr>
            <w:tcW w:w="385" w:type="pct"/>
            <w:shd w:val="clear" w:color="auto" w:fill="auto"/>
            <w:vAlign w:val="center"/>
          </w:tcPr>
          <w:p w:rsidR="00181B2A" w:rsidRPr="00A3293D" w:rsidRDefault="00181B2A" w:rsidP="00C4575E">
            <w:pPr>
              <w:pStyle w:val="TableBodyText"/>
            </w:pPr>
            <w:r>
              <w:t>76.8</w:t>
            </w:r>
          </w:p>
        </w:tc>
        <w:tc>
          <w:tcPr>
            <w:tcW w:w="391" w:type="pct"/>
            <w:shd w:val="clear" w:color="auto" w:fill="auto"/>
            <w:vAlign w:val="center"/>
          </w:tcPr>
          <w:p w:rsidR="00181B2A" w:rsidRPr="00A3293D" w:rsidRDefault="00181B2A" w:rsidP="00C4575E">
            <w:pPr>
              <w:pStyle w:val="TableBodyText"/>
            </w:pPr>
            <w:r>
              <w:t>54.5</w:t>
            </w:r>
          </w:p>
        </w:tc>
        <w:tc>
          <w:tcPr>
            <w:tcW w:w="403" w:type="pct"/>
            <w:shd w:val="clear" w:color="auto" w:fill="auto"/>
            <w:vAlign w:val="center"/>
          </w:tcPr>
          <w:p w:rsidR="00181B2A" w:rsidRPr="00A3293D" w:rsidRDefault="00181B2A" w:rsidP="00C4575E">
            <w:pPr>
              <w:pStyle w:val="TableBodyText"/>
            </w:pPr>
            <w:r>
              <w:t>87.0</w:t>
            </w:r>
          </w:p>
        </w:tc>
        <w:tc>
          <w:tcPr>
            <w:tcW w:w="391" w:type="pct"/>
            <w:shd w:val="clear" w:color="auto" w:fill="auto"/>
            <w:vAlign w:val="center"/>
          </w:tcPr>
          <w:p w:rsidR="00181B2A" w:rsidRPr="00A3293D" w:rsidRDefault="00181B2A" w:rsidP="00C4575E">
            <w:pPr>
              <w:pStyle w:val="TableBodyText"/>
            </w:pPr>
            <w:r>
              <w:t>60.0</w:t>
            </w:r>
          </w:p>
        </w:tc>
        <w:tc>
          <w:tcPr>
            <w:tcW w:w="392" w:type="pct"/>
            <w:shd w:val="clear" w:color="auto" w:fill="auto"/>
            <w:vAlign w:val="center"/>
          </w:tcPr>
          <w:p w:rsidR="00181B2A" w:rsidRPr="00A3293D" w:rsidRDefault="00181B2A" w:rsidP="00C4575E">
            <w:pPr>
              <w:pStyle w:val="TableBodyText"/>
            </w:pPr>
            <w:r>
              <w:t>81.0</w:t>
            </w:r>
          </w:p>
        </w:tc>
        <w:tc>
          <w:tcPr>
            <w:tcW w:w="392" w:type="pct"/>
            <w:shd w:val="clear" w:color="auto" w:fill="auto"/>
            <w:vAlign w:val="center"/>
          </w:tcPr>
          <w:p w:rsidR="00181B2A" w:rsidRPr="00A3293D" w:rsidRDefault="00181B2A" w:rsidP="00C4575E">
            <w:pPr>
              <w:pStyle w:val="TableBodyText"/>
            </w:pPr>
            <w:r>
              <w:t>72.7</w:t>
            </w:r>
          </w:p>
        </w:tc>
        <w:tc>
          <w:tcPr>
            <w:tcW w:w="359" w:type="pct"/>
            <w:shd w:val="clear" w:color="auto" w:fill="auto"/>
            <w:vAlign w:val="center"/>
          </w:tcPr>
          <w:p w:rsidR="00181B2A" w:rsidRPr="00A3293D" w:rsidRDefault="00181B2A" w:rsidP="00C4575E">
            <w:pPr>
              <w:pStyle w:val="TableBodyText"/>
            </w:pPr>
            <w:r>
              <w:t>87.5</w:t>
            </w:r>
          </w:p>
        </w:tc>
        <w:tc>
          <w:tcPr>
            <w:tcW w:w="434" w:type="pct"/>
            <w:shd w:val="clear" w:color="auto" w:fill="auto"/>
            <w:vAlign w:val="center"/>
          </w:tcPr>
          <w:p w:rsidR="00181B2A" w:rsidRPr="00A3293D" w:rsidRDefault="00181B2A" w:rsidP="00C4575E">
            <w:pPr>
              <w:pStyle w:val="TableBodyText"/>
            </w:pPr>
            <w:r>
              <w:t>80.0</w:t>
            </w:r>
          </w:p>
        </w:tc>
        <w:tc>
          <w:tcPr>
            <w:tcW w:w="402" w:type="pct"/>
            <w:shd w:val="clear" w:color="auto" w:fill="auto"/>
            <w:vAlign w:val="center"/>
          </w:tcPr>
          <w:p w:rsidR="00181B2A" w:rsidRPr="00A3293D" w:rsidRDefault="00181B2A" w:rsidP="00C4575E">
            <w:pPr>
              <w:pStyle w:val="TableBodyText"/>
            </w:pPr>
            <w:r>
              <w:t>69.2</w:t>
            </w:r>
          </w:p>
        </w:tc>
        <w:tc>
          <w:tcPr>
            <w:tcW w:w="548" w:type="pct"/>
            <w:gridSpan w:val="2"/>
          </w:tcPr>
          <w:p w:rsidR="00181B2A" w:rsidRPr="00B817EA" w:rsidRDefault="00181B2A" w:rsidP="00C4575E">
            <w:pPr>
              <w:pStyle w:val="TableBodyText"/>
            </w:pPr>
          </w:p>
        </w:tc>
      </w:tr>
      <w:tr w:rsidR="00181B2A" w:rsidRPr="00B817EA" w:rsidTr="00C4575E">
        <w:tc>
          <w:tcPr>
            <w:tcW w:w="735" w:type="pct"/>
            <w:gridSpan w:val="2"/>
            <w:shd w:val="clear" w:color="auto" w:fill="auto"/>
          </w:tcPr>
          <w:p w:rsidR="00181B2A" w:rsidRPr="00B817EA" w:rsidRDefault="00181B2A" w:rsidP="00C4575E">
            <w:pPr>
              <w:pStyle w:val="TableBodyText"/>
              <w:jc w:val="left"/>
            </w:pPr>
            <w:r>
              <w:t>Vacation</w:t>
            </w:r>
          </w:p>
        </w:tc>
        <w:tc>
          <w:tcPr>
            <w:tcW w:w="169" w:type="pct"/>
            <w:shd w:val="clear" w:color="auto" w:fill="auto"/>
          </w:tcPr>
          <w:p w:rsidR="00181B2A" w:rsidRDefault="00181B2A" w:rsidP="00C4575E">
            <w:pPr>
              <w:pStyle w:val="TableBodyText"/>
              <w:jc w:val="left"/>
            </w:pPr>
            <w:r>
              <w:t>%</w:t>
            </w:r>
          </w:p>
        </w:tc>
        <w:tc>
          <w:tcPr>
            <w:tcW w:w="385" w:type="pct"/>
            <w:shd w:val="clear" w:color="auto" w:fill="auto"/>
            <w:vAlign w:val="center"/>
          </w:tcPr>
          <w:p w:rsidR="00181B2A" w:rsidRPr="00A3293D" w:rsidRDefault="00181B2A" w:rsidP="00C4575E">
            <w:pPr>
              <w:pStyle w:val="TableBodyText"/>
            </w:pPr>
            <w:r>
              <w:t>60.5</w:t>
            </w:r>
          </w:p>
        </w:tc>
        <w:tc>
          <w:tcPr>
            <w:tcW w:w="391" w:type="pct"/>
            <w:shd w:val="clear" w:color="auto" w:fill="auto"/>
            <w:vAlign w:val="center"/>
          </w:tcPr>
          <w:p w:rsidR="00181B2A" w:rsidRPr="00A3293D" w:rsidRDefault="00181B2A" w:rsidP="00C4575E">
            <w:pPr>
              <w:pStyle w:val="TableBodyText"/>
            </w:pPr>
            <w:r>
              <w:t>56.8</w:t>
            </w:r>
          </w:p>
        </w:tc>
        <w:tc>
          <w:tcPr>
            <w:tcW w:w="403" w:type="pct"/>
            <w:shd w:val="clear" w:color="auto" w:fill="auto"/>
            <w:vAlign w:val="center"/>
          </w:tcPr>
          <w:p w:rsidR="00181B2A" w:rsidRPr="00A3293D" w:rsidRDefault="00181B2A" w:rsidP="00C4575E">
            <w:pPr>
              <w:pStyle w:val="TableBodyText"/>
            </w:pPr>
            <w:r>
              <w:t>82.6</w:t>
            </w:r>
          </w:p>
        </w:tc>
        <w:tc>
          <w:tcPr>
            <w:tcW w:w="391" w:type="pct"/>
            <w:shd w:val="clear" w:color="auto" w:fill="auto"/>
            <w:vAlign w:val="center"/>
          </w:tcPr>
          <w:p w:rsidR="00181B2A" w:rsidRPr="00A3293D" w:rsidRDefault="00181B2A" w:rsidP="00C4575E">
            <w:pPr>
              <w:pStyle w:val="TableBodyText"/>
            </w:pPr>
            <w:r>
              <w:t>73.1</w:t>
            </w:r>
          </w:p>
        </w:tc>
        <w:tc>
          <w:tcPr>
            <w:tcW w:w="392" w:type="pct"/>
            <w:shd w:val="clear" w:color="auto" w:fill="auto"/>
            <w:vAlign w:val="center"/>
          </w:tcPr>
          <w:p w:rsidR="00181B2A" w:rsidRPr="00A3293D" w:rsidRDefault="00181B2A" w:rsidP="00C4575E">
            <w:pPr>
              <w:pStyle w:val="TableBodyText"/>
            </w:pPr>
            <w:r>
              <w:t>83.7</w:t>
            </w:r>
          </w:p>
        </w:tc>
        <w:tc>
          <w:tcPr>
            <w:tcW w:w="392" w:type="pct"/>
            <w:shd w:val="clear" w:color="auto" w:fill="auto"/>
            <w:vAlign w:val="center"/>
          </w:tcPr>
          <w:p w:rsidR="00181B2A" w:rsidRPr="00A3293D" w:rsidRDefault="00181B2A" w:rsidP="00C4575E">
            <w:pPr>
              <w:pStyle w:val="TableBodyText"/>
            </w:pPr>
            <w:r>
              <w:t>33.1</w:t>
            </w:r>
          </w:p>
        </w:tc>
        <w:tc>
          <w:tcPr>
            <w:tcW w:w="359" w:type="pct"/>
            <w:shd w:val="clear" w:color="auto" w:fill="auto"/>
            <w:vAlign w:val="center"/>
          </w:tcPr>
          <w:p w:rsidR="00181B2A" w:rsidRPr="00A3293D" w:rsidRDefault="00181B2A" w:rsidP="00C4575E">
            <w:pPr>
              <w:pStyle w:val="TableBodyText"/>
            </w:pPr>
            <w:r>
              <w:t>21.2</w:t>
            </w:r>
          </w:p>
        </w:tc>
        <w:tc>
          <w:tcPr>
            <w:tcW w:w="434" w:type="pct"/>
            <w:shd w:val="clear" w:color="auto" w:fill="auto"/>
            <w:vAlign w:val="center"/>
          </w:tcPr>
          <w:p w:rsidR="00181B2A" w:rsidRPr="00A3293D" w:rsidRDefault="00181B2A" w:rsidP="00C4575E">
            <w:pPr>
              <w:pStyle w:val="TableBodyText"/>
            </w:pPr>
            <w:r>
              <w:t>35.4</w:t>
            </w:r>
          </w:p>
        </w:tc>
        <w:tc>
          <w:tcPr>
            <w:tcW w:w="402" w:type="pct"/>
            <w:shd w:val="clear" w:color="auto" w:fill="auto"/>
            <w:vAlign w:val="center"/>
          </w:tcPr>
          <w:p w:rsidR="00181B2A" w:rsidRPr="00A3293D" w:rsidRDefault="00181B2A" w:rsidP="00C4575E">
            <w:pPr>
              <w:pStyle w:val="TableBodyText"/>
            </w:pPr>
            <w:r>
              <w:t>66.9</w:t>
            </w:r>
          </w:p>
        </w:tc>
        <w:tc>
          <w:tcPr>
            <w:tcW w:w="548" w:type="pct"/>
            <w:gridSpan w:val="2"/>
          </w:tcPr>
          <w:p w:rsidR="00181B2A" w:rsidRPr="00B817EA" w:rsidRDefault="00181B2A" w:rsidP="00C4575E">
            <w:pPr>
              <w:pStyle w:val="TableBodyText"/>
            </w:pPr>
          </w:p>
        </w:tc>
      </w:tr>
      <w:tr w:rsidR="00181B2A" w:rsidRPr="00B817EA" w:rsidTr="00C4575E">
        <w:tc>
          <w:tcPr>
            <w:tcW w:w="735" w:type="pct"/>
            <w:gridSpan w:val="2"/>
            <w:shd w:val="clear" w:color="auto" w:fill="auto"/>
          </w:tcPr>
          <w:p w:rsidR="00181B2A" w:rsidRDefault="00181B2A" w:rsidP="00C4575E">
            <w:pPr>
              <w:pStyle w:val="TableBodyText"/>
              <w:jc w:val="left"/>
            </w:pPr>
            <w:r>
              <w:t>OSH</w:t>
            </w:r>
          </w:p>
        </w:tc>
        <w:tc>
          <w:tcPr>
            <w:tcW w:w="169" w:type="pct"/>
            <w:shd w:val="clear" w:color="auto" w:fill="auto"/>
          </w:tcPr>
          <w:p w:rsidR="00181B2A" w:rsidRDefault="00181B2A" w:rsidP="00C4575E">
            <w:pPr>
              <w:pStyle w:val="TableBodyText"/>
              <w:jc w:val="left"/>
            </w:pPr>
            <w:r>
              <w:t>%</w:t>
            </w:r>
          </w:p>
        </w:tc>
        <w:tc>
          <w:tcPr>
            <w:tcW w:w="385" w:type="pct"/>
            <w:shd w:val="clear" w:color="auto" w:fill="auto"/>
            <w:vAlign w:val="center"/>
          </w:tcPr>
          <w:p w:rsidR="00181B2A" w:rsidRPr="00A3293D" w:rsidRDefault="00181B2A" w:rsidP="00C4575E">
            <w:pPr>
              <w:pStyle w:val="TableBodyText"/>
            </w:pPr>
            <w:r>
              <w:t>16.8</w:t>
            </w:r>
          </w:p>
        </w:tc>
        <w:tc>
          <w:tcPr>
            <w:tcW w:w="391" w:type="pct"/>
            <w:shd w:val="clear" w:color="auto" w:fill="auto"/>
            <w:vAlign w:val="center"/>
          </w:tcPr>
          <w:p w:rsidR="00181B2A" w:rsidRPr="00A3293D" w:rsidRDefault="00181B2A" w:rsidP="00C4575E">
            <w:pPr>
              <w:pStyle w:val="TableBodyText"/>
            </w:pPr>
            <w:r>
              <w:t>8.7</w:t>
            </w:r>
          </w:p>
        </w:tc>
        <w:tc>
          <w:tcPr>
            <w:tcW w:w="403" w:type="pct"/>
            <w:shd w:val="clear" w:color="auto" w:fill="auto"/>
            <w:vAlign w:val="center"/>
          </w:tcPr>
          <w:p w:rsidR="00181B2A" w:rsidRPr="00A3293D" w:rsidRDefault="00181B2A" w:rsidP="00C4575E">
            <w:pPr>
              <w:pStyle w:val="TableBodyText"/>
            </w:pPr>
            <w:r>
              <w:t>39.4</w:t>
            </w:r>
          </w:p>
        </w:tc>
        <w:tc>
          <w:tcPr>
            <w:tcW w:w="391" w:type="pct"/>
            <w:shd w:val="clear" w:color="auto" w:fill="auto"/>
            <w:vAlign w:val="center"/>
          </w:tcPr>
          <w:p w:rsidR="00181B2A" w:rsidRPr="00A3293D" w:rsidRDefault="00181B2A" w:rsidP="00C4575E">
            <w:pPr>
              <w:pStyle w:val="TableBodyText"/>
            </w:pPr>
            <w:r>
              <w:t>18.6</w:t>
            </w:r>
          </w:p>
        </w:tc>
        <w:tc>
          <w:tcPr>
            <w:tcW w:w="392" w:type="pct"/>
            <w:shd w:val="clear" w:color="auto" w:fill="auto"/>
            <w:vAlign w:val="center"/>
          </w:tcPr>
          <w:p w:rsidR="00181B2A" w:rsidRPr="00A3293D" w:rsidRDefault="00181B2A" w:rsidP="00C4575E">
            <w:pPr>
              <w:pStyle w:val="TableBodyText"/>
            </w:pPr>
            <w:r>
              <w:t>9.2</w:t>
            </w:r>
          </w:p>
        </w:tc>
        <w:tc>
          <w:tcPr>
            <w:tcW w:w="392" w:type="pct"/>
            <w:shd w:val="clear" w:color="auto" w:fill="auto"/>
            <w:vAlign w:val="center"/>
          </w:tcPr>
          <w:p w:rsidR="00181B2A" w:rsidRPr="00A3293D" w:rsidRDefault="00181B2A" w:rsidP="00C4575E">
            <w:pPr>
              <w:pStyle w:val="TableBodyText"/>
            </w:pPr>
            <w:r>
              <w:t>2.9</w:t>
            </w:r>
          </w:p>
        </w:tc>
        <w:tc>
          <w:tcPr>
            <w:tcW w:w="359" w:type="pct"/>
            <w:shd w:val="clear" w:color="auto" w:fill="auto"/>
            <w:vAlign w:val="center"/>
          </w:tcPr>
          <w:p w:rsidR="00181B2A" w:rsidRPr="00A3293D" w:rsidRDefault="00181B2A" w:rsidP="00C4575E">
            <w:pPr>
              <w:pStyle w:val="TableBodyText"/>
            </w:pPr>
            <w:r>
              <w:t>–</w:t>
            </w:r>
          </w:p>
        </w:tc>
        <w:tc>
          <w:tcPr>
            <w:tcW w:w="434" w:type="pct"/>
            <w:shd w:val="clear" w:color="auto" w:fill="auto"/>
            <w:vAlign w:val="center"/>
          </w:tcPr>
          <w:p w:rsidR="00181B2A" w:rsidRPr="00A3293D" w:rsidRDefault="00181B2A" w:rsidP="00C4575E">
            <w:pPr>
              <w:pStyle w:val="TableBodyText"/>
            </w:pPr>
            <w:r>
              <w:t>–</w:t>
            </w:r>
          </w:p>
        </w:tc>
        <w:tc>
          <w:tcPr>
            <w:tcW w:w="402" w:type="pct"/>
            <w:shd w:val="clear" w:color="auto" w:fill="auto"/>
            <w:vAlign w:val="center"/>
          </w:tcPr>
          <w:p w:rsidR="00181B2A" w:rsidRPr="00A3293D" w:rsidRDefault="00181B2A" w:rsidP="00C4575E">
            <w:pPr>
              <w:pStyle w:val="TableBodyText"/>
            </w:pPr>
            <w:r>
              <w:t>17.1</w:t>
            </w:r>
          </w:p>
        </w:tc>
        <w:tc>
          <w:tcPr>
            <w:tcW w:w="548" w:type="pct"/>
            <w:gridSpan w:val="2"/>
          </w:tcPr>
          <w:p w:rsidR="00181B2A" w:rsidRPr="00B817EA" w:rsidRDefault="00181B2A" w:rsidP="00C4575E">
            <w:pPr>
              <w:pStyle w:val="TableBodyText"/>
            </w:pPr>
          </w:p>
        </w:tc>
      </w:tr>
      <w:tr w:rsidR="00181B2A" w:rsidRPr="00B817EA" w:rsidTr="00C4575E">
        <w:tc>
          <w:tcPr>
            <w:tcW w:w="735" w:type="pct"/>
            <w:gridSpan w:val="2"/>
            <w:shd w:val="clear" w:color="auto" w:fill="auto"/>
          </w:tcPr>
          <w:p w:rsidR="00181B2A" w:rsidRPr="00B817EA" w:rsidRDefault="00181B2A" w:rsidP="00C4575E">
            <w:pPr>
              <w:pStyle w:val="TableBodyText"/>
              <w:jc w:val="left"/>
            </w:pPr>
            <w:r>
              <w:t>Occasional</w:t>
            </w:r>
          </w:p>
        </w:tc>
        <w:tc>
          <w:tcPr>
            <w:tcW w:w="169" w:type="pct"/>
            <w:shd w:val="clear" w:color="auto" w:fill="auto"/>
          </w:tcPr>
          <w:p w:rsidR="00181B2A" w:rsidRDefault="00181B2A" w:rsidP="00C4575E">
            <w:pPr>
              <w:pStyle w:val="TableBodyText"/>
              <w:jc w:val="left"/>
            </w:pPr>
            <w:r>
              <w:t>%</w:t>
            </w:r>
          </w:p>
        </w:tc>
        <w:tc>
          <w:tcPr>
            <w:tcW w:w="385" w:type="pct"/>
            <w:shd w:val="clear" w:color="auto" w:fill="auto"/>
            <w:vAlign w:val="center"/>
          </w:tcPr>
          <w:p w:rsidR="00181B2A" w:rsidRPr="00A3293D" w:rsidRDefault="00181B2A" w:rsidP="00C4575E">
            <w:pPr>
              <w:pStyle w:val="TableBodyText"/>
            </w:pPr>
            <w:r>
              <w:t>39.0</w:t>
            </w:r>
          </w:p>
        </w:tc>
        <w:tc>
          <w:tcPr>
            <w:tcW w:w="391" w:type="pct"/>
            <w:shd w:val="clear" w:color="auto" w:fill="auto"/>
            <w:vAlign w:val="center"/>
          </w:tcPr>
          <w:p w:rsidR="00181B2A" w:rsidRPr="00A3293D" w:rsidRDefault="00181B2A" w:rsidP="00C4575E">
            <w:pPr>
              <w:pStyle w:val="TableBodyText"/>
            </w:pPr>
            <w:r>
              <w:t>17.3</w:t>
            </w:r>
          </w:p>
        </w:tc>
        <w:tc>
          <w:tcPr>
            <w:tcW w:w="403" w:type="pct"/>
            <w:shd w:val="clear" w:color="auto" w:fill="auto"/>
            <w:vAlign w:val="center"/>
          </w:tcPr>
          <w:p w:rsidR="00181B2A" w:rsidRPr="00A3293D" w:rsidRDefault="00181B2A" w:rsidP="00C4575E">
            <w:pPr>
              <w:pStyle w:val="TableBodyText"/>
            </w:pPr>
            <w:r>
              <w:t>38.9</w:t>
            </w:r>
          </w:p>
        </w:tc>
        <w:tc>
          <w:tcPr>
            <w:tcW w:w="391" w:type="pct"/>
            <w:shd w:val="clear" w:color="auto" w:fill="auto"/>
            <w:vAlign w:val="center"/>
          </w:tcPr>
          <w:p w:rsidR="00181B2A" w:rsidRPr="00A3293D" w:rsidRDefault="00181B2A" w:rsidP="00C4575E">
            <w:pPr>
              <w:pStyle w:val="TableBodyText"/>
            </w:pPr>
            <w:r>
              <w:t>72.7</w:t>
            </w:r>
          </w:p>
        </w:tc>
        <w:tc>
          <w:tcPr>
            <w:tcW w:w="392" w:type="pct"/>
            <w:shd w:val="clear" w:color="auto" w:fill="auto"/>
            <w:vAlign w:val="center"/>
          </w:tcPr>
          <w:p w:rsidR="00181B2A" w:rsidRPr="00A3293D" w:rsidRDefault="00181B2A" w:rsidP="00C4575E">
            <w:pPr>
              <w:pStyle w:val="TableBodyText"/>
            </w:pPr>
            <w:r>
              <w:t>100.0</w:t>
            </w:r>
          </w:p>
        </w:tc>
        <w:tc>
          <w:tcPr>
            <w:tcW w:w="392" w:type="pct"/>
            <w:shd w:val="clear" w:color="auto" w:fill="auto"/>
            <w:vAlign w:val="center"/>
          </w:tcPr>
          <w:p w:rsidR="00181B2A" w:rsidRPr="00A3293D" w:rsidRDefault="00181B2A" w:rsidP="00C4575E">
            <w:pPr>
              <w:pStyle w:val="TableBodyText"/>
            </w:pPr>
            <w:r>
              <w:t>100.0</w:t>
            </w:r>
          </w:p>
        </w:tc>
        <w:tc>
          <w:tcPr>
            <w:tcW w:w="359" w:type="pct"/>
            <w:shd w:val="clear" w:color="auto" w:fill="auto"/>
            <w:vAlign w:val="center"/>
          </w:tcPr>
          <w:p w:rsidR="00181B2A" w:rsidRPr="00A3293D" w:rsidRDefault="00181B2A" w:rsidP="00C4575E">
            <w:pPr>
              <w:pStyle w:val="TableBodyText"/>
            </w:pPr>
            <w:r>
              <w:t>50.0</w:t>
            </w:r>
          </w:p>
        </w:tc>
        <w:tc>
          <w:tcPr>
            <w:tcW w:w="434" w:type="pct"/>
            <w:shd w:val="clear" w:color="auto" w:fill="auto"/>
            <w:vAlign w:val="center"/>
          </w:tcPr>
          <w:p w:rsidR="00181B2A" w:rsidRPr="00A3293D" w:rsidRDefault="00181B2A" w:rsidP="00C4575E">
            <w:pPr>
              <w:pStyle w:val="TableBodyText"/>
            </w:pPr>
            <w:r>
              <w:t>–</w:t>
            </w:r>
          </w:p>
        </w:tc>
        <w:tc>
          <w:tcPr>
            <w:tcW w:w="402" w:type="pct"/>
            <w:shd w:val="clear" w:color="auto" w:fill="auto"/>
            <w:vAlign w:val="center"/>
          </w:tcPr>
          <w:p w:rsidR="00181B2A" w:rsidRPr="00A3293D" w:rsidRDefault="00181B2A" w:rsidP="00C4575E">
            <w:pPr>
              <w:pStyle w:val="TableBodyText"/>
            </w:pPr>
            <w:r>
              <w:t>34.2</w:t>
            </w:r>
          </w:p>
        </w:tc>
        <w:tc>
          <w:tcPr>
            <w:tcW w:w="548" w:type="pct"/>
            <w:gridSpan w:val="2"/>
          </w:tcPr>
          <w:p w:rsidR="00181B2A" w:rsidRPr="00B817EA" w:rsidRDefault="00181B2A" w:rsidP="00C4575E">
            <w:pPr>
              <w:pStyle w:val="TableBodyText"/>
            </w:pPr>
          </w:p>
        </w:tc>
      </w:tr>
      <w:tr w:rsidR="00181B2A" w:rsidRPr="00B817EA" w:rsidTr="00C4575E">
        <w:tc>
          <w:tcPr>
            <w:tcW w:w="735" w:type="pct"/>
            <w:gridSpan w:val="2"/>
            <w:shd w:val="clear" w:color="auto" w:fill="auto"/>
          </w:tcPr>
          <w:p w:rsidR="00181B2A" w:rsidRPr="00B817EA" w:rsidRDefault="00181B2A" w:rsidP="00C4575E">
            <w:pPr>
              <w:pStyle w:val="TableBodyText"/>
              <w:jc w:val="left"/>
            </w:pPr>
            <w:r>
              <w:t>Other</w:t>
            </w:r>
          </w:p>
        </w:tc>
        <w:tc>
          <w:tcPr>
            <w:tcW w:w="169" w:type="pct"/>
            <w:shd w:val="clear" w:color="auto" w:fill="auto"/>
          </w:tcPr>
          <w:p w:rsidR="00181B2A" w:rsidRDefault="00181B2A" w:rsidP="00C4575E">
            <w:pPr>
              <w:pStyle w:val="TableBodyText"/>
              <w:jc w:val="left"/>
            </w:pPr>
            <w:r>
              <w:t>%</w:t>
            </w:r>
          </w:p>
        </w:tc>
        <w:tc>
          <w:tcPr>
            <w:tcW w:w="385" w:type="pct"/>
            <w:shd w:val="clear" w:color="auto" w:fill="auto"/>
            <w:vAlign w:val="center"/>
          </w:tcPr>
          <w:p w:rsidR="00181B2A" w:rsidRPr="00A3293D" w:rsidRDefault="00181B2A" w:rsidP="00C4575E">
            <w:pPr>
              <w:pStyle w:val="TableBodyText"/>
            </w:pPr>
            <w:r>
              <w:t>83.4</w:t>
            </w:r>
          </w:p>
        </w:tc>
        <w:tc>
          <w:tcPr>
            <w:tcW w:w="391" w:type="pct"/>
            <w:shd w:val="clear" w:color="auto" w:fill="auto"/>
            <w:vAlign w:val="center"/>
          </w:tcPr>
          <w:p w:rsidR="00181B2A" w:rsidRPr="00A3293D" w:rsidRDefault="00181B2A" w:rsidP="00C4575E">
            <w:pPr>
              <w:pStyle w:val="TableBodyText"/>
            </w:pPr>
            <w:r>
              <w:t>79.7</w:t>
            </w:r>
          </w:p>
        </w:tc>
        <w:tc>
          <w:tcPr>
            <w:tcW w:w="403" w:type="pct"/>
            <w:shd w:val="clear" w:color="auto" w:fill="auto"/>
            <w:vAlign w:val="center"/>
          </w:tcPr>
          <w:p w:rsidR="00181B2A" w:rsidRPr="00A3293D" w:rsidRDefault="00181B2A" w:rsidP="00C4575E">
            <w:pPr>
              <w:pStyle w:val="TableBodyText"/>
            </w:pPr>
            <w:r>
              <w:t>80.6</w:t>
            </w:r>
          </w:p>
        </w:tc>
        <w:tc>
          <w:tcPr>
            <w:tcW w:w="391" w:type="pct"/>
            <w:shd w:val="clear" w:color="auto" w:fill="auto"/>
            <w:vAlign w:val="center"/>
          </w:tcPr>
          <w:p w:rsidR="00181B2A" w:rsidRPr="00A3293D" w:rsidRDefault="00181B2A" w:rsidP="00C4575E">
            <w:pPr>
              <w:pStyle w:val="TableBodyText"/>
            </w:pPr>
            <w:r>
              <w:t>60.5</w:t>
            </w:r>
          </w:p>
        </w:tc>
        <w:tc>
          <w:tcPr>
            <w:tcW w:w="392" w:type="pct"/>
            <w:shd w:val="clear" w:color="auto" w:fill="auto"/>
            <w:vAlign w:val="center"/>
          </w:tcPr>
          <w:p w:rsidR="00181B2A" w:rsidRPr="00A3293D" w:rsidRDefault="00181B2A" w:rsidP="00C4575E">
            <w:pPr>
              <w:pStyle w:val="TableBodyText"/>
            </w:pPr>
            <w:r>
              <w:t>100.0</w:t>
            </w:r>
          </w:p>
        </w:tc>
        <w:tc>
          <w:tcPr>
            <w:tcW w:w="392" w:type="pct"/>
            <w:shd w:val="clear" w:color="auto" w:fill="auto"/>
            <w:vAlign w:val="center"/>
          </w:tcPr>
          <w:p w:rsidR="00181B2A" w:rsidRPr="00A3293D" w:rsidRDefault="00181B2A" w:rsidP="00C4575E">
            <w:pPr>
              <w:pStyle w:val="TableBodyText"/>
            </w:pPr>
            <w:r>
              <w:t>58.3</w:t>
            </w:r>
          </w:p>
        </w:tc>
        <w:tc>
          <w:tcPr>
            <w:tcW w:w="359" w:type="pct"/>
            <w:shd w:val="clear" w:color="auto" w:fill="auto"/>
            <w:vAlign w:val="center"/>
          </w:tcPr>
          <w:p w:rsidR="00181B2A" w:rsidRPr="00A3293D" w:rsidRDefault="00181B2A" w:rsidP="00C4575E">
            <w:pPr>
              <w:pStyle w:val="TableBodyText"/>
            </w:pPr>
            <w:r>
              <w:t>100.0</w:t>
            </w:r>
          </w:p>
        </w:tc>
        <w:tc>
          <w:tcPr>
            <w:tcW w:w="434" w:type="pct"/>
            <w:shd w:val="clear" w:color="auto" w:fill="auto"/>
            <w:vAlign w:val="center"/>
          </w:tcPr>
          <w:p w:rsidR="00181B2A" w:rsidRPr="00A3293D" w:rsidRDefault="00181B2A" w:rsidP="00C4575E">
            <w:pPr>
              <w:pStyle w:val="TableBodyText"/>
            </w:pPr>
            <w:r>
              <w:t>–</w:t>
            </w:r>
          </w:p>
        </w:tc>
        <w:tc>
          <w:tcPr>
            <w:tcW w:w="402" w:type="pct"/>
            <w:shd w:val="clear" w:color="auto" w:fill="auto"/>
            <w:vAlign w:val="center"/>
          </w:tcPr>
          <w:p w:rsidR="00181B2A" w:rsidRPr="00A3293D" w:rsidRDefault="00181B2A" w:rsidP="00C4575E">
            <w:pPr>
              <w:pStyle w:val="TableBodyText"/>
            </w:pPr>
            <w:r>
              <w:t>80.4</w:t>
            </w:r>
          </w:p>
        </w:tc>
        <w:tc>
          <w:tcPr>
            <w:tcW w:w="548" w:type="pct"/>
            <w:gridSpan w:val="2"/>
          </w:tcPr>
          <w:p w:rsidR="00181B2A" w:rsidRPr="00B817EA" w:rsidRDefault="00181B2A" w:rsidP="00C4575E">
            <w:pPr>
              <w:pStyle w:val="TableBodyText"/>
            </w:pPr>
          </w:p>
        </w:tc>
      </w:tr>
      <w:tr w:rsidR="00181B2A" w:rsidRPr="00B817EA" w:rsidTr="00C4575E">
        <w:trPr>
          <w:trHeight w:val="474"/>
        </w:trPr>
        <w:tc>
          <w:tcPr>
            <w:tcW w:w="5000" w:type="pct"/>
            <w:gridSpan w:val="14"/>
            <w:shd w:val="clear" w:color="auto" w:fill="auto"/>
          </w:tcPr>
          <w:p w:rsidR="00181B2A" w:rsidRDefault="00181B2A" w:rsidP="00C4575E">
            <w:pPr>
              <w:pStyle w:val="TableColumnHeading"/>
              <w:jc w:val="left"/>
            </w:pPr>
            <w:r>
              <w:t xml:space="preserve">Child care service costs, 2013 </w:t>
            </w:r>
            <w:r>
              <w:br/>
            </w:r>
            <w:r w:rsidRPr="0002724D">
              <w:rPr>
                <w:i w:val="0"/>
                <w:sz w:val="16"/>
                <w:szCs w:val="16"/>
              </w:rPr>
              <w:t>Most recent data for all measures are comparable and complete (chapter 3)</w:t>
            </w:r>
          </w:p>
        </w:tc>
      </w:tr>
      <w:tr w:rsidR="00181B2A" w:rsidRPr="00B817EA" w:rsidTr="00C4575E">
        <w:tc>
          <w:tcPr>
            <w:tcW w:w="411" w:type="pct"/>
            <w:shd w:val="clear" w:color="auto" w:fill="auto"/>
          </w:tcPr>
          <w:p w:rsidR="00181B2A" w:rsidRPr="00B817EA" w:rsidRDefault="00181B2A" w:rsidP="00C4575E">
            <w:pPr>
              <w:pStyle w:val="TableBodyText"/>
              <w:jc w:val="left"/>
            </w:pPr>
            <w:proofErr w:type="spellStart"/>
            <w:r>
              <w:t>LDC</w:t>
            </w:r>
            <w:proofErr w:type="spellEnd"/>
          </w:p>
        </w:tc>
        <w:tc>
          <w:tcPr>
            <w:tcW w:w="493" w:type="pct"/>
            <w:gridSpan w:val="2"/>
            <w:shd w:val="clear" w:color="auto" w:fill="auto"/>
          </w:tcPr>
          <w:p w:rsidR="00181B2A" w:rsidRDefault="00181B2A" w:rsidP="00C4575E">
            <w:pPr>
              <w:pStyle w:val="TableBodyText"/>
              <w:jc w:val="left"/>
            </w:pPr>
            <w:r>
              <w:t>$/week</w:t>
            </w:r>
          </w:p>
        </w:tc>
        <w:tc>
          <w:tcPr>
            <w:tcW w:w="385" w:type="pct"/>
            <w:shd w:val="clear" w:color="auto" w:fill="auto"/>
            <w:vAlign w:val="center"/>
          </w:tcPr>
          <w:p w:rsidR="00181B2A" w:rsidRDefault="00181B2A" w:rsidP="00C4575E">
            <w:pPr>
              <w:pStyle w:val="TableBodyText"/>
            </w:pPr>
            <w:r>
              <w:t>392</w:t>
            </w:r>
          </w:p>
        </w:tc>
        <w:tc>
          <w:tcPr>
            <w:tcW w:w="391" w:type="pct"/>
            <w:shd w:val="clear" w:color="auto" w:fill="auto"/>
            <w:vAlign w:val="center"/>
          </w:tcPr>
          <w:p w:rsidR="00181B2A" w:rsidRDefault="00181B2A" w:rsidP="00C4575E">
            <w:pPr>
              <w:pStyle w:val="TableBodyText"/>
            </w:pPr>
            <w:r>
              <w:t>378</w:t>
            </w:r>
          </w:p>
        </w:tc>
        <w:tc>
          <w:tcPr>
            <w:tcW w:w="403" w:type="pct"/>
            <w:shd w:val="clear" w:color="auto" w:fill="auto"/>
            <w:vAlign w:val="center"/>
          </w:tcPr>
          <w:p w:rsidR="00181B2A" w:rsidRDefault="00181B2A" w:rsidP="00C4575E">
            <w:pPr>
              <w:pStyle w:val="TableBodyText"/>
            </w:pPr>
            <w:r>
              <w:t>329</w:t>
            </w:r>
          </w:p>
        </w:tc>
        <w:tc>
          <w:tcPr>
            <w:tcW w:w="391" w:type="pct"/>
            <w:shd w:val="clear" w:color="auto" w:fill="auto"/>
            <w:vAlign w:val="center"/>
          </w:tcPr>
          <w:p w:rsidR="00181B2A" w:rsidRDefault="00181B2A" w:rsidP="00C4575E">
            <w:pPr>
              <w:pStyle w:val="TableBodyText"/>
            </w:pPr>
            <w:r>
              <w:t>364</w:t>
            </w:r>
          </w:p>
        </w:tc>
        <w:tc>
          <w:tcPr>
            <w:tcW w:w="392" w:type="pct"/>
            <w:shd w:val="clear" w:color="auto" w:fill="auto"/>
            <w:vAlign w:val="center"/>
          </w:tcPr>
          <w:p w:rsidR="00181B2A" w:rsidRDefault="00181B2A" w:rsidP="00C4575E">
            <w:pPr>
              <w:pStyle w:val="TableBodyText"/>
            </w:pPr>
            <w:r>
              <w:t>340</w:t>
            </w:r>
          </w:p>
        </w:tc>
        <w:tc>
          <w:tcPr>
            <w:tcW w:w="392" w:type="pct"/>
            <w:shd w:val="clear" w:color="auto" w:fill="auto"/>
            <w:vAlign w:val="center"/>
          </w:tcPr>
          <w:p w:rsidR="00181B2A" w:rsidRDefault="00181B2A" w:rsidP="00C4575E">
            <w:pPr>
              <w:pStyle w:val="TableBodyText"/>
            </w:pPr>
            <w:r>
              <w:t>351</w:t>
            </w:r>
          </w:p>
        </w:tc>
        <w:tc>
          <w:tcPr>
            <w:tcW w:w="359" w:type="pct"/>
            <w:shd w:val="clear" w:color="auto" w:fill="auto"/>
            <w:vAlign w:val="center"/>
          </w:tcPr>
          <w:p w:rsidR="00181B2A" w:rsidRDefault="00181B2A" w:rsidP="00C4575E">
            <w:pPr>
              <w:pStyle w:val="TableBodyText"/>
            </w:pPr>
            <w:r>
              <w:t>442</w:t>
            </w:r>
          </w:p>
        </w:tc>
        <w:tc>
          <w:tcPr>
            <w:tcW w:w="434" w:type="pct"/>
            <w:shd w:val="clear" w:color="auto" w:fill="auto"/>
            <w:vAlign w:val="center"/>
          </w:tcPr>
          <w:p w:rsidR="00181B2A" w:rsidRDefault="00181B2A" w:rsidP="00C4575E">
            <w:pPr>
              <w:pStyle w:val="TableBodyText"/>
            </w:pPr>
            <w:r>
              <w:t>348</w:t>
            </w:r>
          </w:p>
        </w:tc>
        <w:tc>
          <w:tcPr>
            <w:tcW w:w="402" w:type="pct"/>
            <w:shd w:val="clear" w:color="auto" w:fill="auto"/>
            <w:vAlign w:val="center"/>
          </w:tcPr>
          <w:p w:rsidR="00181B2A" w:rsidRDefault="00181B2A" w:rsidP="00C4575E">
            <w:pPr>
              <w:pStyle w:val="TableBodyText"/>
            </w:pPr>
            <w:r>
              <w:t>364</w:t>
            </w:r>
          </w:p>
        </w:tc>
        <w:tc>
          <w:tcPr>
            <w:tcW w:w="548" w:type="pct"/>
            <w:gridSpan w:val="2"/>
            <w:shd w:val="clear" w:color="auto" w:fill="auto"/>
          </w:tcPr>
          <w:p w:rsidR="00181B2A" w:rsidRPr="00B817EA" w:rsidRDefault="00181B2A" w:rsidP="00FF7960">
            <w:pPr>
              <w:pStyle w:val="TableBodyText"/>
            </w:pPr>
            <w:r>
              <w:t>3A.</w:t>
            </w:r>
            <w:r w:rsidRPr="00C36189">
              <w:t>3</w:t>
            </w:r>
            <w:r w:rsidR="00FF7960" w:rsidRPr="00C36189">
              <w:t>0</w:t>
            </w:r>
          </w:p>
        </w:tc>
      </w:tr>
      <w:tr w:rsidR="00181B2A" w:rsidRPr="00B817EA" w:rsidTr="00C4575E">
        <w:trPr>
          <w:trHeight w:val="105"/>
        </w:trPr>
        <w:tc>
          <w:tcPr>
            <w:tcW w:w="411" w:type="pct"/>
            <w:shd w:val="clear" w:color="auto" w:fill="auto"/>
          </w:tcPr>
          <w:p w:rsidR="00181B2A" w:rsidRPr="00B817EA" w:rsidRDefault="00181B2A" w:rsidP="00C4575E">
            <w:pPr>
              <w:pStyle w:val="TableBodyText"/>
              <w:jc w:val="left"/>
            </w:pPr>
            <w:proofErr w:type="spellStart"/>
            <w:r>
              <w:t>FDC</w:t>
            </w:r>
            <w:proofErr w:type="spellEnd"/>
          </w:p>
        </w:tc>
        <w:tc>
          <w:tcPr>
            <w:tcW w:w="493" w:type="pct"/>
            <w:gridSpan w:val="2"/>
            <w:shd w:val="clear" w:color="auto" w:fill="auto"/>
          </w:tcPr>
          <w:p w:rsidR="00181B2A" w:rsidRPr="00B817EA" w:rsidRDefault="00181B2A" w:rsidP="00C4575E">
            <w:pPr>
              <w:pStyle w:val="TableBodyText"/>
              <w:jc w:val="left"/>
            </w:pPr>
            <w:r>
              <w:t>$/week</w:t>
            </w:r>
          </w:p>
        </w:tc>
        <w:tc>
          <w:tcPr>
            <w:tcW w:w="385" w:type="pct"/>
            <w:shd w:val="clear" w:color="auto" w:fill="auto"/>
            <w:vAlign w:val="center"/>
          </w:tcPr>
          <w:p w:rsidR="00181B2A" w:rsidRPr="00A3293D" w:rsidRDefault="00181B2A" w:rsidP="00C4575E">
            <w:pPr>
              <w:pStyle w:val="TableBodyText"/>
            </w:pPr>
            <w:r>
              <w:t>327</w:t>
            </w:r>
          </w:p>
        </w:tc>
        <w:tc>
          <w:tcPr>
            <w:tcW w:w="391" w:type="pct"/>
            <w:shd w:val="clear" w:color="auto" w:fill="auto"/>
            <w:vAlign w:val="center"/>
          </w:tcPr>
          <w:p w:rsidR="00181B2A" w:rsidRPr="00A3293D" w:rsidRDefault="00181B2A" w:rsidP="00C4575E">
            <w:pPr>
              <w:pStyle w:val="TableBodyText"/>
            </w:pPr>
            <w:r>
              <w:t>337</w:t>
            </w:r>
          </w:p>
        </w:tc>
        <w:tc>
          <w:tcPr>
            <w:tcW w:w="403" w:type="pct"/>
            <w:shd w:val="clear" w:color="auto" w:fill="auto"/>
            <w:vAlign w:val="center"/>
          </w:tcPr>
          <w:p w:rsidR="00181B2A" w:rsidRPr="00A3293D" w:rsidRDefault="00181B2A" w:rsidP="00C4575E">
            <w:pPr>
              <w:pStyle w:val="TableBodyText"/>
            </w:pPr>
            <w:r>
              <w:t>349</w:t>
            </w:r>
          </w:p>
        </w:tc>
        <w:tc>
          <w:tcPr>
            <w:tcW w:w="391" w:type="pct"/>
            <w:shd w:val="clear" w:color="auto" w:fill="auto"/>
            <w:vAlign w:val="center"/>
          </w:tcPr>
          <w:p w:rsidR="00181B2A" w:rsidRPr="00A3293D" w:rsidRDefault="00181B2A" w:rsidP="00C4575E">
            <w:pPr>
              <w:pStyle w:val="TableBodyText"/>
            </w:pPr>
            <w:r>
              <w:t>367</w:t>
            </w:r>
          </w:p>
        </w:tc>
        <w:tc>
          <w:tcPr>
            <w:tcW w:w="392" w:type="pct"/>
            <w:shd w:val="clear" w:color="auto" w:fill="auto"/>
            <w:vAlign w:val="center"/>
          </w:tcPr>
          <w:p w:rsidR="00181B2A" w:rsidRPr="00A3293D" w:rsidRDefault="00181B2A" w:rsidP="00C4575E">
            <w:pPr>
              <w:pStyle w:val="TableBodyText"/>
            </w:pPr>
            <w:r>
              <w:t>309</w:t>
            </w:r>
          </w:p>
        </w:tc>
        <w:tc>
          <w:tcPr>
            <w:tcW w:w="392" w:type="pct"/>
            <w:shd w:val="clear" w:color="auto" w:fill="auto"/>
            <w:vAlign w:val="center"/>
          </w:tcPr>
          <w:p w:rsidR="00181B2A" w:rsidRPr="00A3293D" w:rsidRDefault="00181B2A" w:rsidP="00C4575E">
            <w:pPr>
              <w:pStyle w:val="TableBodyText"/>
            </w:pPr>
            <w:r>
              <w:t>365</w:t>
            </w:r>
          </w:p>
        </w:tc>
        <w:tc>
          <w:tcPr>
            <w:tcW w:w="359" w:type="pct"/>
            <w:shd w:val="clear" w:color="auto" w:fill="auto"/>
            <w:vAlign w:val="center"/>
          </w:tcPr>
          <w:p w:rsidR="00181B2A" w:rsidRPr="00A3293D" w:rsidRDefault="00181B2A" w:rsidP="00C4575E">
            <w:pPr>
              <w:pStyle w:val="TableBodyText"/>
            </w:pPr>
            <w:r>
              <w:t>402</w:t>
            </w:r>
          </w:p>
        </w:tc>
        <w:tc>
          <w:tcPr>
            <w:tcW w:w="434" w:type="pct"/>
            <w:shd w:val="clear" w:color="auto" w:fill="auto"/>
            <w:vAlign w:val="center"/>
          </w:tcPr>
          <w:p w:rsidR="00181B2A" w:rsidRPr="00A3293D" w:rsidRDefault="00181B2A" w:rsidP="00C4575E">
            <w:pPr>
              <w:pStyle w:val="TableBodyText"/>
            </w:pPr>
            <w:r>
              <w:t>369</w:t>
            </w:r>
          </w:p>
        </w:tc>
        <w:tc>
          <w:tcPr>
            <w:tcW w:w="402" w:type="pct"/>
            <w:shd w:val="clear" w:color="auto" w:fill="auto"/>
            <w:vAlign w:val="center"/>
          </w:tcPr>
          <w:p w:rsidR="00181B2A" w:rsidRPr="00A3293D" w:rsidRDefault="00181B2A" w:rsidP="00C4575E">
            <w:pPr>
              <w:pStyle w:val="TableBodyText"/>
            </w:pPr>
            <w:r>
              <w:t>339</w:t>
            </w:r>
          </w:p>
        </w:tc>
        <w:tc>
          <w:tcPr>
            <w:tcW w:w="548" w:type="pct"/>
            <w:gridSpan w:val="2"/>
            <w:shd w:val="clear" w:color="auto" w:fill="auto"/>
          </w:tcPr>
          <w:p w:rsidR="00181B2A" w:rsidRPr="00B817EA" w:rsidRDefault="00181B2A" w:rsidP="00C4575E">
            <w:pPr>
              <w:pStyle w:val="TableBodyText"/>
            </w:pPr>
          </w:p>
        </w:tc>
      </w:tr>
      <w:tr w:rsidR="00181B2A" w:rsidRPr="00B817EA" w:rsidTr="00C4575E">
        <w:trPr>
          <w:trHeight w:val="292"/>
        </w:trPr>
        <w:tc>
          <w:tcPr>
            <w:tcW w:w="5000" w:type="pct"/>
            <w:gridSpan w:val="14"/>
            <w:shd w:val="clear" w:color="auto" w:fill="auto"/>
          </w:tcPr>
          <w:p w:rsidR="00181B2A" w:rsidRDefault="00181B2A" w:rsidP="00C4575E">
            <w:pPr>
              <w:pStyle w:val="Continued"/>
            </w:pPr>
            <w:r>
              <w:t>(continued)</w:t>
            </w:r>
          </w:p>
        </w:tc>
      </w:tr>
    </w:tbl>
    <w:p w:rsidR="00181B2A" w:rsidRDefault="00181B2A" w:rsidP="00181B2A">
      <w:pPr>
        <w:pStyle w:val="TableTitle"/>
      </w:pPr>
      <w:r w:rsidRPr="002E6718">
        <w:rPr>
          <w:b w:val="0"/>
        </w:rPr>
        <w:lastRenderedPageBreak/>
        <w:t xml:space="preserve">Table </w:t>
      </w:r>
      <w:r w:rsidRPr="00A871B3">
        <w:rPr>
          <w:b w:val="0"/>
        </w:rPr>
        <w:t>B.1</w:t>
      </w:r>
      <w:r w:rsidRPr="00C50A9D">
        <w:tab/>
      </w:r>
      <w:r w:rsidRPr="00440B96">
        <w:rPr>
          <w:b w:val="0"/>
        </w:rPr>
        <w:t>(continued)</w:t>
      </w:r>
    </w:p>
    <w:tbl>
      <w:tblPr>
        <w:tblW w:w="5008" w:type="pct"/>
        <w:tblLayout w:type="fixed"/>
        <w:tblCellMar>
          <w:left w:w="0" w:type="dxa"/>
          <w:right w:w="0" w:type="dxa"/>
        </w:tblCellMar>
        <w:tblLook w:val="0000" w:firstRow="0" w:lastRow="0" w:firstColumn="0" w:lastColumn="0" w:noHBand="0" w:noVBand="0"/>
      </w:tblPr>
      <w:tblGrid>
        <w:gridCol w:w="569"/>
        <w:gridCol w:w="708"/>
        <w:gridCol w:w="283"/>
        <w:gridCol w:w="681"/>
        <w:gridCol w:w="28"/>
        <w:gridCol w:w="664"/>
        <w:gridCol w:w="692"/>
        <w:gridCol w:w="692"/>
        <w:gridCol w:w="692"/>
        <w:gridCol w:w="692"/>
        <w:gridCol w:w="692"/>
        <w:gridCol w:w="875"/>
        <w:gridCol w:w="690"/>
        <w:gridCol w:w="833"/>
        <w:gridCol w:w="12"/>
      </w:tblGrid>
      <w:tr w:rsidR="00181B2A" w:rsidRPr="00B817EA" w:rsidTr="00C4575E">
        <w:trPr>
          <w:gridAfter w:val="1"/>
          <w:wAfter w:w="7" w:type="pct"/>
        </w:trPr>
        <w:tc>
          <w:tcPr>
            <w:tcW w:w="885" w:type="pct"/>
            <w:gridSpan w:val="3"/>
            <w:tcBorders>
              <w:top w:val="single" w:sz="6" w:space="0" w:color="auto"/>
              <w:bottom w:val="single" w:sz="6" w:space="0" w:color="auto"/>
            </w:tcBorders>
            <w:shd w:val="clear" w:color="auto" w:fill="auto"/>
          </w:tcPr>
          <w:p w:rsidR="00181B2A" w:rsidRPr="00B817EA" w:rsidRDefault="00181B2A" w:rsidP="00C4575E">
            <w:pPr>
              <w:pStyle w:val="TableColumnHeading"/>
              <w:jc w:val="left"/>
            </w:pPr>
          </w:p>
        </w:tc>
        <w:tc>
          <w:tcPr>
            <w:tcW w:w="403" w:type="pct"/>
            <w:gridSpan w:val="2"/>
            <w:tcBorders>
              <w:top w:val="single" w:sz="6" w:space="0" w:color="auto"/>
              <w:bottom w:val="single" w:sz="6" w:space="0" w:color="auto"/>
            </w:tcBorders>
            <w:shd w:val="clear" w:color="auto" w:fill="auto"/>
          </w:tcPr>
          <w:p w:rsidR="00181B2A" w:rsidRPr="00B817EA" w:rsidRDefault="00181B2A" w:rsidP="00C4575E">
            <w:pPr>
              <w:pStyle w:val="TableColumnHeading"/>
            </w:pPr>
            <w:r w:rsidRPr="00B817EA">
              <w:t>NSW</w:t>
            </w:r>
          </w:p>
        </w:tc>
        <w:tc>
          <w:tcPr>
            <w:tcW w:w="377" w:type="pct"/>
            <w:tcBorders>
              <w:top w:val="single" w:sz="6" w:space="0" w:color="auto"/>
              <w:bottom w:val="single" w:sz="6" w:space="0" w:color="auto"/>
            </w:tcBorders>
            <w:shd w:val="clear" w:color="auto" w:fill="auto"/>
          </w:tcPr>
          <w:p w:rsidR="00181B2A" w:rsidRPr="00B817EA" w:rsidRDefault="00181B2A" w:rsidP="00C4575E">
            <w:pPr>
              <w:pStyle w:val="TableColumnHeading"/>
            </w:pPr>
            <w:r w:rsidRPr="00B817EA">
              <w:t>Vic</w:t>
            </w:r>
          </w:p>
        </w:tc>
        <w:tc>
          <w:tcPr>
            <w:tcW w:w="393" w:type="pct"/>
            <w:tcBorders>
              <w:top w:val="single" w:sz="6" w:space="0" w:color="auto"/>
              <w:bottom w:val="single" w:sz="6" w:space="0" w:color="auto"/>
            </w:tcBorders>
            <w:shd w:val="clear" w:color="auto" w:fill="auto"/>
          </w:tcPr>
          <w:p w:rsidR="00181B2A" w:rsidRPr="00B817EA" w:rsidRDefault="00181B2A" w:rsidP="00C4575E">
            <w:pPr>
              <w:pStyle w:val="TableColumnHeading"/>
            </w:pPr>
            <w:r w:rsidRPr="00B817EA">
              <w:t>Qld</w:t>
            </w:r>
          </w:p>
        </w:tc>
        <w:tc>
          <w:tcPr>
            <w:tcW w:w="393" w:type="pct"/>
            <w:tcBorders>
              <w:top w:val="single" w:sz="6" w:space="0" w:color="auto"/>
              <w:bottom w:val="single" w:sz="6" w:space="0" w:color="auto"/>
            </w:tcBorders>
            <w:shd w:val="clear" w:color="auto" w:fill="auto"/>
          </w:tcPr>
          <w:p w:rsidR="00181B2A" w:rsidRPr="00B817EA" w:rsidRDefault="00181B2A" w:rsidP="00C4575E">
            <w:pPr>
              <w:pStyle w:val="TableColumnHeading"/>
            </w:pPr>
            <w:r w:rsidRPr="00B817EA">
              <w:t>WA</w:t>
            </w:r>
          </w:p>
        </w:tc>
        <w:tc>
          <w:tcPr>
            <w:tcW w:w="393" w:type="pct"/>
            <w:tcBorders>
              <w:top w:val="single" w:sz="6" w:space="0" w:color="auto"/>
              <w:bottom w:val="single" w:sz="6" w:space="0" w:color="auto"/>
            </w:tcBorders>
            <w:shd w:val="clear" w:color="auto" w:fill="auto"/>
          </w:tcPr>
          <w:p w:rsidR="00181B2A" w:rsidRPr="00B817EA" w:rsidRDefault="00181B2A" w:rsidP="00C4575E">
            <w:pPr>
              <w:pStyle w:val="TableColumnHeading"/>
            </w:pPr>
            <w:r w:rsidRPr="00B817EA">
              <w:t>SA</w:t>
            </w:r>
          </w:p>
        </w:tc>
        <w:tc>
          <w:tcPr>
            <w:tcW w:w="393" w:type="pct"/>
            <w:tcBorders>
              <w:top w:val="single" w:sz="6" w:space="0" w:color="auto"/>
              <w:bottom w:val="single" w:sz="6" w:space="0" w:color="auto"/>
            </w:tcBorders>
            <w:shd w:val="clear" w:color="auto" w:fill="auto"/>
          </w:tcPr>
          <w:p w:rsidR="00181B2A" w:rsidRPr="00B817EA" w:rsidRDefault="00181B2A" w:rsidP="00C4575E">
            <w:pPr>
              <w:pStyle w:val="TableColumnHeading"/>
            </w:pPr>
            <w:proofErr w:type="spellStart"/>
            <w:r w:rsidRPr="00B817EA">
              <w:t>Tas</w:t>
            </w:r>
            <w:proofErr w:type="spellEnd"/>
          </w:p>
        </w:tc>
        <w:tc>
          <w:tcPr>
            <w:tcW w:w="393" w:type="pct"/>
            <w:tcBorders>
              <w:top w:val="single" w:sz="6" w:space="0" w:color="auto"/>
              <w:bottom w:val="single" w:sz="6" w:space="0" w:color="auto"/>
            </w:tcBorders>
            <w:shd w:val="clear" w:color="auto" w:fill="auto"/>
          </w:tcPr>
          <w:p w:rsidR="00181B2A" w:rsidRPr="00B817EA" w:rsidRDefault="00181B2A" w:rsidP="00C4575E">
            <w:pPr>
              <w:pStyle w:val="TableColumnHeading"/>
            </w:pPr>
            <w:r w:rsidRPr="00B817EA">
              <w:t>ACT</w:t>
            </w:r>
          </w:p>
        </w:tc>
        <w:tc>
          <w:tcPr>
            <w:tcW w:w="497" w:type="pct"/>
            <w:tcBorders>
              <w:top w:val="single" w:sz="6" w:space="0" w:color="auto"/>
              <w:bottom w:val="single" w:sz="6" w:space="0" w:color="auto"/>
            </w:tcBorders>
            <w:shd w:val="clear" w:color="auto" w:fill="auto"/>
          </w:tcPr>
          <w:p w:rsidR="00181B2A" w:rsidRPr="00B817EA" w:rsidRDefault="00181B2A" w:rsidP="00C4575E">
            <w:pPr>
              <w:pStyle w:val="TableColumnHeading"/>
            </w:pPr>
            <w:r w:rsidRPr="00B817EA">
              <w:t>NT</w:t>
            </w:r>
          </w:p>
        </w:tc>
        <w:tc>
          <w:tcPr>
            <w:tcW w:w="392" w:type="pct"/>
            <w:tcBorders>
              <w:top w:val="single" w:sz="6" w:space="0" w:color="auto"/>
              <w:bottom w:val="single" w:sz="6" w:space="0" w:color="auto"/>
            </w:tcBorders>
          </w:tcPr>
          <w:p w:rsidR="00181B2A" w:rsidRPr="00B817EA" w:rsidRDefault="00181B2A" w:rsidP="00C4575E">
            <w:pPr>
              <w:pStyle w:val="TableColumnHeading"/>
            </w:pPr>
            <w:proofErr w:type="spellStart"/>
            <w:r w:rsidRPr="00B817EA">
              <w:t>Aust</w:t>
            </w:r>
            <w:proofErr w:type="spellEnd"/>
          </w:p>
        </w:tc>
        <w:tc>
          <w:tcPr>
            <w:tcW w:w="473" w:type="pct"/>
            <w:tcBorders>
              <w:top w:val="single" w:sz="6" w:space="0" w:color="auto"/>
              <w:bottom w:val="single" w:sz="6" w:space="0" w:color="auto"/>
            </w:tcBorders>
          </w:tcPr>
          <w:p w:rsidR="00181B2A" w:rsidRPr="00B817EA" w:rsidRDefault="00181B2A" w:rsidP="00C4575E">
            <w:pPr>
              <w:pStyle w:val="TableColumnHeading"/>
            </w:pPr>
            <w:r w:rsidRPr="00B817EA">
              <w:t>Source</w:t>
            </w:r>
          </w:p>
        </w:tc>
      </w:tr>
      <w:tr w:rsidR="00181B2A" w:rsidRPr="00B817EA" w:rsidTr="00C4575E">
        <w:trPr>
          <w:gridAfter w:val="1"/>
          <w:wAfter w:w="7" w:type="pct"/>
        </w:trPr>
        <w:tc>
          <w:tcPr>
            <w:tcW w:w="4993" w:type="pct"/>
            <w:gridSpan w:val="14"/>
            <w:shd w:val="clear" w:color="auto" w:fill="auto"/>
          </w:tcPr>
          <w:p w:rsidR="00181B2A" w:rsidRPr="001F2D7B" w:rsidRDefault="00181B2A" w:rsidP="00C4575E">
            <w:pPr>
              <w:pStyle w:val="TableColumnHeading"/>
              <w:jc w:val="left"/>
            </w:pPr>
            <w:r w:rsidRPr="001F2D7B">
              <w:t>Preschool service costs (median hourly cost), 2012</w:t>
            </w:r>
            <w:r w:rsidRPr="001F2D7B">
              <w:br/>
            </w:r>
            <w:r w:rsidR="00C36189" w:rsidRPr="001F2D7B">
              <w:rPr>
                <w:i w:val="0"/>
                <w:sz w:val="16"/>
                <w:szCs w:val="16"/>
              </w:rPr>
              <w:t xml:space="preserve">Most recent data for all measures are either not comparable and/or not complete </w:t>
            </w:r>
            <w:r w:rsidRPr="001F2D7B">
              <w:rPr>
                <w:i w:val="0"/>
                <w:sz w:val="16"/>
                <w:szCs w:val="16"/>
              </w:rPr>
              <w:t>(chapter 3)</w:t>
            </w:r>
          </w:p>
        </w:tc>
      </w:tr>
      <w:tr w:rsidR="00181B2A" w:rsidRPr="00B817EA" w:rsidTr="00C4575E">
        <w:trPr>
          <w:gridAfter w:val="1"/>
          <w:wAfter w:w="7" w:type="pct"/>
        </w:trPr>
        <w:tc>
          <w:tcPr>
            <w:tcW w:w="4993" w:type="pct"/>
            <w:gridSpan w:val="14"/>
            <w:shd w:val="clear" w:color="auto" w:fill="auto"/>
          </w:tcPr>
          <w:tbl>
            <w:tblPr>
              <w:tblW w:w="5019" w:type="pct"/>
              <w:tblLayout w:type="fixed"/>
              <w:tblCellMar>
                <w:left w:w="0" w:type="dxa"/>
                <w:right w:w="0" w:type="dxa"/>
              </w:tblCellMar>
              <w:tblLook w:val="0000" w:firstRow="0" w:lastRow="0" w:firstColumn="0" w:lastColumn="0" w:noHBand="0" w:noVBand="0"/>
            </w:tblPr>
            <w:tblGrid>
              <w:gridCol w:w="710"/>
              <w:gridCol w:w="853"/>
              <w:gridCol w:w="711"/>
              <w:gridCol w:w="704"/>
              <w:gridCol w:w="709"/>
              <w:gridCol w:w="709"/>
              <w:gridCol w:w="567"/>
              <w:gridCol w:w="708"/>
              <w:gridCol w:w="709"/>
              <w:gridCol w:w="909"/>
              <w:gridCol w:w="822"/>
              <w:gridCol w:w="713"/>
            </w:tblGrid>
            <w:tr w:rsidR="00181B2A" w:rsidRPr="001F2D7B" w:rsidTr="00C36189">
              <w:tc>
                <w:tcPr>
                  <w:tcW w:w="402" w:type="pct"/>
                  <w:shd w:val="clear" w:color="auto" w:fill="FFFFFF" w:themeFill="background1"/>
                </w:tcPr>
                <w:p w:rsidR="00181B2A" w:rsidRPr="001F2D7B" w:rsidRDefault="00181B2A" w:rsidP="00C4575E">
                  <w:pPr>
                    <w:pStyle w:val="TableBodyText"/>
                    <w:jc w:val="left"/>
                  </w:pPr>
                </w:p>
              </w:tc>
              <w:tc>
                <w:tcPr>
                  <w:tcW w:w="483" w:type="pct"/>
                  <w:shd w:val="clear" w:color="auto" w:fill="FFFFFF" w:themeFill="background1"/>
                </w:tcPr>
                <w:p w:rsidR="00181B2A" w:rsidRPr="001F2D7B" w:rsidRDefault="00181B2A" w:rsidP="00C4575E">
                  <w:pPr>
                    <w:pStyle w:val="TableBodyText"/>
                    <w:jc w:val="left"/>
                  </w:pPr>
                  <w:r w:rsidRPr="001F2D7B">
                    <w:t>$/hour</w:t>
                  </w:r>
                </w:p>
              </w:tc>
              <w:tc>
                <w:tcPr>
                  <w:tcW w:w="403" w:type="pct"/>
                  <w:shd w:val="clear" w:color="auto" w:fill="FFFFFF" w:themeFill="background1"/>
                  <w:vAlign w:val="center"/>
                </w:tcPr>
                <w:p w:rsidR="00181B2A" w:rsidRPr="001F2D7B" w:rsidRDefault="00181B2A" w:rsidP="00C4575E">
                  <w:pPr>
                    <w:pStyle w:val="TableBodyText"/>
                  </w:pPr>
                  <w:r w:rsidRPr="001F2D7B">
                    <w:t>3.47</w:t>
                  </w:r>
                </w:p>
              </w:tc>
              <w:tc>
                <w:tcPr>
                  <w:tcW w:w="399" w:type="pct"/>
                  <w:shd w:val="clear" w:color="auto" w:fill="FFFFFF" w:themeFill="background1"/>
                  <w:vAlign w:val="center"/>
                </w:tcPr>
                <w:p w:rsidR="00181B2A" w:rsidRPr="001F2D7B" w:rsidRDefault="00181B2A" w:rsidP="00C4575E">
                  <w:pPr>
                    <w:pStyle w:val="TableBodyText"/>
                  </w:pPr>
                  <w:r w:rsidRPr="001F2D7B">
                    <w:t>1.95</w:t>
                  </w:r>
                </w:p>
              </w:tc>
              <w:tc>
                <w:tcPr>
                  <w:tcW w:w="402" w:type="pct"/>
                  <w:shd w:val="clear" w:color="auto" w:fill="FFFFFF" w:themeFill="background1"/>
                  <w:vAlign w:val="center"/>
                </w:tcPr>
                <w:p w:rsidR="00181B2A" w:rsidRPr="001F2D7B" w:rsidRDefault="009A1BD4" w:rsidP="00C4575E">
                  <w:pPr>
                    <w:pStyle w:val="TableBodyText"/>
                  </w:pPr>
                  <w:proofErr w:type="spellStart"/>
                  <w:r w:rsidRPr="001F2D7B">
                    <w:t>np</w:t>
                  </w:r>
                  <w:proofErr w:type="spellEnd"/>
                </w:p>
              </w:tc>
              <w:tc>
                <w:tcPr>
                  <w:tcW w:w="402" w:type="pct"/>
                  <w:shd w:val="clear" w:color="auto" w:fill="FFFFFF" w:themeFill="background1"/>
                  <w:vAlign w:val="center"/>
                </w:tcPr>
                <w:p w:rsidR="00181B2A" w:rsidRPr="001F2D7B" w:rsidRDefault="00181B2A" w:rsidP="00C4575E">
                  <w:pPr>
                    <w:pStyle w:val="TableBodyText"/>
                  </w:pPr>
                  <w:r w:rsidRPr="001F2D7B">
                    <w:t>–</w:t>
                  </w:r>
                </w:p>
              </w:tc>
              <w:tc>
                <w:tcPr>
                  <w:tcW w:w="321" w:type="pct"/>
                  <w:shd w:val="clear" w:color="auto" w:fill="FFFFFF" w:themeFill="background1"/>
                  <w:vAlign w:val="center"/>
                </w:tcPr>
                <w:p w:rsidR="00181B2A" w:rsidRPr="001F2D7B" w:rsidRDefault="00181B2A" w:rsidP="00C4575E">
                  <w:pPr>
                    <w:pStyle w:val="TableBodyText"/>
                  </w:pPr>
                  <w:r w:rsidRPr="001F2D7B">
                    <w:t>–</w:t>
                  </w:r>
                </w:p>
              </w:tc>
              <w:tc>
                <w:tcPr>
                  <w:tcW w:w="401" w:type="pct"/>
                  <w:shd w:val="clear" w:color="auto" w:fill="FFFFFF" w:themeFill="background1"/>
                  <w:vAlign w:val="center"/>
                </w:tcPr>
                <w:p w:rsidR="00181B2A" w:rsidRPr="001F2D7B" w:rsidRDefault="00181B2A" w:rsidP="00C4575E">
                  <w:pPr>
                    <w:pStyle w:val="TableBodyText"/>
                  </w:pPr>
                  <w:r w:rsidRPr="001F2D7B">
                    <w:t>–</w:t>
                  </w:r>
                </w:p>
              </w:tc>
              <w:tc>
                <w:tcPr>
                  <w:tcW w:w="402" w:type="pct"/>
                  <w:shd w:val="clear" w:color="auto" w:fill="FFFFFF" w:themeFill="background1"/>
                  <w:vAlign w:val="center"/>
                </w:tcPr>
                <w:p w:rsidR="00181B2A" w:rsidRPr="001F2D7B" w:rsidRDefault="00181B2A" w:rsidP="00C4575E">
                  <w:pPr>
                    <w:pStyle w:val="TableBodyText"/>
                  </w:pPr>
                  <w:r w:rsidRPr="001F2D7B">
                    <w:t>–</w:t>
                  </w:r>
                </w:p>
              </w:tc>
              <w:tc>
                <w:tcPr>
                  <w:tcW w:w="515" w:type="pct"/>
                  <w:shd w:val="clear" w:color="auto" w:fill="FFFFFF" w:themeFill="background1"/>
                  <w:vAlign w:val="center"/>
                </w:tcPr>
                <w:p w:rsidR="00181B2A" w:rsidRPr="001F2D7B" w:rsidRDefault="00181B2A" w:rsidP="00C4575E">
                  <w:pPr>
                    <w:pStyle w:val="TableBodyText"/>
                  </w:pPr>
                  <w:r w:rsidRPr="001F2D7B">
                    <w:t>–</w:t>
                  </w:r>
                </w:p>
              </w:tc>
              <w:tc>
                <w:tcPr>
                  <w:tcW w:w="466" w:type="pct"/>
                  <w:shd w:val="clear" w:color="auto" w:fill="auto"/>
                  <w:vAlign w:val="center"/>
                </w:tcPr>
                <w:p w:rsidR="00181B2A" w:rsidRPr="001F2D7B" w:rsidRDefault="00181B2A" w:rsidP="00C4575E">
                  <w:pPr>
                    <w:pStyle w:val="TableBodyText"/>
                  </w:pPr>
                  <w:r w:rsidRPr="001F2D7B">
                    <w:t>1.82</w:t>
                  </w:r>
                </w:p>
              </w:tc>
              <w:tc>
                <w:tcPr>
                  <w:tcW w:w="404" w:type="pct"/>
                  <w:shd w:val="clear" w:color="auto" w:fill="FFFFFF" w:themeFill="background1"/>
                </w:tcPr>
                <w:p w:rsidR="00181B2A" w:rsidRPr="001F2D7B" w:rsidRDefault="006B0A44" w:rsidP="00FF7960">
                  <w:pPr>
                    <w:pStyle w:val="TableBodyText"/>
                  </w:pPr>
                  <w:r w:rsidRPr="001F2D7B">
                    <w:t>3A.3</w:t>
                  </w:r>
                  <w:r w:rsidR="00FF7960" w:rsidRPr="001F2D7B">
                    <w:t>3</w:t>
                  </w:r>
                </w:p>
              </w:tc>
            </w:tr>
          </w:tbl>
          <w:p w:rsidR="00181B2A" w:rsidRPr="001F2D7B" w:rsidRDefault="00181B2A" w:rsidP="00C4575E">
            <w:pPr>
              <w:pStyle w:val="TableColumnHeading"/>
              <w:jc w:val="left"/>
            </w:pPr>
            <w:r w:rsidRPr="001F2D7B">
              <w:t>Staff quality in early childhood education and care</w:t>
            </w:r>
            <w:r w:rsidRPr="001F2D7B">
              <w:br/>
            </w:r>
            <w:r w:rsidRPr="001F2D7B">
              <w:rPr>
                <w:i w:val="0"/>
                <w:sz w:val="16"/>
                <w:szCs w:val="16"/>
              </w:rPr>
              <w:t>Most recent data for at least one measure are comparable and complete (chapter 3)</w:t>
            </w:r>
          </w:p>
        </w:tc>
      </w:tr>
      <w:tr w:rsidR="00181B2A" w:rsidRPr="00B817EA" w:rsidTr="00C4575E">
        <w:trPr>
          <w:gridAfter w:val="1"/>
          <w:wAfter w:w="7" w:type="pct"/>
        </w:trPr>
        <w:tc>
          <w:tcPr>
            <w:tcW w:w="4993" w:type="pct"/>
            <w:gridSpan w:val="14"/>
            <w:shd w:val="clear" w:color="auto" w:fill="FFFFFF" w:themeFill="background1"/>
          </w:tcPr>
          <w:p w:rsidR="00181B2A" w:rsidRPr="00B817EA" w:rsidRDefault="00181B2A" w:rsidP="00C4575E">
            <w:pPr>
              <w:pStyle w:val="TableBodyText"/>
              <w:jc w:val="left"/>
            </w:pPr>
            <w:r w:rsidRPr="00675861">
              <w:t>Paid primary contact staff employed by Australian Government approved child care services with a relevant formal qualification (at or above Certificate level III),</w:t>
            </w:r>
            <w:r w:rsidRPr="003F6398">
              <w:rPr>
                <w:shd w:val="clear" w:color="auto" w:fill="FFFFFF" w:themeFill="background1"/>
              </w:rPr>
              <w:t xml:space="preserve"> 201</w:t>
            </w:r>
            <w:r>
              <w:rPr>
                <w:shd w:val="clear" w:color="auto" w:fill="FFFFFF" w:themeFill="background1"/>
              </w:rPr>
              <w:t>3</w:t>
            </w:r>
          </w:p>
        </w:tc>
      </w:tr>
      <w:tr w:rsidR="00181B2A" w:rsidRPr="00B817EA" w:rsidTr="00C4575E">
        <w:trPr>
          <w:gridAfter w:val="1"/>
          <w:wAfter w:w="7" w:type="pct"/>
        </w:trPr>
        <w:tc>
          <w:tcPr>
            <w:tcW w:w="725" w:type="pct"/>
            <w:gridSpan w:val="2"/>
            <w:shd w:val="clear" w:color="auto" w:fill="auto"/>
          </w:tcPr>
          <w:p w:rsidR="00181B2A" w:rsidRPr="00B817EA" w:rsidRDefault="00181B2A" w:rsidP="00C4575E">
            <w:pPr>
              <w:pStyle w:val="TableBodyText"/>
              <w:jc w:val="left"/>
            </w:pPr>
          </w:p>
        </w:tc>
        <w:tc>
          <w:tcPr>
            <w:tcW w:w="161" w:type="pct"/>
            <w:shd w:val="clear" w:color="auto" w:fill="auto"/>
          </w:tcPr>
          <w:p w:rsidR="00181B2A" w:rsidRPr="00B817EA" w:rsidRDefault="00181B2A" w:rsidP="00C4575E">
            <w:pPr>
              <w:pStyle w:val="TableBodyText"/>
              <w:jc w:val="left"/>
            </w:pPr>
            <w:r>
              <w:t>%</w:t>
            </w:r>
          </w:p>
        </w:tc>
        <w:tc>
          <w:tcPr>
            <w:tcW w:w="403" w:type="pct"/>
            <w:gridSpan w:val="2"/>
            <w:shd w:val="clear" w:color="auto" w:fill="auto"/>
          </w:tcPr>
          <w:p w:rsidR="00181B2A" w:rsidRPr="001532AE" w:rsidRDefault="00181B2A" w:rsidP="00C4575E">
            <w:pPr>
              <w:pStyle w:val="TableBodyText"/>
            </w:pPr>
            <w:r>
              <w:t>73.5</w:t>
            </w:r>
          </w:p>
        </w:tc>
        <w:tc>
          <w:tcPr>
            <w:tcW w:w="377" w:type="pct"/>
            <w:shd w:val="clear" w:color="auto" w:fill="auto"/>
          </w:tcPr>
          <w:p w:rsidR="00181B2A" w:rsidRPr="001532AE" w:rsidRDefault="00181B2A" w:rsidP="00C4575E">
            <w:pPr>
              <w:pStyle w:val="TableBodyText"/>
            </w:pPr>
            <w:r>
              <w:t>79.8</w:t>
            </w:r>
          </w:p>
        </w:tc>
        <w:tc>
          <w:tcPr>
            <w:tcW w:w="393" w:type="pct"/>
            <w:shd w:val="clear" w:color="auto" w:fill="auto"/>
          </w:tcPr>
          <w:p w:rsidR="00181B2A" w:rsidRPr="001532AE" w:rsidRDefault="00181B2A" w:rsidP="00C4575E">
            <w:pPr>
              <w:pStyle w:val="TableBodyText"/>
            </w:pPr>
            <w:r>
              <w:t>76.5</w:t>
            </w:r>
          </w:p>
        </w:tc>
        <w:tc>
          <w:tcPr>
            <w:tcW w:w="393" w:type="pct"/>
            <w:shd w:val="clear" w:color="auto" w:fill="auto"/>
          </w:tcPr>
          <w:p w:rsidR="00181B2A" w:rsidRPr="001532AE" w:rsidRDefault="00181B2A" w:rsidP="00C4575E">
            <w:pPr>
              <w:pStyle w:val="TableBodyText"/>
            </w:pPr>
            <w:r>
              <w:t>68.9</w:t>
            </w:r>
          </w:p>
        </w:tc>
        <w:tc>
          <w:tcPr>
            <w:tcW w:w="393" w:type="pct"/>
            <w:shd w:val="clear" w:color="auto" w:fill="auto"/>
          </w:tcPr>
          <w:p w:rsidR="00181B2A" w:rsidRPr="001532AE" w:rsidRDefault="00181B2A" w:rsidP="00C4575E">
            <w:pPr>
              <w:pStyle w:val="TableBodyText"/>
            </w:pPr>
            <w:r>
              <w:t>70.1</w:t>
            </w:r>
          </w:p>
        </w:tc>
        <w:tc>
          <w:tcPr>
            <w:tcW w:w="393" w:type="pct"/>
            <w:shd w:val="clear" w:color="auto" w:fill="auto"/>
          </w:tcPr>
          <w:p w:rsidR="00181B2A" w:rsidRPr="001532AE" w:rsidRDefault="00181B2A" w:rsidP="00C4575E">
            <w:pPr>
              <w:pStyle w:val="TableBodyText"/>
            </w:pPr>
            <w:r>
              <w:t>75.4</w:t>
            </w:r>
          </w:p>
        </w:tc>
        <w:tc>
          <w:tcPr>
            <w:tcW w:w="393" w:type="pct"/>
            <w:shd w:val="clear" w:color="auto" w:fill="auto"/>
          </w:tcPr>
          <w:p w:rsidR="00181B2A" w:rsidRPr="001532AE" w:rsidRDefault="00181B2A" w:rsidP="00C4575E">
            <w:pPr>
              <w:pStyle w:val="TableBodyText"/>
            </w:pPr>
            <w:r>
              <w:t>50.6</w:t>
            </w:r>
          </w:p>
        </w:tc>
        <w:tc>
          <w:tcPr>
            <w:tcW w:w="497" w:type="pct"/>
            <w:shd w:val="clear" w:color="auto" w:fill="auto"/>
          </w:tcPr>
          <w:p w:rsidR="00181B2A" w:rsidRPr="001532AE" w:rsidRDefault="00181B2A" w:rsidP="00C4575E">
            <w:pPr>
              <w:pStyle w:val="TableBodyText"/>
            </w:pPr>
            <w:r>
              <w:t>53.2</w:t>
            </w:r>
          </w:p>
        </w:tc>
        <w:tc>
          <w:tcPr>
            <w:tcW w:w="392" w:type="pct"/>
            <w:shd w:val="clear" w:color="auto" w:fill="auto"/>
          </w:tcPr>
          <w:p w:rsidR="00181B2A" w:rsidRPr="001532AE" w:rsidRDefault="00181B2A" w:rsidP="00C4575E">
            <w:pPr>
              <w:pStyle w:val="TableBodyText"/>
            </w:pPr>
            <w:r>
              <w:t>74.1</w:t>
            </w:r>
          </w:p>
        </w:tc>
        <w:tc>
          <w:tcPr>
            <w:tcW w:w="473" w:type="pct"/>
          </w:tcPr>
          <w:p w:rsidR="00181B2A" w:rsidRPr="00B817EA" w:rsidRDefault="00181B2A" w:rsidP="00FF7960">
            <w:pPr>
              <w:pStyle w:val="TableBodyText"/>
            </w:pPr>
            <w:r>
              <w:t>3A.</w:t>
            </w:r>
            <w:r w:rsidRPr="00C36189">
              <w:t>3</w:t>
            </w:r>
            <w:r w:rsidR="00FF7960" w:rsidRPr="00C36189">
              <w:t>6</w:t>
            </w:r>
          </w:p>
        </w:tc>
      </w:tr>
      <w:tr w:rsidR="00181B2A" w:rsidRPr="00B817EA" w:rsidTr="00C4575E">
        <w:trPr>
          <w:gridAfter w:val="1"/>
          <w:wAfter w:w="7" w:type="pct"/>
        </w:trPr>
        <w:tc>
          <w:tcPr>
            <w:tcW w:w="4993" w:type="pct"/>
            <w:gridSpan w:val="14"/>
            <w:shd w:val="clear" w:color="auto" w:fill="auto"/>
          </w:tcPr>
          <w:tbl>
            <w:tblPr>
              <w:tblW w:w="5008" w:type="pct"/>
              <w:tblLayout w:type="fixed"/>
              <w:tblCellMar>
                <w:left w:w="0" w:type="dxa"/>
                <w:right w:w="0" w:type="dxa"/>
              </w:tblCellMar>
              <w:tblLook w:val="0000" w:firstRow="0" w:lastRow="0" w:firstColumn="0" w:lastColumn="0" w:noHBand="0" w:noVBand="0"/>
            </w:tblPr>
            <w:tblGrid>
              <w:gridCol w:w="1277"/>
              <w:gridCol w:w="283"/>
              <w:gridCol w:w="710"/>
              <w:gridCol w:w="665"/>
              <w:gridCol w:w="693"/>
              <w:gridCol w:w="693"/>
              <w:gridCol w:w="693"/>
              <w:gridCol w:w="693"/>
              <w:gridCol w:w="694"/>
              <w:gridCol w:w="877"/>
              <w:gridCol w:w="692"/>
              <w:gridCol w:w="835"/>
            </w:tblGrid>
            <w:tr w:rsidR="00181B2A" w:rsidTr="00C4575E">
              <w:tc>
                <w:tcPr>
                  <w:tcW w:w="4993" w:type="pct"/>
                  <w:gridSpan w:val="12"/>
                  <w:shd w:val="clear" w:color="auto" w:fill="auto"/>
                </w:tcPr>
                <w:p w:rsidR="00181B2A" w:rsidRDefault="00181B2A" w:rsidP="00C4575E">
                  <w:pPr>
                    <w:pStyle w:val="TableColumnHeading"/>
                    <w:ind w:left="0"/>
                    <w:jc w:val="left"/>
                  </w:pPr>
                  <w:r>
                    <w:t>Hospital separations for external causes of injury (children aged 0–4 years by place of occurrence), 2011-12</w:t>
                  </w:r>
                  <w:r>
                    <w:br/>
                  </w:r>
                  <w:r w:rsidRPr="00D65987">
                    <w:rPr>
                      <w:i w:val="0"/>
                      <w:sz w:val="16"/>
                      <w:szCs w:val="16"/>
                    </w:rPr>
                    <w:t>Most recent data for all measures are comparable and complete (chapter 3)</w:t>
                  </w:r>
                </w:p>
              </w:tc>
            </w:tr>
            <w:tr w:rsidR="00181B2A" w:rsidRPr="00B817EA" w:rsidTr="00C4575E">
              <w:tc>
                <w:tcPr>
                  <w:tcW w:w="725" w:type="pct"/>
                  <w:shd w:val="clear" w:color="auto" w:fill="auto"/>
                </w:tcPr>
                <w:p w:rsidR="00181B2A" w:rsidRPr="00B817EA" w:rsidRDefault="00181B2A" w:rsidP="00C4575E">
                  <w:pPr>
                    <w:pStyle w:val="TableBodyText"/>
                    <w:jc w:val="left"/>
                  </w:pPr>
                  <w:r>
                    <w:t>Children’s service/ school</w:t>
                  </w:r>
                </w:p>
              </w:tc>
              <w:tc>
                <w:tcPr>
                  <w:tcW w:w="161" w:type="pct"/>
                  <w:shd w:val="clear" w:color="auto" w:fill="auto"/>
                </w:tcPr>
                <w:p w:rsidR="00181B2A" w:rsidRDefault="00181B2A" w:rsidP="00C4575E">
                  <w:pPr>
                    <w:pStyle w:val="TableBodyText"/>
                    <w:jc w:val="left"/>
                  </w:pPr>
                  <w:r>
                    <w:t>%</w:t>
                  </w:r>
                </w:p>
              </w:tc>
              <w:tc>
                <w:tcPr>
                  <w:tcW w:w="403" w:type="pct"/>
                  <w:shd w:val="clear" w:color="auto" w:fill="auto"/>
                  <w:vAlign w:val="center"/>
                </w:tcPr>
                <w:p w:rsidR="00181B2A" w:rsidRDefault="00181B2A" w:rsidP="00C4575E">
                  <w:pPr>
                    <w:pStyle w:val="TableBodyText"/>
                  </w:pPr>
                  <w:r>
                    <w:t>2.5</w:t>
                  </w:r>
                </w:p>
              </w:tc>
              <w:tc>
                <w:tcPr>
                  <w:tcW w:w="377" w:type="pct"/>
                  <w:shd w:val="clear" w:color="auto" w:fill="auto"/>
                  <w:vAlign w:val="center"/>
                </w:tcPr>
                <w:p w:rsidR="00181B2A" w:rsidRDefault="00181B2A" w:rsidP="00C4575E">
                  <w:pPr>
                    <w:pStyle w:val="TableBodyText"/>
                  </w:pPr>
                  <w:r>
                    <w:t>2.6</w:t>
                  </w:r>
                </w:p>
              </w:tc>
              <w:tc>
                <w:tcPr>
                  <w:tcW w:w="393" w:type="pct"/>
                  <w:shd w:val="clear" w:color="auto" w:fill="auto"/>
                  <w:vAlign w:val="center"/>
                </w:tcPr>
                <w:p w:rsidR="00181B2A" w:rsidRDefault="00181B2A" w:rsidP="00C4575E">
                  <w:pPr>
                    <w:pStyle w:val="TableBodyText"/>
                  </w:pPr>
                  <w:r>
                    <w:t>2.7</w:t>
                  </w:r>
                </w:p>
              </w:tc>
              <w:tc>
                <w:tcPr>
                  <w:tcW w:w="393" w:type="pct"/>
                  <w:shd w:val="clear" w:color="auto" w:fill="auto"/>
                  <w:vAlign w:val="center"/>
                </w:tcPr>
                <w:p w:rsidR="00181B2A" w:rsidRDefault="00181B2A" w:rsidP="00C4575E">
                  <w:pPr>
                    <w:pStyle w:val="TableBodyText"/>
                  </w:pPr>
                  <w:r>
                    <w:t>2.2</w:t>
                  </w:r>
                </w:p>
              </w:tc>
              <w:tc>
                <w:tcPr>
                  <w:tcW w:w="393" w:type="pct"/>
                  <w:shd w:val="clear" w:color="auto" w:fill="auto"/>
                  <w:vAlign w:val="center"/>
                </w:tcPr>
                <w:p w:rsidR="00181B2A" w:rsidRDefault="00181B2A" w:rsidP="00C4575E">
                  <w:pPr>
                    <w:pStyle w:val="TableBodyText"/>
                  </w:pPr>
                  <w:r>
                    <w:t>2.0</w:t>
                  </w:r>
                </w:p>
              </w:tc>
              <w:tc>
                <w:tcPr>
                  <w:tcW w:w="393" w:type="pct"/>
                  <w:shd w:val="clear" w:color="auto" w:fill="auto"/>
                  <w:vAlign w:val="center"/>
                </w:tcPr>
                <w:p w:rsidR="00181B2A" w:rsidRDefault="00181B2A" w:rsidP="00C4575E">
                  <w:pPr>
                    <w:pStyle w:val="TableBodyText"/>
                  </w:pPr>
                  <w:r>
                    <w:t>3.8</w:t>
                  </w:r>
                </w:p>
              </w:tc>
              <w:tc>
                <w:tcPr>
                  <w:tcW w:w="393" w:type="pct"/>
                  <w:shd w:val="clear" w:color="auto" w:fill="auto"/>
                  <w:vAlign w:val="center"/>
                </w:tcPr>
                <w:p w:rsidR="00181B2A" w:rsidRDefault="00181B2A" w:rsidP="00C4575E">
                  <w:pPr>
                    <w:pStyle w:val="TableBodyText"/>
                  </w:pPr>
                  <w:r>
                    <w:t>2.5</w:t>
                  </w:r>
                </w:p>
              </w:tc>
              <w:tc>
                <w:tcPr>
                  <w:tcW w:w="497" w:type="pct"/>
                  <w:shd w:val="clear" w:color="auto" w:fill="auto"/>
                  <w:vAlign w:val="center"/>
                </w:tcPr>
                <w:p w:rsidR="00181B2A" w:rsidRDefault="00181B2A" w:rsidP="00C4575E">
                  <w:pPr>
                    <w:pStyle w:val="TableBodyText"/>
                  </w:pPr>
                  <w:r>
                    <w:t>1.5</w:t>
                  </w:r>
                </w:p>
              </w:tc>
              <w:tc>
                <w:tcPr>
                  <w:tcW w:w="392" w:type="pct"/>
                  <w:vAlign w:val="center"/>
                </w:tcPr>
                <w:p w:rsidR="00181B2A" w:rsidRDefault="00181B2A" w:rsidP="00C4575E">
                  <w:pPr>
                    <w:pStyle w:val="TableBodyText"/>
                  </w:pPr>
                  <w:r>
                    <w:t>2.5</w:t>
                  </w:r>
                </w:p>
              </w:tc>
              <w:tc>
                <w:tcPr>
                  <w:tcW w:w="473" w:type="pct"/>
                </w:tcPr>
                <w:p w:rsidR="00181B2A" w:rsidRPr="00B817EA" w:rsidRDefault="00181B2A" w:rsidP="00FF7960">
                  <w:pPr>
                    <w:pStyle w:val="TableBodyText"/>
                    <w:spacing w:before="240"/>
                  </w:pPr>
                  <w:r>
                    <w:t>3A.</w:t>
                  </w:r>
                  <w:r w:rsidR="00FF7960" w:rsidRPr="00C36189">
                    <w:t>49</w:t>
                  </w:r>
                </w:p>
              </w:tc>
            </w:tr>
            <w:tr w:rsidR="00181B2A" w:rsidRPr="00B817EA" w:rsidTr="00C4575E">
              <w:tc>
                <w:tcPr>
                  <w:tcW w:w="725" w:type="pct"/>
                  <w:shd w:val="clear" w:color="auto" w:fill="auto"/>
                </w:tcPr>
                <w:p w:rsidR="00181B2A" w:rsidRPr="00B817EA" w:rsidRDefault="00181B2A" w:rsidP="00C4575E">
                  <w:pPr>
                    <w:pStyle w:val="TableBodyText"/>
                    <w:jc w:val="left"/>
                  </w:pPr>
                  <w:r>
                    <w:t>Home</w:t>
                  </w:r>
                </w:p>
              </w:tc>
              <w:tc>
                <w:tcPr>
                  <w:tcW w:w="161" w:type="pct"/>
                  <w:shd w:val="clear" w:color="auto" w:fill="auto"/>
                </w:tcPr>
                <w:p w:rsidR="00181B2A" w:rsidRDefault="00181B2A" w:rsidP="00C4575E">
                  <w:pPr>
                    <w:pStyle w:val="TableBodyText"/>
                    <w:jc w:val="left"/>
                  </w:pPr>
                  <w:r>
                    <w:t>%</w:t>
                  </w:r>
                </w:p>
              </w:tc>
              <w:tc>
                <w:tcPr>
                  <w:tcW w:w="403" w:type="pct"/>
                  <w:shd w:val="clear" w:color="auto" w:fill="auto"/>
                  <w:vAlign w:val="center"/>
                </w:tcPr>
                <w:p w:rsidR="00181B2A" w:rsidRDefault="00181B2A" w:rsidP="00C4575E">
                  <w:pPr>
                    <w:pStyle w:val="TableBodyText"/>
                  </w:pPr>
                  <w:r>
                    <w:t>31.9</w:t>
                  </w:r>
                </w:p>
              </w:tc>
              <w:tc>
                <w:tcPr>
                  <w:tcW w:w="377" w:type="pct"/>
                  <w:shd w:val="clear" w:color="auto" w:fill="auto"/>
                  <w:vAlign w:val="center"/>
                </w:tcPr>
                <w:p w:rsidR="00181B2A" w:rsidRDefault="00181B2A" w:rsidP="00C4575E">
                  <w:pPr>
                    <w:pStyle w:val="TableBodyText"/>
                  </w:pPr>
                  <w:r>
                    <w:t>25.4</w:t>
                  </w:r>
                </w:p>
              </w:tc>
              <w:tc>
                <w:tcPr>
                  <w:tcW w:w="393" w:type="pct"/>
                  <w:shd w:val="clear" w:color="auto" w:fill="auto"/>
                  <w:vAlign w:val="center"/>
                </w:tcPr>
                <w:p w:rsidR="00181B2A" w:rsidRDefault="00181B2A" w:rsidP="00C4575E">
                  <w:pPr>
                    <w:pStyle w:val="TableBodyText"/>
                  </w:pPr>
                  <w:r>
                    <w:t>39.5</w:t>
                  </w:r>
                </w:p>
              </w:tc>
              <w:tc>
                <w:tcPr>
                  <w:tcW w:w="393" w:type="pct"/>
                  <w:shd w:val="clear" w:color="auto" w:fill="auto"/>
                  <w:vAlign w:val="center"/>
                </w:tcPr>
                <w:p w:rsidR="00181B2A" w:rsidRDefault="00181B2A" w:rsidP="00C4575E">
                  <w:pPr>
                    <w:pStyle w:val="TableBodyText"/>
                  </w:pPr>
                  <w:r>
                    <w:t>33.0</w:t>
                  </w:r>
                </w:p>
              </w:tc>
              <w:tc>
                <w:tcPr>
                  <w:tcW w:w="393" w:type="pct"/>
                  <w:shd w:val="clear" w:color="auto" w:fill="auto"/>
                  <w:vAlign w:val="center"/>
                </w:tcPr>
                <w:p w:rsidR="00181B2A" w:rsidRDefault="00181B2A" w:rsidP="00C4575E">
                  <w:pPr>
                    <w:pStyle w:val="TableBodyText"/>
                  </w:pPr>
                  <w:r>
                    <w:t>44.6</w:t>
                  </w:r>
                </w:p>
              </w:tc>
              <w:tc>
                <w:tcPr>
                  <w:tcW w:w="393" w:type="pct"/>
                  <w:shd w:val="clear" w:color="auto" w:fill="auto"/>
                  <w:vAlign w:val="center"/>
                </w:tcPr>
                <w:p w:rsidR="00181B2A" w:rsidRDefault="00181B2A" w:rsidP="00C4575E">
                  <w:pPr>
                    <w:pStyle w:val="TableBodyText"/>
                  </w:pPr>
                  <w:r>
                    <w:t>35.5</w:t>
                  </w:r>
                </w:p>
              </w:tc>
              <w:tc>
                <w:tcPr>
                  <w:tcW w:w="393" w:type="pct"/>
                  <w:shd w:val="clear" w:color="auto" w:fill="auto"/>
                  <w:vAlign w:val="center"/>
                </w:tcPr>
                <w:p w:rsidR="00181B2A" w:rsidRDefault="00181B2A" w:rsidP="00C4575E">
                  <w:pPr>
                    <w:pStyle w:val="TableBodyText"/>
                  </w:pPr>
                  <w:r>
                    <w:t>29.2</w:t>
                  </w:r>
                </w:p>
              </w:tc>
              <w:tc>
                <w:tcPr>
                  <w:tcW w:w="497" w:type="pct"/>
                  <w:shd w:val="clear" w:color="auto" w:fill="auto"/>
                  <w:vAlign w:val="center"/>
                </w:tcPr>
                <w:p w:rsidR="00181B2A" w:rsidRDefault="00181B2A" w:rsidP="00C4575E">
                  <w:pPr>
                    <w:pStyle w:val="TableBodyText"/>
                  </w:pPr>
                  <w:r>
                    <w:t>21.1</w:t>
                  </w:r>
                </w:p>
              </w:tc>
              <w:tc>
                <w:tcPr>
                  <w:tcW w:w="392" w:type="pct"/>
                  <w:vAlign w:val="center"/>
                </w:tcPr>
                <w:p w:rsidR="00181B2A" w:rsidRDefault="00181B2A" w:rsidP="00C4575E">
                  <w:pPr>
                    <w:pStyle w:val="TableBodyText"/>
                  </w:pPr>
                  <w:r>
                    <w:t>33.1</w:t>
                  </w:r>
                </w:p>
              </w:tc>
              <w:tc>
                <w:tcPr>
                  <w:tcW w:w="473" w:type="pct"/>
                </w:tcPr>
                <w:p w:rsidR="00181B2A" w:rsidRPr="00B817EA" w:rsidRDefault="00181B2A" w:rsidP="00C4575E">
                  <w:pPr>
                    <w:pStyle w:val="TableBodyText"/>
                  </w:pPr>
                </w:p>
              </w:tc>
            </w:tr>
            <w:tr w:rsidR="00181B2A" w:rsidRPr="00B817EA" w:rsidTr="00C4575E">
              <w:tc>
                <w:tcPr>
                  <w:tcW w:w="725" w:type="pct"/>
                  <w:shd w:val="clear" w:color="auto" w:fill="auto"/>
                </w:tcPr>
                <w:p w:rsidR="00181B2A" w:rsidRPr="00B817EA" w:rsidRDefault="00181B2A" w:rsidP="00C4575E">
                  <w:pPr>
                    <w:pStyle w:val="TableBodyText"/>
                    <w:jc w:val="left"/>
                  </w:pPr>
                  <w:r>
                    <w:t>Other place</w:t>
                  </w:r>
                </w:p>
              </w:tc>
              <w:tc>
                <w:tcPr>
                  <w:tcW w:w="161" w:type="pct"/>
                  <w:shd w:val="clear" w:color="auto" w:fill="auto"/>
                </w:tcPr>
                <w:p w:rsidR="00181B2A" w:rsidRDefault="00181B2A" w:rsidP="00C4575E">
                  <w:pPr>
                    <w:pStyle w:val="TableBodyText"/>
                    <w:jc w:val="left"/>
                  </w:pPr>
                  <w:r>
                    <w:t>%</w:t>
                  </w:r>
                </w:p>
              </w:tc>
              <w:tc>
                <w:tcPr>
                  <w:tcW w:w="403" w:type="pct"/>
                  <w:shd w:val="clear" w:color="auto" w:fill="auto"/>
                  <w:vAlign w:val="center"/>
                </w:tcPr>
                <w:p w:rsidR="00181B2A" w:rsidRDefault="00181B2A" w:rsidP="00C4575E">
                  <w:pPr>
                    <w:pStyle w:val="TableBodyText"/>
                  </w:pPr>
                  <w:r>
                    <w:t>28.5</w:t>
                  </w:r>
                </w:p>
              </w:tc>
              <w:tc>
                <w:tcPr>
                  <w:tcW w:w="377" w:type="pct"/>
                  <w:shd w:val="clear" w:color="auto" w:fill="auto"/>
                  <w:vAlign w:val="center"/>
                </w:tcPr>
                <w:p w:rsidR="00181B2A" w:rsidRDefault="00181B2A" w:rsidP="00C4575E">
                  <w:pPr>
                    <w:pStyle w:val="TableBodyText"/>
                  </w:pPr>
                  <w:r>
                    <w:t>34.3</w:t>
                  </w:r>
                </w:p>
              </w:tc>
              <w:tc>
                <w:tcPr>
                  <w:tcW w:w="393" w:type="pct"/>
                  <w:shd w:val="clear" w:color="auto" w:fill="auto"/>
                  <w:vAlign w:val="center"/>
                </w:tcPr>
                <w:p w:rsidR="00181B2A" w:rsidRDefault="00181B2A" w:rsidP="00C4575E">
                  <w:pPr>
                    <w:pStyle w:val="TableBodyText"/>
                  </w:pPr>
                  <w:r>
                    <w:t>25.1</w:t>
                  </w:r>
                </w:p>
              </w:tc>
              <w:tc>
                <w:tcPr>
                  <w:tcW w:w="393" w:type="pct"/>
                  <w:shd w:val="clear" w:color="auto" w:fill="auto"/>
                  <w:vAlign w:val="center"/>
                </w:tcPr>
                <w:p w:rsidR="00181B2A" w:rsidRDefault="00181B2A" w:rsidP="00C4575E">
                  <w:pPr>
                    <w:pStyle w:val="TableBodyText"/>
                  </w:pPr>
                  <w:r>
                    <w:t>24.8</w:t>
                  </w:r>
                </w:p>
              </w:tc>
              <w:tc>
                <w:tcPr>
                  <w:tcW w:w="393" w:type="pct"/>
                  <w:shd w:val="clear" w:color="auto" w:fill="auto"/>
                  <w:vAlign w:val="center"/>
                </w:tcPr>
                <w:p w:rsidR="00181B2A" w:rsidRDefault="00181B2A" w:rsidP="00C4575E">
                  <w:pPr>
                    <w:pStyle w:val="TableBodyText"/>
                  </w:pPr>
                  <w:r>
                    <w:t>29.2</w:t>
                  </w:r>
                </w:p>
              </w:tc>
              <w:tc>
                <w:tcPr>
                  <w:tcW w:w="393" w:type="pct"/>
                  <w:shd w:val="clear" w:color="auto" w:fill="auto"/>
                  <w:vAlign w:val="center"/>
                </w:tcPr>
                <w:p w:rsidR="00181B2A" w:rsidRDefault="00181B2A" w:rsidP="00C4575E">
                  <w:pPr>
                    <w:pStyle w:val="TableBodyText"/>
                  </w:pPr>
                  <w:r>
                    <w:t>29.1</w:t>
                  </w:r>
                </w:p>
              </w:tc>
              <w:tc>
                <w:tcPr>
                  <w:tcW w:w="393" w:type="pct"/>
                  <w:shd w:val="clear" w:color="auto" w:fill="auto"/>
                  <w:vAlign w:val="center"/>
                </w:tcPr>
                <w:p w:rsidR="00181B2A" w:rsidRDefault="00181B2A" w:rsidP="00C4575E">
                  <w:pPr>
                    <w:pStyle w:val="TableBodyText"/>
                  </w:pPr>
                  <w:r>
                    <w:t>25.4</w:t>
                  </w:r>
                </w:p>
              </w:tc>
              <w:tc>
                <w:tcPr>
                  <w:tcW w:w="497" w:type="pct"/>
                  <w:shd w:val="clear" w:color="auto" w:fill="auto"/>
                  <w:vAlign w:val="center"/>
                </w:tcPr>
                <w:p w:rsidR="00181B2A" w:rsidRDefault="00181B2A" w:rsidP="00C4575E">
                  <w:pPr>
                    <w:pStyle w:val="TableBodyText"/>
                  </w:pPr>
                  <w:r>
                    <w:t>22.8</w:t>
                  </w:r>
                </w:p>
              </w:tc>
              <w:tc>
                <w:tcPr>
                  <w:tcW w:w="392" w:type="pct"/>
                  <w:vAlign w:val="center"/>
                </w:tcPr>
                <w:p w:rsidR="00181B2A" w:rsidRDefault="00181B2A" w:rsidP="00C4575E">
                  <w:pPr>
                    <w:pStyle w:val="TableBodyText"/>
                  </w:pPr>
                  <w:r>
                    <w:t>28.6</w:t>
                  </w:r>
                </w:p>
              </w:tc>
              <w:tc>
                <w:tcPr>
                  <w:tcW w:w="473" w:type="pct"/>
                </w:tcPr>
                <w:p w:rsidR="00181B2A" w:rsidRPr="00B817EA" w:rsidRDefault="00181B2A" w:rsidP="00C4575E">
                  <w:pPr>
                    <w:pStyle w:val="TableBodyText"/>
                  </w:pPr>
                </w:p>
              </w:tc>
            </w:tr>
            <w:tr w:rsidR="00181B2A" w:rsidRPr="00B817EA" w:rsidTr="00C4575E">
              <w:tc>
                <w:tcPr>
                  <w:tcW w:w="725" w:type="pct"/>
                  <w:shd w:val="clear" w:color="auto" w:fill="auto"/>
                </w:tcPr>
                <w:p w:rsidR="00181B2A" w:rsidRPr="00B817EA" w:rsidRDefault="00181B2A" w:rsidP="00C4575E">
                  <w:pPr>
                    <w:pStyle w:val="TableBodyText"/>
                    <w:jc w:val="left"/>
                  </w:pPr>
                  <w:r>
                    <w:t>Not specified</w:t>
                  </w:r>
                </w:p>
              </w:tc>
              <w:tc>
                <w:tcPr>
                  <w:tcW w:w="161" w:type="pct"/>
                  <w:shd w:val="clear" w:color="auto" w:fill="auto"/>
                </w:tcPr>
                <w:p w:rsidR="00181B2A" w:rsidRPr="00B817EA" w:rsidRDefault="00181B2A" w:rsidP="00C4575E">
                  <w:pPr>
                    <w:pStyle w:val="TableBodyText"/>
                    <w:jc w:val="left"/>
                  </w:pPr>
                  <w:r>
                    <w:t>%</w:t>
                  </w:r>
                </w:p>
              </w:tc>
              <w:tc>
                <w:tcPr>
                  <w:tcW w:w="403" w:type="pct"/>
                  <w:shd w:val="clear" w:color="auto" w:fill="auto"/>
                  <w:vAlign w:val="center"/>
                </w:tcPr>
                <w:p w:rsidR="00181B2A" w:rsidRDefault="00181B2A" w:rsidP="00C4575E">
                  <w:pPr>
                    <w:pStyle w:val="TableBodyText"/>
                  </w:pPr>
                  <w:r>
                    <w:t>37.6</w:t>
                  </w:r>
                </w:p>
              </w:tc>
              <w:tc>
                <w:tcPr>
                  <w:tcW w:w="377" w:type="pct"/>
                  <w:shd w:val="clear" w:color="auto" w:fill="auto"/>
                  <w:vAlign w:val="center"/>
                </w:tcPr>
                <w:p w:rsidR="00181B2A" w:rsidRDefault="00181B2A" w:rsidP="00C4575E">
                  <w:pPr>
                    <w:pStyle w:val="TableBodyText"/>
                  </w:pPr>
                  <w:r>
                    <w:t>38.4</w:t>
                  </w:r>
                </w:p>
              </w:tc>
              <w:tc>
                <w:tcPr>
                  <w:tcW w:w="393" w:type="pct"/>
                  <w:shd w:val="clear" w:color="auto" w:fill="auto"/>
                  <w:vAlign w:val="center"/>
                </w:tcPr>
                <w:p w:rsidR="00181B2A" w:rsidRDefault="00181B2A" w:rsidP="00C4575E">
                  <w:pPr>
                    <w:pStyle w:val="TableBodyText"/>
                  </w:pPr>
                  <w:r>
                    <w:t>33.6</w:t>
                  </w:r>
                </w:p>
              </w:tc>
              <w:tc>
                <w:tcPr>
                  <w:tcW w:w="393" w:type="pct"/>
                  <w:shd w:val="clear" w:color="auto" w:fill="auto"/>
                  <w:vAlign w:val="center"/>
                </w:tcPr>
                <w:p w:rsidR="00181B2A" w:rsidRDefault="00181B2A" w:rsidP="00C4575E">
                  <w:pPr>
                    <w:pStyle w:val="TableBodyText"/>
                  </w:pPr>
                  <w:r>
                    <w:t>40.8</w:t>
                  </w:r>
                </w:p>
              </w:tc>
              <w:tc>
                <w:tcPr>
                  <w:tcW w:w="393" w:type="pct"/>
                  <w:shd w:val="clear" w:color="auto" w:fill="auto"/>
                  <w:vAlign w:val="center"/>
                </w:tcPr>
                <w:p w:rsidR="00181B2A" w:rsidRDefault="00181B2A" w:rsidP="00C4575E">
                  <w:pPr>
                    <w:pStyle w:val="TableBodyText"/>
                  </w:pPr>
                  <w:r>
                    <w:t>25.2</w:t>
                  </w:r>
                </w:p>
              </w:tc>
              <w:tc>
                <w:tcPr>
                  <w:tcW w:w="393" w:type="pct"/>
                  <w:shd w:val="clear" w:color="auto" w:fill="auto"/>
                  <w:vAlign w:val="center"/>
                </w:tcPr>
                <w:p w:rsidR="00181B2A" w:rsidRDefault="00181B2A" w:rsidP="00C4575E">
                  <w:pPr>
                    <w:pStyle w:val="TableBodyText"/>
                  </w:pPr>
                  <w:r>
                    <w:t>32.3</w:t>
                  </w:r>
                </w:p>
              </w:tc>
              <w:tc>
                <w:tcPr>
                  <w:tcW w:w="393" w:type="pct"/>
                  <w:shd w:val="clear" w:color="auto" w:fill="auto"/>
                  <w:vAlign w:val="center"/>
                </w:tcPr>
                <w:p w:rsidR="00181B2A" w:rsidRDefault="00181B2A" w:rsidP="00C4575E">
                  <w:pPr>
                    <w:pStyle w:val="TableBodyText"/>
                  </w:pPr>
                  <w:r>
                    <w:t>43.7</w:t>
                  </w:r>
                </w:p>
              </w:tc>
              <w:tc>
                <w:tcPr>
                  <w:tcW w:w="497" w:type="pct"/>
                  <w:shd w:val="clear" w:color="auto" w:fill="auto"/>
                  <w:vAlign w:val="center"/>
                </w:tcPr>
                <w:p w:rsidR="00181B2A" w:rsidRDefault="00181B2A" w:rsidP="00C4575E">
                  <w:pPr>
                    <w:pStyle w:val="TableBodyText"/>
                  </w:pPr>
                  <w:r>
                    <w:t>55.6</w:t>
                  </w:r>
                </w:p>
              </w:tc>
              <w:tc>
                <w:tcPr>
                  <w:tcW w:w="392" w:type="pct"/>
                  <w:vAlign w:val="center"/>
                </w:tcPr>
                <w:p w:rsidR="00181B2A" w:rsidRDefault="00181B2A" w:rsidP="00C4575E">
                  <w:pPr>
                    <w:pStyle w:val="TableBodyText"/>
                  </w:pPr>
                  <w:r>
                    <w:t>36.6</w:t>
                  </w:r>
                </w:p>
              </w:tc>
              <w:tc>
                <w:tcPr>
                  <w:tcW w:w="473" w:type="pct"/>
                </w:tcPr>
                <w:p w:rsidR="00181B2A" w:rsidRPr="00B817EA" w:rsidRDefault="00181B2A" w:rsidP="00C4575E">
                  <w:pPr>
                    <w:pStyle w:val="TableBodyText"/>
                  </w:pPr>
                </w:p>
              </w:tc>
            </w:tr>
          </w:tbl>
          <w:p w:rsidR="00181B2A" w:rsidRPr="002B005A" w:rsidRDefault="00181B2A" w:rsidP="00C4575E">
            <w:pPr>
              <w:pStyle w:val="TableColumnHeading"/>
              <w:ind w:left="0"/>
              <w:jc w:val="left"/>
              <w:rPr>
                <w:strike/>
              </w:rPr>
            </w:pPr>
          </w:p>
        </w:tc>
      </w:tr>
      <w:tr w:rsidR="00181B2A" w:rsidRPr="00B817EA" w:rsidTr="00C4575E">
        <w:trPr>
          <w:gridAfter w:val="1"/>
          <w:wAfter w:w="7" w:type="pct"/>
        </w:trPr>
        <w:tc>
          <w:tcPr>
            <w:tcW w:w="4993" w:type="pct"/>
            <w:gridSpan w:val="14"/>
            <w:shd w:val="clear" w:color="auto" w:fill="auto"/>
          </w:tcPr>
          <w:tbl>
            <w:tblPr>
              <w:tblW w:w="5008" w:type="pct"/>
              <w:tblLayout w:type="fixed"/>
              <w:tblCellMar>
                <w:left w:w="0" w:type="dxa"/>
                <w:right w:w="0" w:type="dxa"/>
              </w:tblCellMar>
              <w:tblLook w:val="0000" w:firstRow="0" w:lastRow="0" w:firstColumn="0" w:lastColumn="0" w:noHBand="0" w:noVBand="0"/>
            </w:tblPr>
            <w:tblGrid>
              <w:gridCol w:w="1277"/>
              <w:gridCol w:w="283"/>
              <w:gridCol w:w="710"/>
              <w:gridCol w:w="665"/>
              <w:gridCol w:w="693"/>
              <w:gridCol w:w="693"/>
              <w:gridCol w:w="693"/>
              <w:gridCol w:w="693"/>
              <w:gridCol w:w="694"/>
              <w:gridCol w:w="877"/>
              <w:gridCol w:w="692"/>
              <w:gridCol w:w="835"/>
            </w:tblGrid>
            <w:tr w:rsidR="00181B2A" w:rsidRPr="004D0A1B" w:rsidTr="00C4575E">
              <w:tc>
                <w:tcPr>
                  <w:tcW w:w="4993" w:type="pct"/>
                  <w:gridSpan w:val="12"/>
                  <w:shd w:val="clear" w:color="auto" w:fill="auto"/>
                </w:tcPr>
                <w:p w:rsidR="00181B2A" w:rsidRPr="004D0A1B" w:rsidRDefault="00181B2A" w:rsidP="00C4575E">
                  <w:pPr>
                    <w:pStyle w:val="TableColumnHeading"/>
                    <w:jc w:val="left"/>
                  </w:pPr>
                  <w:r w:rsidRPr="004D0A1B">
                    <w:t>Substantiated breaches arising from complaints</w:t>
                  </w:r>
                  <w:r>
                    <w:t xml:space="preserve"> (proportion against which action was taken), 2012</w:t>
                  </w:r>
                  <w:r w:rsidRPr="004D0A1B">
                    <w:t>-1</w:t>
                  </w:r>
                  <w:r>
                    <w:t>3</w:t>
                  </w:r>
                  <w:r w:rsidRPr="004D0A1B">
                    <w:br/>
                  </w:r>
                  <w:r w:rsidRPr="00D65987">
                    <w:rPr>
                      <w:i w:val="0"/>
                      <w:sz w:val="16"/>
                      <w:szCs w:val="16"/>
                    </w:rPr>
                    <w:t>Most recent data for all measures are either not comparable and/or not complete (chapter 3)</w:t>
                  </w:r>
                </w:p>
              </w:tc>
            </w:tr>
            <w:tr w:rsidR="00181B2A" w:rsidRPr="00B817EA" w:rsidTr="00C36189">
              <w:tc>
                <w:tcPr>
                  <w:tcW w:w="725" w:type="pct"/>
                  <w:shd w:val="clear" w:color="auto" w:fill="auto"/>
                </w:tcPr>
                <w:p w:rsidR="00181B2A" w:rsidRPr="004D0A1B" w:rsidRDefault="00181B2A" w:rsidP="00C4575E">
                  <w:pPr>
                    <w:pStyle w:val="TableBodyText"/>
                    <w:jc w:val="left"/>
                  </w:pPr>
                </w:p>
              </w:tc>
              <w:tc>
                <w:tcPr>
                  <w:tcW w:w="161" w:type="pct"/>
                  <w:shd w:val="clear" w:color="auto" w:fill="auto"/>
                </w:tcPr>
                <w:p w:rsidR="00181B2A" w:rsidRDefault="00181B2A" w:rsidP="00C4575E">
                  <w:pPr>
                    <w:pStyle w:val="TableBodyText"/>
                    <w:jc w:val="left"/>
                  </w:pPr>
                  <w:r w:rsidRPr="004D0A1B">
                    <w:t>%</w:t>
                  </w:r>
                </w:p>
              </w:tc>
              <w:tc>
                <w:tcPr>
                  <w:tcW w:w="403" w:type="pct"/>
                  <w:shd w:val="clear" w:color="auto" w:fill="auto"/>
                </w:tcPr>
                <w:p w:rsidR="00181B2A" w:rsidRPr="00A3293D" w:rsidRDefault="00181B2A" w:rsidP="00C4575E">
                  <w:pPr>
                    <w:pStyle w:val="TableBodyText"/>
                  </w:pPr>
                  <w:r>
                    <w:t>15.5</w:t>
                  </w:r>
                </w:p>
              </w:tc>
              <w:tc>
                <w:tcPr>
                  <w:tcW w:w="377" w:type="pct"/>
                  <w:shd w:val="clear" w:color="auto" w:fill="auto"/>
                </w:tcPr>
                <w:p w:rsidR="00181B2A" w:rsidRPr="00A3293D" w:rsidRDefault="00181B2A" w:rsidP="00C4575E">
                  <w:pPr>
                    <w:pStyle w:val="TableBodyText"/>
                  </w:pPr>
                  <w:r>
                    <w:t>55.8</w:t>
                  </w:r>
                </w:p>
              </w:tc>
              <w:tc>
                <w:tcPr>
                  <w:tcW w:w="393" w:type="pct"/>
                  <w:shd w:val="clear" w:color="auto" w:fill="auto"/>
                </w:tcPr>
                <w:p w:rsidR="00181B2A" w:rsidRPr="00A3293D" w:rsidRDefault="00181B2A" w:rsidP="00C4575E">
                  <w:pPr>
                    <w:pStyle w:val="TableBodyText"/>
                  </w:pPr>
                  <w:proofErr w:type="spellStart"/>
                  <w:r>
                    <w:t>na</w:t>
                  </w:r>
                  <w:proofErr w:type="spellEnd"/>
                </w:p>
              </w:tc>
              <w:tc>
                <w:tcPr>
                  <w:tcW w:w="393" w:type="pct"/>
                  <w:shd w:val="clear" w:color="auto" w:fill="auto"/>
                </w:tcPr>
                <w:p w:rsidR="00181B2A" w:rsidRPr="00A3293D" w:rsidRDefault="00181B2A" w:rsidP="00C4575E">
                  <w:pPr>
                    <w:pStyle w:val="TableBodyText"/>
                  </w:pPr>
                  <w:r>
                    <w:t>100.0</w:t>
                  </w:r>
                </w:p>
              </w:tc>
              <w:tc>
                <w:tcPr>
                  <w:tcW w:w="393" w:type="pct"/>
                  <w:shd w:val="clear" w:color="auto" w:fill="auto"/>
                </w:tcPr>
                <w:p w:rsidR="00181B2A" w:rsidRPr="00A3293D" w:rsidRDefault="00181B2A" w:rsidP="00C4575E">
                  <w:pPr>
                    <w:pStyle w:val="TableBodyText"/>
                  </w:pPr>
                  <w:proofErr w:type="spellStart"/>
                  <w:r>
                    <w:t>na</w:t>
                  </w:r>
                  <w:proofErr w:type="spellEnd"/>
                </w:p>
              </w:tc>
              <w:tc>
                <w:tcPr>
                  <w:tcW w:w="393" w:type="pct"/>
                  <w:shd w:val="clear" w:color="auto" w:fill="auto"/>
                </w:tcPr>
                <w:p w:rsidR="00181B2A" w:rsidRPr="00A3293D" w:rsidRDefault="00181B2A" w:rsidP="00C4575E">
                  <w:pPr>
                    <w:pStyle w:val="TableBodyText"/>
                  </w:pPr>
                  <w:r>
                    <w:t>100.0</w:t>
                  </w:r>
                </w:p>
              </w:tc>
              <w:tc>
                <w:tcPr>
                  <w:tcW w:w="393" w:type="pct"/>
                  <w:shd w:val="clear" w:color="auto" w:fill="auto"/>
                </w:tcPr>
                <w:p w:rsidR="00181B2A" w:rsidRPr="00A3293D" w:rsidRDefault="00181B2A" w:rsidP="00C4575E">
                  <w:pPr>
                    <w:pStyle w:val="TableBodyText"/>
                  </w:pPr>
                  <w:r>
                    <w:t>100.0</w:t>
                  </w:r>
                </w:p>
              </w:tc>
              <w:tc>
                <w:tcPr>
                  <w:tcW w:w="497" w:type="pct"/>
                  <w:shd w:val="clear" w:color="auto" w:fill="auto"/>
                </w:tcPr>
                <w:p w:rsidR="00181B2A" w:rsidRPr="00A3293D" w:rsidRDefault="00181B2A" w:rsidP="00C4575E">
                  <w:pPr>
                    <w:pStyle w:val="TableBodyText"/>
                  </w:pPr>
                  <w:r>
                    <w:t>100.0</w:t>
                  </w:r>
                </w:p>
              </w:tc>
              <w:tc>
                <w:tcPr>
                  <w:tcW w:w="392" w:type="pct"/>
                  <w:shd w:val="clear" w:color="auto" w:fill="FFFFFF" w:themeFill="background1"/>
                </w:tcPr>
                <w:p w:rsidR="00181B2A" w:rsidRPr="00A3293D" w:rsidRDefault="00181B2A" w:rsidP="00C4575E">
                  <w:pPr>
                    <w:pStyle w:val="TableBodyText"/>
                  </w:pPr>
                  <w:r>
                    <w:t>..</w:t>
                  </w:r>
                </w:p>
              </w:tc>
              <w:tc>
                <w:tcPr>
                  <w:tcW w:w="473" w:type="pct"/>
                  <w:shd w:val="clear" w:color="auto" w:fill="FFFFFF" w:themeFill="background1"/>
                </w:tcPr>
                <w:p w:rsidR="00181B2A" w:rsidRPr="00B817EA" w:rsidRDefault="00FA7B04" w:rsidP="00FF7960">
                  <w:pPr>
                    <w:pStyle w:val="TableBodyText"/>
                  </w:pPr>
                  <w:r w:rsidRPr="00C36189">
                    <w:t>3A.</w:t>
                  </w:r>
                  <w:r w:rsidR="00FF7960" w:rsidRPr="00C36189">
                    <w:t>65</w:t>
                  </w:r>
                  <w:r w:rsidRPr="00C36189">
                    <w:rPr>
                      <w:shd w:val="clear" w:color="auto" w:fill="FFFFFF" w:themeFill="background1"/>
                    </w:rPr>
                    <w:t>,</w:t>
                  </w:r>
                  <w:r w:rsidRPr="00FF7960">
                    <w:rPr>
                      <w:highlight w:val="yellow"/>
                    </w:rPr>
                    <w:br/>
                  </w:r>
                  <w:r w:rsidRPr="00C36189">
                    <w:t>7</w:t>
                  </w:r>
                  <w:r w:rsidR="00FF7960" w:rsidRPr="00C36189">
                    <w:t>2</w:t>
                  </w:r>
                  <w:r w:rsidRPr="00C36189">
                    <w:t xml:space="preserve">, </w:t>
                  </w:r>
                  <w:r w:rsidR="00FF7960" w:rsidRPr="00C36189">
                    <w:t>79</w:t>
                  </w:r>
                  <w:r w:rsidRPr="00C36189">
                    <w:t>,</w:t>
                  </w:r>
                  <w:r w:rsidRPr="00FF7960">
                    <w:rPr>
                      <w:highlight w:val="yellow"/>
                    </w:rPr>
                    <w:br/>
                  </w:r>
                  <w:r w:rsidR="00181B2A" w:rsidRPr="00C36189">
                    <w:t>8</w:t>
                  </w:r>
                  <w:r w:rsidR="00FF7960" w:rsidRPr="00C36189">
                    <w:t>6</w:t>
                  </w:r>
                  <w:r w:rsidR="00181B2A" w:rsidRPr="00C36189">
                    <w:t>, 9</w:t>
                  </w:r>
                  <w:r w:rsidR="00FF7960" w:rsidRPr="00C36189">
                    <w:t>3</w:t>
                  </w:r>
                  <w:r w:rsidR="00181B2A" w:rsidRPr="00C36189">
                    <w:t>,</w:t>
                  </w:r>
                  <w:r w:rsidRPr="00FF7960">
                    <w:rPr>
                      <w:highlight w:val="yellow"/>
                    </w:rPr>
                    <w:br/>
                  </w:r>
                  <w:r w:rsidR="00181B2A" w:rsidRPr="00C36189">
                    <w:t>10</w:t>
                  </w:r>
                  <w:r w:rsidR="00FF7960" w:rsidRPr="00C36189">
                    <w:t>0</w:t>
                  </w:r>
                  <w:r w:rsidR="00181B2A" w:rsidRPr="00C36189">
                    <w:t>,</w:t>
                  </w:r>
                  <w:r w:rsidRPr="00FF7960">
                    <w:rPr>
                      <w:highlight w:val="yellow"/>
                    </w:rPr>
                    <w:br/>
                  </w:r>
                  <w:r w:rsidR="00181B2A" w:rsidRPr="00C36189">
                    <w:t>10</w:t>
                  </w:r>
                  <w:r w:rsidR="00FF7960" w:rsidRPr="00C36189">
                    <w:t>7</w:t>
                  </w:r>
                  <w:r w:rsidR="00181B2A" w:rsidRPr="00C36189">
                    <w:t>,</w:t>
                  </w:r>
                  <w:r w:rsidRPr="00FF7960">
                    <w:rPr>
                      <w:highlight w:val="yellow"/>
                    </w:rPr>
                    <w:br/>
                  </w:r>
                  <w:r w:rsidR="00181B2A" w:rsidRPr="00C36189">
                    <w:t>11</w:t>
                  </w:r>
                  <w:r w:rsidR="00FF7960" w:rsidRPr="00C36189">
                    <w:t>4</w:t>
                  </w:r>
                  <w:r w:rsidR="00181B2A" w:rsidRPr="00C36189">
                    <w:t>.</w:t>
                  </w:r>
                </w:p>
              </w:tc>
            </w:tr>
          </w:tbl>
          <w:p w:rsidR="00181B2A" w:rsidRDefault="00181B2A" w:rsidP="00C4575E">
            <w:pPr>
              <w:pStyle w:val="TableColumnHeading"/>
              <w:ind w:left="0"/>
              <w:jc w:val="left"/>
            </w:pPr>
          </w:p>
        </w:tc>
      </w:tr>
      <w:tr w:rsidR="00181B2A" w:rsidRPr="00B20E15" w:rsidTr="00C4575E">
        <w:trPr>
          <w:gridAfter w:val="1"/>
          <w:wAfter w:w="7" w:type="pct"/>
          <w:trHeight w:val="273"/>
        </w:trPr>
        <w:tc>
          <w:tcPr>
            <w:tcW w:w="4993" w:type="pct"/>
            <w:gridSpan w:val="14"/>
            <w:shd w:val="clear" w:color="auto" w:fill="auto"/>
          </w:tcPr>
          <w:p w:rsidR="00181B2A" w:rsidRPr="00B20E15" w:rsidRDefault="00181B2A" w:rsidP="00C4575E">
            <w:pPr>
              <w:pStyle w:val="TableColumnHeading"/>
              <w:spacing w:before="60" w:after="60"/>
              <w:ind w:left="0"/>
              <w:jc w:val="left"/>
              <w:rPr>
                <w:b/>
                <w:i w:val="0"/>
              </w:rPr>
            </w:pPr>
            <w:r w:rsidRPr="00B20E15">
              <w:rPr>
                <w:b/>
                <w:i w:val="0"/>
              </w:rPr>
              <w:t>Efficiency indicators</w:t>
            </w:r>
          </w:p>
        </w:tc>
      </w:tr>
      <w:tr w:rsidR="00181B2A" w:rsidRPr="00B817EA" w:rsidTr="00C4575E">
        <w:tc>
          <w:tcPr>
            <w:tcW w:w="5000" w:type="pct"/>
            <w:gridSpan w:val="15"/>
            <w:shd w:val="clear" w:color="auto" w:fill="auto"/>
          </w:tcPr>
          <w:p w:rsidR="00181B2A" w:rsidRPr="00B817EA" w:rsidRDefault="00181B2A" w:rsidP="00C4575E">
            <w:pPr>
              <w:pStyle w:val="TableColumnHeading"/>
              <w:jc w:val="left"/>
            </w:pPr>
            <w:r>
              <w:t>Australian Government recurrent expenditure on child care services per child in the community (aged 0–12 years), 2012-13</w:t>
            </w:r>
            <w:r>
              <w:br/>
            </w:r>
            <w:r w:rsidRPr="00D65987">
              <w:rPr>
                <w:i w:val="0"/>
                <w:sz w:val="16"/>
                <w:szCs w:val="16"/>
              </w:rPr>
              <w:t>Most recent data for at least one measure are comparable and complete (chapter 3)</w:t>
            </w:r>
          </w:p>
        </w:tc>
      </w:tr>
      <w:tr w:rsidR="00181B2A" w:rsidRPr="00B817EA" w:rsidTr="00C4575E">
        <w:tc>
          <w:tcPr>
            <w:tcW w:w="323" w:type="pct"/>
            <w:shd w:val="clear" w:color="auto" w:fill="auto"/>
          </w:tcPr>
          <w:p w:rsidR="00181B2A" w:rsidRPr="00B817EA" w:rsidRDefault="00181B2A" w:rsidP="00C4575E">
            <w:pPr>
              <w:pStyle w:val="TableBodyText"/>
              <w:jc w:val="left"/>
            </w:pPr>
          </w:p>
        </w:tc>
        <w:tc>
          <w:tcPr>
            <w:tcW w:w="563" w:type="pct"/>
            <w:gridSpan w:val="2"/>
            <w:shd w:val="clear" w:color="auto" w:fill="auto"/>
          </w:tcPr>
          <w:p w:rsidR="00181B2A" w:rsidRPr="00B817EA" w:rsidRDefault="00181B2A" w:rsidP="00C4575E">
            <w:pPr>
              <w:pStyle w:val="TableBodyText"/>
              <w:jc w:val="left"/>
            </w:pPr>
            <w:r>
              <w:t>$/child</w:t>
            </w:r>
          </w:p>
        </w:tc>
        <w:tc>
          <w:tcPr>
            <w:tcW w:w="403" w:type="pct"/>
            <w:gridSpan w:val="2"/>
            <w:shd w:val="clear" w:color="auto" w:fill="auto"/>
            <w:vAlign w:val="center"/>
          </w:tcPr>
          <w:p w:rsidR="00181B2A" w:rsidRPr="00894B44" w:rsidRDefault="00181B2A" w:rsidP="00C4575E">
            <w:pPr>
              <w:pStyle w:val="TableBodyText"/>
            </w:pPr>
            <w:r>
              <w:t>1 452</w:t>
            </w:r>
          </w:p>
        </w:tc>
        <w:tc>
          <w:tcPr>
            <w:tcW w:w="377" w:type="pct"/>
            <w:shd w:val="clear" w:color="auto" w:fill="auto"/>
            <w:vAlign w:val="center"/>
          </w:tcPr>
          <w:p w:rsidR="00181B2A" w:rsidRPr="00894B44" w:rsidRDefault="00181B2A" w:rsidP="00C4575E">
            <w:pPr>
              <w:pStyle w:val="TableBodyText"/>
            </w:pPr>
            <w:r>
              <w:t>1 368</w:t>
            </w:r>
          </w:p>
        </w:tc>
        <w:tc>
          <w:tcPr>
            <w:tcW w:w="393" w:type="pct"/>
            <w:shd w:val="clear" w:color="auto" w:fill="auto"/>
            <w:vAlign w:val="center"/>
          </w:tcPr>
          <w:p w:rsidR="00181B2A" w:rsidRPr="00894B44" w:rsidRDefault="00181B2A" w:rsidP="00C4575E">
            <w:pPr>
              <w:pStyle w:val="TableBodyText"/>
            </w:pPr>
            <w:r>
              <w:t>1 60</w:t>
            </w:r>
            <w:r w:rsidRPr="00894B44">
              <w:t>6</w:t>
            </w:r>
          </w:p>
        </w:tc>
        <w:tc>
          <w:tcPr>
            <w:tcW w:w="393" w:type="pct"/>
            <w:shd w:val="clear" w:color="auto" w:fill="auto"/>
            <w:vAlign w:val="center"/>
          </w:tcPr>
          <w:p w:rsidR="00181B2A" w:rsidRPr="00894B44" w:rsidRDefault="00181B2A" w:rsidP="00C4575E">
            <w:pPr>
              <w:pStyle w:val="TableBodyText"/>
            </w:pPr>
            <w:r>
              <w:t>1 002</w:t>
            </w:r>
          </w:p>
        </w:tc>
        <w:tc>
          <w:tcPr>
            <w:tcW w:w="393" w:type="pct"/>
            <w:shd w:val="clear" w:color="auto" w:fill="auto"/>
            <w:vAlign w:val="center"/>
          </w:tcPr>
          <w:p w:rsidR="00181B2A" w:rsidRPr="00894B44" w:rsidRDefault="00181B2A" w:rsidP="00C4575E">
            <w:pPr>
              <w:pStyle w:val="TableBodyText"/>
            </w:pPr>
            <w:r>
              <w:t>1 558</w:t>
            </w:r>
          </w:p>
        </w:tc>
        <w:tc>
          <w:tcPr>
            <w:tcW w:w="393" w:type="pct"/>
            <w:shd w:val="clear" w:color="auto" w:fill="auto"/>
            <w:vAlign w:val="center"/>
          </w:tcPr>
          <w:p w:rsidR="00181B2A" w:rsidRPr="00894B44" w:rsidRDefault="00181B2A" w:rsidP="00C4575E">
            <w:pPr>
              <w:pStyle w:val="TableBodyText"/>
            </w:pPr>
            <w:r>
              <w:t xml:space="preserve">1 434 </w:t>
            </w:r>
          </w:p>
        </w:tc>
        <w:tc>
          <w:tcPr>
            <w:tcW w:w="393" w:type="pct"/>
            <w:shd w:val="clear" w:color="auto" w:fill="auto"/>
            <w:vAlign w:val="center"/>
          </w:tcPr>
          <w:p w:rsidR="00181B2A" w:rsidRPr="00894B44" w:rsidRDefault="00181B2A" w:rsidP="00C4575E">
            <w:pPr>
              <w:pStyle w:val="TableBodyText"/>
            </w:pPr>
            <w:r>
              <w:t>1 758</w:t>
            </w:r>
          </w:p>
        </w:tc>
        <w:tc>
          <w:tcPr>
            <w:tcW w:w="497" w:type="pct"/>
            <w:shd w:val="clear" w:color="auto" w:fill="auto"/>
            <w:vAlign w:val="center"/>
          </w:tcPr>
          <w:p w:rsidR="00181B2A" w:rsidRPr="00894B44" w:rsidRDefault="00181B2A" w:rsidP="00C4575E">
            <w:pPr>
              <w:pStyle w:val="TableBodyText"/>
            </w:pPr>
            <w:r>
              <w:t>1 41</w:t>
            </w:r>
            <w:r w:rsidRPr="00894B44">
              <w:t>5</w:t>
            </w:r>
          </w:p>
        </w:tc>
        <w:tc>
          <w:tcPr>
            <w:tcW w:w="392" w:type="pct"/>
            <w:shd w:val="clear" w:color="auto" w:fill="auto"/>
            <w:vAlign w:val="center"/>
          </w:tcPr>
          <w:p w:rsidR="00181B2A" w:rsidRPr="00894B44" w:rsidRDefault="00181B2A" w:rsidP="00C4575E">
            <w:pPr>
              <w:pStyle w:val="TableBodyText"/>
            </w:pPr>
            <w:r>
              <w:t>1 426</w:t>
            </w:r>
          </w:p>
        </w:tc>
        <w:tc>
          <w:tcPr>
            <w:tcW w:w="480" w:type="pct"/>
            <w:gridSpan w:val="2"/>
            <w:shd w:val="clear" w:color="auto" w:fill="auto"/>
          </w:tcPr>
          <w:p w:rsidR="00181B2A" w:rsidRPr="00B817EA" w:rsidRDefault="00181B2A" w:rsidP="00FF7960">
            <w:pPr>
              <w:pStyle w:val="TableBodyText"/>
            </w:pPr>
            <w:r>
              <w:t>3A.</w:t>
            </w:r>
            <w:r w:rsidRPr="00C36189">
              <w:t>5</w:t>
            </w:r>
            <w:r w:rsidR="00FF7960" w:rsidRPr="00C36189">
              <w:t>0</w:t>
            </w:r>
          </w:p>
        </w:tc>
      </w:tr>
      <w:tr w:rsidR="00181B2A" w:rsidRPr="00B817EA" w:rsidTr="00C4575E">
        <w:tc>
          <w:tcPr>
            <w:tcW w:w="5000" w:type="pct"/>
            <w:gridSpan w:val="15"/>
            <w:shd w:val="clear" w:color="auto" w:fill="auto"/>
          </w:tcPr>
          <w:p w:rsidR="00181B2A" w:rsidRDefault="00181B2A" w:rsidP="00C4575E">
            <w:pPr>
              <w:pStyle w:val="TableColumnHeading"/>
              <w:jc w:val="left"/>
            </w:pPr>
            <w:r>
              <w:t>Australian government recurrent expenditure per child attending approved child care services (aged 0-12 years), 2013</w:t>
            </w:r>
            <w:r>
              <w:br/>
            </w:r>
            <w:r w:rsidRPr="00D65987">
              <w:rPr>
                <w:i w:val="0"/>
                <w:sz w:val="16"/>
                <w:szCs w:val="16"/>
              </w:rPr>
              <w:t>Most recent data for all measures are comparable and complete (chapter 3)</w:t>
            </w:r>
          </w:p>
        </w:tc>
      </w:tr>
      <w:tr w:rsidR="00181B2A" w:rsidRPr="00B817EA" w:rsidTr="00C4575E">
        <w:tc>
          <w:tcPr>
            <w:tcW w:w="323" w:type="pct"/>
            <w:shd w:val="clear" w:color="auto" w:fill="auto"/>
          </w:tcPr>
          <w:p w:rsidR="00181B2A" w:rsidRPr="00B817EA" w:rsidRDefault="00181B2A" w:rsidP="00C4575E">
            <w:pPr>
              <w:pStyle w:val="TableBodyText"/>
              <w:jc w:val="left"/>
            </w:pPr>
          </w:p>
        </w:tc>
        <w:tc>
          <w:tcPr>
            <w:tcW w:w="563" w:type="pct"/>
            <w:gridSpan w:val="2"/>
            <w:shd w:val="clear" w:color="auto" w:fill="auto"/>
          </w:tcPr>
          <w:p w:rsidR="00181B2A" w:rsidRPr="00B817EA" w:rsidRDefault="00181B2A" w:rsidP="00C4575E">
            <w:pPr>
              <w:pStyle w:val="TableBodyText"/>
              <w:jc w:val="left"/>
            </w:pPr>
            <w:r>
              <w:t>$/child attending</w:t>
            </w:r>
          </w:p>
        </w:tc>
        <w:tc>
          <w:tcPr>
            <w:tcW w:w="403" w:type="pct"/>
            <w:gridSpan w:val="2"/>
            <w:shd w:val="clear" w:color="auto" w:fill="auto"/>
            <w:vAlign w:val="center"/>
          </w:tcPr>
          <w:p w:rsidR="00181B2A" w:rsidRPr="00A3293D" w:rsidRDefault="00181B2A" w:rsidP="00C4575E">
            <w:pPr>
              <w:pStyle w:val="TableBodyText"/>
            </w:pPr>
            <w:r>
              <w:t>5 236</w:t>
            </w:r>
          </w:p>
        </w:tc>
        <w:tc>
          <w:tcPr>
            <w:tcW w:w="377" w:type="pct"/>
            <w:shd w:val="clear" w:color="auto" w:fill="auto"/>
            <w:vAlign w:val="center"/>
          </w:tcPr>
          <w:p w:rsidR="00181B2A" w:rsidRPr="00A3293D" w:rsidRDefault="00181B2A" w:rsidP="00C4575E">
            <w:pPr>
              <w:pStyle w:val="TableBodyText"/>
            </w:pPr>
            <w:r>
              <w:t>5 151</w:t>
            </w:r>
          </w:p>
        </w:tc>
        <w:tc>
          <w:tcPr>
            <w:tcW w:w="393" w:type="pct"/>
            <w:shd w:val="clear" w:color="auto" w:fill="auto"/>
            <w:vAlign w:val="center"/>
          </w:tcPr>
          <w:p w:rsidR="00181B2A" w:rsidRPr="00A3293D" w:rsidRDefault="00181B2A" w:rsidP="00C4575E">
            <w:pPr>
              <w:pStyle w:val="TableBodyText"/>
            </w:pPr>
            <w:r>
              <w:t>5 083</w:t>
            </w:r>
          </w:p>
        </w:tc>
        <w:tc>
          <w:tcPr>
            <w:tcW w:w="393" w:type="pct"/>
            <w:shd w:val="clear" w:color="auto" w:fill="auto"/>
            <w:vAlign w:val="center"/>
          </w:tcPr>
          <w:p w:rsidR="00181B2A" w:rsidRPr="00A3293D" w:rsidRDefault="00181B2A" w:rsidP="00C4575E">
            <w:pPr>
              <w:pStyle w:val="TableBodyText"/>
            </w:pPr>
            <w:r>
              <w:t>5 142</w:t>
            </w:r>
          </w:p>
        </w:tc>
        <w:tc>
          <w:tcPr>
            <w:tcW w:w="393" w:type="pct"/>
            <w:shd w:val="clear" w:color="auto" w:fill="auto"/>
            <w:vAlign w:val="center"/>
          </w:tcPr>
          <w:p w:rsidR="00181B2A" w:rsidRPr="00A3293D" w:rsidRDefault="00181B2A" w:rsidP="00C4575E">
            <w:pPr>
              <w:pStyle w:val="TableBodyText"/>
            </w:pPr>
            <w:r>
              <w:t>5 140</w:t>
            </w:r>
          </w:p>
        </w:tc>
        <w:tc>
          <w:tcPr>
            <w:tcW w:w="393" w:type="pct"/>
            <w:shd w:val="clear" w:color="auto" w:fill="auto"/>
            <w:vAlign w:val="center"/>
          </w:tcPr>
          <w:p w:rsidR="00181B2A" w:rsidRPr="00A3293D" w:rsidRDefault="00181B2A" w:rsidP="00C4575E">
            <w:pPr>
              <w:pStyle w:val="TableBodyText"/>
            </w:pPr>
            <w:r>
              <w:t>5 240</w:t>
            </w:r>
          </w:p>
        </w:tc>
        <w:tc>
          <w:tcPr>
            <w:tcW w:w="393" w:type="pct"/>
            <w:shd w:val="clear" w:color="auto" w:fill="auto"/>
            <w:vAlign w:val="center"/>
          </w:tcPr>
          <w:p w:rsidR="00181B2A" w:rsidRPr="00A3293D" w:rsidRDefault="00181B2A" w:rsidP="00C4575E">
            <w:pPr>
              <w:pStyle w:val="TableBodyText"/>
            </w:pPr>
            <w:r>
              <w:t>4 934</w:t>
            </w:r>
          </w:p>
        </w:tc>
        <w:tc>
          <w:tcPr>
            <w:tcW w:w="497" w:type="pct"/>
            <w:shd w:val="clear" w:color="auto" w:fill="auto"/>
            <w:vAlign w:val="center"/>
          </w:tcPr>
          <w:p w:rsidR="00181B2A" w:rsidRPr="00A3293D" w:rsidRDefault="00181B2A" w:rsidP="00C4575E">
            <w:pPr>
              <w:pStyle w:val="TableBodyText"/>
            </w:pPr>
            <w:r>
              <w:t>7 990</w:t>
            </w:r>
          </w:p>
        </w:tc>
        <w:tc>
          <w:tcPr>
            <w:tcW w:w="392" w:type="pct"/>
            <w:shd w:val="clear" w:color="auto" w:fill="auto"/>
            <w:vAlign w:val="center"/>
          </w:tcPr>
          <w:p w:rsidR="00181B2A" w:rsidRPr="00A3293D" w:rsidRDefault="00181B2A" w:rsidP="00C4575E">
            <w:pPr>
              <w:pStyle w:val="TableBodyText"/>
            </w:pPr>
            <w:r>
              <w:t>5 194</w:t>
            </w:r>
          </w:p>
        </w:tc>
        <w:tc>
          <w:tcPr>
            <w:tcW w:w="480" w:type="pct"/>
            <w:gridSpan w:val="2"/>
          </w:tcPr>
          <w:p w:rsidR="00181B2A" w:rsidRPr="00B817EA" w:rsidRDefault="00181B2A" w:rsidP="00FF7960">
            <w:pPr>
              <w:pStyle w:val="TableBodyText"/>
              <w:spacing w:before="120"/>
            </w:pPr>
            <w:r>
              <w:t>3A.</w:t>
            </w:r>
            <w:r w:rsidRPr="00C36189">
              <w:t>5</w:t>
            </w:r>
            <w:r w:rsidR="00FF7960" w:rsidRPr="00C36189">
              <w:t>2</w:t>
            </w:r>
          </w:p>
        </w:tc>
      </w:tr>
      <w:tr w:rsidR="00181B2A" w:rsidRPr="00B817EA" w:rsidTr="00C4575E">
        <w:tc>
          <w:tcPr>
            <w:tcW w:w="323" w:type="pct"/>
            <w:shd w:val="clear" w:color="auto" w:fill="auto"/>
          </w:tcPr>
          <w:p w:rsidR="00181B2A" w:rsidRPr="00B817EA" w:rsidRDefault="00181B2A" w:rsidP="00C4575E">
            <w:pPr>
              <w:pStyle w:val="TableBodyText"/>
              <w:jc w:val="left"/>
            </w:pPr>
          </w:p>
        </w:tc>
        <w:tc>
          <w:tcPr>
            <w:tcW w:w="563" w:type="pct"/>
            <w:gridSpan w:val="2"/>
            <w:shd w:val="clear" w:color="auto" w:fill="auto"/>
          </w:tcPr>
          <w:p w:rsidR="00181B2A" w:rsidRDefault="00181B2A" w:rsidP="00C4575E">
            <w:pPr>
              <w:pStyle w:val="TableBodyText"/>
              <w:jc w:val="left"/>
            </w:pPr>
          </w:p>
        </w:tc>
        <w:tc>
          <w:tcPr>
            <w:tcW w:w="403" w:type="pct"/>
            <w:gridSpan w:val="2"/>
            <w:shd w:val="clear" w:color="auto" w:fill="auto"/>
            <w:vAlign w:val="center"/>
          </w:tcPr>
          <w:p w:rsidR="00181B2A" w:rsidRDefault="00181B2A" w:rsidP="00C4575E">
            <w:pPr>
              <w:pStyle w:val="TableBodyText"/>
            </w:pPr>
          </w:p>
        </w:tc>
        <w:tc>
          <w:tcPr>
            <w:tcW w:w="377" w:type="pct"/>
            <w:shd w:val="clear" w:color="auto" w:fill="auto"/>
            <w:vAlign w:val="center"/>
          </w:tcPr>
          <w:p w:rsidR="00181B2A" w:rsidRDefault="00181B2A" w:rsidP="00C4575E">
            <w:pPr>
              <w:pStyle w:val="TableBodyText"/>
            </w:pPr>
          </w:p>
        </w:tc>
        <w:tc>
          <w:tcPr>
            <w:tcW w:w="393" w:type="pct"/>
            <w:shd w:val="clear" w:color="auto" w:fill="auto"/>
            <w:vAlign w:val="center"/>
          </w:tcPr>
          <w:p w:rsidR="00181B2A" w:rsidRDefault="00181B2A" w:rsidP="00C4575E">
            <w:pPr>
              <w:pStyle w:val="TableBodyText"/>
            </w:pPr>
          </w:p>
        </w:tc>
        <w:tc>
          <w:tcPr>
            <w:tcW w:w="393" w:type="pct"/>
            <w:shd w:val="clear" w:color="auto" w:fill="auto"/>
            <w:vAlign w:val="center"/>
          </w:tcPr>
          <w:p w:rsidR="00181B2A" w:rsidRDefault="00181B2A" w:rsidP="00C4575E">
            <w:pPr>
              <w:pStyle w:val="TableBodyText"/>
            </w:pPr>
          </w:p>
        </w:tc>
        <w:tc>
          <w:tcPr>
            <w:tcW w:w="393" w:type="pct"/>
            <w:shd w:val="clear" w:color="auto" w:fill="auto"/>
            <w:vAlign w:val="center"/>
          </w:tcPr>
          <w:p w:rsidR="00181B2A" w:rsidRDefault="00181B2A" w:rsidP="00C4575E">
            <w:pPr>
              <w:pStyle w:val="TableBodyText"/>
            </w:pPr>
          </w:p>
        </w:tc>
        <w:tc>
          <w:tcPr>
            <w:tcW w:w="393" w:type="pct"/>
            <w:shd w:val="clear" w:color="auto" w:fill="auto"/>
            <w:vAlign w:val="center"/>
          </w:tcPr>
          <w:p w:rsidR="00181B2A" w:rsidRDefault="00181B2A" w:rsidP="00C4575E">
            <w:pPr>
              <w:pStyle w:val="TableBodyText"/>
            </w:pPr>
          </w:p>
        </w:tc>
        <w:tc>
          <w:tcPr>
            <w:tcW w:w="393" w:type="pct"/>
            <w:shd w:val="clear" w:color="auto" w:fill="auto"/>
            <w:vAlign w:val="center"/>
          </w:tcPr>
          <w:p w:rsidR="00181B2A" w:rsidRDefault="00181B2A" w:rsidP="00C4575E">
            <w:pPr>
              <w:pStyle w:val="TableBodyText"/>
            </w:pPr>
          </w:p>
        </w:tc>
        <w:tc>
          <w:tcPr>
            <w:tcW w:w="497" w:type="pct"/>
            <w:shd w:val="clear" w:color="auto" w:fill="auto"/>
            <w:vAlign w:val="center"/>
          </w:tcPr>
          <w:p w:rsidR="00181B2A" w:rsidRDefault="00181B2A" w:rsidP="00C4575E">
            <w:pPr>
              <w:pStyle w:val="TableBodyText"/>
            </w:pPr>
          </w:p>
        </w:tc>
        <w:tc>
          <w:tcPr>
            <w:tcW w:w="392" w:type="pct"/>
            <w:shd w:val="clear" w:color="auto" w:fill="auto"/>
            <w:vAlign w:val="center"/>
          </w:tcPr>
          <w:p w:rsidR="00181B2A" w:rsidRDefault="00181B2A" w:rsidP="00C4575E">
            <w:pPr>
              <w:pStyle w:val="TableBodyText"/>
            </w:pPr>
          </w:p>
        </w:tc>
        <w:tc>
          <w:tcPr>
            <w:tcW w:w="480" w:type="pct"/>
            <w:gridSpan w:val="2"/>
          </w:tcPr>
          <w:p w:rsidR="00181B2A" w:rsidRDefault="00181B2A" w:rsidP="00C4575E">
            <w:pPr>
              <w:pStyle w:val="TableBodyText"/>
              <w:spacing w:before="120"/>
            </w:pPr>
          </w:p>
        </w:tc>
      </w:tr>
      <w:tr w:rsidR="00181B2A" w:rsidRPr="00B817EA" w:rsidTr="00C4575E">
        <w:tc>
          <w:tcPr>
            <w:tcW w:w="5000" w:type="pct"/>
            <w:gridSpan w:val="15"/>
            <w:shd w:val="clear" w:color="auto" w:fill="auto"/>
          </w:tcPr>
          <w:p w:rsidR="00181B2A" w:rsidRPr="00B817EA" w:rsidRDefault="00181B2A" w:rsidP="00C4575E">
            <w:pPr>
              <w:pStyle w:val="TableColumnHeading"/>
              <w:jc w:val="left"/>
            </w:pPr>
            <w:r>
              <w:t>Family work related needs</w:t>
            </w:r>
            <w:r>
              <w:br/>
            </w:r>
            <w:r w:rsidRPr="00D65987">
              <w:rPr>
                <w:i w:val="0"/>
                <w:sz w:val="16"/>
                <w:szCs w:val="16"/>
              </w:rPr>
              <w:t>Most recent data for all measures are comparable and complete (chapter 3)</w:t>
            </w:r>
          </w:p>
        </w:tc>
      </w:tr>
      <w:tr w:rsidR="00181B2A" w:rsidRPr="00B817EA" w:rsidTr="00C4575E">
        <w:tc>
          <w:tcPr>
            <w:tcW w:w="5000" w:type="pct"/>
            <w:gridSpan w:val="15"/>
            <w:shd w:val="clear" w:color="auto" w:fill="auto"/>
          </w:tcPr>
          <w:p w:rsidR="00181B2A" w:rsidRPr="00B817EA" w:rsidRDefault="00181B2A" w:rsidP="00C4575E">
            <w:pPr>
              <w:pStyle w:val="TableColumnHeading"/>
              <w:jc w:val="left"/>
            </w:pPr>
            <w:r>
              <w:t>Proportion of children aged 0-12 years in families participating in the labour force who required any/additional formal child care for work related reasons, 2011</w:t>
            </w:r>
          </w:p>
        </w:tc>
      </w:tr>
      <w:tr w:rsidR="00181B2A" w:rsidRPr="00A3293D" w:rsidTr="00C4575E">
        <w:tc>
          <w:tcPr>
            <w:tcW w:w="725" w:type="pct"/>
            <w:gridSpan w:val="2"/>
            <w:shd w:val="clear" w:color="auto" w:fill="auto"/>
          </w:tcPr>
          <w:p w:rsidR="00181B2A" w:rsidRPr="00B817EA" w:rsidRDefault="00181B2A" w:rsidP="00C4575E">
            <w:pPr>
              <w:pStyle w:val="TableBodyText"/>
              <w:jc w:val="left"/>
            </w:pPr>
          </w:p>
        </w:tc>
        <w:tc>
          <w:tcPr>
            <w:tcW w:w="161" w:type="pct"/>
            <w:shd w:val="clear" w:color="auto" w:fill="auto"/>
          </w:tcPr>
          <w:p w:rsidR="00181B2A" w:rsidRPr="00B817EA" w:rsidRDefault="00181B2A" w:rsidP="00C4575E">
            <w:pPr>
              <w:pStyle w:val="TableBodyText"/>
              <w:jc w:val="left"/>
            </w:pPr>
            <w:r>
              <w:t>%</w:t>
            </w:r>
          </w:p>
        </w:tc>
        <w:tc>
          <w:tcPr>
            <w:tcW w:w="387" w:type="pct"/>
            <w:shd w:val="clear" w:color="auto" w:fill="FFFFFF" w:themeFill="background1"/>
            <w:vAlign w:val="center"/>
          </w:tcPr>
          <w:p w:rsidR="00181B2A" w:rsidRPr="00A3293D" w:rsidRDefault="00181B2A" w:rsidP="00C4575E">
            <w:pPr>
              <w:pStyle w:val="TableBodyText"/>
            </w:pPr>
            <w:r>
              <w:t>2.9.</w:t>
            </w:r>
            <w:r w:rsidR="00B60F3B">
              <w:br/>
            </w:r>
            <w:r w:rsidRPr="00BF486D">
              <w:t xml:space="preserve">±  </w:t>
            </w:r>
            <w:r>
              <w:t>1</w:t>
            </w:r>
            <w:r w:rsidRPr="00BF486D">
              <w:t>.0</w:t>
            </w:r>
          </w:p>
        </w:tc>
        <w:tc>
          <w:tcPr>
            <w:tcW w:w="392" w:type="pct"/>
            <w:gridSpan w:val="2"/>
            <w:shd w:val="clear" w:color="auto" w:fill="FFFFFF" w:themeFill="background1"/>
            <w:vAlign w:val="center"/>
          </w:tcPr>
          <w:p w:rsidR="00181B2A" w:rsidRPr="00A3293D" w:rsidRDefault="00181B2A" w:rsidP="00B60F3B">
            <w:pPr>
              <w:pStyle w:val="TableBodyText"/>
            </w:pPr>
            <w:r>
              <w:t>3.1</w:t>
            </w:r>
            <w:r w:rsidR="00B60F3B">
              <w:br/>
            </w:r>
            <w:r w:rsidRPr="00BF486D">
              <w:t xml:space="preserve">± </w:t>
            </w:r>
            <w:r>
              <w:t>1.3</w:t>
            </w:r>
          </w:p>
        </w:tc>
        <w:tc>
          <w:tcPr>
            <w:tcW w:w="393" w:type="pct"/>
            <w:shd w:val="clear" w:color="auto" w:fill="FFFFFF" w:themeFill="background1"/>
            <w:vAlign w:val="center"/>
          </w:tcPr>
          <w:p w:rsidR="00181B2A" w:rsidRPr="00A3293D" w:rsidRDefault="00181B2A" w:rsidP="00C4575E">
            <w:pPr>
              <w:pStyle w:val="TableBodyText"/>
            </w:pPr>
            <w:r>
              <w:t>2.6</w:t>
            </w:r>
            <w:r w:rsidR="00B60F3B">
              <w:br/>
              <w:t xml:space="preserve">± </w:t>
            </w:r>
            <w:r>
              <w:t>1.7</w:t>
            </w:r>
          </w:p>
        </w:tc>
        <w:tc>
          <w:tcPr>
            <w:tcW w:w="393" w:type="pct"/>
            <w:shd w:val="clear" w:color="auto" w:fill="FFFFFF" w:themeFill="background1"/>
            <w:vAlign w:val="center"/>
          </w:tcPr>
          <w:p w:rsidR="00181B2A" w:rsidRPr="00A3293D" w:rsidRDefault="00181B2A" w:rsidP="00B60F3B">
            <w:pPr>
              <w:pStyle w:val="TableBodyText"/>
            </w:pPr>
            <w:r>
              <w:t>3.0</w:t>
            </w:r>
            <w:r w:rsidR="00B60F3B">
              <w:br/>
            </w:r>
            <w:r w:rsidRPr="00BF486D">
              <w:t xml:space="preserve">± </w:t>
            </w:r>
            <w:r>
              <w:t>1.3</w:t>
            </w:r>
          </w:p>
        </w:tc>
        <w:tc>
          <w:tcPr>
            <w:tcW w:w="393" w:type="pct"/>
            <w:shd w:val="clear" w:color="auto" w:fill="FFFFFF" w:themeFill="background1"/>
            <w:vAlign w:val="center"/>
          </w:tcPr>
          <w:p w:rsidR="00181B2A" w:rsidRPr="00A3293D" w:rsidRDefault="00181B2A" w:rsidP="00C4575E">
            <w:pPr>
              <w:pStyle w:val="TableBodyText"/>
            </w:pPr>
            <w:r>
              <w:t>1.5</w:t>
            </w:r>
            <w:r w:rsidR="00B60F3B">
              <w:br/>
              <w:t xml:space="preserve">± </w:t>
            </w:r>
            <w:r>
              <w:t>1.1</w:t>
            </w:r>
          </w:p>
        </w:tc>
        <w:tc>
          <w:tcPr>
            <w:tcW w:w="393" w:type="pct"/>
            <w:shd w:val="clear" w:color="auto" w:fill="FFFFFF" w:themeFill="background1"/>
            <w:vAlign w:val="center"/>
          </w:tcPr>
          <w:p w:rsidR="00181B2A" w:rsidRPr="00A3293D" w:rsidRDefault="00181B2A" w:rsidP="00C4575E">
            <w:pPr>
              <w:pStyle w:val="TableBodyText"/>
            </w:pPr>
            <w:proofErr w:type="spellStart"/>
            <w:r>
              <w:t>np</w:t>
            </w:r>
            <w:proofErr w:type="spellEnd"/>
            <w:r>
              <w:t xml:space="preserve"> </w:t>
            </w:r>
          </w:p>
        </w:tc>
        <w:tc>
          <w:tcPr>
            <w:tcW w:w="393" w:type="pct"/>
            <w:shd w:val="clear" w:color="auto" w:fill="FFFFFF" w:themeFill="background1"/>
            <w:vAlign w:val="center"/>
          </w:tcPr>
          <w:p w:rsidR="00181B2A" w:rsidRPr="00A3293D" w:rsidRDefault="00181B2A" w:rsidP="00C4575E">
            <w:pPr>
              <w:pStyle w:val="TableBodyText"/>
            </w:pPr>
            <w:r>
              <w:t>3.3</w:t>
            </w:r>
            <w:r w:rsidR="00B60F3B">
              <w:br/>
              <w:t xml:space="preserve">± </w:t>
            </w:r>
            <w:r>
              <w:t>2.9</w:t>
            </w:r>
          </w:p>
        </w:tc>
        <w:tc>
          <w:tcPr>
            <w:tcW w:w="497" w:type="pct"/>
            <w:shd w:val="clear" w:color="auto" w:fill="FFFFFF" w:themeFill="background1"/>
            <w:vAlign w:val="center"/>
          </w:tcPr>
          <w:p w:rsidR="00181B2A" w:rsidRPr="00A3293D" w:rsidRDefault="00181B2A" w:rsidP="00C4575E">
            <w:pPr>
              <w:pStyle w:val="TableBodyText"/>
            </w:pPr>
            <w:proofErr w:type="spellStart"/>
            <w:r>
              <w:t>np</w:t>
            </w:r>
            <w:proofErr w:type="spellEnd"/>
          </w:p>
        </w:tc>
        <w:tc>
          <w:tcPr>
            <w:tcW w:w="392" w:type="pct"/>
            <w:shd w:val="clear" w:color="auto" w:fill="FFFFFF" w:themeFill="background1"/>
            <w:vAlign w:val="center"/>
          </w:tcPr>
          <w:p w:rsidR="00181B2A" w:rsidRPr="00A3293D" w:rsidRDefault="00181B2A" w:rsidP="00B60F3B">
            <w:pPr>
              <w:pStyle w:val="TableBodyText"/>
            </w:pPr>
            <w:r>
              <w:t>2.8</w:t>
            </w:r>
            <w:r w:rsidR="00B60F3B">
              <w:br/>
            </w:r>
            <w:r w:rsidRPr="00BF486D">
              <w:t xml:space="preserve">± </w:t>
            </w:r>
            <w:r>
              <w:t>0.6</w:t>
            </w:r>
          </w:p>
        </w:tc>
        <w:tc>
          <w:tcPr>
            <w:tcW w:w="481" w:type="pct"/>
            <w:gridSpan w:val="2"/>
            <w:shd w:val="clear" w:color="auto" w:fill="FFFFFF" w:themeFill="background1"/>
          </w:tcPr>
          <w:p w:rsidR="00181B2A" w:rsidRPr="00A3293D" w:rsidRDefault="00181B2A" w:rsidP="00FF7960">
            <w:pPr>
              <w:pStyle w:val="TableBodyText"/>
            </w:pPr>
            <w:r>
              <w:t>3A.</w:t>
            </w:r>
            <w:r w:rsidRPr="00C36189">
              <w:rPr>
                <w:shd w:val="clear" w:color="auto" w:fill="FFFFFF" w:themeFill="background1"/>
              </w:rPr>
              <w:t>5</w:t>
            </w:r>
            <w:r w:rsidR="00FF7960" w:rsidRPr="00C36189">
              <w:rPr>
                <w:shd w:val="clear" w:color="auto" w:fill="FFFFFF" w:themeFill="background1"/>
              </w:rPr>
              <w:t>3</w:t>
            </w:r>
          </w:p>
        </w:tc>
      </w:tr>
      <w:tr w:rsidR="00181B2A" w:rsidRPr="00B817EA" w:rsidTr="00C4575E">
        <w:tc>
          <w:tcPr>
            <w:tcW w:w="5000" w:type="pct"/>
            <w:gridSpan w:val="15"/>
            <w:shd w:val="clear" w:color="auto" w:fill="auto"/>
          </w:tcPr>
          <w:p w:rsidR="00181B2A" w:rsidRDefault="00181B2A" w:rsidP="00C4575E">
            <w:pPr>
              <w:pStyle w:val="Continued"/>
            </w:pPr>
            <w:r>
              <w:t>(continued)</w:t>
            </w:r>
          </w:p>
        </w:tc>
      </w:tr>
    </w:tbl>
    <w:p w:rsidR="00181B2A" w:rsidRDefault="00181B2A" w:rsidP="00181B2A">
      <w:pPr>
        <w:pStyle w:val="TableTitle"/>
      </w:pPr>
      <w:r w:rsidRPr="002E6718">
        <w:rPr>
          <w:b w:val="0"/>
        </w:rPr>
        <w:lastRenderedPageBreak/>
        <w:t xml:space="preserve">Table </w:t>
      </w:r>
      <w:r w:rsidRPr="00A871B3">
        <w:rPr>
          <w:b w:val="0"/>
        </w:rPr>
        <w:t>B.1</w:t>
      </w:r>
      <w:r w:rsidRPr="00C50A9D">
        <w:tab/>
      </w:r>
      <w:r w:rsidRPr="00440B96">
        <w:rPr>
          <w:b w:val="0"/>
        </w:rPr>
        <w:t>(continued)</w:t>
      </w:r>
    </w:p>
    <w:tbl>
      <w:tblPr>
        <w:tblW w:w="5008" w:type="pct"/>
        <w:tblLayout w:type="fixed"/>
        <w:tblCellMar>
          <w:left w:w="0" w:type="dxa"/>
          <w:right w:w="0" w:type="dxa"/>
        </w:tblCellMar>
        <w:tblLook w:val="0000" w:firstRow="0" w:lastRow="0" w:firstColumn="0" w:lastColumn="0" w:noHBand="0" w:noVBand="0"/>
      </w:tblPr>
      <w:tblGrid>
        <w:gridCol w:w="1277"/>
        <w:gridCol w:w="283"/>
        <w:gridCol w:w="681"/>
        <w:gridCol w:w="690"/>
        <w:gridCol w:w="692"/>
        <w:gridCol w:w="692"/>
        <w:gridCol w:w="692"/>
        <w:gridCol w:w="692"/>
        <w:gridCol w:w="692"/>
        <w:gridCol w:w="875"/>
        <w:gridCol w:w="690"/>
        <w:gridCol w:w="847"/>
      </w:tblGrid>
      <w:tr w:rsidR="00181B2A" w:rsidRPr="00B817EA" w:rsidTr="00C4575E">
        <w:tc>
          <w:tcPr>
            <w:tcW w:w="886" w:type="pct"/>
            <w:gridSpan w:val="2"/>
            <w:tcBorders>
              <w:top w:val="single" w:sz="6" w:space="0" w:color="auto"/>
              <w:bottom w:val="single" w:sz="6" w:space="0" w:color="auto"/>
            </w:tcBorders>
            <w:shd w:val="clear" w:color="auto" w:fill="auto"/>
          </w:tcPr>
          <w:p w:rsidR="00181B2A" w:rsidRPr="00B817EA" w:rsidRDefault="00181B2A" w:rsidP="00C4575E">
            <w:pPr>
              <w:pStyle w:val="TableColumnHeading"/>
              <w:jc w:val="left"/>
            </w:pPr>
          </w:p>
        </w:tc>
        <w:tc>
          <w:tcPr>
            <w:tcW w:w="387" w:type="pct"/>
            <w:tcBorders>
              <w:top w:val="single" w:sz="6" w:space="0" w:color="auto"/>
              <w:bottom w:val="single" w:sz="6" w:space="0" w:color="auto"/>
            </w:tcBorders>
            <w:shd w:val="clear" w:color="auto" w:fill="auto"/>
          </w:tcPr>
          <w:p w:rsidR="00181B2A" w:rsidRPr="00B817EA" w:rsidRDefault="00181B2A" w:rsidP="00C4575E">
            <w:pPr>
              <w:pStyle w:val="TableColumnHeading"/>
            </w:pPr>
            <w:r w:rsidRPr="00B817EA">
              <w:t>NSW</w:t>
            </w:r>
          </w:p>
        </w:tc>
        <w:tc>
          <w:tcPr>
            <w:tcW w:w="392" w:type="pct"/>
            <w:tcBorders>
              <w:top w:val="single" w:sz="6" w:space="0" w:color="auto"/>
              <w:bottom w:val="single" w:sz="6" w:space="0" w:color="auto"/>
            </w:tcBorders>
            <w:shd w:val="clear" w:color="auto" w:fill="auto"/>
          </w:tcPr>
          <w:p w:rsidR="00181B2A" w:rsidRPr="00B817EA" w:rsidRDefault="00181B2A" w:rsidP="00C4575E">
            <w:pPr>
              <w:pStyle w:val="TableColumnHeading"/>
            </w:pPr>
            <w:r w:rsidRPr="00B817EA">
              <w:t>Vic</w:t>
            </w:r>
          </w:p>
        </w:tc>
        <w:tc>
          <w:tcPr>
            <w:tcW w:w="393" w:type="pct"/>
            <w:tcBorders>
              <w:top w:val="single" w:sz="6" w:space="0" w:color="auto"/>
              <w:bottom w:val="single" w:sz="6" w:space="0" w:color="auto"/>
            </w:tcBorders>
            <w:shd w:val="clear" w:color="auto" w:fill="auto"/>
          </w:tcPr>
          <w:p w:rsidR="00181B2A" w:rsidRPr="00B817EA" w:rsidRDefault="00181B2A" w:rsidP="00C4575E">
            <w:pPr>
              <w:pStyle w:val="TableColumnHeading"/>
            </w:pPr>
            <w:r w:rsidRPr="00B817EA">
              <w:t>Qld</w:t>
            </w:r>
          </w:p>
        </w:tc>
        <w:tc>
          <w:tcPr>
            <w:tcW w:w="393" w:type="pct"/>
            <w:tcBorders>
              <w:top w:val="single" w:sz="6" w:space="0" w:color="auto"/>
              <w:bottom w:val="single" w:sz="6" w:space="0" w:color="auto"/>
            </w:tcBorders>
            <w:shd w:val="clear" w:color="auto" w:fill="auto"/>
          </w:tcPr>
          <w:p w:rsidR="00181B2A" w:rsidRPr="00B817EA" w:rsidRDefault="00181B2A" w:rsidP="00C4575E">
            <w:pPr>
              <w:pStyle w:val="TableColumnHeading"/>
            </w:pPr>
            <w:r w:rsidRPr="00B817EA">
              <w:t>WA</w:t>
            </w:r>
          </w:p>
        </w:tc>
        <w:tc>
          <w:tcPr>
            <w:tcW w:w="393" w:type="pct"/>
            <w:tcBorders>
              <w:top w:val="single" w:sz="6" w:space="0" w:color="auto"/>
              <w:bottom w:val="single" w:sz="6" w:space="0" w:color="auto"/>
            </w:tcBorders>
            <w:shd w:val="clear" w:color="auto" w:fill="auto"/>
          </w:tcPr>
          <w:p w:rsidR="00181B2A" w:rsidRPr="00B817EA" w:rsidRDefault="00181B2A" w:rsidP="00C4575E">
            <w:pPr>
              <w:pStyle w:val="TableColumnHeading"/>
            </w:pPr>
            <w:r w:rsidRPr="00B817EA">
              <w:t>SA</w:t>
            </w:r>
          </w:p>
        </w:tc>
        <w:tc>
          <w:tcPr>
            <w:tcW w:w="393" w:type="pct"/>
            <w:tcBorders>
              <w:top w:val="single" w:sz="6" w:space="0" w:color="auto"/>
              <w:bottom w:val="single" w:sz="6" w:space="0" w:color="auto"/>
            </w:tcBorders>
            <w:shd w:val="clear" w:color="auto" w:fill="auto"/>
          </w:tcPr>
          <w:p w:rsidR="00181B2A" w:rsidRPr="00B817EA" w:rsidRDefault="00181B2A" w:rsidP="00C4575E">
            <w:pPr>
              <w:pStyle w:val="TableColumnHeading"/>
            </w:pPr>
            <w:proofErr w:type="spellStart"/>
            <w:r w:rsidRPr="00B817EA">
              <w:t>Tas</w:t>
            </w:r>
            <w:proofErr w:type="spellEnd"/>
          </w:p>
        </w:tc>
        <w:tc>
          <w:tcPr>
            <w:tcW w:w="393" w:type="pct"/>
            <w:tcBorders>
              <w:top w:val="single" w:sz="6" w:space="0" w:color="auto"/>
              <w:bottom w:val="single" w:sz="6" w:space="0" w:color="auto"/>
            </w:tcBorders>
            <w:shd w:val="clear" w:color="auto" w:fill="auto"/>
          </w:tcPr>
          <w:p w:rsidR="00181B2A" w:rsidRPr="00B817EA" w:rsidRDefault="00181B2A" w:rsidP="00C4575E">
            <w:pPr>
              <w:pStyle w:val="TableColumnHeading"/>
            </w:pPr>
            <w:r w:rsidRPr="00B817EA">
              <w:t>ACT</w:t>
            </w:r>
          </w:p>
        </w:tc>
        <w:tc>
          <w:tcPr>
            <w:tcW w:w="497" w:type="pct"/>
            <w:tcBorders>
              <w:top w:val="single" w:sz="6" w:space="0" w:color="auto"/>
              <w:bottom w:val="single" w:sz="6" w:space="0" w:color="auto"/>
            </w:tcBorders>
            <w:shd w:val="clear" w:color="auto" w:fill="auto"/>
          </w:tcPr>
          <w:p w:rsidR="00181B2A" w:rsidRPr="00B817EA" w:rsidRDefault="00181B2A" w:rsidP="00C4575E">
            <w:pPr>
              <w:pStyle w:val="TableColumnHeading"/>
            </w:pPr>
            <w:r w:rsidRPr="00B817EA">
              <w:t>NT</w:t>
            </w:r>
          </w:p>
        </w:tc>
        <w:tc>
          <w:tcPr>
            <w:tcW w:w="392" w:type="pct"/>
            <w:tcBorders>
              <w:top w:val="single" w:sz="6" w:space="0" w:color="auto"/>
              <w:bottom w:val="single" w:sz="6" w:space="0" w:color="auto"/>
            </w:tcBorders>
          </w:tcPr>
          <w:p w:rsidR="00181B2A" w:rsidRPr="00B817EA" w:rsidRDefault="00181B2A" w:rsidP="00C4575E">
            <w:pPr>
              <w:pStyle w:val="TableColumnHeading"/>
            </w:pPr>
            <w:proofErr w:type="spellStart"/>
            <w:r w:rsidRPr="00B817EA">
              <w:t>Aust</w:t>
            </w:r>
            <w:proofErr w:type="spellEnd"/>
          </w:p>
        </w:tc>
        <w:tc>
          <w:tcPr>
            <w:tcW w:w="481" w:type="pct"/>
            <w:tcBorders>
              <w:top w:val="single" w:sz="6" w:space="0" w:color="auto"/>
              <w:bottom w:val="single" w:sz="6" w:space="0" w:color="auto"/>
            </w:tcBorders>
          </w:tcPr>
          <w:p w:rsidR="00181B2A" w:rsidRPr="00B817EA" w:rsidRDefault="00181B2A" w:rsidP="00C4575E">
            <w:pPr>
              <w:pStyle w:val="TableColumnHeading"/>
            </w:pPr>
            <w:r w:rsidRPr="00B817EA">
              <w:t>Source</w:t>
            </w:r>
          </w:p>
        </w:tc>
      </w:tr>
      <w:tr w:rsidR="00181B2A" w:rsidRPr="00B817EA" w:rsidTr="00C4575E">
        <w:tc>
          <w:tcPr>
            <w:tcW w:w="5000" w:type="pct"/>
            <w:gridSpan w:val="12"/>
            <w:shd w:val="clear" w:color="auto" w:fill="auto"/>
          </w:tcPr>
          <w:p w:rsidR="00181B2A" w:rsidRPr="00B817EA" w:rsidRDefault="00181B2A" w:rsidP="00C4575E">
            <w:pPr>
              <w:pStyle w:val="TableColumnHeading"/>
              <w:jc w:val="left"/>
            </w:pPr>
            <w:r>
              <w:t>Demand for formal care</w:t>
            </w:r>
            <w:r>
              <w:br/>
            </w:r>
            <w:r w:rsidRPr="00D65987">
              <w:rPr>
                <w:i w:val="0"/>
                <w:sz w:val="16"/>
                <w:szCs w:val="16"/>
              </w:rPr>
              <w:t>Most recent data for all measures are comparable and complete (chapter 3)</w:t>
            </w:r>
          </w:p>
        </w:tc>
      </w:tr>
      <w:tr w:rsidR="00181B2A" w:rsidRPr="00B817EA" w:rsidTr="00C4575E">
        <w:tc>
          <w:tcPr>
            <w:tcW w:w="5000" w:type="pct"/>
            <w:gridSpan w:val="12"/>
            <w:shd w:val="clear" w:color="auto" w:fill="auto"/>
          </w:tcPr>
          <w:p w:rsidR="00181B2A" w:rsidRPr="00B817EA" w:rsidRDefault="00181B2A" w:rsidP="00C4575E">
            <w:pPr>
              <w:pStyle w:val="TableColumnHeading"/>
              <w:jc w:val="left"/>
            </w:pPr>
            <w:r w:rsidRPr="00484763">
              <w:t>Pr</w:t>
            </w:r>
            <w:r>
              <w:t>oportion of children aged 0–12 years who required any/additional formal child care or preschool</w:t>
            </w:r>
            <w:r w:rsidRPr="00484763">
              <w:t>, 2011</w:t>
            </w:r>
          </w:p>
        </w:tc>
      </w:tr>
      <w:tr w:rsidR="00181B2A" w:rsidRPr="00B817EA" w:rsidTr="00C4575E">
        <w:tc>
          <w:tcPr>
            <w:tcW w:w="725" w:type="pct"/>
            <w:shd w:val="clear" w:color="auto" w:fill="auto"/>
          </w:tcPr>
          <w:p w:rsidR="00181B2A" w:rsidRPr="00B817EA" w:rsidRDefault="00181B2A" w:rsidP="00C4575E">
            <w:pPr>
              <w:pStyle w:val="TableBodyText"/>
              <w:jc w:val="left"/>
            </w:pPr>
          </w:p>
        </w:tc>
        <w:tc>
          <w:tcPr>
            <w:tcW w:w="161" w:type="pct"/>
            <w:shd w:val="clear" w:color="auto" w:fill="auto"/>
          </w:tcPr>
          <w:p w:rsidR="00181B2A" w:rsidRPr="00B817EA" w:rsidRDefault="00181B2A" w:rsidP="00C4575E">
            <w:pPr>
              <w:pStyle w:val="TableBodyText"/>
              <w:jc w:val="left"/>
            </w:pPr>
            <w:r>
              <w:t>%</w:t>
            </w:r>
          </w:p>
        </w:tc>
        <w:tc>
          <w:tcPr>
            <w:tcW w:w="387" w:type="pct"/>
            <w:shd w:val="clear" w:color="auto" w:fill="FFFFFF" w:themeFill="background1"/>
            <w:vAlign w:val="center"/>
          </w:tcPr>
          <w:p w:rsidR="00181B2A" w:rsidRPr="00A3293D" w:rsidRDefault="00181B2A" w:rsidP="00C4575E">
            <w:pPr>
              <w:pStyle w:val="TableBodyText"/>
            </w:pPr>
            <w:r w:rsidRPr="00A3293D">
              <w:t>17.0</w:t>
            </w:r>
            <w:r w:rsidR="00B60F3B">
              <w:br/>
              <w:t>±</w:t>
            </w:r>
            <w:r w:rsidRPr="00BF486D">
              <w:t xml:space="preserve"> </w:t>
            </w:r>
            <w:r>
              <w:t>1.9</w:t>
            </w:r>
          </w:p>
        </w:tc>
        <w:tc>
          <w:tcPr>
            <w:tcW w:w="392" w:type="pct"/>
            <w:shd w:val="clear" w:color="auto" w:fill="FFFFFF" w:themeFill="background1"/>
            <w:vAlign w:val="center"/>
          </w:tcPr>
          <w:p w:rsidR="00181B2A" w:rsidRPr="00A3293D" w:rsidRDefault="00181B2A" w:rsidP="00C4575E">
            <w:pPr>
              <w:pStyle w:val="TableBodyText"/>
            </w:pPr>
            <w:r w:rsidRPr="00A3293D">
              <w:t>17.7</w:t>
            </w:r>
            <w:r w:rsidR="00B60F3B">
              <w:br/>
              <w:t xml:space="preserve">± </w:t>
            </w:r>
            <w:r>
              <w:t>2.3</w:t>
            </w:r>
          </w:p>
        </w:tc>
        <w:tc>
          <w:tcPr>
            <w:tcW w:w="393" w:type="pct"/>
            <w:shd w:val="clear" w:color="auto" w:fill="FFFFFF" w:themeFill="background1"/>
            <w:vAlign w:val="center"/>
          </w:tcPr>
          <w:p w:rsidR="00181B2A" w:rsidRPr="00A3293D" w:rsidRDefault="00181B2A" w:rsidP="00C4575E">
            <w:pPr>
              <w:pStyle w:val="TableBodyText"/>
            </w:pPr>
            <w:r w:rsidRPr="00A3293D">
              <w:t>14.9</w:t>
            </w:r>
            <w:r w:rsidR="00B60F3B">
              <w:br/>
              <w:t>±</w:t>
            </w:r>
            <w:r w:rsidRPr="00BF486D">
              <w:t xml:space="preserve"> </w:t>
            </w:r>
            <w:r>
              <w:t>2.3</w:t>
            </w:r>
          </w:p>
        </w:tc>
        <w:tc>
          <w:tcPr>
            <w:tcW w:w="393" w:type="pct"/>
            <w:shd w:val="clear" w:color="auto" w:fill="FFFFFF" w:themeFill="background1"/>
            <w:vAlign w:val="center"/>
          </w:tcPr>
          <w:p w:rsidR="00181B2A" w:rsidRPr="00A3293D" w:rsidRDefault="00181B2A" w:rsidP="00C4575E">
            <w:pPr>
              <w:pStyle w:val="TableBodyText"/>
            </w:pPr>
            <w:r w:rsidRPr="00A3293D">
              <w:t>16.5</w:t>
            </w:r>
            <w:r w:rsidR="00B60F3B">
              <w:br/>
              <w:t>±</w:t>
            </w:r>
            <w:r w:rsidRPr="00BF486D">
              <w:t xml:space="preserve"> </w:t>
            </w:r>
            <w:r>
              <w:t>1.8</w:t>
            </w:r>
            <w:r w:rsidRPr="00A3293D">
              <w:t xml:space="preserve"> </w:t>
            </w:r>
          </w:p>
        </w:tc>
        <w:tc>
          <w:tcPr>
            <w:tcW w:w="393" w:type="pct"/>
            <w:shd w:val="clear" w:color="auto" w:fill="FFFFFF" w:themeFill="background1"/>
            <w:vAlign w:val="center"/>
          </w:tcPr>
          <w:p w:rsidR="00181B2A" w:rsidRPr="00A3293D" w:rsidRDefault="00181B2A" w:rsidP="00C4575E">
            <w:pPr>
              <w:pStyle w:val="TableBodyText"/>
            </w:pPr>
            <w:r w:rsidRPr="00A3293D">
              <w:t>12.9</w:t>
            </w:r>
            <w:r w:rsidR="00B60F3B">
              <w:br/>
              <w:t>±</w:t>
            </w:r>
            <w:r w:rsidRPr="00BF486D">
              <w:t xml:space="preserve"> </w:t>
            </w:r>
            <w:r>
              <w:t>2.5</w:t>
            </w:r>
          </w:p>
        </w:tc>
        <w:tc>
          <w:tcPr>
            <w:tcW w:w="393" w:type="pct"/>
            <w:shd w:val="clear" w:color="auto" w:fill="FFFFFF" w:themeFill="background1"/>
            <w:vAlign w:val="center"/>
          </w:tcPr>
          <w:p w:rsidR="00181B2A" w:rsidRPr="00A3293D" w:rsidRDefault="00181B2A" w:rsidP="00C4575E">
            <w:pPr>
              <w:pStyle w:val="TableBodyText"/>
            </w:pPr>
            <w:r w:rsidRPr="00A3293D">
              <w:t>15.6</w:t>
            </w:r>
            <w:r w:rsidR="00B60F3B">
              <w:br/>
              <w:t>±</w:t>
            </w:r>
            <w:r w:rsidRPr="00BF486D">
              <w:t xml:space="preserve"> </w:t>
            </w:r>
            <w:r>
              <w:t>4</w:t>
            </w:r>
            <w:r w:rsidRPr="00BF486D">
              <w:t>.0</w:t>
            </w:r>
          </w:p>
        </w:tc>
        <w:tc>
          <w:tcPr>
            <w:tcW w:w="393" w:type="pct"/>
            <w:shd w:val="clear" w:color="auto" w:fill="FFFFFF" w:themeFill="background1"/>
            <w:vAlign w:val="center"/>
          </w:tcPr>
          <w:p w:rsidR="00181B2A" w:rsidRPr="00A3293D" w:rsidRDefault="00181B2A" w:rsidP="00C4575E">
            <w:pPr>
              <w:pStyle w:val="TableBodyText"/>
            </w:pPr>
            <w:r w:rsidRPr="00A3293D">
              <w:t>20.6</w:t>
            </w:r>
            <w:r w:rsidR="00B60F3B">
              <w:br/>
              <w:t>±</w:t>
            </w:r>
            <w:r w:rsidRPr="00BF486D">
              <w:t xml:space="preserve"> </w:t>
            </w:r>
            <w:r>
              <w:t>4.8</w:t>
            </w:r>
          </w:p>
        </w:tc>
        <w:tc>
          <w:tcPr>
            <w:tcW w:w="497" w:type="pct"/>
            <w:shd w:val="clear" w:color="auto" w:fill="FFFFFF" w:themeFill="background1"/>
            <w:vAlign w:val="center"/>
          </w:tcPr>
          <w:p w:rsidR="00181B2A" w:rsidRPr="00A3293D" w:rsidRDefault="00181B2A" w:rsidP="00C4575E">
            <w:pPr>
              <w:pStyle w:val="TableBodyText"/>
            </w:pPr>
            <w:r w:rsidRPr="00A3293D">
              <w:t>15.6</w:t>
            </w:r>
            <w:r w:rsidR="00B60F3B">
              <w:br/>
              <w:t xml:space="preserve">± </w:t>
            </w:r>
            <w:r>
              <w:t>5.3</w:t>
            </w:r>
          </w:p>
        </w:tc>
        <w:tc>
          <w:tcPr>
            <w:tcW w:w="392" w:type="pct"/>
            <w:shd w:val="clear" w:color="auto" w:fill="FFFFFF" w:themeFill="background1"/>
            <w:vAlign w:val="center"/>
          </w:tcPr>
          <w:p w:rsidR="00181B2A" w:rsidRPr="00A3293D" w:rsidRDefault="00181B2A" w:rsidP="00C4575E">
            <w:pPr>
              <w:pStyle w:val="TableBodyText"/>
            </w:pPr>
            <w:r w:rsidRPr="00A3293D">
              <w:t>16.4</w:t>
            </w:r>
            <w:r w:rsidR="00B60F3B">
              <w:br/>
              <w:t>±</w:t>
            </w:r>
            <w:r w:rsidRPr="00BF486D">
              <w:t xml:space="preserve"> </w:t>
            </w:r>
            <w:r>
              <w:t>0.9</w:t>
            </w:r>
          </w:p>
        </w:tc>
        <w:tc>
          <w:tcPr>
            <w:tcW w:w="481" w:type="pct"/>
          </w:tcPr>
          <w:p w:rsidR="00181B2A" w:rsidRPr="00B817EA" w:rsidRDefault="00181B2A" w:rsidP="00FF7960">
            <w:pPr>
              <w:pStyle w:val="TableBodyText"/>
            </w:pPr>
            <w:r>
              <w:t>3A.</w:t>
            </w:r>
            <w:r w:rsidRPr="00C36189">
              <w:rPr>
                <w:shd w:val="clear" w:color="auto" w:fill="FFFFFF" w:themeFill="background1"/>
              </w:rPr>
              <w:t>5</w:t>
            </w:r>
            <w:r w:rsidR="00FF7960" w:rsidRPr="00C36189">
              <w:rPr>
                <w:shd w:val="clear" w:color="auto" w:fill="FFFFFF" w:themeFill="background1"/>
              </w:rPr>
              <w:t>4</w:t>
            </w:r>
          </w:p>
        </w:tc>
      </w:tr>
      <w:tr w:rsidR="00181B2A" w:rsidRPr="00B817EA" w:rsidTr="00C4575E">
        <w:tc>
          <w:tcPr>
            <w:tcW w:w="5000" w:type="pct"/>
            <w:gridSpan w:val="12"/>
            <w:shd w:val="clear" w:color="auto" w:fill="auto"/>
          </w:tcPr>
          <w:p w:rsidR="00181B2A" w:rsidRDefault="00181B2A" w:rsidP="00C4575E">
            <w:pPr>
              <w:pStyle w:val="TableColumnHeading"/>
              <w:jc w:val="left"/>
            </w:pPr>
            <w:r>
              <w:t>Out-of-pocket costs (families with two children in full time centre-based long day care as a proportion of weekly disposable income for gross annual income $75 000), 2013</w:t>
            </w:r>
            <w:r>
              <w:br/>
            </w:r>
            <w:r w:rsidRPr="00D65987">
              <w:rPr>
                <w:i w:val="0"/>
                <w:sz w:val="16"/>
                <w:szCs w:val="16"/>
              </w:rPr>
              <w:t>Most recent data for all measures are comparable and complete (chapter 3)</w:t>
            </w:r>
          </w:p>
        </w:tc>
      </w:tr>
      <w:tr w:rsidR="00181B2A" w:rsidRPr="00675861" w:rsidTr="00C4575E">
        <w:tc>
          <w:tcPr>
            <w:tcW w:w="725" w:type="pct"/>
            <w:shd w:val="clear" w:color="auto" w:fill="auto"/>
          </w:tcPr>
          <w:p w:rsidR="00181B2A" w:rsidRPr="00B817EA" w:rsidRDefault="00181B2A" w:rsidP="00C4575E">
            <w:pPr>
              <w:pStyle w:val="TableBodyText"/>
              <w:jc w:val="left"/>
            </w:pPr>
            <w:r>
              <w:t>Before subsidy</w:t>
            </w:r>
          </w:p>
        </w:tc>
        <w:tc>
          <w:tcPr>
            <w:tcW w:w="161" w:type="pct"/>
            <w:shd w:val="clear" w:color="auto" w:fill="auto"/>
          </w:tcPr>
          <w:p w:rsidR="00181B2A" w:rsidRPr="00B817EA" w:rsidRDefault="00181B2A" w:rsidP="00C4575E">
            <w:pPr>
              <w:pStyle w:val="TableBodyText"/>
              <w:jc w:val="left"/>
            </w:pPr>
            <w:r>
              <w:t>%</w:t>
            </w:r>
          </w:p>
        </w:tc>
        <w:tc>
          <w:tcPr>
            <w:tcW w:w="387" w:type="pct"/>
            <w:shd w:val="clear" w:color="auto" w:fill="auto"/>
            <w:vAlign w:val="center"/>
          </w:tcPr>
          <w:p w:rsidR="00181B2A" w:rsidRPr="00A3293D" w:rsidRDefault="00181B2A" w:rsidP="00C4575E">
            <w:pPr>
              <w:pStyle w:val="TableBodyText"/>
            </w:pPr>
            <w:r>
              <w:t>53.6</w:t>
            </w:r>
          </w:p>
        </w:tc>
        <w:tc>
          <w:tcPr>
            <w:tcW w:w="392" w:type="pct"/>
            <w:shd w:val="clear" w:color="auto" w:fill="auto"/>
            <w:vAlign w:val="center"/>
          </w:tcPr>
          <w:p w:rsidR="00181B2A" w:rsidRPr="00A3293D" w:rsidRDefault="00181B2A" w:rsidP="00C4575E">
            <w:pPr>
              <w:pStyle w:val="TableBodyText"/>
            </w:pPr>
            <w:r>
              <w:t>53.4</w:t>
            </w:r>
          </w:p>
        </w:tc>
        <w:tc>
          <w:tcPr>
            <w:tcW w:w="393" w:type="pct"/>
            <w:shd w:val="clear" w:color="auto" w:fill="auto"/>
            <w:vAlign w:val="center"/>
          </w:tcPr>
          <w:p w:rsidR="00181B2A" w:rsidRPr="00A3293D" w:rsidRDefault="00181B2A" w:rsidP="00C4575E">
            <w:pPr>
              <w:pStyle w:val="TableBodyText"/>
            </w:pPr>
            <w:r>
              <w:t>47.6</w:t>
            </w:r>
          </w:p>
        </w:tc>
        <w:tc>
          <w:tcPr>
            <w:tcW w:w="393" w:type="pct"/>
            <w:shd w:val="clear" w:color="auto" w:fill="auto"/>
            <w:vAlign w:val="center"/>
          </w:tcPr>
          <w:p w:rsidR="00181B2A" w:rsidRPr="00A3293D" w:rsidRDefault="00181B2A" w:rsidP="00C4575E">
            <w:pPr>
              <w:pStyle w:val="TableBodyText"/>
            </w:pPr>
            <w:r>
              <w:t>54.3</w:t>
            </w:r>
          </w:p>
        </w:tc>
        <w:tc>
          <w:tcPr>
            <w:tcW w:w="393" w:type="pct"/>
            <w:shd w:val="clear" w:color="auto" w:fill="auto"/>
            <w:vAlign w:val="center"/>
          </w:tcPr>
          <w:p w:rsidR="00181B2A" w:rsidRPr="00A3293D" w:rsidRDefault="00181B2A" w:rsidP="00C4575E">
            <w:pPr>
              <w:pStyle w:val="TableBodyText"/>
            </w:pPr>
            <w:r>
              <w:t>49.9</w:t>
            </w:r>
          </w:p>
        </w:tc>
        <w:tc>
          <w:tcPr>
            <w:tcW w:w="393" w:type="pct"/>
            <w:shd w:val="clear" w:color="auto" w:fill="auto"/>
            <w:vAlign w:val="center"/>
          </w:tcPr>
          <w:p w:rsidR="00181B2A" w:rsidRPr="00A3293D" w:rsidRDefault="00181B2A" w:rsidP="00C4575E">
            <w:pPr>
              <w:pStyle w:val="TableBodyText"/>
            </w:pPr>
            <w:r>
              <w:t>49.6</w:t>
            </w:r>
          </w:p>
        </w:tc>
        <w:tc>
          <w:tcPr>
            <w:tcW w:w="393" w:type="pct"/>
            <w:shd w:val="clear" w:color="auto" w:fill="auto"/>
            <w:vAlign w:val="center"/>
          </w:tcPr>
          <w:p w:rsidR="00181B2A" w:rsidRPr="00A3293D" w:rsidRDefault="00181B2A" w:rsidP="00C4575E">
            <w:pPr>
              <w:pStyle w:val="TableBodyText"/>
            </w:pPr>
            <w:r>
              <w:t>63.6</w:t>
            </w:r>
          </w:p>
        </w:tc>
        <w:tc>
          <w:tcPr>
            <w:tcW w:w="497" w:type="pct"/>
            <w:shd w:val="clear" w:color="auto" w:fill="auto"/>
            <w:vAlign w:val="center"/>
          </w:tcPr>
          <w:p w:rsidR="00181B2A" w:rsidRPr="00A3293D" w:rsidRDefault="00181B2A" w:rsidP="00C4575E">
            <w:pPr>
              <w:pStyle w:val="TableBodyText"/>
            </w:pPr>
            <w:r>
              <w:t>50.8</w:t>
            </w:r>
          </w:p>
        </w:tc>
        <w:tc>
          <w:tcPr>
            <w:tcW w:w="392" w:type="pct"/>
            <w:shd w:val="clear" w:color="auto" w:fill="auto"/>
            <w:vAlign w:val="center"/>
          </w:tcPr>
          <w:p w:rsidR="00181B2A" w:rsidRPr="00A3293D" w:rsidRDefault="00181B2A" w:rsidP="00C4575E">
            <w:pPr>
              <w:pStyle w:val="TableBodyText"/>
            </w:pPr>
            <w:r>
              <w:t>51.5</w:t>
            </w:r>
          </w:p>
        </w:tc>
        <w:tc>
          <w:tcPr>
            <w:tcW w:w="481" w:type="pct"/>
            <w:shd w:val="clear" w:color="auto" w:fill="auto"/>
          </w:tcPr>
          <w:p w:rsidR="00181B2A" w:rsidRPr="00675861" w:rsidRDefault="00181B2A" w:rsidP="00FF7960">
            <w:pPr>
              <w:pStyle w:val="TableBodyText"/>
              <w:spacing w:before="120"/>
            </w:pPr>
            <w:r>
              <w:t>3A.</w:t>
            </w:r>
            <w:r w:rsidRPr="00C36189">
              <w:t>5</w:t>
            </w:r>
            <w:r w:rsidR="00FF7960" w:rsidRPr="00C36189">
              <w:t>7</w:t>
            </w:r>
          </w:p>
        </w:tc>
      </w:tr>
      <w:tr w:rsidR="00181B2A" w:rsidRPr="00B817EA" w:rsidTr="00C4575E">
        <w:tc>
          <w:tcPr>
            <w:tcW w:w="725" w:type="pct"/>
            <w:tcBorders>
              <w:bottom w:val="single" w:sz="6" w:space="0" w:color="auto"/>
            </w:tcBorders>
            <w:shd w:val="clear" w:color="auto" w:fill="auto"/>
          </w:tcPr>
          <w:p w:rsidR="00181B2A" w:rsidRPr="00B817EA" w:rsidRDefault="00181B2A" w:rsidP="00C4575E">
            <w:pPr>
              <w:pStyle w:val="TableBodyText"/>
              <w:jc w:val="left"/>
            </w:pPr>
            <w:r>
              <w:t>After subsidy</w:t>
            </w:r>
          </w:p>
        </w:tc>
        <w:tc>
          <w:tcPr>
            <w:tcW w:w="161" w:type="pct"/>
            <w:tcBorders>
              <w:bottom w:val="single" w:sz="6" w:space="0" w:color="auto"/>
            </w:tcBorders>
            <w:shd w:val="clear" w:color="auto" w:fill="auto"/>
          </w:tcPr>
          <w:p w:rsidR="00181B2A" w:rsidRPr="00B817EA" w:rsidRDefault="00181B2A" w:rsidP="00C4575E">
            <w:pPr>
              <w:pStyle w:val="TableBodyText"/>
              <w:jc w:val="left"/>
            </w:pPr>
            <w:r>
              <w:t>%</w:t>
            </w:r>
          </w:p>
        </w:tc>
        <w:tc>
          <w:tcPr>
            <w:tcW w:w="387" w:type="pct"/>
            <w:tcBorders>
              <w:bottom w:val="single" w:sz="6" w:space="0" w:color="auto"/>
            </w:tcBorders>
            <w:shd w:val="clear" w:color="auto" w:fill="auto"/>
            <w:vAlign w:val="center"/>
          </w:tcPr>
          <w:p w:rsidR="00181B2A" w:rsidRPr="00A3293D" w:rsidRDefault="00181B2A" w:rsidP="00C4575E">
            <w:pPr>
              <w:pStyle w:val="TableBodyText"/>
            </w:pPr>
            <w:r>
              <w:t>15.5</w:t>
            </w:r>
          </w:p>
        </w:tc>
        <w:tc>
          <w:tcPr>
            <w:tcW w:w="392" w:type="pct"/>
            <w:tcBorders>
              <w:bottom w:val="single" w:sz="6" w:space="0" w:color="auto"/>
            </w:tcBorders>
            <w:shd w:val="clear" w:color="auto" w:fill="auto"/>
            <w:vAlign w:val="center"/>
          </w:tcPr>
          <w:p w:rsidR="00181B2A" w:rsidRPr="00A3293D" w:rsidRDefault="00181B2A" w:rsidP="00C4575E">
            <w:pPr>
              <w:pStyle w:val="TableBodyText"/>
            </w:pPr>
            <w:r>
              <w:t>15.3</w:t>
            </w:r>
          </w:p>
        </w:tc>
        <w:tc>
          <w:tcPr>
            <w:tcW w:w="393" w:type="pct"/>
            <w:tcBorders>
              <w:bottom w:val="single" w:sz="6" w:space="0" w:color="auto"/>
            </w:tcBorders>
            <w:shd w:val="clear" w:color="auto" w:fill="auto"/>
            <w:vAlign w:val="center"/>
          </w:tcPr>
          <w:p w:rsidR="00181B2A" w:rsidRPr="00A3293D" w:rsidRDefault="00181B2A" w:rsidP="00C4575E">
            <w:pPr>
              <w:pStyle w:val="TableBodyText"/>
            </w:pPr>
            <w:r>
              <w:t>12.4</w:t>
            </w:r>
          </w:p>
        </w:tc>
        <w:tc>
          <w:tcPr>
            <w:tcW w:w="393" w:type="pct"/>
            <w:tcBorders>
              <w:bottom w:val="single" w:sz="6" w:space="0" w:color="auto"/>
            </w:tcBorders>
            <w:shd w:val="clear" w:color="auto" w:fill="auto"/>
            <w:vAlign w:val="center"/>
          </w:tcPr>
          <w:p w:rsidR="00181B2A" w:rsidRPr="00A3293D" w:rsidRDefault="00181B2A" w:rsidP="00C4575E">
            <w:pPr>
              <w:pStyle w:val="TableBodyText"/>
            </w:pPr>
            <w:r>
              <w:t>15.8</w:t>
            </w:r>
          </w:p>
        </w:tc>
        <w:tc>
          <w:tcPr>
            <w:tcW w:w="393" w:type="pct"/>
            <w:tcBorders>
              <w:bottom w:val="single" w:sz="6" w:space="0" w:color="auto"/>
            </w:tcBorders>
            <w:shd w:val="clear" w:color="auto" w:fill="auto"/>
            <w:vAlign w:val="center"/>
          </w:tcPr>
          <w:p w:rsidR="00181B2A" w:rsidRPr="00A3293D" w:rsidRDefault="00181B2A" w:rsidP="00C4575E">
            <w:pPr>
              <w:pStyle w:val="TableBodyText"/>
            </w:pPr>
            <w:r>
              <w:t>13.6</w:t>
            </w:r>
          </w:p>
        </w:tc>
        <w:tc>
          <w:tcPr>
            <w:tcW w:w="393" w:type="pct"/>
            <w:tcBorders>
              <w:bottom w:val="single" w:sz="6" w:space="0" w:color="auto"/>
            </w:tcBorders>
            <w:shd w:val="clear" w:color="auto" w:fill="auto"/>
            <w:vAlign w:val="center"/>
          </w:tcPr>
          <w:p w:rsidR="00181B2A" w:rsidRPr="00A3293D" w:rsidRDefault="00181B2A" w:rsidP="00C4575E">
            <w:pPr>
              <w:pStyle w:val="TableBodyText"/>
            </w:pPr>
            <w:r>
              <w:t>13.5</w:t>
            </w:r>
          </w:p>
        </w:tc>
        <w:tc>
          <w:tcPr>
            <w:tcW w:w="393" w:type="pct"/>
            <w:tcBorders>
              <w:bottom w:val="single" w:sz="6" w:space="0" w:color="auto"/>
            </w:tcBorders>
            <w:shd w:val="clear" w:color="auto" w:fill="auto"/>
            <w:vAlign w:val="center"/>
          </w:tcPr>
          <w:p w:rsidR="00181B2A" w:rsidRPr="00A3293D" w:rsidRDefault="00181B2A" w:rsidP="00C4575E">
            <w:pPr>
              <w:pStyle w:val="TableBodyText"/>
            </w:pPr>
            <w:r>
              <w:t>20.5</w:t>
            </w:r>
          </w:p>
        </w:tc>
        <w:tc>
          <w:tcPr>
            <w:tcW w:w="497" w:type="pct"/>
            <w:tcBorders>
              <w:bottom w:val="single" w:sz="6" w:space="0" w:color="auto"/>
            </w:tcBorders>
            <w:shd w:val="clear" w:color="auto" w:fill="auto"/>
            <w:vAlign w:val="center"/>
          </w:tcPr>
          <w:p w:rsidR="00181B2A" w:rsidRPr="00A3293D" w:rsidRDefault="00181B2A" w:rsidP="00C4575E">
            <w:pPr>
              <w:pStyle w:val="TableBodyText"/>
            </w:pPr>
            <w:r>
              <w:t>14.0</w:t>
            </w:r>
          </w:p>
        </w:tc>
        <w:tc>
          <w:tcPr>
            <w:tcW w:w="392" w:type="pct"/>
            <w:tcBorders>
              <w:bottom w:val="single" w:sz="6" w:space="0" w:color="auto"/>
            </w:tcBorders>
            <w:shd w:val="clear" w:color="auto" w:fill="auto"/>
            <w:vAlign w:val="center"/>
          </w:tcPr>
          <w:p w:rsidR="00181B2A" w:rsidRPr="00A3293D" w:rsidRDefault="00181B2A" w:rsidP="00C4575E">
            <w:pPr>
              <w:pStyle w:val="TableBodyText"/>
            </w:pPr>
            <w:r>
              <w:t>14.4</w:t>
            </w:r>
          </w:p>
        </w:tc>
        <w:tc>
          <w:tcPr>
            <w:tcW w:w="481" w:type="pct"/>
            <w:tcBorders>
              <w:bottom w:val="single" w:sz="6" w:space="0" w:color="auto"/>
            </w:tcBorders>
            <w:shd w:val="clear" w:color="auto" w:fill="auto"/>
          </w:tcPr>
          <w:p w:rsidR="00181B2A" w:rsidRPr="00B817EA" w:rsidRDefault="00181B2A" w:rsidP="00C4575E">
            <w:pPr>
              <w:pStyle w:val="TableBodyText"/>
            </w:pPr>
          </w:p>
        </w:tc>
      </w:tr>
    </w:tbl>
    <w:p w:rsidR="00181B2A" w:rsidRPr="00B817EA" w:rsidRDefault="00181B2A" w:rsidP="00181B2A">
      <w:pPr>
        <w:pStyle w:val="Note"/>
      </w:pPr>
      <w:r w:rsidRPr="00482624">
        <w:rPr>
          <w:rStyle w:val="NoteLabel"/>
        </w:rPr>
        <w:t>a</w:t>
      </w:r>
      <w:r w:rsidRPr="00B817EA">
        <w:t xml:space="preserve"> Caveats for these data are available in </w:t>
      </w:r>
      <w:r>
        <w:t>c</w:t>
      </w:r>
      <w:r w:rsidRPr="00B817EA">
        <w:t xml:space="preserve">hapter </w:t>
      </w:r>
      <w:r>
        <w:t>3</w:t>
      </w:r>
      <w:r w:rsidRPr="00B817EA">
        <w:t xml:space="preserve"> and </w:t>
      </w:r>
      <w:r>
        <w:t>a</w:t>
      </w:r>
      <w:r w:rsidRPr="00B817EA">
        <w:t xml:space="preserve">ttachment </w:t>
      </w:r>
      <w:r>
        <w:t>3</w:t>
      </w:r>
      <w:r w:rsidRPr="00B817EA">
        <w:t xml:space="preserve">A. Refer to the indicator interpretation boxes in chapter </w:t>
      </w:r>
      <w:r>
        <w:t>3</w:t>
      </w:r>
      <w:r w:rsidRPr="00B817EA">
        <w:t xml:space="preserve"> for information to assist with </w:t>
      </w:r>
      <w:r>
        <w:t xml:space="preserve">the </w:t>
      </w:r>
      <w:r w:rsidRPr="00B817EA">
        <w:t>interpret</w:t>
      </w:r>
      <w:r>
        <w:t>ation of</w:t>
      </w:r>
      <w:r w:rsidRPr="00B817EA">
        <w:t xml:space="preserve"> data presented in this table. </w:t>
      </w:r>
      <w:r w:rsidRPr="00482624">
        <w:rPr>
          <w:rStyle w:val="NoteLabel"/>
        </w:rPr>
        <w:t>b</w:t>
      </w:r>
      <w:r w:rsidRPr="00B817EA">
        <w:t> </w:t>
      </w:r>
      <w:r>
        <w:t>These</w:t>
      </w:r>
      <w:r w:rsidRPr="00B817EA">
        <w:t xml:space="preserve"> data are derived from detailed data in </w:t>
      </w:r>
      <w:r>
        <w:t>c</w:t>
      </w:r>
      <w:r w:rsidRPr="00B817EA">
        <w:t xml:space="preserve">hapter </w:t>
      </w:r>
      <w:r>
        <w:t>3</w:t>
      </w:r>
      <w:r w:rsidRPr="00B817EA">
        <w:t xml:space="preserve"> and </w:t>
      </w:r>
      <w:r>
        <w:t>a</w:t>
      </w:r>
      <w:r w:rsidRPr="00B817EA">
        <w:t xml:space="preserve">ttachment </w:t>
      </w:r>
      <w:r>
        <w:t>3</w:t>
      </w:r>
      <w:r w:rsidRPr="00B817EA">
        <w:t xml:space="preserve">A.  </w:t>
      </w:r>
      <w:proofErr w:type="spellStart"/>
      <w:r w:rsidRPr="00AD0C77">
        <w:rPr>
          <w:b/>
        </w:rPr>
        <w:t>na</w:t>
      </w:r>
      <w:proofErr w:type="spellEnd"/>
      <w:r w:rsidRPr="00B817EA">
        <w:t xml:space="preserve"> Not available. </w:t>
      </w:r>
      <w:r>
        <w:t>.. Not applicable.</w:t>
      </w:r>
    </w:p>
    <w:p w:rsidR="00181B2A" w:rsidRPr="00B817EA" w:rsidRDefault="00181B2A" w:rsidP="00181B2A">
      <w:pPr>
        <w:pStyle w:val="Source"/>
      </w:pPr>
      <w:r>
        <w:t>Source: C</w:t>
      </w:r>
      <w:r w:rsidRPr="00B817EA">
        <w:t xml:space="preserve">hapter </w:t>
      </w:r>
      <w:r>
        <w:t>3</w:t>
      </w:r>
      <w:r w:rsidRPr="00B817EA">
        <w:t xml:space="preserve"> and </w:t>
      </w:r>
      <w:r>
        <w:t>a</w:t>
      </w:r>
      <w:r w:rsidRPr="00B817EA">
        <w:t xml:space="preserve">ttachment </w:t>
      </w:r>
      <w:r>
        <w:t>3</w:t>
      </w:r>
      <w:r w:rsidRPr="00B817EA">
        <w:t>A.</w:t>
      </w:r>
    </w:p>
    <w:p w:rsidR="00181B2A" w:rsidRDefault="00181B2A">
      <w:pPr>
        <w:rPr>
          <w:rFonts w:ascii="Arial" w:hAnsi="Arial"/>
          <w:i/>
          <w:sz w:val="24"/>
          <w:szCs w:val="20"/>
        </w:rPr>
      </w:pPr>
      <w:r>
        <w:br w:type="page"/>
      </w:r>
    </w:p>
    <w:p w:rsidR="005E7069" w:rsidRDefault="005E7069" w:rsidP="005E7069">
      <w:pPr>
        <w:pStyle w:val="Heading4"/>
      </w:pPr>
      <w:r>
        <w:lastRenderedPageBreak/>
        <w:t>School education</w:t>
      </w:r>
    </w:p>
    <w:p w:rsidR="00D60DD8" w:rsidRDefault="00D60DD8" w:rsidP="00D60DD8">
      <w:pPr>
        <w:pStyle w:val="BodyText"/>
      </w:pPr>
      <w:r>
        <w:t>The performance indicator framework for school education is presented in figure B.2</w:t>
      </w:r>
      <w:r w:rsidR="00C67608">
        <w:t>5</w:t>
      </w:r>
      <w:r>
        <w:t xml:space="preserve">. </w:t>
      </w:r>
      <w:r w:rsidR="00FF488C">
        <w:t>This</w:t>
      </w:r>
      <w:r w:rsidR="00FF488C" w:rsidRPr="00E6147C">
        <w:t xml:space="preserve"> framework provides comprehensive information on the equity, effectiveness</w:t>
      </w:r>
      <w:r w:rsidR="00FF488C">
        <w:t>,</w:t>
      </w:r>
      <w:r w:rsidR="00FF488C" w:rsidRPr="00E6147C">
        <w:t xml:space="preserve"> efficiency </w:t>
      </w:r>
      <w:r w:rsidR="00FF488C">
        <w:t xml:space="preserve">and the outcomes </w:t>
      </w:r>
      <w:r w:rsidR="00FF488C" w:rsidRPr="00E6147C">
        <w:t>of</w:t>
      </w:r>
      <w:r w:rsidR="00FF488C">
        <w:t xml:space="preserve"> </w:t>
      </w:r>
      <w:r w:rsidR="00FF488C">
        <w:rPr>
          <w:color w:val="000000"/>
        </w:rPr>
        <w:t>school education.</w:t>
      </w:r>
    </w:p>
    <w:p w:rsidR="005E7069" w:rsidRDefault="005E7069" w:rsidP="005E7069">
      <w:pPr>
        <w:pStyle w:val="FigureTitle"/>
      </w:pPr>
      <w:r>
        <w:rPr>
          <w:b w:val="0"/>
        </w:rPr>
        <w:t xml:space="preserve">Figure </w:t>
      </w:r>
      <w:r w:rsidR="00CA426B">
        <w:rPr>
          <w:b w:val="0"/>
        </w:rPr>
        <w:t>B.25</w:t>
      </w:r>
      <w:r>
        <w:tab/>
      </w:r>
      <w:r w:rsidR="000214D6">
        <w:t>S</w:t>
      </w:r>
      <w:r>
        <w:t>chool education</w:t>
      </w:r>
      <w:r w:rsidR="000214D6" w:rsidRPr="000214D6">
        <w:t xml:space="preserve"> </w:t>
      </w:r>
      <w:r w:rsidR="000214D6">
        <w:t>performance indicator framework</w:t>
      </w:r>
      <w:r w:rsidR="004453A9">
        <w:t xml:space="preserve">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5E7069" w:rsidTr="0026365C">
        <w:trPr>
          <w:trHeight w:val="8570"/>
        </w:trPr>
        <w:tc>
          <w:tcPr>
            <w:tcW w:w="8777" w:type="dxa"/>
          </w:tcPr>
          <w:p w:rsidR="005E7069" w:rsidRDefault="00F278B2" w:rsidP="005E7069">
            <w:pPr>
              <w:pStyle w:val="Figure"/>
            </w:pPr>
            <w:r w:rsidRPr="007C7861">
              <w:rPr>
                <w:noProof/>
              </w:rPr>
              <w:drawing>
                <wp:inline distT="0" distB="0" distL="0" distR="0" wp14:anchorId="50FE6077" wp14:editId="49C7954A">
                  <wp:extent cx="5326912" cy="5166017"/>
                  <wp:effectExtent l="0" t="0" r="7620" b="0"/>
                  <wp:docPr id="23" name="Picture 23" descr="Figure B.25 School education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327435" cy="5166525"/>
                          </a:xfrm>
                          <a:prstGeom prst="rect">
                            <a:avLst/>
                          </a:prstGeom>
                          <a:noFill/>
                          <a:ln>
                            <a:noFill/>
                          </a:ln>
                        </pic:spPr>
                      </pic:pic>
                    </a:graphicData>
                  </a:graphic>
                </wp:inline>
              </w:drawing>
            </w:r>
          </w:p>
        </w:tc>
      </w:tr>
    </w:tbl>
    <w:p w:rsidR="00BC7A04" w:rsidRDefault="005E7069" w:rsidP="005E7069">
      <w:pPr>
        <w:pStyle w:val="BodyText"/>
      </w:pPr>
      <w:r>
        <w:t xml:space="preserve">An overview of the school education performance indicator results for </w:t>
      </w:r>
      <w:r w:rsidR="00D60DD8">
        <w:t xml:space="preserve">the most recent period </w:t>
      </w:r>
      <w:r>
        <w:t>are presented in table B.2.</w:t>
      </w:r>
      <w:r w:rsidR="00FF488C">
        <w:t xml:space="preserve"> Information to assist the interpretation of these data can be found in the indicator interpretation boxes in chapter 4 and the footnotes in attachment 4A.</w:t>
      </w:r>
    </w:p>
    <w:p w:rsidR="005E7069" w:rsidRPr="000D6F2E" w:rsidRDefault="005E7069" w:rsidP="003C0B8B">
      <w:pPr>
        <w:pStyle w:val="FigureTitle"/>
        <w:rPr>
          <w:rStyle w:val="DraftingNote"/>
          <w:color w:val="auto"/>
        </w:rPr>
      </w:pPr>
      <w:r w:rsidRPr="000D6F2E">
        <w:lastRenderedPageBreak/>
        <w:t xml:space="preserve">Table </w:t>
      </w:r>
      <w:bookmarkStart w:id="15" w:name="OLE_LINK12"/>
      <w:r w:rsidR="00891AAF">
        <w:t>B.</w:t>
      </w:r>
      <w:r w:rsidR="005C0C17">
        <w:rPr>
          <w:noProof/>
        </w:rPr>
        <w:t>2</w:t>
      </w:r>
      <w:bookmarkEnd w:id="15"/>
      <w:r w:rsidRPr="000D6F2E">
        <w:tab/>
        <w:t xml:space="preserve">Performance indicators for school </w:t>
      </w:r>
      <w:proofErr w:type="spellStart"/>
      <w:r w:rsidRPr="000D6F2E">
        <w:t>education</w:t>
      </w:r>
      <w:r w:rsidRPr="000D6F2E">
        <w:rPr>
          <w:vertAlign w:val="superscript"/>
        </w:rPr>
        <w:t>a</w:t>
      </w:r>
      <w:proofErr w:type="spellEnd"/>
      <w:r w:rsidRPr="000D6F2E">
        <w:rPr>
          <w:vertAlign w:val="superscript"/>
        </w:rPr>
        <w:t>, b, c</w:t>
      </w:r>
    </w:p>
    <w:tbl>
      <w:tblPr>
        <w:tblW w:w="5247" w:type="pct"/>
        <w:tblLayout w:type="fixed"/>
        <w:tblCellMar>
          <w:left w:w="0" w:type="dxa"/>
          <w:right w:w="0" w:type="dxa"/>
        </w:tblCellMar>
        <w:tblLook w:val="0000" w:firstRow="0" w:lastRow="0" w:firstColumn="0" w:lastColumn="0" w:noHBand="0" w:noVBand="0"/>
      </w:tblPr>
      <w:tblGrid>
        <w:gridCol w:w="20"/>
        <w:gridCol w:w="114"/>
        <w:gridCol w:w="114"/>
        <w:gridCol w:w="41"/>
        <w:gridCol w:w="160"/>
        <w:gridCol w:w="540"/>
        <w:gridCol w:w="94"/>
        <w:gridCol w:w="63"/>
        <w:gridCol w:w="13"/>
        <w:gridCol w:w="683"/>
        <w:gridCol w:w="157"/>
        <w:gridCol w:w="11"/>
        <w:gridCol w:w="57"/>
        <w:gridCol w:w="777"/>
        <w:gridCol w:w="72"/>
        <w:gridCol w:w="85"/>
        <w:gridCol w:w="11"/>
        <w:gridCol w:w="681"/>
        <w:gridCol w:w="157"/>
        <w:gridCol w:w="11"/>
        <w:gridCol w:w="55"/>
        <w:gridCol w:w="636"/>
        <w:gridCol w:w="157"/>
        <w:gridCol w:w="11"/>
        <w:gridCol w:w="44"/>
        <w:gridCol w:w="780"/>
        <w:gridCol w:w="157"/>
        <w:gridCol w:w="11"/>
        <w:gridCol w:w="50"/>
        <w:gridCol w:w="775"/>
        <w:gridCol w:w="74"/>
        <w:gridCol w:w="83"/>
        <w:gridCol w:w="11"/>
        <w:gridCol w:w="683"/>
        <w:gridCol w:w="157"/>
        <w:gridCol w:w="11"/>
        <w:gridCol w:w="55"/>
        <w:gridCol w:w="616"/>
        <w:gridCol w:w="133"/>
        <w:gridCol w:w="24"/>
        <w:gridCol w:w="7"/>
        <w:gridCol w:w="11"/>
        <w:gridCol w:w="815"/>
        <w:gridCol w:w="6"/>
      </w:tblGrid>
      <w:tr w:rsidR="00F22EE7" w:rsidRPr="00B817EA" w:rsidTr="001658B4">
        <w:trPr>
          <w:gridAfter w:val="1"/>
          <w:wAfter w:w="3" w:type="pct"/>
        </w:trPr>
        <w:tc>
          <w:tcPr>
            <w:tcW w:w="73" w:type="pct"/>
            <w:gridSpan w:val="2"/>
            <w:tcBorders>
              <w:top w:val="single" w:sz="6" w:space="0" w:color="auto"/>
              <w:bottom w:val="single" w:sz="6" w:space="0" w:color="auto"/>
            </w:tcBorders>
            <w:shd w:val="clear" w:color="auto" w:fill="auto"/>
          </w:tcPr>
          <w:p w:rsidR="005E7069" w:rsidRPr="00B817EA" w:rsidRDefault="005E7069" w:rsidP="00E12F7C">
            <w:pPr>
              <w:pStyle w:val="TableColumnHeading"/>
              <w:jc w:val="left"/>
            </w:pPr>
          </w:p>
        </w:tc>
        <w:tc>
          <w:tcPr>
            <w:tcW w:w="464" w:type="pct"/>
            <w:gridSpan w:val="4"/>
            <w:tcBorders>
              <w:top w:val="single" w:sz="6" w:space="0" w:color="auto"/>
              <w:bottom w:val="single" w:sz="6" w:space="0" w:color="auto"/>
            </w:tcBorders>
            <w:shd w:val="clear" w:color="auto" w:fill="auto"/>
          </w:tcPr>
          <w:p w:rsidR="005E7069" w:rsidRPr="00B817EA" w:rsidRDefault="005E7069" w:rsidP="00780B9F">
            <w:pPr>
              <w:pStyle w:val="TableColumnHeading"/>
            </w:pPr>
            <w:r w:rsidRPr="00B817EA">
              <w:t>NSW</w:t>
            </w:r>
          </w:p>
        </w:tc>
        <w:tc>
          <w:tcPr>
            <w:tcW w:w="462" w:type="pct"/>
            <w:gridSpan w:val="4"/>
            <w:tcBorders>
              <w:top w:val="single" w:sz="6" w:space="0" w:color="auto"/>
              <w:bottom w:val="single" w:sz="6" w:space="0" w:color="auto"/>
            </w:tcBorders>
            <w:shd w:val="clear" w:color="auto" w:fill="auto"/>
          </w:tcPr>
          <w:p w:rsidR="005E7069" w:rsidRPr="00B817EA" w:rsidRDefault="005E7069" w:rsidP="00780B9F">
            <w:pPr>
              <w:pStyle w:val="TableColumnHeading"/>
            </w:pPr>
            <w:r w:rsidRPr="00B817EA">
              <w:t>Vic</w:t>
            </w:r>
          </w:p>
        </w:tc>
        <w:tc>
          <w:tcPr>
            <w:tcW w:w="543" w:type="pct"/>
            <w:gridSpan w:val="4"/>
            <w:tcBorders>
              <w:top w:val="single" w:sz="6" w:space="0" w:color="auto"/>
              <w:bottom w:val="single" w:sz="6" w:space="0" w:color="auto"/>
            </w:tcBorders>
            <w:shd w:val="clear" w:color="auto" w:fill="auto"/>
          </w:tcPr>
          <w:p w:rsidR="005E7069" w:rsidRPr="00B817EA" w:rsidRDefault="005E7069" w:rsidP="00780B9F">
            <w:pPr>
              <w:pStyle w:val="TableColumnHeading"/>
            </w:pPr>
            <w:r w:rsidRPr="00B817EA">
              <w:t>Qld</w:t>
            </w:r>
          </w:p>
        </w:tc>
        <w:tc>
          <w:tcPr>
            <w:tcW w:w="460" w:type="pct"/>
            <w:gridSpan w:val="4"/>
            <w:tcBorders>
              <w:top w:val="single" w:sz="6" w:space="0" w:color="auto"/>
              <w:bottom w:val="single" w:sz="6" w:space="0" w:color="auto"/>
            </w:tcBorders>
            <w:shd w:val="clear" w:color="auto" w:fill="auto"/>
          </w:tcPr>
          <w:p w:rsidR="005E7069" w:rsidRPr="00B817EA" w:rsidRDefault="005E7069" w:rsidP="00780B9F">
            <w:pPr>
              <w:pStyle w:val="TableColumnHeading"/>
            </w:pPr>
            <w:r w:rsidRPr="00B817EA">
              <w:t>WA</w:t>
            </w:r>
          </w:p>
        </w:tc>
        <w:tc>
          <w:tcPr>
            <w:tcW w:w="466" w:type="pct"/>
            <w:gridSpan w:val="4"/>
            <w:tcBorders>
              <w:top w:val="single" w:sz="6" w:space="0" w:color="auto"/>
              <w:bottom w:val="single" w:sz="6" w:space="0" w:color="auto"/>
            </w:tcBorders>
            <w:shd w:val="clear" w:color="auto" w:fill="auto"/>
          </w:tcPr>
          <w:p w:rsidR="005E7069" w:rsidRPr="00B817EA" w:rsidRDefault="005E7069" w:rsidP="00780B9F">
            <w:pPr>
              <w:pStyle w:val="TableColumnHeading"/>
            </w:pPr>
            <w:r w:rsidRPr="00B817EA">
              <w:t>SA</w:t>
            </w:r>
          </w:p>
        </w:tc>
        <w:tc>
          <w:tcPr>
            <w:tcW w:w="538" w:type="pct"/>
            <w:gridSpan w:val="4"/>
            <w:tcBorders>
              <w:top w:val="single" w:sz="6" w:space="0" w:color="auto"/>
              <w:bottom w:val="single" w:sz="6" w:space="0" w:color="auto"/>
            </w:tcBorders>
            <w:shd w:val="clear" w:color="auto" w:fill="auto"/>
          </w:tcPr>
          <w:p w:rsidR="005E7069" w:rsidRPr="00B817EA" w:rsidRDefault="005E7069" w:rsidP="00780B9F">
            <w:pPr>
              <w:pStyle w:val="TableColumnHeading"/>
            </w:pPr>
            <w:proofErr w:type="spellStart"/>
            <w:r w:rsidRPr="00B817EA">
              <w:t>Tas</w:t>
            </w:r>
            <w:proofErr w:type="spellEnd"/>
          </w:p>
        </w:tc>
        <w:tc>
          <w:tcPr>
            <w:tcW w:w="538" w:type="pct"/>
            <w:gridSpan w:val="4"/>
            <w:tcBorders>
              <w:top w:val="single" w:sz="6" w:space="0" w:color="auto"/>
              <w:bottom w:val="single" w:sz="6" w:space="0" w:color="auto"/>
            </w:tcBorders>
            <w:shd w:val="clear" w:color="auto" w:fill="auto"/>
          </w:tcPr>
          <w:p w:rsidR="005E7069" w:rsidRPr="00B817EA" w:rsidRDefault="005E7069" w:rsidP="00780B9F">
            <w:pPr>
              <w:pStyle w:val="TableColumnHeading"/>
            </w:pPr>
            <w:r w:rsidRPr="00B817EA">
              <w:t>ACT</w:t>
            </w:r>
          </w:p>
        </w:tc>
        <w:tc>
          <w:tcPr>
            <w:tcW w:w="461" w:type="pct"/>
            <w:gridSpan w:val="4"/>
            <w:tcBorders>
              <w:top w:val="single" w:sz="6" w:space="0" w:color="auto"/>
              <w:bottom w:val="single" w:sz="6" w:space="0" w:color="auto"/>
            </w:tcBorders>
            <w:shd w:val="clear" w:color="auto" w:fill="auto"/>
          </w:tcPr>
          <w:p w:rsidR="005E7069" w:rsidRPr="00B817EA" w:rsidRDefault="005E7069" w:rsidP="00780B9F">
            <w:pPr>
              <w:pStyle w:val="TableColumnHeading"/>
            </w:pPr>
            <w:r w:rsidRPr="00B817EA">
              <w:t>NT</w:t>
            </w:r>
          </w:p>
        </w:tc>
        <w:tc>
          <w:tcPr>
            <w:tcW w:w="455" w:type="pct"/>
            <w:gridSpan w:val="4"/>
            <w:tcBorders>
              <w:top w:val="single" w:sz="6" w:space="0" w:color="auto"/>
              <w:bottom w:val="single" w:sz="6" w:space="0" w:color="auto"/>
            </w:tcBorders>
          </w:tcPr>
          <w:p w:rsidR="005E7069" w:rsidRPr="00B817EA" w:rsidRDefault="005E7069" w:rsidP="00780B9F">
            <w:pPr>
              <w:pStyle w:val="TableColumnHeading"/>
            </w:pPr>
            <w:proofErr w:type="spellStart"/>
            <w:r w:rsidRPr="00B817EA">
              <w:t>Aust</w:t>
            </w:r>
            <w:proofErr w:type="spellEnd"/>
          </w:p>
        </w:tc>
        <w:tc>
          <w:tcPr>
            <w:tcW w:w="537" w:type="pct"/>
            <w:gridSpan w:val="5"/>
            <w:tcBorders>
              <w:top w:val="single" w:sz="6" w:space="0" w:color="auto"/>
              <w:bottom w:val="single" w:sz="6" w:space="0" w:color="auto"/>
            </w:tcBorders>
          </w:tcPr>
          <w:p w:rsidR="005E7069" w:rsidRPr="00B817EA" w:rsidRDefault="005E7069" w:rsidP="00780B9F">
            <w:pPr>
              <w:pStyle w:val="TableColumnHeading"/>
            </w:pPr>
            <w:r w:rsidRPr="00B817EA">
              <w:t>Source</w:t>
            </w:r>
          </w:p>
        </w:tc>
      </w:tr>
      <w:tr w:rsidR="005E7069" w:rsidRPr="004E27F9" w:rsidTr="00B46188">
        <w:trPr>
          <w:gridAfter w:val="1"/>
          <w:wAfter w:w="3" w:type="pct"/>
          <w:trHeight w:val="329"/>
        </w:trPr>
        <w:tc>
          <w:tcPr>
            <w:tcW w:w="4997" w:type="pct"/>
            <w:gridSpan w:val="43"/>
          </w:tcPr>
          <w:p w:rsidR="005E7069" w:rsidRPr="004E27F9" w:rsidRDefault="005E7069" w:rsidP="005E7069">
            <w:pPr>
              <w:pStyle w:val="TableColumnHeading"/>
              <w:jc w:val="left"/>
              <w:rPr>
                <w:b/>
                <w:i w:val="0"/>
              </w:rPr>
            </w:pPr>
            <w:r w:rsidRPr="004E27F9">
              <w:rPr>
                <w:b/>
                <w:i w:val="0"/>
              </w:rPr>
              <w:t xml:space="preserve">Equity — </w:t>
            </w:r>
            <w:r>
              <w:rPr>
                <w:b/>
                <w:i w:val="0"/>
              </w:rPr>
              <w:t>a</w:t>
            </w:r>
            <w:r w:rsidRPr="004E27F9">
              <w:rPr>
                <w:b/>
                <w:i w:val="0"/>
              </w:rPr>
              <w:t>ccess indicators</w:t>
            </w:r>
          </w:p>
        </w:tc>
      </w:tr>
      <w:tr w:rsidR="005E7069" w:rsidRPr="00B817EA" w:rsidTr="00B46188">
        <w:trPr>
          <w:gridAfter w:val="1"/>
          <w:wAfter w:w="3" w:type="pct"/>
          <w:trHeight w:val="329"/>
        </w:trPr>
        <w:tc>
          <w:tcPr>
            <w:tcW w:w="4997" w:type="pct"/>
            <w:gridSpan w:val="43"/>
          </w:tcPr>
          <w:p w:rsidR="005E7069" w:rsidRPr="00B817EA" w:rsidRDefault="005E7069" w:rsidP="001658B4">
            <w:pPr>
              <w:pStyle w:val="TableColumnHeading"/>
              <w:jc w:val="left"/>
            </w:pPr>
            <w:r>
              <w:t>Attendance</w:t>
            </w:r>
            <w:r w:rsidR="0096107C">
              <w:t xml:space="preserve"> and participation</w:t>
            </w:r>
            <w:r>
              <w:t>, 201</w:t>
            </w:r>
            <w:r w:rsidR="001658B4">
              <w:t>2</w:t>
            </w:r>
            <w:r>
              <w:t xml:space="preserve"> </w:t>
            </w:r>
            <w:r>
              <w:br/>
            </w:r>
            <w:r w:rsidR="0096107C">
              <w:rPr>
                <w:i w:val="0"/>
                <w:sz w:val="16"/>
                <w:szCs w:val="16"/>
              </w:rPr>
              <w:t>This indicator</w:t>
            </w:r>
            <w:r w:rsidR="0096107C" w:rsidRPr="00393E8A">
              <w:rPr>
                <w:i w:val="0"/>
                <w:sz w:val="16"/>
                <w:szCs w:val="16"/>
              </w:rPr>
              <w:t xml:space="preserve"> ha</w:t>
            </w:r>
            <w:r w:rsidR="0096107C">
              <w:rPr>
                <w:i w:val="0"/>
                <w:sz w:val="16"/>
                <w:szCs w:val="16"/>
              </w:rPr>
              <w:t>s</w:t>
            </w:r>
            <w:r w:rsidR="0096107C" w:rsidRPr="00393E8A">
              <w:rPr>
                <w:i w:val="0"/>
                <w:sz w:val="16"/>
                <w:szCs w:val="16"/>
              </w:rPr>
              <w:t xml:space="preserve"> multiple measures and data comparability and completeness </w:t>
            </w:r>
            <w:r w:rsidR="0096107C">
              <w:rPr>
                <w:i w:val="0"/>
                <w:sz w:val="16"/>
                <w:szCs w:val="16"/>
              </w:rPr>
              <w:t xml:space="preserve">vary </w:t>
            </w:r>
            <w:r w:rsidR="0096107C" w:rsidRPr="004821D5">
              <w:rPr>
                <w:i w:val="0"/>
                <w:sz w:val="16"/>
                <w:szCs w:val="16"/>
              </w:rPr>
              <w:t>(chapter </w:t>
            </w:r>
            <w:r w:rsidR="0096107C">
              <w:rPr>
                <w:i w:val="0"/>
                <w:sz w:val="16"/>
                <w:szCs w:val="16"/>
              </w:rPr>
              <w:t>4</w:t>
            </w:r>
            <w:r w:rsidR="0096107C" w:rsidRPr="004821D5">
              <w:rPr>
                <w:i w:val="0"/>
                <w:sz w:val="16"/>
                <w:szCs w:val="16"/>
              </w:rPr>
              <w:t>)</w:t>
            </w:r>
            <w:r w:rsidR="0096107C">
              <w:t xml:space="preserve"> </w:t>
            </w:r>
            <w:r w:rsidR="0096107C">
              <w:br/>
            </w:r>
            <w:r w:rsidRPr="00C35DEB">
              <w:rPr>
                <w:i w:val="0"/>
              </w:rPr>
              <w:t>Year 10</w:t>
            </w:r>
            <w:r w:rsidR="0096107C">
              <w:rPr>
                <w:i w:val="0"/>
              </w:rPr>
              <w:t xml:space="preserve"> attendance rate</w:t>
            </w:r>
            <w:r w:rsidRPr="00C35DEB">
              <w:rPr>
                <w:i w:val="0"/>
              </w:rPr>
              <w:t>, all students, government schools</w:t>
            </w:r>
          </w:p>
        </w:tc>
      </w:tr>
      <w:tr w:rsidR="00F22EE7" w:rsidRPr="00B817EA" w:rsidTr="001F2D7B">
        <w:trPr>
          <w:gridAfter w:val="1"/>
          <w:wAfter w:w="3" w:type="pct"/>
        </w:trPr>
        <w:tc>
          <w:tcPr>
            <w:tcW w:w="11" w:type="pct"/>
            <w:shd w:val="clear" w:color="auto" w:fill="auto"/>
          </w:tcPr>
          <w:p w:rsidR="005E7069" w:rsidRPr="00B817EA" w:rsidRDefault="005E7069" w:rsidP="00E12F7C">
            <w:pPr>
              <w:pStyle w:val="TableBodyText"/>
              <w:jc w:val="left"/>
            </w:pPr>
          </w:p>
        </w:tc>
        <w:tc>
          <w:tcPr>
            <w:tcW w:w="146" w:type="pct"/>
            <w:gridSpan w:val="3"/>
            <w:shd w:val="clear" w:color="auto" w:fill="auto"/>
          </w:tcPr>
          <w:p w:rsidR="005E7069" w:rsidRPr="00B817EA" w:rsidRDefault="005E7069" w:rsidP="00E12F7C">
            <w:pPr>
              <w:pStyle w:val="TableBodyText"/>
              <w:jc w:val="left"/>
            </w:pPr>
            <w:r w:rsidRPr="00B817EA">
              <w:t>%</w:t>
            </w:r>
          </w:p>
        </w:tc>
        <w:tc>
          <w:tcPr>
            <w:tcW w:w="465" w:type="pct"/>
            <w:gridSpan w:val="4"/>
            <w:shd w:val="clear" w:color="auto" w:fill="auto"/>
          </w:tcPr>
          <w:p w:rsidR="005E7069" w:rsidRPr="00B817EA" w:rsidRDefault="001658B4" w:rsidP="00DE4EE1">
            <w:pPr>
              <w:pStyle w:val="TableBodyText"/>
            </w:pPr>
            <w:r>
              <w:t>87</w:t>
            </w:r>
          </w:p>
        </w:tc>
        <w:tc>
          <w:tcPr>
            <w:tcW w:w="462" w:type="pct"/>
            <w:gridSpan w:val="3"/>
            <w:shd w:val="clear" w:color="auto" w:fill="auto"/>
          </w:tcPr>
          <w:p w:rsidR="005E7069" w:rsidRPr="00B817EA" w:rsidRDefault="001658B4" w:rsidP="00DE4EE1">
            <w:pPr>
              <w:pStyle w:val="TableBodyText"/>
            </w:pPr>
            <w:r>
              <w:t>91</w:t>
            </w:r>
          </w:p>
        </w:tc>
        <w:tc>
          <w:tcPr>
            <w:tcW w:w="543" w:type="pct"/>
            <w:gridSpan w:val="5"/>
            <w:shd w:val="clear" w:color="auto" w:fill="auto"/>
          </w:tcPr>
          <w:p w:rsidR="005E7069" w:rsidRPr="00B817EA" w:rsidRDefault="001658B4" w:rsidP="00DE4EE1">
            <w:pPr>
              <w:pStyle w:val="TableBodyText"/>
            </w:pPr>
            <w:r>
              <w:t>87</w:t>
            </w:r>
          </w:p>
        </w:tc>
        <w:tc>
          <w:tcPr>
            <w:tcW w:w="460" w:type="pct"/>
            <w:gridSpan w:val="3"/>
            <w:shd w:val="clear" w:color="auto" w:fill="auto"/>
          </w:tcPr>
          <w:p w:rsidR="005E7069" w:rsidRPr="00B817EA" w:rsidRDefault="001658B4" w:rsidP="00DE4EE1">
            <w:pPr>
              <w:pStyle w:val="TableBodyText"/>
            </w:pPr>
            <w:r>
              <w:t>86</w:t>
            </w:r>
          </w:p>
        </w:tc>
        <w:tc>
          <w:tcPr>
            <w:tcW w:w="466" w:type="pct"/>
            <w:gridSpan w:val="4"/>
            <w:shd w:val="clear" w:color="auto" w:fill="auto"/>
          </w:tcPr>
          <w:p w:rsidR="005E7069" w:rsidRPr="00B817EA" w:rsidRDefault="001658B4" w:rsidP="00DE4EE1">
            <w:pPr>
              <w:pStyle w:val="TableBodyText"/>
            </w:pPr>
            <w:r>
              <w:t>86</w:t>
            </w:r>
          </w:p>
        </w:tc>
        <w:tc>
          <w:tcPr>
            <w:tcW w:w="538" w:type="pct"/>
            <w:gridSpan w:val="4"/>
            <w:shd w:val="clear" w:color="auto" w:fill="auto"/>
          </w:tcPr>
          <w:p w:rsidR="005E7069" w:rsidRPr="00B817EA" w:rsidRDefault="001658B4" w:rsidP="00DE4EE1">
            <w:pPr>
              <w:pStyle w:val="TableBodyText"/>
            </w:pPr>
            <w:r>
              <w:t>86</w:t>
            </w:r>
          </w:p>
        </w:tc>
        <w:tc>
          <w:tcPr>
            <w:tcW w:w="538" w:type="pct"/>
            <w:gridSpan w:val="5"/>
            <w:shd w:val="clear" w:color="auto" w:fill="auto"/>
          </w:tcPr>
          <w:p w:rsidR="005E7069" w:rsidRPr="00B817EA" w:rsidRDefault="001658B4" w:rsidP="00DE4EE1">
            <w:pPr>
              <w:pStyle w:val="TableBodyText"/>
            </w:pPr>
            <w:r>
              <w:t>87</w:t>
            </w:r>
          </w:p>
        </w:tc>
        <w:tc>
          <w:tcPr>
            <w:tcW w:w="461" w:type="pct"/>
            <w:gridSpan w:val="3"/>
            <w:shd w:val="clear" w:color="auto" w:fill="auto"/>
          </w:tcPr>
          <w:p w:rsidR="005E7069" w:rsidRPr="00B817EA" w:rsidRDefault="001658B4" w:rsidP="00DE4EE1">
            <w:pPr>
              <w:pStyle w:val="TableBodyText"/>
            </w:pPr>
            <w:r>
              <w:t>74</w:t>
            </w:r>
          </w:p>
        </w:tc>
        <w:tc>
          <w:tcPr>
            <w:tcW w:w="455" w:type="pct"/>
            <w:gridSpan w:val="5"/>
            <w:shd w:val="clear" w:color="auto" w:fill="auto"/>
          </w:tcPr>
          <w:p w:rsidR="005E7069" w:rsidRPr="00B817EA" w:rsidRDefault="001658B4" w:rsidP="00DE4EE1">
            <w:pPr>
              <w:pStyle w:val="TableBodyText"/>
            </w:pPr>
            <w:r>
              <w:t>..</w:t>
            </w:r>
          </w:p>
        </w:tc>
        <w:tc>
          <w:tcPr>
            <w:tcW w:w="452" w:type="pct"/>
            <w:gridSpan w:val="3"/>
            <w:shd w:val="clear" w:color="auto" w:fill="auto"/>
          </w:tcPr>
          <w:p w:rsidR="005E7069" w:rsidRPr="00B817EA" w:rsidRDefault="003D769B" w:rsidP="0018259F">
            <w:pPr>
              <w:pStyle w:val="TableBodyText"/>
            </w:pPr>
            <w:r>
              <w:t>4A.</w:t>
            </w:r>
            <w:r w:rsidR="0018259F">
              <w:t>130</w:t>
            </w:r>
          </w:p>
        </w:tc>
      </w:tr>
      <w:tr w:rsidR="005E7069" w:rsidRPr="00B817EA" w:rsidTr="001F2D7B">
        <w:trPr>
          <w:gridAfter w:val="1"/>
          <w:wAfter w:w="3" w:type="pct"/>
          <w:trHeight w:val="447"/>
        </w:trPr>
        <w:tc>
          <w:tcPr>
            <w:tcW w:w="4997" w:type="pct"/>
            <w:gridSpan w:val="43"/>
            <w:shd w:val="clear" w:color="auto" w:fill="auto"/>
          </w:tcPr>
          <w:p w:rsidR="005E7069" w:rsidRPr="00B817EA" w:rsidRDefault="005E7069" w:rsidP="005E7069">
            <w:pPr>
              <w:pStyle w:val="TableColumnHeading"/>
              <w:jc w:val="left"/>
            </w:pPr>
            <w:r w:rsidRPr="00C35DEB">
              <w:rPr>
                <w:i w:val="0"/>
              </w:rPr>
              <w:t>P</w:t>
            </w:r>
            <w:r w:rsidR="0096107C">
              <w:rPr>
                <w:i w:val="0"/>
              </w:rPr>
              <w:t>articipation – p</w:t>
            </w:r>
            <w:r w:rsidRPr="00C35DEB">
              <w:rPr>
                <w:i w:val="0"/>
              </w:rPr>
              <w:t>roportion of all children aged 6-15 years enrolled in school</w:t>
            </w:r>
            <w:r w:rsidR="001658B4">
              <w:rPr>
                <w:i w:val="0"/>
              </w:rPr>
              <w:t>, 2012</w:t>
            </w:r>
          </w:p>
        </w:tc>
      </w:tr>
      <w:tr w:rsidR="00C36189" w:rsidRPr="00B817EA" w:rsidTr="001F2D7B">
        <w:trPr>
          <w:gridAfter w:val="1"/>
          <w:wAfter w:w="3" w:type="pct"/>
        </w:trPr>
        <w:tc>
          <w:tcPr>
            <w:tcW w:w="11" w:type="pct"/>
            <w:shd w:val="clear" w:color="auto" w:fill="auto"/>
          </w:tcPr>
          <w:p w:rsidR="00C36189" w:rsidRPr="00B817EA" w:rsidRDefault="00C36189" w:rsidP="00E12F7C">
            <w:pPr>
              <w:pStyle w:val="TableBodyText"/>
              <w:jc w:val="left"/>
            </w:pPr>
          </w:p>
        </w:tc>
        <w:tc>
          <w:tcPr>
            <w:tcW w:w="146" w:type="pct"/>
            <w:gridSpan w:val="3"/>
            <w:shd w:val="clear" w:color="auto" w:fill="auto"/>
          </w:tcPr>
          <w:p w:rsidR="00C36189" w:rsidRPr="00B817EA" w:rsidRDefault="00C36189" w:rsidP="00E12F7C">
            <w:pPr>
              <w:pStyle w:val="TableBodyText"/>
              <w:jc w:val="left"/>
            </w:pPr>
            <w:r w:rsidRPr="00B817EA">
              <w:t>%</w:t>
            </w:r>
          </w:p>
        </w:tc>
        <w:tc>
          <w:tcPr>
            <w:tcW w:w="465" w:type="pct"/>
            <w:gridSpan w:val="4"/>
            <w:shd w:val="clear" w:color="auto" w:fill="auto"/>
            <w:vAlign w:val="center"/>
          </w:tcPr>
          <w:p w:rsidR="00C36189" w:rsidRDefault="00C36189" w:rsidP="00C36189">
            <w:pPr>
              <w:pStyle w:val="TableBodyText"/>
            </w:pPr>
            <w:r>
              <w:t xml:space="preserve">  99.2</w:t>
            </w:r>
          </w:p>
        </w:tc>
        <w:tc>
          <w:tcPr>
            <w:tcW w:w="462" w:type="pct"/>
            <w:gridSpan w:val="3"/>
            <w:shd w:val="clear" w:color="auto" w:fill="auto"/>
            <w:vAlign w:val="center"/>
          </w:tcPr>
          <w:p w:rsidR="00C36189" w:rsidRDefault="00C36189" w:rsidP="00C36189">
            <w:pPr>
              <w:pStyle w:val="TableBodyText"/>
            </w:pPr>
            <w:r>
              <w:t xml:space="preserve">  100.6</w:t>
            </w:r>
          </w:p>
        </w:tc>
        <w:tc>
          <w:tcPr>
            <w:tcW w:w="543" w:type="pct"/>
            <w:gridSpan w:val="5"/>
            <w:shd w:val="clear" w:color="auto" w:fill="auto"/>
            <w:vAlign w:val="center"/>
          </w:tcPr>
          <w:p w:rsidR="00C36189" w:rsidRDefault="00C36189" w:rsidP="00C36189">
            <w:pPr>
              <w:pStyle w:val="TableBodyText"/>
            </w:pPr>
            <w:r>
              <w:t xml:space="preserve">  100.6</w:t>
            </w:r>
          </w:p>
        </w:tc>
        <w:tc>
          <w:tcPr>
            <w:tcW w:w="460" w:type="pct"/>
            <w:gridSpan w:val="3"/>
            <w:shd w:val="clear" w:color="auto" w:fill="auto"/>
            <w:vAlign w:val="center"/>
          </w:tcPr>
          <w:p w:rsidR="00C36189" w:rsidRDefault="00C36189" w:rsidP="00C36189">
            <w:pPr>
              <w:pStyle w:val="TableBodyText"/>
            </w:pPr>
            <w:r>
              <w:t xml:space="preserve">  98.7</w:t>
            </w:r>
          </w:p>
        </w:tc>
        <w:tc>
          <w:tcPr>
            <w:tcW w:w="466" w:type="pct"/>
            <w:gridSpan w:val="4"/>
            <w:shd w:val="clear" w:color="auto" w:fill="auto"/>
            <w:vAlign w:val="center"/>
          </w:tcPr>
          <w:p w:rsidR="00C36189" w:rsidRDefault="00C36189" w:rsidP="00C36189">
            <w:pPr>
              <w:pStyle w:val="TableBodyText"/>
            </w:pPr>
            <w:r>
              <w:t xml:space="preserve">  100.4</w:t>
            </w:r>
          </w:p>
        </w:tc>
        <w:tc>
          <w:tcPr>
            <w:tcW w:w="538" w:type="pct"/>
            <w:gridSpan w:val="4"/>
            <w:shd w:val="clear" w:color="auto" w:fill="auto"/>
            <w:vAlign w:val="center"/>
          </w:tcPr>
          <w:p w:rsidR="00C36189" w:rsidRDefault="00C36189" w:rsidP="00C36189">
            <w:pPr>
              <w:pStyle w:val="TableBodyText"/>
            </w:pPr>
            <w:r>
              <w:t xml:space="preserve">  98.9</w:t>
            </w:r>
          </w:p>
        </w:tc>
        <w:tc>
          <w:tcPr>
            <w:tcW w:w="538" w:type="pct"/>
            <w:gridSpan w:val="5"/>
            <w:shd w:val="clear" w:color="auto" w:fill="auto"/>
            <w:vAlign w:val="center"/>
          </w:tcPr>
          <w:p w:rsidR="00C36189" w:rsidRDefault="00C36189" w:rsidP="00C36189">
            <w:pPr>
              <w:pStyle w:val="TableBodyText"/>
            </w:pPr>
            <w:r>
              <w:t xml:space="preserve">  109.5</w:t>
            </w:r>
          </w:p>
        </w:tc>
        <w:tc>
          <w:tcPr>
            <w:tcW w:w="461" w:type="pct"/>
            <w:gridSpan w:val="3"/>
            <w:shd w:val="clear" w:color="auto" w:fill="auto"/>
            <w:vAlign w:val="center"/>
          </w:tcPr>
          <w:p w:rsidR="00C36189" w:rsidRDefault="00C36189" w:rsidP="00C36189">
            <w:pPr>
              <w:pStyle w:val="TableBodyText"/>
            </w:pPr>
            <w:r>
              <w:t xml:space="preserve">  95.4</w:t>
            </w:r>
          </w:p>
        </w:tc>
        <w:tc>
          <w:tcPr>
            <w:tcW w:w="455" w:type="pct"/>
            <w:gridSpan w:val="5"/>
            <w:shd w:val="clear" w:color="auto" w:fill="auto"/>
            <w:vAlign w:val="center"/>
          </w:tcPr>
          <w:p w:rsidR="00C36189" w:rsidRDefault="00C36189" w:rsidP="00C36189">
            <w:pPr>
              <w:pStyle w:val="TableBodyText"/>
            </w:pPr>
            <w:r>
              <w:t xml:space="preserve">  100.0</w:t>
            </w:r>
          </w:p>
        </w:tc>
        <w:tc>
          <w:tcPr>
            <w:tcW w:w="452" w:type="pct"/>
            <w:gridSpan w:val="3"/>
            <w:shd w:val="clear" w:color="auto" w:fill="auto"/>
          </w:tcPr>
          <w:p w:rsidR="00C36189" w:rsidRPr="00B817EA" w:rsidRDefault="00C36189" w:rsidP="0018259F">
            <w:pPr>
              <w:pStyle w:val="TableBodyText"/>
            </w:pPr>
            <w:r>
              <w:t>4A.118</w:t>
            </w:r>
          </w:p>
        </w:tc>
      </w:tr>
      <w:tr w:rsidR="00B46188" w:rsidRPr="00DB4BA5" w:rsidTr="00B46188">
        <w:tc>
          <w:tcPr>
            <w:tcW w:w="5000" w:type="pct"/>
            <w:gridSpan w:val="44"/>
            <w:shd w:val="clear" w:color="auto" w:fill="auto"/>
          </w:tcPr>
          <w:p w:rsidR="00B46188" w:rsidRPr="00EB5F5C" w:rsidRDefault="00B46188" w:rsidP="001658B4">
            <w:pPr>
              <w:pStyle w:val="TableColumnHeading"/>
              <w:ind w:left="0"/>
              <w:jc w:val="left"/>
              <w:rPr>
                <w:i w:val="0"/>
              </w:rPr>
            </w:pPr>
            <w:r>
              <w:rPr>
                <w:i w:val="0"/>
              </w:rPr>
              <w:t>P</w:t>
            </w:r>
            <w:r w:rsidRPr="00EB5F5C">
              <w:rPr>
                <w:i w:val="0"/>
              </w:rPr>
              <w:t xml:space="preserve">roportion of the population aged 15–19 years who successfully completed at least one Unit of Competency as part of a VET qualification at </w:t>
            </w:r>
            <w:proofErr w:type="spellStart"/>
            <w:r w:rsidRPr="00EB5F5C">
              <w:rPr>
                <w:i w:val="0"/>
              </w:rPr>
              <w:t>AQF</w:t>
            </w:r>
            <w:proofErr w:type="spellEnd"/>
            <w:r w:rsidRPr="00EB5F5C">
              <w:rPr>
                <w:i w:val="0"/>
              </w:rPr>
              <w:t xml:space="preserve"> Certificate II or above</w:t>
            </w:r>
            <w:r>
              <w:rPr>
                <w:i w:val="0"/>
              </w:rPr>
              <w:t xml:space="preserve"> (</w:t>
            </w:r>
            <w:r w:rsidRPr="00EB5F5C">
              <w:rPr>
                <w:i w:val="0"/>
              </w:rPr>
              <w:t>20</w:t>
            </w:r>
            <w:r>
              <w:rPr>
                <w:i w:val="0"/>
              </w:rPr>
              <w:t>1</w:t>
            </w:r>
            <w:r w:rsidR="001658B4">
              <w:rPr>
                <w:i w:val="0"/>
              </w:rPr>
              <w:t>1</w:t>
            </w:r>
            <w:r>
              <w:rPr>
                <w:i w:val="0"/>
              </w:rPr>
              <w:t>)</w:t>
            </w:r>
          </w:p>
        </w:tc>
      </w:tr>
      <w:tr w:rsidR="001658B4" w:rsidRPr="00B817EA" w:rsidTr="004B45D9">
        <w:tc>
          <w:tcPr>
            <w:tcW w:w="11" w:type="pct"/>
            <w:shd w:val="clear" w:color="auto" w:fill="auto"/>
          </w:tcPr>
          <w:p w:rsidR="001658B4" w:rsidRPr="00B817EA" w:rsidRDefault="001658B4" w:rsidP="00B46188">
            <w:pPr>
              <w:pStyle w:val="TableBodyText"/>
              <w:jc w:val="left"/>
            </w:pPr>
          </w:p>
        </w:tc>
        <w:tc>
          <w:tcPr>
            <w:tcW w:w="124" w:type="pct"/>
            <w:gridSpan w:val="2"/>
            <w:shd w:val="clear" w:color="auto" w:fill="auto"/>
          </w:tcPr>
          <w:p w:rsidR="001658B4" w:rsidRPr="00B817EA" w:rsidRDefault="001658B4" w:rsidP="00B46188">
            <w:pPr>
              <w:pStyle w:val="TableBodyText"/>
              <w:jc w:val="left"/>
            </w:pPr>
            <w:r w:rsidRPr="00B817EA">
              <w:t>%</w:t>
            </w:r>
          </w:p>
        </w:tc>
        <w:tc>
          <w:tcPr>
            <w:tcW w:w="453" w:type="pct"/>
            <w:gridSpan w:val="4"/>
            <w:shd w:val="clear" w:color="auto" w:fill="auto"/>
            <w:vAlign w:val="bottom"/>
          </w:tcPr>
          <w:p w:rsidR="001658B4" w:rsidRDefault="001658B4" w:rsidP="00DE4EE1">
            <w:pPr>
              <w:pStyle w:val="TableBodyText"/>
            </w:pPr>
            <w:r>
              <w:t xml:space="preserve">  23.2</w:t>
            </w:r>
          </w:p>
        </w:tc>
        <w:tc>
          <w:tcPr>
            <w:tcW w:w="533" w:type="pct"/>
            <w:gridSpan w:val="6"/>
            <w:shd w:val="clear" w:color="auto" w:fill="auto"/>
            <w:vAlign w:val="bottom"/>
          </w:tcPr>
          <w:p w:rsidR="001658B4" w:rsidRDefault="001658B4" w:rsidP="00DE4EE1">
            <w:pPr>
              <w:pStyle w:val="TableBodyText"/>
            </w:pPr>
            <w:r>
              <w:t xml:space="preserve">  36.7</w:t>
            </w:r>
          </w:p>
        </w:tc>
        <w:tc>
          <w:tcPr>
            <w:tcW w:w="460" w:type="pct"/>
            <w:gridSpan w:val="2"/>
            <w:shd w:val="clear" w:color="auto" w:fill="auto"/>
            <w:vAlign w:val="bottom"/>
          </w:tcPr>
          <w:p w:rsidR="001658B4" w:rsidRDefault="001658B4" w:rsidP="00DE4EE1">
            <w:pPr>
              <w:pStyle w:val="TableBodyText"/>
            </w:pPr>
            <w:r>
              <w:t xml:space="preserve">  27.7</w:t>
            </w:r>
          </w:p>
        </w:tc>
        <w:tc>
          <w:tcPr>
            <w:tcW w:w="542" w:type="pct"/>
            <w:gridSpan w:val="6"/>
            <w:shd w:val="clear" w:color="auto" w:fill="auto"/>
            <w:vAlign w:val="bottom"/>
          </w:tcPr>
          <w:p w:rsidR="001658B4" w:rsidRDefault="001658B4" w:rsidP="00DE4EE1">
            <w:pPr>
              <w:pStyle w:val="TableBodyText"/>
            </w:pPr>
            <w:r>
              <w:t xml:space="preserve">  24.3</w:t>
            </w:r>
          </w:p>
        </w:tc>
        <w:tc>
          <w:tcPr>
            <w:tcW w:w="460" w:type="pct"/>
            <w:gridSpan w:val="4"/>
            <w:shd w:val="clear" w:color="auto" w:fill="auto"/>
            <w:vAlign w:val="bottom"/>
          </w:tcPr>
          <w:p w:rsidR="001658B4" w:rsidRDefault="001658B4" w:rsidP="00DE4EE1">
            <w:pPr>
              <w:pStyle w:val="TableBodyText"/>
            </w:pPr>
            <w:r>
              <w:t xml:space="preserve">  20.2</w:t>
            </w:r>
          </w:p>
        </w:tc>
        <w:tc>
          <w:tcPr>
            <w:tcW w:w="541" w:type="pct"/>
            <w:gridSpan w:val="4"/>
            <w:shd w:val="clear" w:color="auto" w:fill="auto"/>
            <w:vAlign w:val="bottom"/>
          </w:tcPr>
          <w:p w:rsidR="001658B4" w:rsidRDefault="001658B4" w:rsidP="00DE4EE1">
            <w:pPr>
              <w:pStyle w:val="TableBodyText"/>
            </w:pPr>
            <w:r>
              <w:t xml:space="preserve">  32.1</w:t>
            </w:r>
          </w:p>
        </w:tc>
        <w:tc>
          <w:tcPr>
            <w:tcW w:w="460" w:type="pct"/>
            <w:gridSpan w:val="2"/>
            <w:shd w:val="clear" w:color="auto" w:fill="auto"/>
            <w:vAlign w:val="bottom"/>
          </w:tcPr>
          <w:p w:rsidR="001658B4" w:rsidRDefault="001658B4" w:rsidP="00DE4EE1">
            <w:pPr>
              <w:pStyle w:val="TableBodyText"/>
            </w:pPr>
            <w:r>
              <w:t xml:space="preserve">  24.5</w:t>
            </w:r>
          </w:p>
        </w:tc>
        <w:tc>
          <w:tcPr>
            <w:tcW w:w="542" w:type="pct"/>
            <w:gridSpan w:val="6"/>
            <w:shd w:val="clear" w:color="auto" w:fill="auto"/>
            <w:vAlign w:val="bottom"/>
          </w:tcPr>
          <w:p w:rsidR="001658B4" w:rsidRDefault="001658B4" w:rsidP="00DE4EE1">
            <w:pPr>
              <w:pStyle w:val="TableBodyText"/>
            </w:pPr>
            <w:r>
              <w:t xml:space="preserve">  16.4</w:t>
            </w:r>
          </w:p>
        </w:tc>
        <w:tc>
          <w:tcPr>
            <w:tcW w:w="406" w:type="pct"/>
            <w:gridSpan w:val="2"/>
            <w:vAlign w:val="bottom"/>
          </w:tcPr>
          <w:p w:rsidR="001658B4" w:rsidRDefault="001658B4" w:rsidP="00DE4EE1">
            <w:pPr>
              <w:pStyle w:val="TableBodyText"/>
            </w:pPr>
            <w:r>
              <w:t xml:space="preserve">  27.5</w:t>
            </w:r>
          </w:p>
        </w:tc>
        <w:tc>
          <w:tcPr>
            <w:tcW w:w="468" w:type="pct"/>
            <w:gridSpan w:val="5"/>
            <w:shd w:val="clear" w:color="auto" w:fill="FFFFFF" w:themeFill="background1"/>
          </w:tcPr>
          <w:p w:rsidR="001658B4" w:rsidRPr="00B817EA" w:rsidRDefault="001658B4" w:rsidP="0018259F">
            <w:pPr>
              <w:pStyle w:val="TableBodyText"/>
            </w:pPr>
            <w:r>
              <w:t>4A.12</w:t>
            </w:r>
            <w:r w:rsidR="0018259F">
              <w:t>9</w:t>
            </w:r>
          </w:p>
        </w:tc>
      </w:tr>
      <w:tr w:rsidR="005E7069" w:rsidRPr="00B817EA" w:rsidTr="00B46188">
        <w:trPr>
          <w:gridAfter w:val="1"/>
          <w:wAfter w:w="3" w:type="pct"/>
        </w:trPr>
        <w:tc>
          <w:tcPr>
            <w:tcW w:w="4997" w:type="pct"/>
            <w:gridSpan w:val="43"/>
            <w:shd w:val="clear" w:color="auto" w:fill="auto"/>
          </w:tcPr>
          <w:p w:rsidR="005E7069" w:rsidRPr="00B817EA" w:rsidRDefault="005E7069" w:rsidP="001658B4">
            <w:pPr>
              <w:pStyle w:val="TableColumnHeading"/>
              <w:jc w:val="left"/>
            </w:pPr>
            <w:r>
              <w:t>Retention, 201</w:t>
            </w:r>
            <w:r w:rsidR="001658B4">
              <w:t>2</w:t>
            </w:r>
            <w:r>
              <w:t xml:space="preserve"> </w:t>
            </w:r>
            <w:r>
              <w:br/>
            </w:r>
            <w:r w:rsidRPr="004821D5">
              <w:rPr>
                <w:i w:val="0"/>
                <w:sz w:val="16"/>
                <w:szCs w:val="16"/>
              </w:rPr>
              <w:t xml:space="preserve">Data for </w:t>
            </w:r>
            <w:r>
              <w:rPr>
                <w:i w:val="0"/>
                <w:sz w:val="16"/>
                <w:szCs w:val="16"/>
              </w:rPr>
              <w:t>this indicator are</w:t>
            </w:r>
            <w:r w:rsidRPr="004821D5">
              <w:rPr>
                <w:i w:val="0"/>
                <w:sz w:val="16"/>
                <w:szCs w:val="16"/>
              </w:rPr>
              <w:t xml:space="preserve"> comparable</w:t>
            </w:r>
            <w:r>
              <w:rPr>
                <w:i w:val="0"/>
                <w:sz w:val="16"/>
                <w:szCs w:val="16"/>
              </w:rPr>
              <w:t>, subject to caveats</w:t>
            </w:r>
            <w:r w:rsidRPr="004821D5">
              <w:rPr>
                <w:i w:val="0"/>
                <w:sz w:val="16"/>
                <w:szCs w:val="16"/>
              </w:rPr>
              <w:t xml:space="preserve"> (chapter </w:t>
            </w:r>
            <w:r>
              <w:rPr>
                <w:i w:val="0"/>
                <w:sz w:val="16"/>
                <w:szCs w:val="16"/>
              </w:rPr>
              <w:t>4</w:t>
            </w:r>
            <w:r w:rsidRPr="004821D5">
              <w:rPr>
                <w:i w:val="0"/>
                <w:sz w:val="16"/>
                <w:szCs w:val="16"/>
              </w:rPr>
              <w:t>)</w:t>
            </w:r>
            <w:r w:rsidR="00F7745E">
              <w:t xml:space="preserve"> </w:t>
            </w:r>
            <w:r w:rsidR="00F7745E">
              <w:br/>
            </w:r>
            <w:r w:rsidRPr="00C35DEB">
              <w:rPr>
                <w:i w:val="0"/>
              </w:rPr>
              <w:t>Apparent retention rate, year 7/8-10, full time secondary students, government schools</w:t>
            </w:r>
          </w:p>
        </w:tc>
      </w:tr>
      <w:tr w:rsidR="001658B4" w:rsidRPr="00B817EA" w:rsidTr="004B45D9">
        <w:trPr>
          <w:gridAfter w:val="1"/>
          <w:wAfter w:w="3" w:type="pct"/>
        </w:trPr>
        <w:tc>
          <w:tcPr>
            <w:tcW w:w="11" w:type="pct"/>
            <w:shd w:val="clear" w:color="auto" w:fill="auto"/>
          </w:tcPr>
          <w:p w:rsidR="001658B4" w:rsidRPr="00B817EA" w:rsidRDefault="001658B4" w:rsidP="00E12F7C">
            <w:pPr>
              <w:pStyle w:val="TableBodyText"/>
              <w:jc w:val="left"/>
            </w:pPr>
          </w:p>
        </w:tc>
        <w:tc>
          <w:tcPr>
            <w:tcW w:w="146" w:type="pct"/>
            <w:gridSpan w:val="3"/>
            <w:shd w:val="clear" w:color="auto" w:fill="auto"/>
          </w:tcPr>
          <w:p w:rsidR="001658B4" w:rsidRPr="00B817EA" w:rsidRDefault="001658B4" w:rsidP="00E12F7C">
            <w:pPr>
              <w:pStyle w:val="TableBodyText"/>
              <w:jc w:val="left"/>
            </w:pPr>
            <w:r w:rsidRPr="00B817EA">
              <w:t>%</w:t>
            </w:r>
          </w:p>
        </w:tc>
        <w:tc>
          <w:tcPr>
            <w:tcW w:w="465" w:type="pct"/>
            <w:gridSpan w:val="4"/>
            <w:shd w:val="clear" w:color="auto" w:fill="auto"/>
            <w:vAlign w:val="center"/>
          </w:tcPr>
          <w:p w:rsidR="001658B4" w:rsidRDefault="001658B4" w:rsidP="00DE4EE1">
            <w:pPr>
              <w:pStyle w:val="TableBodyText"/>
            </w:pPr>
            <w:r>
              <w:t>102.1</w:t>
            </w:r>
          </w:p>
        </w:tc>
        <w:tc>
          <w:tcPr>
            <w:tcW w:w="462" w:type="pct"/>
            <w:gridSpan w:val="3"/>
            <w:shd w:val="clear" w:color="auto" w:fill="auto"/>
            <w:vAlign w:val="center"/>
          </w:tcPr>
          <w:p w:rsidR="001658B4" w:rsidRDefault="001658B4" w:rsidP="00DE4EE1">
            <w:pPr>
              <w:pStyle w:val="TableBodyText"/>
            </w:pPr>
            <w:r>
              <w:t>103.4</w:t>
            </w:r>
          </w:p>
        </w:tc>
        <w:tc>
          <w:tcPr>
            <w:tcW w:w="543" w:type="pct"/>
            <w:gridSpan w:val="5"/>
            <w:shd w:val="clear" w:color="auto" w:fill="auto"/>
            <w:vAlign w:val="center"/>
          </w:tcPr>
          <w:p w:rsidR="001658B4" w:rsidRDefault="001658B4" w:rsidP="00DE4EE1">
            <w:pPr>
              <w:pStyle w:val="TableBodyText"/>
            </w:pPr>
            <w:r>
              <w:t>102.8</w:t>
            </w:r>
          </w:p>
        </w:tc>
        <w:tc>
          <w:tcPr>
            <w:tcW w:w="460" w:type="pct"/>
            <w:gridSpan w:val="3"/>
            <w:shd w:val="clear" w:color="auto" w:fill="auto"/>
            <w:vAlign w:val="center"/>
          </w:tcPr>
          <w:p w:rsidR="001658B4" w:rsidRDefault="001658B4" w:rsidP="00DE4EE1">
            <w:pPr>
              <w:pStyle w:val="TableBodyText"/>
            </w:pPr>
            <w:r>
              <w:t>110.2</w:t>
            </w:r>
          </w:p>
        </w:tc>
        <w:tc>
          <w:tcPr>
            <w:tcW w:w="466" w:type="pct"/>
            <w:gridSpan w:val="4"/>
            <w:shd w:val="clear" w:color="auto" w:fill="auto"/>
            <w:vAlign w:val="center"/>
          </w:tcPr>
          <w:p w:rsidR="001658B4" w:rsidRDefault="001658B4" w:rsidP="00DE4EE1">
            <w:pPr>
              <w:pStyle w:val="TableBodyText"/>
            </w:pPr>
            <w:r>
              <w:t>104.9</w:t>
            </w:r>
          </w:p>
        </w:tc>
        <w:tc>
          <w:tcPr>
            <w:tcW w:w="538" w:type="pct"/>
            <w:gridSpan w:val="4"/>
            <w:shd w:val="clear" w:color="auto" w:fill="auto"/>
            <w:vAlign w:val="center"/>
          </w:tcPr>
          <w:p w:rsidR="001658B4" w:rsidRDefault="001658B4" w:rsidP="00DE4EE1">
            <w:pPr>
              <w:pStyle w:val="TableBodyText"/>
            </w:pPr>
            <w:r>
              <w:t>98.8</w:t>
            </w:r>
          </w:p>
        </w:tc>
        <w:tc>
          <w:tcPr>
            <w:tcW w:w="538" w:type="pct"/>
            <w:gridSpan w:val="5"/>
            <w:shd w:val="clear" w:color="auto" w:fill="auto"/>
            <w:vAlign w:val="center"/>
          </w:tcPr>
          <w:p w:rsidR="001658B4" w:rsidRDefault="001658B4" w:rsidP="00DE4EE1">
            <w:pPr>
              <w:pStyle w:val="TableBodyText"/>
            </w:pPr>
            <w:r>
              <w:t>104.6</w:t>
            </w:r>
          </w:p>
        </w:tc>
        <w:tc>
          <w:tcPr>
            <w:tcW w:w="461" w:type="pct"/>
            <w:gridSpan w:val="3"/>
            <w:shd w:val="clear" w:color="auto" w:fill="auto"/>
            <w:vAlign w:val="center"/>
          </w:tcPr>
          <w:p w:rsidR="001658B4" w:rsidRDefault="001658B4" w:rsidP="00DE4EE1">
            <w:pPr>
              <w:pStyle w:val="TableBodyText"/>
            </w:pPr>
            <w:r>
              <w:t>89.0</w:t>
            </w:r>
          </w:p>
        </w:tc>
        <w:tc>
          <w:tcPr>
            <w:tcW w:w="455" w:type="pct"/>
            <w:gridSpan w:val="5"/>
            <w:shd w:val="clear" w:color="auto" w:fill="auto"/>
            <w:vAlign w:val="center"/>
          </w:tcPr>
          <w:p w:rsidR="001658B4" w:rsidRDefault="001658B4" w:rsidP="00DE4EE1">
            <w:pPr>
              <w:pStyle w:val="TableBodyText"/>
            </w:pPr>
            <w:r>
              <w:t>103.1</w:t>
            </w:r>
          </w:p>
        </w:tc>
        <w:tc>
          <w:tcPr>
            <w:tcW w:w="452" w:type="pct"/>
            <w:gridSpan w:val="3"/>
            <w:shd w:val="clear" w:color="auto" w:fill="FFFFFF" w:themeFill="background1"/>
          </w:tcPr>
          <w:p w:rsidR="001658B4" w:rsidRDefault="001658B4" w:rsidP="0018259F">
            <w:pPr>
              <w:pStyle w:val="TableBodyText"/>
            </w:pPr>
            <w:r>
              <w:t>4A.1</w:t>
            </w:r>
            <w:r w:rsidR="0018259F">
              <w:t>21</w:t>
            </w:r>
          </w:p>
        </w:tc>
      </w:tr>
      <w:tr w:rsidR="005E7069" w:rsidRPr="00C35DEB" w:rsidTr="00B46188">
        <w:trPr>
          <w:gridAfter w:val="1"/>
          <w:wAfter w:w="3" w:type="pct"/>
        </w:trPr>
        <w:tc>
          <w:tcPr>
            <w:tcW w:w="4997" w:type="pct"/>
            <w:gridSpan w:val="43"/>
            <w:shd w:val="clear" w:color="auto" w:fill="auto"/>
          </w:tcPr>
          <w:p w:rsidR="005E7069" w:rsidRPr="00C35DEB" w:rsidRDefault="005E7069" w:rsidP="005E7069">
            <w:pPr>
              <w:pStyle w:val="TableColumnHeading"/>
              <w:jc w:val="left"/>
              <w:rPr>
                <w:i w:val="0"/>
              </w:rPr>
            </w:pPr>
            <w:r w:rsidRPr="00C35DEB">
              <w:rPr>
                <w:i w:val="0"/>
              </w:rPr>
              <w:t>Apparent retention rate, year 10-12, full time students, government schools</w:t>
            </w:r>
          </w:p>
        </w:tc>
      </w:tr>
      <w:tr w:rsidR="001658B4" w:rsidRPr="00B817EA" w:rsidTr="004B45D9">
        <w:trPr>
          <w:gridAfter w:val="1"/>
          <w:wAfter w:w="3" w:type="pct"/>
        </w:trPr>
        <w:tc>
          <w:tcPr>
            <w:tcW w:w="11" w:type="pct"/>
            <w:shd w:val="clear" w:color="auto" w:fill="auto"/>
          </w:tcPr>
          <w:p w:rsidR="001658B4" w:rsidRPr="00B817EA" w:rsidRDefault="001658B4" w:rsidP="00E12F7C">
            <w:pPr>
              <w:pStyle w:val="TableBodyText"/>
              <w:jc w:val="left"/>
            </w:pPr>
          </w:p>
        </w:tc>
        <w:tc>
          <w:tcPr>
            <w:tcW w:w="146" w:type="pct"/>
            <w:gridSpan w:val="3"/>
            <w:shd w:val="clear" w:color="auto" w:fill="auto"/>
          </w:tcPr>
          <w:p w:rsidR="001658B4" w:rsidRPr="00B817EA" w:rsidRDefault="001658B4" w:rsidP="00E12F7C">
            <w:pPr>
              <w:pStyle w:val="TableBodyText"/>
              <w:jc w:val="left"/>
            </w:pPr>
            <w:r w:rsidRPr="00B817EA">
              <w:t>%</w:t>
            </w:r>
          </w:p>
        </w:tc>
        <w:tc>
          <w:tcPr>
            <w:tcW w:w="465" w:type="pct"/>
            <w:gridSpan w:val="4"/>
            <w:shd w:val="clear" w:color="auto" w:fill="FFFFFF" w:themeFill="background1"/>
            <w:vAlign w:val="center"/>
          </w:tcPr>
          <w:p w:rsidR="001658B4" w:rsidRDefault="001658B4" w:rsidP="00DE4EE1">
            <w:pPr>
              <w:pStyle w:val="TableBodyText"/>
            </w:pPr>
            <w:r>
              <w:t xml:space="preserve">  70.7</w:t>
            </w:r>
          </w:p>
        </w:tc>
        <w:tc>
          <w:tcPr>
            <w:tcW w:w="462" w:type="pct"/>
            <w:gridSpan w:val="3"/>
            <w:shd w:val="clear" w:color="auto" w:fill="FFFFFF" w:themeFill="background1"/>
            <w:vAlign w:val="center"/>
          </w:tcPr>
          <w:p w:rsidR="001658B4" w:rsidRDefault="001658B4" w:rsidP="00DE4EE1">
            <w:pPr>
              <w:pStyle w:val="TableBodyText"/>
            </w:pPr>
            <w:r>
              <w:t xml:space="preserve">  75.7</w:t>
            </w:r>
          </w:p>
        </w:tc>
        <w:tc>
          <w:tcPr>
            <w:tcW w:w="543" w:type="pct"/>
            <w:gridSpan w:val="5"/>
            <w:shd w:val="clear" w:color="auto" w:fill="FFFFFF" w:themeFill="background1"/>
            <w:vAlign w:val="center"/>
          </w:tcPr>
          <w:p w:rsidR="001658B4" w:rsidRDefault="001658B4" w:rsidP="00DE4EE1">
            <w:pPr>
              <w:pStyle w:val="TableBodyText"/>
            </w:pPr>
            <w:r>
              <w:t xml:space="preserve">  76.6</w:t>
            </w:r>
          </w:p>
        </w:tc>
        <w:tc>
          <w:tcPr>
            <w:tcW w:w="460" w:type="pct"/>
            <w:gridSpan w:val="3"/>
            <w:shd w:val="clear" w:color="auto" w:fill="FFFFFF" w:themeFill="background1"/>
            <w:vAlign w:val="center"/>
          </w:tcPr>
          <w:p w:rsidR="001658B4" w:rsidRDefault="001658B4" w:rsidP="00DE4EE1">
            <w:pPr>
              <w:pStyle w:val="TableBodyText"/>
            </w:pPr>
            <w:r>
              <w:t xml:space="preserve">  75.0</w:t>
            </w:r>
          </w:p>
        </w:tc>
        <w:tc>
          <w:tcPr>
            <w:tcW w:w="466" w:type="pct"/>
            <w:gridSpan w:val="4"/>
            <w:shd w:val="clear" w:color="auto" w:fill="FFFFFF" w:themeFill="background1"/>
            <w:vAlign w:val="center"/>
          </w:tcPr>
          <w:p w:rsidR="001658B4" w:rsidRDefault="001658B4" w:rsidP="00DE4EE1">
            <w:pPr>
              <w:pStyle w:val="TableBodyText"/>
            </w:pPr>
            <w:r>
              <w:t xml:space="preserve">  82.2</w:t>
            </w:r>
          </w:p>
        </w:tc>
        <w:tc>
          <w:tcPr>
            <w:tcW w:w="538" w:type="pct"/>
            <w:gridSpan w:val="4"/>
            <w:shd w:val="clear" w:color="auto" w:fill="FFFFFF" w:themeFill="background1"/>
            <w:vAlign w:val="center"/>
          </w:tcPr>
          <w:p w:rsidR="001658B4" w:rsidRDefault="001658B4" w:rsidP="00DE4EE1">
            <w:pPr>
              <w:pStyle w:val="TableBodyText"/>
            </w:pPr>
            <w:r>
              <w:t xml:space="preserve">  67.1</w:t>
            </w:r>
          </w:p>
        </w:tc>
        <w:tc>
          <w:tcPr>
            <w:tcW w:w="538" w:type="pct"/>
            <w:gridSpan w:val="5"/>
            <w:shd w:val="clear" w:color="auto" w:fill="FFFFFF" w:themeFill="background1"/>
            <w:vAlign w:val="center"/>
          </w:tcPr>
          <w:p w:rsidR="001658B4" w:rsidRDefault="001658B4" w:rsidP="00DE4EE1">
            <w:pPr>
              <w:pStyle w:val="TableBodyText"/>
            </w:pPr>
            <w:r>
              <w:t xml:space="preserve">  100.7</w:t>
            </w:r>
          </w:p>
        </w:tc>
        <w:tc>
          <w:tcPr>
            <w:tcW w:w="461" w:type="pct"/>
            <w:gridSpan w:val="3"/>
            <w:shd w:val="clear" w:color="auto" w:fill="FFFFFF" w:themeFill="background1"/>
            <w:vAlign w:val="center"/>
          </w:tcPr>
          <w:p w:rsidR="001658B4" w:rsidRDefault="001658B4" w:rsidP="00DE4EE1">
            <w:pPr>
              <w:pStyle w:val="TableBodyText"/>
            </w:pPr>
            <w:r>
              <w:t xml:space="preserve">  68.2</w:t>
            </w:r>
          </w:p>
        </w:tc>
        <w:tc>
          <w:tcPr>
            <w:tcW w:w="455" w:type="pct"/>
            <w:gridSpan w:val="5"/>
            <w:shd w:val="clear" w:color="auto" w:fill="FFFFFF" w:themeFill="background1"/>
            <w:vAlign w:val="center"/>
          </w:tcPr>
          <w:p w:rsidR="001658B4" w:rsidRDefault="001658B4" w:rsidP="00DE4EE1">
            <w:pPr>
              <w:pStyle w:val="TableBodyText"/>
            </w:pPr>
            <w:r>
              <w:t xml:space="preserve">  74.8</w:t>
            </w:r>
          </w:p>
        </w:tc>
        <w:tc>
          <w:tcPr>
            <w:tcW w:w="452" w:type="pct"/>
            <w:gridSpan w:val="3"/>
            <w:shd w:val="clear" w:color="auto" w:fill="FFFFFF" w:themeFill="background1"/>
          </w:tcPr>
          <w:p w:rsidR="001658B4" w:rsidRDefault="001658B4" w:rsidP="0018259F">
            <w:pPr>
              <w:pStyle w:val="TableBodyText"/>
            </w:pPr>
            <w:r>
              <w:t>4A.1</w:t>
            </w:r>
            <w:r w:rsidR="0018259F">
              <w:t>22</w:t>
            </w:r>
          </w:p>
        </w:tc>
      </w:tr>
      <w:tr w:rsidR="003D769B" w:rsidRPr="00B817EA" w:rsidTr="00B46188">
        <w:trPr>
          <w:gridAfter w:val="1"/>
          <w:wAfter w:w="3" w:type="pct"/>
        </w:trPr>
        <w:tc>
          <w:tcPr>
            <w:tcW w:w="4997" w:type="pct"/>
            <w:gridSpan w:val="43"/>
            <w:shd w:val="clear" w:color="auto" w:fill="auto"/>
          </w:tcPr>
          <w:p w:rsidR="003D769B" w:rsidRPr="003D769B" w:rsidRDefault="003D769B" w:rsidP="003D769B">
            <w:pPr>
              <w:pStyle w:val="TableBodyText"/>
              <w:jc w:val="left"/>
            </w:pPr>
            <w:r w:rsidRPr="003D769B">
              <w:t xml:space="preserve">Apparent retention rate, year 10-12, full time </w:t>
            </w:r>
            <w:r>
              <w:t xml:space="preserve">Indigenous </w:t>
            </w:r>
            <w:r w:rsidRPr="003D769B">
              <w:t>students, government schools</w:t>
            </w:r>
          </w:p>
        </w:tc>
      </w:tr>
      <w:tr w:rsidR="001658B4" w:rsidRPr="00B817EA" w:rsidTr="004B45D9">
        <w:trPr>
          <w:gridAfter w:val="1"/>
          <w:wAfter w:w="3" w:type="pct"/>
        </w:trPr>
        <w:tc>
          <w:tcPr>
            <w:tcW w:w="11" w:type="pct"/>
            <w:shd w:val="clear" w:color="auto" w:fill="auto"/>
          </w:tcPr>
          <w:p w:rsidR="001658B4" w:rsidRPr="00B817EA" w:rsidRDefault="001658B4" w:rsidP="00E12F7C">
            <w:pPr>
              <w:pStyle w:val="TableBodyText"/>
              <w:jc w:val="left"/>
            </w:pPr>
          </w:p>
        </w:tc>
        <w:tc>
          <w:tcPr>
            <w:tcW w:w="146" w:type="pct"/>
            <w:gridSpan w:val="3"/>
            <w:shd w:val="clear" w:color="auto" w:fill="auto"/>
          </w:tcPr>
          <w:p w:rsidR="001658B4" w:rsidRPr="00B817EA" w:rsidRDefault="001658B4" w:rsidP="00E12F7C">
            <w:pPr>
              <w:pStyle w:val="TableBodyText"/>
              <w:jc w:val="left"/>
            </w:pPr>
            <w:r>
              <w:t>%</w:t>
            </w:r>
          </w:p>
        </w:tc>
        <w:tc>
          <w:tcPr>
            <w:tcW w:w="465" w:type="pct"/>
            <w:gridSpan w:val="4"/>
            <w:shd w:val="clear" w:color="auto" w:fill="auto"/>
            <w:vAlign w:val="center"/>
          </w:tcPr>
          <w:p w:rsidR="001658B4" w:rsidRDefault="001658B4" w:rsidP="00DE4EE1">
            <w:pPr>
              <w:pStyle w:val="TableBodyText"/>
            </w:pPr>
            <w:r>
              <w:t>45.2</w:t>
            </w:r>
          </w:p>
        </w:tc>
        <w:tc>
          <w:tcPr>
            <w:tcW w:w="462" w:type="pct"/>
            <w:gridSpan w:val="3"/>
            <w:shd w:val="clear" w:color="auto" w:fill="auto"/>
            <w:vAlign w:val="center"/>
          </w:tcPr>
          <w:p w:rsidR="001658B4" w:rsidRDefault="001658B4" w:rsidP="00DE4EE1">
            <w:pPr>
              <w:pStyle w:val="TableBodyText"/>
            </w:pPr>
            <w:r>
              <w:t>52.2</w:t>
            </w:r>
          </w:p>
        </w:tc>
        <w:tc>
          <w:tcPr>
            <w:tcW w:w="543" w:type="pct"/>
            <w:gridSpan w:val="5"/>
            <w:shd w:val="clear" w:color="auto" w:fill="auto"/>
            <w:vAlign w:val="center"/>
          </w:tcPr>
          <w:p w:rsidR="001658B4" w:rsidRDefault="001658B4" w:rsidP="00DE4EE1">
            <w:pPr>
              <w:pStyle w:val="TableBodyText"/>
            </w:pPr>
            <w:r>
              <w:t>56.9</w:t>
            </w:r>
          </w:p>
        </w:tc>
        <w:tc>
          <w:tcPr>
            <w:tcW w:w="460" w:type="pct"/>
            <w:gridSpan w:val="3"/>
            <w:shd w:val="clear" w:color="auto" w:fill="auto"/>
            <w:vAlign w:val="center"/>
          </w:tcPr>
          <w:p w:rsidR="001658B4" w:rsidRDefault="001658B4" w:rsidP="00DE4EE1">
            <w:pPr>
              <w:pStyle w:val="TableBodyText"/>
            </w:pPr>
            <w:r>
              <w:t>39.9</w:t>
            </w:r>
          </w:p>
        </w:tc>
        <w:tc>
          <w:tcPr>
            <w:tcW w:w="466" w:type="pct"/>
            <w:gridSpan w:val="4"/>
            <w:shd w:val="clear" w:color="auto" w:fill="auto"/>
            <w:vAlign w:val="center"/>
          </w:tcPr>
          <w:p w:rsidR="001658B4" w:rsidRDefault="001658B4" w:rsidP="00DE4EE1">
            <w:pPr>
              <w:pStyle w:val="TableBodyText"/>
            </w:pPr>
            <w:r>
              <w:t>68.4</w:t>
            </w:r>
          </w:p>
        </w:tc>
        <w:tc>
          <w:tcPr>
            <w:tcW w:w="538" w:type="pct"/>
            <w:gridSpan w:val="4"/>
            <w:shd w:val="clear" w:color="auto" w:fill="auto"/>
            <w:vAlign w:val="center"/>
          </w:tcPr>
          <w:p w:rsidR="001658B4" w:rsidRDefault="001658B4" w:rsidP="00DE4EE1">
            <w:pPr>
              <w:pStyle w:val="TableBodyText"/>
            </w:pPr>
            <w:r>
              <w:t>38.8</w:t>
            </w:r>
          </w:p>
        </w:tc>
        <w:tc>
          <w:tcPr>
            <w:tcW w:w="538" w:type="pct"/>
            <w:gridSpan w:val="5"/>
            <w:shd w:val="clear" w:color="auto" w:fill="auto"/>
            <w:vAlign w:val="center"/>
          </w:tcPr>
          <w:p w:rsidR="001658B4" w:rsidRDefault="001658B4" w:rsidP="00DE4EE1">
            <w:pPr>
              <w:pStyle w:val="TableBodyText"/>
            </w:pPr>
            <w:r>
              <w:t>75.3</w:t>
            </w:r>
          </w:p>
        </w:tc>
        <w:tc>
          <w:tcPr>
            <w:tcW w:w="461" w:type="pct"/>
            <w:gridSpan w:val="3"/>
            <w:shd w:val="clear" w:color="auto" w:fill="auto"/>
            <w:vAlign w:val="center"/>
          </w:tcPr>
          <w:p w:rsidR="001658B4" w:rsidRDefault="001658B4" w:rsidP="00DE4EE1">
            <w:pPr>
              <w:pStyle w:val="TableBodyText"/>
            </w:pPr>
            <w:r>
              <w:t>48.2</w:t>
            </w:r>
          </w:p>
        </w:tc>
        <w:tc>
          <w:tcPr>
            <w:tcW w:w="455" w:type="pct"/>
            <w:gridSpan w:val="5"/>
            <w:vAlign w:val="center"/>
          </w:tcPr>
          <w:p w:rsidR="001658B4" w:rsidRDefault="001658B4" w:rsidP="00DE4EE1">
            <w:pPr>
              <w:pStyle w:val="TableBodyText"/>
            </w:pPr>
            <w:r>
              <w:t>50.2</w:t>
            </w:r>
          </w:p>
        </w:tc>
        <w:tc>
          <w:tcPr>
            <w:tcW w:w="452" w:type="pct"/>
            <w:gridSpan w:val="3"/>
            <w:shd w:val="clear" w:color="auto" w:fill="FFFFFF" w:themeFill="background1"/>
          </w:tcPr>
          <w:p w:rsidR="001658B4" w:rsidRPr="00B817EA" w:rsidRDefault="001658B4" w:rsidP="0018259F">
            <w:pPr>
              <w:pStyle w:val="TableBodyText"/>
            </w:pPr>
            <w:r>
              <w:t>4A.1</w:t>
            </w:r>
            <w:r w:rsidR="0018259F">
              <w:t>24</w:t>
            </w:r>
          </w:p>
        </w:tc>
      </w:tr>
      <w:tr w:rsidR="005E7069" w:rsidRPr="004E27F9" w:rsidTr="00B46188">
        <w:trPr>
          <w:gridAfter w:val="1"/>
          <w:wAfter w:w="3" w:type="pct"/>
        </w:trPr>
        <w:tc>
          <w:tcPr>
            <w:tcW w:w="4997" w:type="pct"/>
            <w:gridSpan w:val="43"/>
            <w:shd w:val="clear" w:color="auto" w:fill="auto"/>
          </w:tcPr>
          <w:p w:rsidR="005E7069" w:rsidRPr="004E27F9" w:rsidRDefault="005E7069" w:rsidP="005E7069">
            <w:pPr>
              <w:pStyle w:val="TableColumnHeading"/>
              <w:jc w:val="left"/>
              <w:rPr>
                <w:b/>
                <w:i w:val="0"/>
              </w:rPr>
            </w:pPr>
            <w:r w:rsidRPr="004E27F9">
              <w:rPr>
                <w:b/>
                <w:i w:val="0"/>
              </w:rPr>
              <w:t>Efficiency indicators</w:t>
            </w:r>
          </w:p>
        </w:tc>
      </w:tr>
      <w:tr w:rsidR="005E7069" w:rsidRPr="00B817EA" w:rsidTr="00B46188">
        <w:trPr>
          <w:gridAfter w:val="1"/>
          <w:wAfter w:w="3" w:type="pct"/>
        </w:trPr>
        <w:tc>
          <w:tcPr>
            <w:tcW w:w="4997" w:type="pct"/>
            <w:gridSpan w:val="43"/>
            <w:shd w:val="clear" w:color="auto" w:fill="auto"/>
          </w:tcPr>
          <w:p w:rsidR="005E7069" w:rsidRPr="00B817EA" w:rsidRDefault="005E7069" w:rsidP="00C4575E">
            <w:pPr>
              <w:pStyle w:val="TableColumnHeading"/>
              <w:jc w:val="left"/>
            </w:pPr>
            <w:r>
              <w:t>Recurrent expenditure per student, 20</w:t>
            </w:r>
            <w:r w:rsidR="00F22EE7">
              <w:t>1</w:t>
            </w:r>
            <w:r w:rsidR="00C4575E">
              <w:t>1</w:t>
            </w:r>
            <w:r>
              <w:t>-1</w:t>
            </w:r>
            <w:r w:rsidR="00C4575E">
              <w:t>2</w:t>
            </w:r>
            <w:r>
              <w:br/>
            </w:r>
            <w:r w:rsidRPr="004821D5">
              <w:rPr>
                <w:i w:val="0"/>
                <w:sz w:val="16"/>
                <w:szCs w:val="16"/>
              </w:rPr>
              <w:t xml:space="preserve">Data for </w:t>
            </w:r>
            <w:r>
              <w:rPr>
                <w:i w:val="0"/>
                <w:sz w:val="16"/>
                <w:szCs w:val="16"/>
              </w:rPr>
              <w:t>this indicator are</w:t>
            </w:r>
            <w:r w:rsidRPr="004821D5">
              <w:rPr>
                <w:i w:val="0"/>
                <w:sz w:val="16"/>
                <w:szCs w:val="16"/>
              </w:rPr>
              <w:t xml:space="preserve"> comparable</w:t>
            </w:r>
            <w:r>
              <w:rPr>
                <w:i w:val="0"/>
                <w:sz w:val="16"/>
                <w:szCs w:val="16"/>
              </w:rPr>
              <w:t>, subject to caveats</w:t>
            </w:r>
            <w:r w:rsidRPr="004821D5">
              <w:rPr>
                <w:i w:val="0"/>
                <w:sz w:val="16"/>
                <w:szCs w:val="16"/>
              </w:rPr>
              <w:t xml:space="preserve"> (chapter </w:t>
            </w:r>
            <w:r>
              <w:rPr>
                <w:i w:val="0"/>
                <w:sz w:val="16"/>
                <w:szCs w:val="16"/>
              </w:rPr>
              <w:t>4</w:t>
            </w:r>
            <w:r w:rsidRPr="004821D5">
              <w:rPr>
                <w:i w:val="0"/>
                <w:sz w:val="16"/>
                <w:szCs w:val="16"/>
              </w:rPr>
              <w:t>)</w:t>
            </w:r>
            <w:r>
              <w:t xml:space="preserve"> </w:t>
            </w:r>
            <w:r>
              <w:br/>
            </w:r>
            <w:r>
              <w:rPr>
                <w:i w:val="0"/>
              </w:rPr>
              <w:t>Government e</w:t>
            </w:r>
            <w:r w:rsidRPr="00C35DEB">
              <w:rPr>
                <w:i w:val="0"/>
              </w:rPr>
              <w:t xml:space="preserve">xpenditure per </w:t>
            </w:r>
            <w:r>
              <w:rPr>
                <w:i w:val="0"/>
              </w:rPr>
              <w:t>FTE student</w:t>
            </w:r>
            <w:r w:rsidRPr="00C35DEB">
              <w:rPr>
                <w:i w:val="0"/>
              </w:rPr>
              <w:t>, government schools</w:t>
            </w:r>
          </w:p>
        </w:tc>
      </w:tr>
      <w:tr w:rsidR="00C4575E" w:rsidRPr="0096107C" w:rsidTr="004B45D9">
        <w:trPr>
          <w:gridAfter w:val="1"/>
          <w:wAfter w:w="3" w:type="pct"/>
        </w:trPr>
        <w:tc>
          <w:tcPr>
            <w:tcW w:w="11" w:type="pct"/>
            <w:shd w:val="clear" w:color="auto" w:fill="auto"/>
          </w:tcPr>
          <w:p w:rsidR="00C4575E" w:rsidRPr="0096107C" w:rsidRDefault="00C4575E" w:rsidP="00E12F7C">
            <w:pPr>
              <w:pStyle w:val="TableBodyText"/>
              <w:jc w:val="left"/>
            </w:pPr>
          </w:p>
        </w:tc>
        <w:tc>
          <w:tcPr>
            <w:tcW w:w="146" w:type="pct"/>
            <w:gridSpan w:val="3"/>
            <w:shd w:val="clear" w:color="auto" w:fill="auto"/>
          </w:tcPr>
          <w:p w:rsidR="00C4575E" w:rsidRPr="0096107C" w:rsidRDefault="00C4575E" w:rsidP="00E12F7C">
            <w:pPr>
              <w:pStyle w:val="TableBodyText"/>
              <w:jc w:val="left"/>
            </w:pPr>
            <w:r w:rsidRPr="0096107C">
              <w:t>$</w:t>
            </w:r>
          </w:p>
        </w:tc>
        <w:tc>
          <w:tcPr>
            <w:tcW w:w="465" w:type="pct"/>
            <w:gridSpan w:val="4"/>
            <w:shd w:val="clear" w:color="auto" w:fill="auto"/>
            <w:vAlign w:val="center"/>
          </w:tcPr>
          <w:p w:rsidR="00C4575E" w:rsidRPr="00C4575E" w:rsidRDefault="00C4575E" w:rsidP="00DE4EE1">
            <w:pPr>
              <w:pStyle w:val="TableBodyText"/>
            </w:pPr>
            <w:r w:rsidRPr="00C4575E">
              <w:t xml:space="preserve"> 15 718</w:t>
            </w:r>
          </w:p>
        </w:tc>
        <w:tc>
          <w:tcPr>
            <w:tcW w:w="462" w:type="pct"/>
            <w:gridSpan w:val="3"/>
            <w:shd w:val="clear" w:color="auto" w:fill="auto"/>
            <w:vAlign w:val="center"/>
          </w:tcPr>
          <w:p w:rsidR="00C4575E" w:rsidRPr="00C4575E" w:rsidRDefault="00C4575E" w:rsidP="00DE4EE1">
            <w:pPr>
              <w:pStyle w:val="TableBodyText"/>
            </w:pPr>
            <w:r w:rsidRPr="00C4575E">
              <w:t xml:space="preserve"> 13 801</w:t>
            </w:r>
          </w:p>
        </w:tc>
        <w:tc>
          <w:tcPr>
            <w:tcW w:w="543" w:type="pct"/>
            <w:gridSpan w:val="5"/>
            <w:shd w:val="clear" w:color="auto" w:fill="auto"/>
            <w:vAlign w:val="center"/>
          </w:tcPr>
          <w:p w:rsidR="00C4575E" w:rsidRPr="00C4575E" w:rsidRDefault="00C4575E" w:rsidP="00DE4EE1">
            <w:pPr>
              <w:pStyle w:val="TableBodyText"/>
            </w:pPr>
            <w:r w:rsidRPr="00C4575E">
              <w:t xml:space="preserve"> 15 526</w:t>
            </w:r>
          </w:p>
        </w:tc>
        <w:tc>
          <w:tcPr>
            <w:tcW w:w="460" w:type="pct"/>
            <w:gridSpan w:val="3"/>
            <w:shd w:val="clear" w:color="auto" w:fill="auto"/>
            <w:vAlign w:val="center"/>
          </w:tcPr>
          <w:p w:rsidR="00C4575E" w:rsidRPr="00C4575E" w:rsidRDefault="00C4575E" w:rsidP="00DE4EE1">
            <w:pPr>
              <w:pStyle w:val="TableBodyText"/>
            </w:pPr>
            <w:r w:rsidRPr="00C4575E">
              <w:t xml:space="preserve"> 18 731</w:t>
            </w:r>
          </w:p>
        </w:tc>
        <w:tc>
          <w:tcPr>
            <w:tcW w:w="466" w:type="pct"/>
            <w:gridSpan w:val="4"/>
            <w:shd w:val="clear" w:color="auto" w:fill="auto"/>
            <w:vAlign w:val="center"/>
          </w:tcPr>
          <w:p w:rsidR="00C4575E" w:rsidRPr="00C4575E" w:rsidRDefault="00C4575E" w:rsidP="00DE4EE1">
            <w:pPr>
              <w:pStyle w:val="TableBodyText"/>
            </w:pPr>
            <w:r w:rsidRPr="00C4575E">
              <w:t xml:space="preserve"> 16 323</w:t>
            </w:r>
          </w:p>
        </w:tc>
        <w:tc>
          <w:tcPr>
            <w:tcW w:w="538" w:type="pct"/>
            <w:gridSpan w:val="4"/>
            <w:shd w:val="clear" w:color="auto" w:fill="auto"/>
            <w:vAlign w:val="center"/>
          </w:tcPr>
          <w:p w:rsidR="00C4575E" w:rsidRPr="00C4575E" w:rsidRDefault="00C4575E" w:rsidP="00DE4EE1">
            <w:pPr>
              <w:pStyle w:val="TableBodyText"/>
            </w:pPr>
            <w:r w:rsidRPr="00C4575E">
              <w:t xml:space="preserve"> 15 927</w:t>
            </w:r>
          </w:p>
        </w:tc>
        <w:tc>
          <w:tcPr>
            <w:tcW w:w="538" w:type="pct"/>
            <w:gridSpan w:val="5"/>
            <w:shd w:val="clear" w:color="auto" w:fill="auto"/>
            <w:vAlign w:val="center"/>
          </w:tcPr>
          <w:p w:rsidR="00C4575E" w:rsidRPr="00C4575E" w:rsidRDefault="00C4575E" w:rsidP="00DE4EE1">
            <w:pPr>
              <w:pStyle w:val="TableBodyText"/>
            </w:pPr>
            <w:r w:rsidRPr="00C4575E">
              <w:t xml:space="preserve"> 20 798</w:t>
            </w:r>
          </w:p>
        </w:tc>
        <w:tc>
          <w:tcPr>
            <w:tcW w:w="461" w:type="pct"/>
            <w:gridSpan w:val="3"/>
            <w:shd w:val="clear" w:color="auto" w:fill="auto"/>
            <w:vAlign w:val="center"/>
          </w:tcPr>
          <w:p w:rsidR="00C4575E" w:rsidRPr="00C4575E" w:rsidRDefault="00C4575E" w:rsidP="00DE4EE1">
            <w:pPr>
              <w:pStyle w:val="TableBodyText"/>
            </w:pPr>
            <w:r w:rsidRPr="00C4575E">
              <w:t xml:space="preserve"> 23 788</w:t>
            </w:r>
          </w:p>
        </w:tc>
        <w:tc>
          <w:tcPr>
            <w:tcW w:w="455" w:type="pct"/>
            <w:gridSpan w:val="5"/>
            <w:vAlign w:val="center"/>
          </w:tcPr>
          <w:p w:rsidR="00C4575E" w:rsidRPr="00C4575E" w:rsidRDefault="00C4575E" w:rsidP="00DE4EE1">
            <w:pPr>
              <w:pStyle w:val="TableBodyText"/>
            </w:pPr>
            <w:r w:rsidRPr="00C4575E">
              <w:t xml:space="preserve"> 15 768</w:t>
            </w:r>
          </w:p>
        </w:tc>
        <w:tc>
          <w:tcPr>
            <w:tcW w:w="452" w:type="pct"/>
            <w:gridSpan w:val="3"/>
            <w:shd w:val="clear" w:color="auto" w:fill="FFFFFF" w:themeFill="background1"/>
          </w:tcPr>
          <w:p w:rsidR="00C4575E" w:rsidRPr="0096107C" w:rsidRDefault="00C4575E" w:rsidP="0018259F">
            <w:pPr>
              <w:pStyle w:val="TableBodyText"/>
            </w:pPr>
            <w:r>
              <w:t>4A.1</w:t>
            </w:r>
            <w:r w:rsidR="0018259F">
              <w:t>2</w:t>
            </w:r>
          </w:p>
        </w:tc>
      </w:tr>
      <w:tr w:rsidR="005E7069" w:rsidRPr="00B817EA" w:rsidTr="00B46188">
        <w:trPr>
          <w:gridAfter w:val="1"/>
          <w:wAfter w:w="3" w:type="pct"/>
        </w:trPr>
        <w:tc>
          <w:tcPr>
            <w:tcW w:w="4997" w:type="pct"/>
            <w:gridSpan w:val="43"/>
            <w:shd w:val="clear" w:color="auto" w:fill="auto"/>
          </w:tcPr>
          <w:p w:rsidR="005E7069" w:rsidRPr="00B817EA" w:rsidRDefault="005E7069" w:rsidP="005E7069">
            <w:pPr>
              <w:pStyle w:val="TableColumnHeading"/>
              <w:jc w:val="left"/>
            </w:pPr>
            <w:r>
              <w:rPr>
                <w:i w:val="0"/>
              </w:rPr>
              <w:t>Government e</w:t>
            </w:r>
            <w:r w:rsidRPr="00C35DEB">
              <w:rPr>
                <w:i w:val="0"/>
              </w:rPr>
              <w:t xml:space="preserve">xpenditure per </w:t>
            </w:r>
            <w:r>
              <w:rPr>
                <w:i w:val="0"/>
              </w:rPr>
              <w:t>FTE student</w:t>
            </w:r>
            <w:r w:rsidRPr="00C35DEB">
              <w:rPr>
                <w:i w:val="0"/>
              </w:rPr>
              <w:t xml:space="preserve">, </w:t>
            </w:r>
            <w:r>
              <w:rPr>
                <w:i w:val="0"/>
              </w:rPr>
              <w:t>non-</w:t>
            </w:r>
            <w:r w:rsidRPr="00C35DEB">
              <w:rPr>
                <w:i w:val="0"/>
              </w:rPr>
              <w:t>government schools</w:t>
            </w:r>
          </w:p>
        </w:tc>
      </w:tr>
      <w:tr w:rsidR="0018259F" w:rsidRPr="00B817EA" w:rsidTr="004B45D9">
        <w:trPr>
          <w:gridAfter w:val="1"/>
          <w:wAfter w:w="3" w:type="pct"/>
        </w:trPr>
        <w:tc>
          <w:tcPr>
            <w:tcW w:w="11" w:type="pct"/>
            <w:shd w:val="clear" w:color="auto" w:fill="auto"/>
          </w:tcPr>
          <w:p w:rsidR="0018259F" w:rsidRPr="00B817EA" w:rsidRDefault="0018259F" w:rsidP="00E12F7C">
            <w:pPr>
              <w:pStyle w:val="TableBodyText"/>
              <w:jc w:val="left"/>
            </w:pPr>
          </w:p>
        </w:tc>
        <w:tc>
          <w:tcPr>
            <w:tcW w:w="146" w:type="pct"/>
            <w:gridSpan w:val="3"/>
            <w:shd w:val="clear" w:color="auto" w:fill="auto"/>
          </w:tcPr>
          <w:p w:rsidR="0018259F" w:rsidRPr="00B817EA" w:rsidRDefault="0018259F" w:rsidP="00E12F7C">
            <w:pPr>
              <w:pStyle w:val="TableBodyText"/>
              <w:jc w:val="left"/>
            </w:pPr>
            <w:r>
              <w:t>$</w:t>
            </w:r>
          </w:p>
        </w:tc>
        <w:tc>
          <w:tcPr>
            <w:tcW w:w="465" w:type="pct"/>
            <w:gridSpan w:val="4"/>
            <w:shd w:val="clear" w:color="auto" w:fill="FFFFFF" w:themeFill="background1"/>
            <w:vAlign w:val="center"/>
          </w:tcPr>
          <w:p w:rsidR="0018259F" w:rsidRDefault="0018259F" w:rsidP="0018259F">
            <w:pPr>
              <w:pStyle w:val="TableBodyText"/>
            </w:pPr>
            <w:r>
              <w:t xml:space="preserve"> 8 473</w:t>
            </w:r>
          </w:p>
        </w:tc>
        <w:tc>
          <w:tcPr>
            <w:tcW w:w="462" w:type="pct"/>
            <w:gridSpan w:val="3"/>
            <w:shd w:val="clear" w:color="auto" w:fill="FFFFFF" w:themeFill="background1"/>
            <w:vAlign w:val="center"/>
          </w:tcPr>
          <w:p w:rsidR="0018259F" w:rsidRDefault="0018259F" w:rsidP="0018259F">
            <w:pPr>
              <w:pStyle w:val="TableBodyText"/>
            </w:pPr>
            <w:r>
              <w:t xml:space="preserve"> 8 072</w:t>
            </w:r>
          </w:p>
        </w:tc>
        <w:tc>
          <w:tcPr>
            <w:tcW w:w="543" w:type="pct"/>
            <w:gridSpan w:val="5"/>
            <w:shd w:val="clear" w:color="auto" w:fill="FFFFFF" w:themeFill="background1"/>
            <w:vAlign w:val="center"/>
          </w:tcPr>
          <w:p w:rsidR="0018259F" w:rsidRDefault="0018259F" w:rsidP="0018259F">
            <w:pPr>
              <w:pStyle w:val="TableBodyText"/>
            </w:pPr>
            <w:r>
              <w:t xml:space="preserve"> 8 774</w:t>
            </w:r>
          </w:p>
        </w:tc>
        <w:tc>
          <w:tcPr>
            <w:tcW w:w="460" w:type="pct"/>
            <w:gridSpan w:val="3"/>
            <w:shd w:val="clear" w:color="auto" w:fill="FFFFFF" w:themeFill="background1"/>
            <w:vAlign w:val="center"/>
          </w:tcPr>
          <w:p w:rsidR="0018259F" w:rsidRDefault="0018259F" w:rsidP="0018259F">
            <w:pPr>
              <w:pStyle w:val="TableBodyText"/>
            </w:pPr>
            <w:r>
              <w:t xml:space="preserve"> 9 375</w:t>
            </w:r>
          </w:p>
        </w:tc>
        <w:tc>
          <w:tcPr>
            <w:tcW w:w="466" w:type="pct"/>
            <w:gridSpan w:val="4"/>
            <w:shd w:val="clear" w:color="auto" w:fill="FFFFFF" w:themeFill="background1"/>
            <w:vAlign w:val="center"/>
          </w:tcPr>
          <w:p w:rsidR="0018259F" w:rsidRDefault="0018259F" w:rsidP="0018259F">
            <w:pPr>
              <w:pStyle w:val="TableBodyText"/>
            </w:pPr>
            <w:r>
              <w:t xml:space="preserve"> 8 451</w:t>
            </w:r>
          </w:p>
        </w:tc>
        <w:tc>
          <w:tcPr>
            <w:tcW w:w="538" w:type="pct"/>
            <w:gridSpan w:val="4"/>
            <w:shd w:val="clear" w:color="auto" w:fill="FFFFFF" w:themeFill="background1"/>
            <w:vAlign w:val="center"/>
          </w:tcPr>
          <w:p w:rsidR="0018259F" w:rsidRDefault="0018259F" w:rsidP="0018259F">
            <w:pPr>
              <w:pStyle w:val="TableBodyText"/>
            </w:pPr>
            <w:r>
              <w:t xml:space="preserve"> 9 021</w:t>
            </w:r>
          </w:p>
        </w:tc>
        <w:tc>
          <w:tcPr>
            <w:tcW w:w="538" w:type="pct"/>
            <w:gridSpan w:val="5"/>
            <w:shd w:val="clear" w:color="auto" w:fill="FFFFFF" w:themeFill="background1"/>
            <w:vAlign w:val="center"/>
          </w:tcPr>
          <w:p w:rsidR="0018259F" w:rsidRDefault="0018259F" w:rsidP="0018259F">
            <w:pPr>
              <w:pStyle w:val="TableBodyText"/>
            </w:pPr>
            <w:r>
              <w:t xml:space="preserve"> 7 329</w:t>
            </w:r>
          </w:p>
        </w:tc>
        <w:tc>
          <w:tcPr>
            <w:tcW w:w="461" w:type="pct"/>
            <w:gridSpan w:val="3"/>
            <w:shd w:val="clear" w:color="auto" w:fill="FFFFFF" w:themeFill="background1"/>
            <w:vAlign w:val="center"/>
          </w:tcPr>
          <w:p w:rsidR="0018259F" w:rsidRDefault="0018259F" w:rsidP="0018259F">
            <w:pPr>
              <w:pStyle w:val="TableBodyText"/>
            </w:pPr>
            <w:r>
              <w:t xml:space="preserve"> 13 008</w:t>
            </w:r>
          </w:p>
        </w:tc>
        <w:tc>
          <w:tcPr>
            <w:tcW w:w="455" w:type="pct"/>
            <w:gridSpan w:val="5"/>
            <w:shd w:val="clear" w:color="auto" w:fill="FFFFFF" w:themeFill="background1"/>
            <w:vAlign w:val="center"/>
          </w:tcPr>
          <w:p w:rsidR="0018259F" w:rsidRDefault="0018259F" w:rsidP="0018259F">
            <w:pPr>
              <w:pStyle w:val="TableBodyText"/>
            </w:pPr>
            <w:r>
              <w:t xml:space="preserve"> 8 546</w:t>
            </w:r>
          </w:p>
        </w:tc>
        <w:tc>
          <w:tcPr>
            <w:tcW w:w="452" w:type="pct"/>
            <w:gridSpan w:val="3"/>
            <w:shd w:val="clear" w:color="auto" w:fill="FFFFFF" w:themeFill="background1"/>
          </w:tcPr>
          <w:p w:rsidR="0018259F" w:rsidRPr="00B817EA" w:rsidRDefault="0018259F" w:rsidP="0018259F">
            <w:pPr>
              <w:pStyle w:val="TableBodyText"/>
            </w:pPr>
            <w:r>
              <w:t>4A.15</w:t>
            </w:r>
          </w:p>
        </w:tc>
      </w:tr>
      <w:tr w:rsidR="005E7069" w:rsidRPr="00072252" w:rsidTr="00B46188">
        <w:trPr>
          <w:gridAfter w:val="1"/>
          <w:wAfter w:w="3" w:type="pct"/>
        </w:trPr>
        <w:tc>
          <w:tcPr>
            <w:tcW w:w="4997" w:type="pct"/>
            <w:gridSpan w:val="43"/>
            <w:shd w:val="clear" w:color="auto" w:fill="auto"/>
          </w:tcPr>
          <w:p w:rsidR="005E7069" w:rsidRPr="00072252" w:rsidRDefault="005E7069" w:rsidP="005E7069">
            <w:pPr>
              <w:pStyle w:val="TableColumnHeading"/>
              <w:jc w:val="left"/>
              <w:rPr>
                <w:i w:val="0"/>
              </w:rPr>
            </w:pPr>
            <w:r w:rsidRPr="00072252">
              <w:rPr>
                <w:i w:val="0"/>
              </w:rPr>
              <w:t>Government recurrent expenditure on staff per FTE student in government schools</w:t>
            </w:r>
          </w:p>
        </w:tc>
      </w:tr>
      <w:tr w:rsidR="00C4575E" w:rsidRPr="00B817EA" w:rsidTr="004B45D9">
        <w:trPr>
          <w:gridAfter w:val="1"/>
          <w:wAfter w:w="3" w:type="pct"/>
        </w:trPr>
        <w:tc>
          <w:tcPr>
            <w:tcW w:w="11" w:type="pct"/>
            <w:shd w:val="clear" w:color="auto" w:fill="auto"/>
          </w:tcPr>
          <w:p w:rsidR="00C4575E" w:rsidRPr="00B817EA" w:rsidRDefault="00C4575E" w:rsidP="00E12F7C">
            <w:pPr>
              <w:pStyle w:val="TableBodyText"/>
              <w:jc w:val="left"/>
            </w:pPr>
          </w:p>
        </w:tc>
        <w:tc>
          <w:tcPr>
            <w:tcW w:w="146" w:type="pct"/>
            <w:gridSpan w:val="3"/>
            <w:shd w:val="clear" w:color="auto" w:fill="auto"/>
          </w:tcPr>
          <w:p w:rsidR="00C4575E" w:rsidRPr="00B817EA" w:rsidRDefault="00C4575E" w:rsidP="00E12F7C">
            <w:pPr>
              <w:pStyle w:val="TableBodyText"/>
              <w:jc w:val="left"/>
            </w:pPr>
            <w:r>
              <w:t>$</w:t>
            </w:r>
          </w:p>
        </w:tc>
        <w:tc>
          <w:tcPr>
            <w:tcW w:w="465" w:type="pct"/>
            <w:gridSpan w:val="4"/>
            <w:shd w:val="clear" w:color="auto" w:fill="auto"/>
            <w:vAlign w:val="center"/>
          </w:tcPr>
          <w:p w:rsidR="00C4575E" w:rsidRPr="00C4575E" w:rsidRDefault="00C4575E" w:rsidP="00DE4EE1">
            <w:pPr>
              <w:pStyle w:val="TableBodyText"/>
            </w:pPr>
            <w:r w:rsidRPr="00C4575E">
              <w:t xml:space="preserve"> 10 311</w:t>
            </w:r>
          </w:p>
        </w:tc>
        <w:tc>
          <w:tcPr>
            <w:tcW w:w="462" w:type="pct"/>
            <w:gridSpan w:val="3"/>
            <w:shd w:val="clear" w:color="auto" w:fill="auto"/>
            <w:vAlign w:val="center"/>
          </w:tcPr>
          <w:p w:rsidR="00C4575E" w:rsidRPr="00C4575E" w:rsidRDefault="00C4575E" w:rsidP="00DE4EE1">
            <w:pPr>
              <w:pStyle w:val="TableBodyText"/>
            </w:pPr>
            <w:r w:rsidRPr="00C4575E">
              <w:t xml:space="preserve"> 8 844</w:t>
            </w:r>
          </w:p>
        </w:tc>
        <w:tc>
          <w:tcPr>
            <w:tcW w:w="543" w:type="pct"/>
            <w:gridSpan w:val="5"/>
            <w:shd w:val="clear" w:color="auto" w:fill="auto"/>
            <w:vAlign w:val="center"/>
          </w:tcPr>
          <w:p w:rsidR="00C4575E" w:rsidRPr="00C4575E" w:rsidRDefault="00C4575E" w:rsidP="00DE4EE1">
            <w:pPr>
              <w:pStyle w:val="TableBodyText"/>
            </w:pPr>
            <w:r w:rsidRPr="00C4575E">
              <w:t xml:space="preserve"> 9 695</w:t>
            </w:r>
          </w:p>
        </w:tc>
        <w:tc>
          <w:tcPr>
            <w:tcW w:w="460" w:type="pct"/>
            <w:gridSpan w:val="3"/>
            <w:shd w:val="clear" w:color="auto" w:fill="auto"/>
            <w:vAlign w:val="center"/>
          </w:tcPr>
          <w:p w:rsidR="00C4575E" w:rsidRPr="00C4575E" w:rsidRDefault="00C4575E" w:rsidP="00DE4EE1">
            <w:pPr>
              <w:pStyle w:val="TableBodyText"/>
            </w:pPr>
            <w:r w:rsidRPr="00C4575E">
              <w:t xml:space="preserve"> 11 347</w:t>
            </w:r>
          </w:p>
        </w:tc>
        <w:tc>
          <w:tcPr>
            <w:tcW w:w="466" w:type="pct"/>
            <w:gridSpan w:val="4"/>
            <w:shd w:val="clear" w:color="auto" w:fill="auto"/>
            <w:vAlign w:val="center"/>
          </w:tcPr>
          <w:p w:rsidR="00C4575E" w:rsidRPr="00C4575E" w:rsidRDefault="00C4575E" w:rsidP="00DE4EE1">
            <w:pPr>
              <w:pStyle w:val="TableBodyText"/>
            </w:pPr>
            <w:r w:rsidRPr="00C4575E">
              <w:t xml:space="preserve"> 10 645</w:t>
            </w:r>
          </w:p>
        </w:tc>
        <w:tc>
          <w:tcPr>
            <w:tcW w:w="538" w:type="pct"/>
            <w:gridSpan w:val="4"/>
            <w:shd w:val="clear" w:color="auto" w:fill="auto"/>
            <w:vAlign w:val="center"/>
          </w:tcPr>
          <w:p w:rsidR="00C4575E" w:rsidRPr="00C4575E" w:rsidRDefault="00C4575E" w:rsidP="00DE4EE1">
            <w:pPr>
              <w:pStyle w:val="TableBodyText"/>
            </w:pPr>
            <w:r w:rsidRPr="00C4575E">
              <w:t xml:space="preserve"> 9 581</w:t>
            </w:r>
          </w:p>
        </w:tc>
        <w:tc>
          <w:tcPr>
            <w:tcW w:w="538" w:type="pct"/>
            <w:gridSpan w:val="5"/>
            <w:shd w:val="clear" w:color="auto" w:fill="auto"/>
            <w:vAlign w:val="center"/>
          </w:tcPr>
          <w:p w:rsidR="00C4575E" w:rsidRPr="00C4575E" w:rsidRDefault="00C4575E" w:rsidP="00DE4EE1">
            <w:pPr>
              <w:pStyle w:val="TableBodyText"/>
            </w:pPr>
            <w:r w:rsidRPr="00C4575E">
              <w:t xml:space="preserve"> 12 293</w:t>
            </w:r>
          </w:p>
        </w:tc>
        <w:tc>
          <w:tcPr>
            <w:tcW w:w="461" w:type="pct"/>
            <w:gridSpan w:val="3"/>
            <w:shd w:val="clear" w:color="auto" w:fill="auto"/>
            <w:vAlign w:val="center"/>
          </w:tcPr>
          <w:p w:rsidR="00C4575E" w:rsidRPr="00C4575E" w:rsidRDefault="00C4575E" w:rsidP="00DE4EE1">
            <w:pPr>
              <w:pStyle w:val="TableBodyText"/>
            </w:pPr>
            <w:r w:rsidRPr="00C4575E">
              <w:t xml:space="preserve"> 13 796</w:t>
            </w:r>
          </w:p>
        </w:tc>
        <w:tc>
          <w:tcPr>
            <w:tcW w:w="459" w:type="pct"/>
            <w:gridSpan w:val="6"/>
            <w:vAlign w:val="center"/>
          </w:tcPr>
          <w:p w:rsidR="00C4575E" w:rsidRPr="00C4575E" w:rsidRDefault="00C4575E" w:rsidP="00DE4EE1">
            <w:pPr>
              <w:pStyle w:val="TableBodyText"/>
            </w:pPr>
            <w:r w:rsidRPr="00C4575E">
              <w:t xml:space="preserve"> 10 022</w:t>
            </w:r>
          </w:p>
        </w:tc>
        <w:tc>
          <w:tcPr>
            <w:tcW w:w="448" w:type="pct"/>
            <w:gridSpan w:val="2"/>
            <w:shd w:val="clear" w:color="auto" w:fill="FFFFFF" w:themeFill="background1"/>
          </w:tcPr>
          <w:p w:rsidR="00C4575E" w:rsidRPr="00B817EA" w:rsidRDefault="00C4575E" w:rsidP="0018259F">
            <w:pPr>
              <w:pStyle w:val="TableBodyText"/>
            </w:pPr>
            <w:r>
              <w:t>4A.1</w:t>
            </w:r>
            <w:r w:rsidR="0018259F">
              <w:t>4</w:t>
            </w:r>
          </w:p>
        </w:tc>
      </w:tr>
      <w:tr w:rsidR="005E7069" w:rsidRPr="00B817EA" w:rsidTr="00B46188">
        <w:trPr>
          <w:gridAfter w:val="1"/>
          <w:wAfter w:w="3" w:type="pct"/>
        </w:trPr>
        <w:tc>
          <w:tcPr>
            <w:tcW w:w="4997" w:type="pct"/>
            <w:gridSpan w:val="43"/>
            <w:shd w:val="clear" w:color="auto" w:fill="auto"/>
          </w:tcPr>
          <w:p w:rsidR="005E7069" w:rsidRPr="00B817EA" w:rsidRDefault="005E7069" w:rsidP="00C4575E">
            <w:pPr>
              <w:pStyle w:val="TableColumnHeading"/>
              <w:jc w:val="left"/>
            </w:pPr>
            <w:r>
              <w:t>User cost of capital per student, 20</w:t>
            </w:r>
            <w:r w:rsidR="00F22EE7">
              <w:t>1</w:t>
            </w:r>
            <w:r w:rsidR="00C4575E">
              <w:t>1</w:t>
            </w:r>
            <w:r>
              <w:t>-1</w:t>
            </w:r>
            <w:r w:rsidR="00C4575E">
              <w:t>2</w:t>
            </w:r>
            <w:r>
              <w:br/>
            </w:r>
            <w:r w:rsidRPr="00072252">
              <w:rPr>
                <w:i w:val="0"/>
                <w:sz w:val="16"/>
                <w:szCs w:val="16"/>
              </w:rPr>
              <w:t xml:space="preserve">Data for this indicator are </w:t>
            </w:r>
            <w:r>
              <w:rPr>
                <w:i w:val="0"/>
                <w:sz w:val="16"/>
                <w:szCs w:val="16"/>
              </w:rPr>
              <w:t xml:space="preserve">not directly </w:t>
            </w:r>
            <w:r w:rsidRPr="00072252">
              <w:rPr>
                <w:i w:val="0"/>
                <w:sz w:val="16"/>
                <w:szCs w:val="16"/>
              </w:rPr>
              <w:t>comparable (chapter 4)</w:t>
            </w:r>
            <w:r w:rsidR="00F7745E">
              <w:rPr>
                <w:i w:val="0"/>
              </w:rPr>
              <w:br/>
            </w:r>
            <w:proofErr w:type="spellStart"/>
            <w:r w:rsidRPr="00072252">
              <w:rPr>
                <w:i w:val="0"/>
              </w:rPr>
              <w:t>UCC</w:t>
            </w:r>
            <w:proofErr w:type="spellEnd"/>
            <w:r w:rsidRPr="00072252">
              <w:rPr>
                <w:i w:val="0"/>
              </w:rPr>
              <w:t xml:space="preserve"> per FTE student, government schools</w:t>
            </w:r>
          </w:p>
        </w:tc>
      </w:tr>
      <w:tr w:rsidR="00C4575E" w:rsidRPr="00B817EA" w:rsidTr="004B45D9">
        <w:trPr>
          <w:gridAfter w:val="1"/>
          <w:wAfter w:w="3" w:type="pct"/>
        </w:trPr>
        <w:tc>
          <w:tcPr>
            <w:tcW w:w="11" w:type="pct"/>
            <w:shd w:val="clear" w:color="auto" w:fill="auto"/>
          </w:tcPr>
          <w:p w:rsidR="00C4575E" w:rsidRPr="00B817EA" w:rsidRDefault="00C4575E" w:rsidP="00E12F7C">
            <w:pPr>
              <w:pStyle w:val="TableBodyText"/>
              <w:jc w:val="left"/>
            </w:pPr>
          </w:p>
        </w:tc>
        <w:tc>
          <w:tcPr>
            <w:tcW w:w="146" w:type="pct"/>
            <w:gridSpan w:val="3"/>
            <w:shd w:val="clear" w:color="auto" w:fill="auto"/>
          </w:tcPr>
          <w:p w:rsidR="00C4575E" w:rsidRPr="00B817EA" w:rsidRDefault="00C4575E" w:rsidP="00E12F7C">
            <w:pPr>
              <w:pStyle w:val="TableBodyText"/>
              <w:jc w:val="left"/>
            </w:pPr>
            <w:r>
              <w:t>$</w:t>
            </w:r>
          </w:p>
        </w:tc>
        <w:tc>
          <w:tcPr>
            <w:tcW w:w="465" w:type="pct"/>
            <w:gridSpan w:val="4"/>
            <w:shd w:val="clear" w:color="auto" w:fill="auto"/>
            <w:vAlign w:val="center"/>
          </w:tcPr>
          <w:p w:rsidR="00C4575E" w:rsidRDefault="00C4575E" w:rsidP="00DE4EE1">
            <w:pPr>
              <w:pStyle w:val="TableBodyText"/>
            </w:pPr>
            <w:r>
              <w:t xml:space="preserve"> 2 424</w:t>
            </w:r>
          </w:p>
        </w:tc>
        <w:tc>
          <w:tcPr>
            <w:tcW w:w="462" w:type="pct"/>
            <w:gridSpan w:val="3"/>
            <w:shd w:val="clear" w:color="auto" w:fill="auto"/>
            <w:vAlign w:val="center"/>
          </w:tcPr>
          <w:p w:rsidR="00C4575E" w:rsidRDefault="00C4575E" w:rsidP="00DE4EE1">
            <w:pPr>
              <w:pStyle w:val="TableBodyText"/>
            </w:pPr>
            <w:r>
              <w:t xml:space="preserve"> 2 008</w:t>
            </w:r>
          </w:p>
        </w:tc>
        <w:tc>
          <w:tcPr>
            <w:tcW w:w="543" w:type="pct"/>
            <w:gridSpan w:val="5"/>
            <w:shd w:val="clear" w:color="auto" w:fill="auto"/>
            <w:vAlign w:val="center"/>
          </w:tcPr>
          <w:p w:rsidR="00C4575E" w:rsidRDefault="00C4575E" w:rsidP="00DE4EE1">
            <w:pPr>
              <w:pStyle w:val="TableBodyText"/>
            </w:pPr>
            <w:r>
              <w:t xml:space="preserve"> 2 518</w:t>
            </w:r>
          </w:p>
        </w:tc>
        <w:tc>
          <w:tcPr>
            <w:tcW w:w="460" w:type="pct"/>
            <w:gridSpan w:val="3"/>
            <w:shd w:val="clear" w:color="auto" w:fill="auto"/>
            <w:vAlign w:val="center"/>
          </w:tcPr>
          <w:p w:rsidR="00C4575E" w:rsidRDefault="00C4575E" w:rsidP="00DE4EE1">
            <w:pPr>
              <w:pStyle w:val="TableBodyText"/>
            </w:pPr>
            <w:r>
              <w:t xml:space="preserve"> 3 643</w:t>
            </w:r>
          </w:p>
        </w:tc>
        <w:tc>
          <w:tcPr>
            <w:tcW w:w="466" w:type="pct"/>
            <w:gridSpan w:val="4"/>
            <w:shd w:val="clear" w:color="auto" w:fill="auto"/>
            <w:vAlign w:val="center"/>
          </w:tcPr>
          <w:p w:rsidR="00C4575E" w:rsidRDefault="00C4575E" w:rsidP="00DE4EE1">
            <w:pPr>
              <w:pStyle w:val="TableBodyText"/>
            </w:pPr>
            <w:r>
              <w:t xml:space="preserve"> 1 788</w:t>
            </w:r>
          </w:p>
        </w:tc>
        <w:tc>
          <w:tcPr>
            <w:tcW w:w="538" w:type="pct"/>
            <w:gridSpan w:val="4"/>
            <w:shd w:val="clear" w:color="auto" w:fill="auto"/>
            <w:vAlign w:val="center"/>
          </w:tcPr>
          <w:p w:rsidR="00C4575E" w:rsidRDefault="00C4575E" w:rsidP="00DE4EE1">
            <w:pPr>
              <w:pStyle w:val="TableBodyText"/>
            </w:pPr>
            <w:r>
              <w:t xml:space="preserve"> 1 765</w:t>
            </w:r>
          </w:p>
        </w:tc>
        <w:tc>
          <w:tcPr>
            <w:tcW w:w="538" w:type="pct"/>
            <w:gridSpan w:val="5"/>
            <w:shd w:val="clear" w:color="auto" w:fill="auto"/>
            <w:vAlign w:val="center"/>
          </w:tcPr>
          <w:p w:rsidR="00C4575E" w:rsidRDefault="00C4575E" w:rsidP="00DE4EE1">
            <w:pPr>
              <w:pStyle w:val="TableBodyText"/>
            </w:pPr>
            <w:r>
              <w:t xml:space="preserve"> 4 143</w:t>
            </w:r>
          </w:p>
        </w:tc>
        <w:tc>
          <w:tcPr>
            <w:tcW w:w="461" w:type="pct"/>
            <w:gridSpan w:val="3"/>
            <w:shd w:val="clear" w:color="auto" w:fill="auto"/>
            <w:vAlign w:val="center"/>
          </w:tcPr>
          <w:p w:rsidR="00C4575E" w:rsidRDefault="00C4575E" w:rsidP="00DE4EE1">
            <w:pPr>
              <w:pStyle w:val="TableBodyText"/>
            </w:pPr>
            <w:r>
              <w:t xml:space="preserve"> 2 598</w:t>
            </w:r>
          </w:p>
        </w:tc>
        <w:tc>
          <w:tcPr>
            <w:tcW w:w="459" w:type="pct"/>
            <w:gridSpan w:val="6"/>
            <w:shd w:val="clear" w:color="auto" w:fill="auto"/>
            <w:vAlign w:val="center"/>
          </w:tcPr>
          <w:p w:rsidR="00C4575E" w:rsidRDefault="00C4575E" w:rsidP="00DE4EE1">
            <w:pPr>
              <w:pStyle w:val="TableBodyText"/>
            </w:pPr>
            <w:r>
              <w:t xml:space="preserve"> 2 439</w:t>
            </w:r>
          </w:p>
        </w:tc>
        <w:tc>
          <w:tcPr>
            <w:tcW w:w="448" w:type="pct"/>
            <w:gridSpan w:val="2"/>
            <w:shd w:val="clear" w:color="auto" w:fill="FFFFFF" w:themeFill="background1"/>
          </w:tcPr>
          <w:p w:rsidR="00C4575E" w:rsidRDefault="00C4575E" w:rsidP="00C41302">
            <w:pPr>
              <w:pStyle w:val="TableBodyText"/>
            </w:pPr>
            <w:r>
              <w:t>4A.</w:t>
            </w:r>
            <w:r w:rsidR="00C41302">
              <w:t>20</w:t>
            </w:r>
          </w:p>
        </w:tc>
      </w:tr>
      <w:tr w:rsidR="005E7069" w:rsidRPr="00D959D3" w:rsidTr="00AA7159">
        <w:trPr>
          <w:gridAfter w:val="1"/>
          <w:wAfter w:w="3" w:type="pct"/>
          <w:trHeight w:val="712"/>
        </w:trPr>
        <w:tc>
          <w:tcPr>
            <w:tcW w:w="4997" w:type="pct"/>
            <w:gridSpan w:val="43"/>
            <w:shd w:val="clear" w:color="auto" w:fill="auto"/>
          </w:tcPr>
          <w:p w:rsidR="005E7069" w:rsidRPr="00D959D3" w:rsidRDefault="005E7069" w:rsidP="00C4575E">
            <w:pPr>
              <w:pStyle w:val="TableBodyText"/>
              <w:jc w:val="left"/>
              <w:rPr>
                <w:i/>
              </w:rPr>
            </w:pPr>
            <w:r w:rsidRPr="00D959D3">
              <w:rPr>
                <w:i/>
              </w:rPr>
              <w:t>Student-to-staff ratio</w:t>
            </w:r>
            <w:r>
              <w:rPr>
                <w:i/>
              </w:rPr>
              <w:t>, 201</w:t>
            </w:r>
            <w:r w:rsidR="00C4575E">
              <w:rPr>
                <w:i/>
              </w:rPr>
              <w:t>2</w:t>
            </w:r>
            <w:r>
              <w:t xml:space="preserve"> </w:t>
            </w:r>
            <w:r>
              <w:br/>
            </w:r>
            <w:r w:rsidRPr="00072252">
              <w:rPr>
                <w:sz w:val="16"/>
                <w:szCs w:val="16"/>
              </w:rPr>
              <w:t>Data for this indicator are comparable, subject to caveats (chapter 4)</w:t>
            </w:r>
            <w:r w:rsidR="00F7745E">
              <w:t xml:space="preserve"> </w:t>
            </w:r>
            <w:r w:rsidR="00F7745E">
              <w:br/>
            </w:r>
            <w:r w:rsidRPr="00072252">
              <w:t>Ratio of FTE students to FTE teaching staff, government primary schools</w:t>
            </w:r>
          </w:p>
        </w:tc>
      </w:tr>
      <w:tr w:rsidR="00C4575E" w:rsidRPr="00B817EA" w:rsidTr="004B45D9">
        <w:trPr>
          <w:gridAfter w:val="1"/>
          <w:wAfter w:w="3" w:type="pct"/>
        </w:trPr>
        <w:tc>
          <w:tcPr>
            <w:tcW w:w="11" w:type="pct"/>
            <w:shd w:val="clear" w:color="auto" w:fill="auto"/>
          </w:tcPr>
          <w:p w:rsidR="00C4575E" w:rsidRPr="00B817EA" w:rsidRDefault="00C4575E" w:rsidP="00E12F7C">
            <w:pPr>
              <w:pStyle w:val="TableBodyText"/>
              <w:jc w:val="left"/>
            </w:pPr>
          </w:p>
        </w:tc>
        <w:tc>
          <w:tcPr>
            <w:tcW w:w="233" w:type="pct"/>
            <w:gridSpan w:val="4"/>
            <w:shd w:val="clear" w:color="auto" w:fill="auto"/>
          </w:tcPr>
          <w:p w:rsidR="00C4575E" w:rsidRPr="00B817EA" w:rsidRDefault="00C4575E" w:rsidP="00E12F7C">
            <w:pPr>
              <w:pStyle w:val="TableBodyText"/>
              <w:jc w:val="left"/>
            </w:pPr>
            <w:r>
              <w:t>no.</w:t>
            </w:r>
          </w:p>
        </w:tc>
        <w:tc>
          <w:tcPr>
            <w:tcW w:w="385" w:type="pct"/>
            <w:gridSpan w:val="4"/>
            <w:shd w:val="clear" w:color="auto" w:fill="auto"/>
            <w:vAlign w:val="center"/>
          </w:tcPr>
          <w:p w:rsidR="00C4575E" w:rsidRDefault="00C4575E" w:rsidP="00DE4EE1">
            <w:pPr>
              <w:pStyle w:val="TableBodyText"/>
            </w:pPr>
            <w:r>
              <w:t xml:space="preserve">  15.5</w:t>
            </w:r>
          </w:p>
        </w:tc>
        <w:tc>
          <w:tcPr>
            <w:tcW w:w="461" w:type="pct"/>
            <w:gridSpan w:val="3"/>
            <w:shd w:val="clear" w:color="auto" w:fill="auto"/>
            <w:vAlign w:val="center"/>
          </w:tcPr>
          <w:p w:rsidR="00C4575E" w:rsidRDefault="00C4575E" w:rsidP="00DE4EE1">
            <w:pPr>
              <w:pStyle w:val="TableBodyText"/>
            </w:pPr>
            <w:r>
              <w:t xml:space="preserve">  15.0</w:t>
            </w:r>
          </w:p>
        </w:tc>
        <w:tc>
          <w:tcPr>
            <w:tcW w:w="543" w:type="pct"/>
            <w:gridSpan w:val="5"/>
            <w:shd w:val="clear" w:color="auto" w:fill="auto"/>
            <w:vAlign w:val="center"/>
          </w:tcPr>
          <w:p w:rsidR="00C4575E" w:rsidRDefault="00C4575E" w:rsidP="00DE4EE1">
            <w:pPr>
              <w:pStyle w:val="TableBodyText"/>
            </w:pPr>
            <w:r>
              <w:t xml:space="preserve">  15.4</w:t>
            </w:r>
          </w:p>
        </w:tc>
        <w:tc>
          <w:tcPr>
            <w:tcW w:w="460" w:type="pct"/>
            <w:gridSpan w:val="3"/>
            <w:shd w:val="clear" w:color="auto" w:fill="auto"/>
            <w:vAlign w:val="center"/>
          </w:tcPr>
          <w:p w:rsidR="00C4575E" w:rsidRDefault="00C4575E" w:rsidP="00DE4EE1">
            <w:pPr>
              <w:pStyle w:val="TableBodyText"/>
            </w:pPr>
            <w:r>
              <w:t xml:space="preserve">  15.9</w:t>
            </w:r>
          </w:p>
        </w:tc>
        <w:tc>
          <w:tcPr>
            <w:tcW w:w="466" w:type="pct"/>
            <w:gridSpan w:val="4"/>
            <w:shd w:val="clear" w:color="auto" w:fill="auto"/>
            <w:vAlign w:val="center"/>
          </w:tcPr>
          <w:p w:rsidR="00C4575E" w:rsidRDefault="00C4575E" w:rsidP="00DE4EE1">
            <w:pPr>
              <w:pStyle w:val="TableBodyText"/>
            </w:pPr>
            <w:r>
              <w:t xml:space="preserve">  14.9</w:t>
            </w:r>
          </w:p>
        </w:tc>
        <w:tc>
          <w:tcPr>
            <w:tcW w:w="538" w:type="pct"/>
            <w:gridSpan w:val="4"/>
            <w:shd w:val="clear" w:color="auto" w:fill="auto"/>
            <w:vAlign w:val="center"/>
          </w:tcPr>
          <w:p w:rsidR="00C4575E" w:rsidRDefault="00C4575E" w:rsidP="00DE4EE1">
            <w:pPr>
              <w:pStyle w:val="TableBodyText"/>
            </w:pPr>
            <w:r>
              <w:t xml:space="preserve">  14.5</w:t>
            </w:r>
          </w:p>
        </w:tc>
        <w:tc>
          <w:tcPr>
            <w:tcW w:w="538" w:type="pct"/>
            <w:gridSpan w:val="5"/>
            <w:shd w:val="clear" w:color="auto" w:fill="auto"/>
            <w:vAlign w:val="center"/>
          </w:tcPr>
          <w:p w:rsidR="00C4575E" w:rsidRDefault="00C4575E" w:rsidP="00DE4EE1">
            <w:pPr>
              <w:pStyle w:val="TableBodyText"/>
            </w:pPr>
            <w:r>
              <w:t xml:space="preserve">  13.8</w:t>
            </w:r>
          </w:p>
        </w:tc>
        <w:tc>
          <w:tcPr>
            <w:tcW w:w="461" w:type="pct"/>
            <w:gridSpan w:val="3"/>
            <w:shd w:val="clear" w:color="auto" w:fill="auto"/>
            <w:vAlign w:val="center"/>
          </w:tcPr>
          <w:p w:rsidR="00C4575E" w:rsidRDefault="00C4575E" w:rsidP="00DE4EE1">
            <w:pPr>
              <w:pStyle w:val="TableBodyText"/>
            </w:pPr>
            <w:r>
              <w:t xml:space="preserve">  11.5</w:t>
            </w:r>
          </w:p>
        </w:tc>
        <w:tc>
          <w:tcPr>
            <w:tcW w:w="459" w:type="pct"/>
            <w:gridSpan w:val="6"/>
            <w:shd w:val="clear" w:color="auto" w:fill="auto"/>
            <w:vAlign w:val="center"/>
          </w:tcPr>
          <w:p w:rsidR="00C4575E" w:rsidRDefault="00C4575E" w:rsidP="00DE4EE1">
            <w:pPr>
              <w:pStyle w:val="TableBodyText"/>
            </w:pPr>
            <w:r>
              <w:t xml:space="preserve">  15.2</w:t>
            </w:r>
          </w:p>
        </w:tc>
        <w:tc>
          <w:tcPr>
            <w:tcW w:w="442" w:type="pct"/>
            <w:shd w:val="clear" w:color="auto" w:fill="FFFFFF" w:themeFill="background1"/>
          </w:tcPr>
          <w:p w:rsidR="00C4575E" w:rsidRPr="00B817EA" w:rsidRDefault="00C4575E" w:rsidP="00C41302">
            <w:pPr>
              <w:pStyle w:val="TableBodyText"/>
            </w:pPr>
            <w:r>
              <w:t>4A</w:t>
            </w:r>
            <w:r w:rsidRPr="004B45D9">
              <w:rPr>
                <w:shd w:val="clear" w:color="auto" w:fill="FFFFFF" w:themeFill="background1"/>
              </w:rPr>
              <w:t>.</w:t>
            </w:r>
            <w:r w:rsidR="00C41302" w:rsidRPr="004B45D9">
              <w:rPr>
                <w:shd w:val="clear" w:color="auto" w:fill="FFFFFF" w:themeFill="background1"/>
              </w:rPr>
              <w:t>22</w:t>
            </w:r>
          </w:p>
        </w:tc>
      </w:tr>
      <w:tr w:rsidR="009D579F" w:rsidRPr="00072252" w:rsidTr="00B46188">
        <w:trPr>
          <w:gridAfter w:val="1"/>
          <w:wAfter w:w="3" w:type="pct"/>
          <w:trHeight w:val="292"/>
        </w:trPr>
        <w:tc>
          <w:tcPr>
            <w:tcW w:w="4997" w:type="pct"/>
            <w:gridSpan w:val="43"/>
            <w:shd w:val="clear" w:color="auto" w:fill="auto"/>
          </w:tcPr>
          <w:p w:rsidR="009D579F" w:rsidRPr="00072252" w:rsidRDefault="009D579F" w:rsidP="005E7069">
            <w:pPr>
              <w:pStyle w:val="TableBodyText"/>
              <w:jc w:val="left"/>
            </w:pPr>
            <w:r w:rsidRPr="00072252">
              <w:t>Ratio of FTE students to FTE teaching staff, government secondary schools</w:t>
            </w:r>
          </w:p>
        </w:tc>
      </w:tr>
      <w:tr w:rsidR="00C4575E" w:rsidRPr="00B817EA" w:rsidTr="004B45D9">
        <w:trPr>
          <w:gridAfter w:val="1"/>
          <w:wAfter w:w="3" w:type="pct"/>
        </w:trPr>
        <w:tc>
          <w:tcPr>
            <w:tcW w:w="11" w:type="pct"/>
            <w:shd w:val="clear" w:color="auto" w:fill="auto"/>
          </w:tcPr>
          <w:p w:rsidR="00C4575E" w:rsidRPr="00B817EA" w:rsidRDefault="00C4575E" w:rsidP="00E12F7C">
            <w:pPr>
              <w:pStyle w:val="TableBodyText"/>
              <w:jc w:val="left"/>
            </w:pPr>
          </w:p>
        </w:tc>
        <w:tc>
          <w:tcPr>
            <w:tcW w:w="233" w:type="pct"/>
            <w:gridSpan w:val="4"/>
            <w:shd w:val="clear" w:color="auto" w:fill="auto"/>
          </w:tcPr>
          <w:p w:rsidR="00C4575E" w:rsidRPr="00B817EA" w:rsidRDefault="00C4575E" w:rsidP="00E12F7C">
            <w:pPr>
              <w:pStyle w:val="TableBodyText"/>
              <w:jc w:val="left"/>
            </w:pPr>
            <w:r>
              <w:t>no.</w:t>
            </w:r>
          </w:p>
        </w:tc>
        <w:tc>
          <w:tcPr>
            <w:tcW w:w="385" w:type="pct"/>
            <w:gridSpan w:val="4"/>
            <w:shd w:val="clear" w:color="auto" w:fill="auto"/>
            <w:vAlign w:val="center"/>
          </w:tcPr>
          <w:p w:rsidR="00C4575E" w:rsidRDefault="00C4575E" w:rsidP="00DE4EE1">
            <w:pPr>
              <w:pStyle w:val="TableBodyText"/>
            </w:pPr>
            <w:r>
              <w:t xml:space="preserve">  12.4</w:t>
            </w:r>
          </w:p>
        </w:tc>
        <w:tc>
          <w:tcPr>
            <w:tcW w:w="461" w:type="pct"/>
            <w:gridSpan w:val="3"/>
            <w:shd w:val="clear" w:color="auto" w:fill="auto"/>
            <w:vAlign w:val="center"/>
          </w:tcPr>
          <w:p w:rsidR="00C4575E" w:rsidRDefault="00C4575E" w:rsidP="00DE4EE1">
            <w:pPr>
              <w:pStyle w:val="TableBodyText"/>
            </w:pPr>
            <w:r>
              <w:t xml:space="preserve">  11.9</w:t>
            </w:r>
          </w:p>
        </w:tc>
        <w:tc>
          <w:tcPr>
            <w:tcW w:w="543" w:type="pct"/>
            <w:gridSpan w:val="5"/>
            <w:shd w:val="clear" w:color="auto" w:fill="auto"/>
            <w:vAlign w:val="center"/>
          </w:tcPr>
          <w:p w:rsidR="00C4575E" w:rsidRDefault="00C4575E" w:rsidP="00DE4EE1">
            <w:pPr>
              <w:pStyle w:val="TableBodyText"/>
            </w:pPr>
            <w:r>
              <w:t xml:space="preserve">  12.5</w:t>
            </w:r>
          </w:p>
        </w:tc>
        <w:tc>
          <w:tcPr>
            <w:tcW w:w="460" w:type="pct"/>
            <w:gridSpan w:val="3"/>
            <w:shd w:val="clear" w:color="auto" w:fill="auto"/>
            <w:vAlign w:val="center"/>
          </w:tcPr>
          <w:p w:rsidR="00C4575E" w:rsidRDefault="00C4575E" w:rsidP="00DE4EE1">
            <w:pPr>
              <w:pStyle w:val="TableBodyText"/>
            </w:pPr>
            <w:r>
              <w:t xml:space="preserve">  11.7</w:t>
            </w:r>
          </w:p>
        </w:tc>
        <w:tc>
          <w:tcPr>
            <w:tcW w:w="466" w:type="pct"/>
            <w:gridSpan w:val="4"/>
            <w:shd w:val="clear" w:color="auto" w:fill="auto"/>
            <w:vAlign w:val="center"/>
          </w:tcPr>
          <w:p w:rsidR="00C4575E" w:rsidRDefault="00C4575E" w:rsidP="00DE4EE1">
            <w:pPr>
              <w:pStyle w:val="TableBodyText"/>
            </w:pPr>
            <w:r>
              <w:t xml:space="preserve">  13.2</w:t>
            </w:r>
          </w:p>
        </w:tc>
        <w:tc>
          <w:tcPr>
            <w:tcW w:w="538" w:type="pct"/>
            <w:gridSpan w:val="4"/>
            <w:shd w:val="clear" w:color="auto" w:fill="auto"/>
            <w:vAlign w:val="center"/>
          </w:tcPr>
          <w:p w:rsidR="00C4575E" w:rsidRDefault="00C4575E" w:rsidP="00DE4EE1">
            <w:pPr>
              <w:pStyle w:val="TableBodyText"/>
            </w:pPr>
            <w:r>
              <w:t xml:space="preserve">  13.1</w:t>
            </w:r>
          </w:p>
        </w:tc>
        <w:tc>
          <w:tcPr>
            <w:tcW w:w="538" w:type="pct"/>
            <w:gridSpan w:val="5"/>
            <w:shd w:val="clear" w:color="auto" w:fill="auto"/>
            <w:vAlign w:val="center"/>
          </w:tcPr>
          <w:p w:rsidR="00C4575E" w:rsidRDefault="00C4575E" w:rsidP="00DE4EE1">
            <w:pPr>
              <w:pStyle w:val="TableBodyText"/>
            </w:pPr>
            <w:r>
              <w:t xml:space="preserve">  11.8</w:t>
            </w:r>
          </w:p>
        </w:tc>
        <w:tc>
          <w:tcPr>
            <w:tcW w:w="461" w:type="pct"/>
            <w:gridSpan w:val="3"/>
            <w:shd w:val="clear" w:color="auto" w:fill="auto"/>
            <w:vAlign w:val="center"/>
          </w:tcPr>
          <w:p w:rsidR="00C4575E" w:rsidRDefault="00C4575E" w:rsidP="00DE4EE1">
            <w:pPr>
              <w:pStyle w:val="TableBodyText"/>
            </w:pPr>
            <w:r>
              <w:t xml:space="preserve">  10.3</w:t>
            </w:r>
          </w:p>
        </w:tc>
        <w:tc>
          <w:tcPr>
            <w:tcW w:w="459" w:type="pct"/>
            <w:gridSpan w:val="6"/>
            <w:shd w:val="clear" w:color="auto" w:fill="auto"/>
            <w:vAlign w:val="center"/>
          </w:tcPr>
          <w:p w:rsidR="00C4575E" w:rsidRDefault="00C4575E" w:rsidP="00DE4EE1">
            <w:pPr>
              <w:pStyle w:val="TableBodyText"/>
            </w:pPr>
            <w:r>
              <w:t xml:space="preserve">  12.3</w:t>
            </w:r>
          </w:p>
        </w:tc>
        <w:tc>
          <w:tcPr>
            <w:tcW w:w="442" w:type="pct"/>
            <w:shd w:val="clear" w:color="auto" w:fill="FFFFFF" w:themeFill="background1"/>
          </w:tcPr>
          <w:p w:rsidR="00C4575E" w:rsidRPr="00B817EA" w:rsidRDefault="00C4575E" w:rsidP="00C41302">
            <w:pPr>
              <w:pStyle w:val="TableBodyText"/>
            </w:pPr>
            <w:r>
              <w:t>4A.</w:t>
            </w:r>
            <w:r w:rsidR="00C41302">
              <w:t>22</w:t>
            </w:r>
          </w:p>
        </w:tc>
      </w:tr>
      <w:tr w:rsidR="00EE11EB" w:rsidRPr="00B817EA" w:rsidTr="00B46188">
        <w:trPr>
          <w:gridAfter w:val="1"/>
          <w:wAfter w:w="3" w:type="pct"/>
        </w:trPr>
        <w:tc>
          <w:tcPr>
            <w:tcW w:w="4997" w:type="pct"/>
            <w:gridSpan w:val="43"/>
            <w:shd w:val="clear" w:color="auto" w:fill="auto"/>
          </w:tcPr>
          <w:p w:rsidR="00EE11EB" w:rsidRDefault="00EE11EB" w:rsidP="00EE11EB">
            <w:pPr>
              <w:pStyle w:val="Continued"/>
            </w:pPr>
            <w:r>
              <w:t>(continued)</w:t>
            </w:r>
          </w:p>
        </w:tc>
      </w:tr>
    </w:tbl>
    <w:p w:rsidR="00EE11EB" w:rsidRDefault="00EE11EB"/>
    <w:p w:rsidR="00EE11EB" w:rsidRPr="007F0816" w:rsidRDefault="00EE11EB" w:rsidP="00EE11EB">
      <w:pPr>
        <w:pStyle w:val="TableTitle"/>
        <w:rPr>
          <w:rStyle w:val="DraftingNote"/>
          <w:color w:val="auto"/>
        </w:rPr>
      </w:pPr>
      <w:r w:rsidRPr="00427B75">
        <w:rPr>
          <w:b w:val="0"/>
        </w:rPr>
        <w:lastRenderedPageBreak/>
        <w:t xml:space="preserve">Table </w:t>
      </w:r>
      <w:r w:rsidR="007F4EBC" w:rsidRPr="007F4EBC">
        <w:rPr>
          <w:b w:val="0"/>
        </w:rPr>
        <w:t>B.2</w:t>
      </w:r>
      <w:r w:rsidRPr="00427B75">
        <w:rPr>
          <w:b w:val="0"/>
        </w:rPr>
        <w:tab/>
        <w:t>(continued)</w:t>
      </w:r>
    </w:p>
    <w:tbl>
      <w:tblPr>
        <w:tblW w:w="5242" w:type="pct"/>
        <w:tblLayout w:type="fixed"/>
        <w:tblCellMar>
          <w:left w:w="0" w:type="dxa"/>
          <w:right w:w="0" w:type="dxa"/>
        </w:tblCellMar>
        <w:tblLook w:val="0000" w:firstRow="0" w:lastRow="0" w:firstColumn="0" w:lastColumn="0" w:noHBand="0" w:noVBand="0"/>
      </w:tblPr>
      <w:tblGrid>
        <w:gridCol w:w="20"/>
        <w:gridCol w:w="263"/>
        <w:gridCol w:w="6"/>
        <w:gridCol w:w="837"/>
        <w:gridCol w:w="158"/>
        <w:gridCol w:w="842"/>
        <w:gridCol w:w="160"/>
        <w:gridCol w:w="702"/>
        <w:gridCol w:w="146"/>
        <w:gridCol w:w="844"/>
        <w:gridCol w:w="144"/>
        <w:gridCol w:w="6"/>
        <w:gridCol w:w="715"/>
        <w:gridCol w:w="181"/>
        <w:gridCol w:w="35"/>
        <w:gridCol w:w="730"/>
        <w:gridCol w:w="181"/>
        <w:gridCol w:w="665"/>
        <w:gridCol w:w="181"/>
        <w:gridCol w:w="669"/>
        <w:gridCol w:w="181"/>
        <w:gridCol w:w="527"/>
        <w:gridCol w:w="181"/>
        <w:gridCol w:w="131"/>
        <w:gridCol w:w="709"/>
      </w:tblGrid>
      <w:tr w:rsidR="00EB6250" w:rsidRPr="00B817EA" w:rsidTr="00C4575E">
        <w:tc>
          <w:tcPr>
            <w:tcW w:w="154" w:type="pct"/>
            <w:gridSpan w:val="2"/>
            <w:tcBorders>
              <w:top w:val="single" w:sz="6" w:space="0" w:color="auto"/>
              <w:bottom w:val="single" w:sz="6" w:space="0" w:color="auto"/>
            </w:tcBorders>
            <w:shd w:val="clear" w:color="auto" w:fill="auto"/>
          </w:tcPr>
          <w:p w:rsidR="00EE11EB" w:rsidRPr="00B817EA" w:rsidRDefault="00EE11EB" w:rsidP="00E12F7C">
            <w:pPr>
              <w:pStyle w:val="TableColumnHeading"/>
              <w:jc w:val="left"/>
            </w:pPr>
          </w:p>
        </w:tc>
        <w:tc>
          <w:tcPr>
            <w:tcW w:w="458" w:type="pct"/>
            <w:gridSpan w:val="2"/>
            <w:tcBorders>
              <w:top w:val="single" w:sz="6" w:space="0" w:color="auto"/>
              <w:bottom w:val="single" w:sz="6" w:space="0" w:color="auto"/>
            </w:tcBorders>
            <w:shd w:val="clear" w:color="auto" w:fill="auto"/>
          </w:tcPr>
          <w:p w:rsidR="00EE11EB" w:rsidRPr="00B817EA" w:rsidRDefault="00EE11EB" w:rsidP="00780B9F">
            <w:pPr>
              <w:pStyle w:val="TableColumnHeading"/>
            </w:pPr>
            <w:r w:rsidRPr="00B817EA">
              <w:t>NSW</w:t>
            </w:r>
          </w:p>
        </w:tc>
        <w:tc>
          <w:tcPr>
            <w:tcW w:w="543" w:type="pct"/>
            <w:gridSpan w:val="2"/>
            <w:tcBorders>
              <w:top w:val="single" w:sz="6" w:space="0" w:color="auto"/>
              <w:bottom w:val="single" w:sz="6" w:space="0" w:color="auto"/>
            </w:tcBorders>
            <w:shd w:val="clear" w:color="auto" w:fill="auto"/>
          </w:tcPr>
          <w:p w:rsidR="00EE11EB" w:rsidRPr="00B817EA" w:rsidRDefault="00EE11EB" w:rsidP="00780B9F">
            <w:pPr>
              <w:pStyle w:val="TableColumnHeading"/>
            </w:pPr>
            <w:r w:rsidRPr="00B817EA">
              <w:t>Vic</w:t>
            </w:r>
          </w:p>
        </w:tc>
        <w:tc>
          <w:tcPr>
            <w:tcW w:w="468" w:type="pct"/>
            <w:gridSpan w:val="2"/>
            <w:tcBorders>
              <w:top w:val="single" w:sz="6" w:space="0" w:color="auto"/>
              <w:bottom w:val="single" w:sz="6" w:space="0" w:color="auto"/>
            </w:tcBorders>
            <w:shd w:val="clear" w:color="auto" w:fill="auto"/>
          </w:tcPr>
          <w:p w:rsidR="00EE11EB" w:rsidRPr="00B817EA" w:rsidRDefault="00EE11EB" w:rsidP="00780B9F">
            <w:pPr>
              <w:pStyle w:val="TableColumnHeading"/>
            </w:pPr>
            <w:r w:rsidRPr="00B817EA">
              <w:t>Qld</w:t>
            </w:r>
          </w:p>
        </w:tc>
        <w:tc>
          <w:tcPr>
            <w:tcW w:w="537" w:type="pct"/>
            <w:gridSpan w:val="2"/>
            <w:tcBorders>
              <w:top w:val="single" w:sz="6" w:space="0" w:color="auto"/>
              <w:bottom w:val="single" w:sz="6" w:space="0" w:color="auto"/>
            </w:tcBorders>
            <w:shd w:val="clear" w:color="auto" w:fill="auto"/>
          </w:tcPr>
          <w:p w:rsidR="00EE11EB" w:rsidRPr="00B817EA" w:rsidRDefault="00EE11EB" w:rsidP="00780B9F">
            <w:pPr>
              <w:pStyle w:val="TableColumnHeading"/>
            </w:pPr>
            <w:r w:rsidRPr="00B817EA">
              <w:t>WA</w:t>
            </w:r>
          </w:p>
        </w:tc>
        <w:tc>
          <w:tcPr>
            <w:tcW w:w="469" w:type="pct"/>
            <w:gridSpan w:val="3"/>
            <w:tcBorders>
              <w:top w:val="single" w:sz="6" w:space="0" w:color="auto"/>
              <w:bottom w:val="single" w:sz="6" w:space="0" w:color="auto"/>
            </w:tcBorders>
            <w:shd w:val="clear" w:color="auto" w:fill="auto"/>
          </w:tcPr>
          <w:p w:rsidR="00EE11EB" w:rsidRPr="00B817EA" w:rsidRDefault="00EE11EB" w:rsidP="00780B9F">
            <w:pPr>
              <w:pStyle w:val="TableColumnHeading"/>
            </w:pPr>
            <w:r w:rsidRPr="00B817EA">
              <w:t>SA</w:t>
            </w:r>
          </w:p>
        </w:tc>
        <w:tc>
          <w:tcPr>
            <w:tcW w:w="513" w:type="pct"/>
            <w:gridSpan w:val="3"/>
            <w:tcBorders>
              <w:top w:val="single" w:sz="6" w:space="0" w:color="auto"/>
              <w:bottom w:val="single" w:sz="6" w:space="0" w:color="auto"/>
            </w:tcBorders>
            <w:shd w:val="clear" w:color="auto" w:fill="auto"/>
          </w:tcPr>
          <w:p w:rsidR="00EE11EB" w:rsidRPr="00B817EA" w:rsidRDefault="00EE11EB" w:rsidP="00780B9F">
            <w:pPr>
              <w:pStyle w:val="TableColumnHeading"/>
            </w:pPr>
            <w:proofErr w:type="spellStart"/>
            <w:r w:rsidRPr="00B817EA">
              <w:t>Tas</w:t>
            </w:r>
            <w:proofErr w:type="spellEnd"/>
          </w:p>
        </w:tc>
        <w:tc>
          <w:tcPr>
            <w:tcW w:w="459" w:type="pct"/>
            <w:gridSpan w:val="2"/>
            <w:tcBorders>
              <w:top w:val="single" w:sz="6" w:space="0" w:color="auto"/>
              <w:bottom w:val="single" w:sz="6" w:space="0" w:color="auto"/>
            </w:tcBorders>
            <w:shd w:val="clear" w:color="auto" w:fill="auto"/>
          </w:tcPr>
          <w:p w:rsidR="00EE11EB" w:rsidRPr="00B817EA" w:rsidRDefault="00EE11EB" w:rsidP="00780B9F">
            <w:pPr>
              <w:pStyle w:val="TableColumnHeading"/>
            </w:pPr>
            <w:r w:rsidRPr="00B817EA">
              <w:t>ACT</w:t>
            </w:r>
          </w:p>
        </w:tc>
        <w:tc>
          <w:tcPr>
            <w:tcW w:w="461" w:type="pct"/>
            <w:gridSpan w:val="2"/>
            <w:tcBorders>
              <w:top w:val="single" w:sz="6" w:space="0" w:color="auto"/>
              <w:bottom w:val="single" w:sz="6" w:space="0" w:color="auto"/>
            </w:tcBorders>
            <w:shd w:val="clear" w:color="auto" w:fill="auto"/>
          </w:tcPr>
          <w:p w:rsidR="00EE11EB" w:rsidRPr="00B817EA" w:rsidRDefault="00EE11EB" w:rsidP="00780B9F">
            <w:pPr>
              <w:pStyle w:val="TableColumnHeading"/>
            </w:pPr>
            <w:r w:rsidRPr="00B817EA">
              <w:t>NT</w:t>
            </w:r>
          </w:p>
        </w:tc>
        <w:tc>
          <w:tcPr>
            <w:tcW w:w="384" w:type="pct"/>
            <w:gridSpan w:val="2"/>
            <w:tcBorders>
              <w:top w:val="single" w:sz="6" w:space="0" w:color="auto"/>
              <w:bottom w:val="single" w:sz="6" w:space="0" w:color="auto"/>
            </w:tcBorders>
          </w:tcPr>
          <w:p w:rsidR="00EE11EB" w:rsidRPr="00B817EA" w:rsidRDefault="00EE11EB" w:rsidP="00780B9F">
            <w:pPr>
              <w:pStyle w:val="TableColumnHeading"/>
            </w:pPr>
            <w:proofErr w:type="spellStart"/>
            <w:r w:rsidRPr="00B817EA">
              <w:t>Aust</w:t>
            </w:r>
            <w:proofErr w:type="spellEnd"/>
          </w:p>
        </w:tc>
        <w:tc>
          <w:tcPr>
            <w:tcW w:w="552" w:type="pct"/>
            <w:gridSpan w:val="3"/>
            <w:tcBorders>
              <w:top w:val="single" w:sz="6" w:space="0" w:color="auto"/>
              <w:bottom w:val="single" w:sz="6" w:space="0" w:color="auto"/>
            </w:tcBorders>
          </w:tcPr>
          <w:p w:rsidR="00EE11EB" w:rsidRPr="00B817EA" w:rsidRDefault="00EE11EB" w:rsidP="00780B9F">
            <w:pPr>
              <w:pStyle w:val="TableColumnHeading"/>
            </w:pPr>
            <w:r w:rsidRPr="00B817EA">
              <w:t>Source</w:t>
            </w:r>
          </w:p>
        </w:tc>
      </w:tr>
      <w:tr w:rsidR="009D579F" w:rsidRPr="004E27F9" w:rsidTr="00EB6250">
        <w:tc>
          <w:tcPr>
            <w:tcW w:w="5000" w:type="pct"/>
            <w:gridSpan w:val="25"/>
            <w:shd w:val="clear" w:color="auto" w:fill="auto"/>
          </w:tcPr>
          <w:p w:rsidR="009D579F" w:rsidRPr="004E27F9" w:rsidRDefault="009D579F" w:rsidP="005E7069">
            <w:pPr>
              <w:pStyle w:val="TableBodyText"/>
              <w:spacing w:before="80" w:after="80"/>
              <w:jc w:val="left"/>
              <w:rPr>
                <w:b/>
              </w:rPr>
            </w:pPr>
            <w:r w:rsidRPr="004E27F9">
              <w:rPr>
                <w:b/>
              </w:rPr>
              <w:t>Outcome indicators</w:t>
            </w:r>
          </w:p>
        </w:tc>
      </w:tr>
      <w:tr w:rsidR="009D579F" w:rsidRPr="00A060F4" w:rsidTr="00EB6250">
        <w:tc>
          <w:tcPr>
            <w:tcW w:w="5000" w:type="pct"/>
            <w:gridSpan w:val="25"/>
            <w:shd w:val="clear" w:color="auto" w:fill="auto"/>
          </w:tcPr>
          <w:p w:rsidR="009D579F" w:rsidRPr="00A060F4" w:rsidRDefault="009D579F" w:rsidP="00C4575E">
            <w:pPr>
              <w:pStyle w:val="TableBodyText"/>
              <w:spacing w:before="80" w:after="80"/>
              <w:jc w:val="left"/>
              <w:rPr>
                <w:i/>
              </w:rPr>
            </w:pPr>
            <w:r w:rsidRPr="00A060F4">
              <w:rPr>
                <w:i/>
              </w:rPr>
              <w:t>Learning outcomes</w:t>
            </w:r>
            <w:r>
              <w:rPr>
                <w:i/>
              </w:rPr>
              <w:t>,</w:t>
            </w:r>
            <w:r>
              <w:t xml:space="preserve"> 201</w:t>
            </w:r>
            <w:r w:rsidR="00C4575E">
              <w:t>2</w:t>
            </w:r>
            <w:r>
              <w:br/>
            </w:r>
            <w:r w:rsidRPr="00072252">
              <w:rPr>
                <w:sz w:val="16"/>
                <w:szCs w:val="16"/>
              </w:rPr>
              <w:t>Data for this indicator are comparable, subject to caveats (chapter 4)</w:t>
            </w:r>
          </w:p>
        </w:tc>
      </w:tr>
      <w:tr w:rsidR="009D579F" w:rsidRPr="00EB5F5C" w:rsidTr="00EB6250">
        <w:tc>
          <w:tcPr>
            <w:tcW w:w="5000" w:type="pct"/>
            <w:gridSpan w:val="25"/>
            <w:shd w:val="clear" w:color="auto" w:fill="auto"/>
          </w:tcPr>
          <w:p w:rsidR="009D579F" w:rsidRPr="00EB5F5C" w:rsidRDefault="009D579F" w:rsidP="005E7069">
            <w:pPr>
              <w:pStyle w:val="TableBodyText"/>
              <w:spacing w:before="80" w:after="80"/>
              <w:ind w:left="0"/>
              <w:jc w:val="left"/>
            </w:pPr>
            <w:r>
              <w:t xml:space="preserve">Reading </w:t>
            </w:r>
            <w:r w:rsidRPr="00EB5F5C">
              <w:t xml:space="preserve">performance – </w:t>
            </w:r>
            <w:r w:rsidRPr="00393E8A">
              <w:t xml:space="preserve">proportion of </w:t>
            </w:r>
            <w:r>
              <w:t xml:space="preserve">all </w:t>
            </w:r>
            <w:r w:rsidRPr="00393E8A">
              <w:t xml:space="preserve">year </w:t>
            </w:r>
            <w:r>
              <w:t>3</w:t>
            </w:r>
            <w:r w:rsidRPr="00393E8A">
              <w:t xml:space="preserve"> students achieving at or above national minimum standard</w:t>
            </w:r>
          </w:p>
        </w:tc>
      </w:tr>
      <w:tr w:rsidR="00C4575E" w:rsidRPr="00B817EA" w:rsidTr="004B45D9">
        <w:tc>
          <w:tcPr>
            <w:tcW w:w="11" w:type="pct"/>
            <w:shd w:val="clear" w:color="auto" w:fill="auto"/>
          </w:tcPr>
          <w:p w:rsidR="00C4575E" w:rsidRPr="00B817EA" w:rsidRDefault="00C4575E" w:rsidP="00E12F7C">
            <w:pPr>
              <w:pStyle w:val="TableBodyText"/>
              <w:jc w:val="left"/>
            </w:pPr>
          </w:p>
        </w:tc>
        <w:tc>
          <w:tcPr>
            <w:tcW w:w="147" w:type="pct"/>
            <w:gridSpan w:val="2"/>
            <w:shd w:val="clear" w:color="auto" w:fill="auto"/>
          </w:tcPr>
          <w:p w:rsidR="00C4575E" w:rsidRPr="00B817EA" w:rsidRDefault="00C4575E" w:rsidP="00E12F7C">
            <w:pPr>
              <w:pStyle w:val="TableBodyText"/>
              <w:jc w:val="left"/>
            </w:pPr>
            <w:r>
              <w:t>%</w:t>
            </w:r>
          </w:p>
        </w:tc>
        <w:tc>
          <w:tcPr>
            <w:tcW w:w="540" w:type="pct"/>
            <w:gridSpan w:val="2"/>
            <w:shd w:val="clear" w:color="auto" w:fill="auto"/>
            <w:vAlign w:val="center"/>
          </w:tcPr>
          <w:p w:rsidR="00C4575E" w:rsidRPr="00C4575E" w:rsidRDefault="00C4575E" w:rsidP="00C4575E">
            <w:pPr>
              <w:pStyle w:val="TableBodyText"/>
            </w:pPr>
            <w:r w:rsidRPr="00C4575E">
              <w:t xml:space="preserve">94.8 </w:t>
            </w:r>
            <w:r w:rsidR="00FD58E2">
              <w:br/>
            </w:r>
            <w:r w:rsidRPr="00C4575E">
              <w:t>± 0.3</w:t>
            </w:r>
          </w:p>
        </w:tc>
        <w:tc>
          <w:tcPr>
            <w:tcW w:w="544" w:type="pct"/>
            <w:gridSpan w:val="2"/>
            <w:shd w:val="clear" w:color="auto" w:fill="auto"/>
            <w:vAlign w:val="center"/>
          </w:tcPr>
          <w:p w:rsidR="00C4575E" w:rsidRPr="00C4575E" w:rsidRDefault="00C4575E" w:rsidP="00C4575E">
            <w:pPr>
              <w:pStyle w:val="TableBodyText"/>
            </w:pPr>
            <w:r w:rsidRPr="00C4575E">
              <w:t xml:space="preserve">95.2 </w:t>
            </w:r>
            <w:r w:rsidR="00FD58E2">
              <w:br/>
            </w:r>
            <w:r w:rsidRPr="00C4575E">
              <w:t>± 0.4</w:t>
            </w:r>
          </w:p>
        </w:tc>
        <w:tc>
          <w:tcPr>
            <w:tcW w:w="460" w:type="pct"/>
            <w:gridSpan w:val="2"/>
            <w:shd w:val="clear" w:color="auto" w:fill="auto"/>
            <w:vAlign w:val="center"/>
          </w:tcPr>
          <w:p w:rsidR="00C4575E" w:rsidRPr="00C4575E" w:rsidRDefault="00C4575E" w:rsidP="00C4575E">
            <w:pPr>
              <w:pStyle w:val="TableBodyText"/>
            </w:pPr>
            <w:r w:rsidRPr="00C4575E">
              <w:t xml:space="preserve">92.7 </w:t>
            </w:r>
            <w:r w:rsidR="00FD58E2">
              <w:br/>
            </w:r>
            <w:r w:rsidRPr="00C4575E">
              <w:t>± 0.5</w:t>
            </w:r>
          </w:p>
        </w:tc>
        <w:tc>
          <w:tcPr>
            <w:tcW w:w="539" w:type="pct"/>
            <w:gridSpan w:val="3"/>
            <w:shd w:val="clear" w:color="auto" w:fill="auto"/>
            <w:vAlign w:val="center"/>
          </w:tcPr>
          <w:p w:rsidR="00C4575E" w:rsidRPr="00C4575E" w:rsidRDefault="00C4575E" w:rsidP="00C4575E">
            <w:pPr>
              <w:pStyle w:val="TableBodyText"/>
            </w:pPr>
            <w:r w:rsidRPr="00C4575E">
              <w:t xml:space="preserve">91.8 </w:t>
            </w:r>
            <w:r w:rsidR="00FD58E2">
              <w:br/>
            </w:r>
            <w:r w:rsidRPr="00C4575E">
              <w:t>± 0.7</w:t>
            </w:r>
          </w:p>
        </w:tc>
        <w:tc>
          <w:tcPr>
            <w:tcW w:w="486" w:type="pct"/>
            <w:gridSpan w:val="2"/>
            <w:shd w:val="clear" w:color="auto" w:fill="auto"/>
            <w:vAlign w:val="center"/>
          </w:tcPr>
          <w:p w:rsidR="00C4575E" w:rsidRPr="00C4575E" w:rsidRDefault="00C4575E" w:rsidP="00C4575E">
            <w:pPr>
              <w:pStyle w:val="TableBodyText"/>
            </w:pPr>
            <w:r w:rsidRPr="00C4575E">
              <w:t xml:space="preserve">92.6 </w:t>
            </w:r>
            <w:r w:rsidR="00FD58E2">
              <w:br/>
            </w:r>
            <w:r w:rsidRPr="00C4575E">
              <w:t>± 0.9</w:t>
            </w:r>
          </w:p>
        </w:tc>
        <w:tc>
          <w:tcPr>
            <w:tcW w:w="513" w:type="pct"/>
            <w:gridSpan w:val="3"/>
            <w:shd w:val="clear" w:color="auto" w:fill="auto"/>
            <w:vAlign w:val="center"/>
          </w:tcPr>
          <w:p w:rsidR="00C4575E" w:rsidRPr="00C4575E" w:rsidRDefault="00C4575E" w:rsidP="00C4575E">
            <w:pPr>
              <w:pStyle w:val="TableBodyText"/>
            </w:pPr>
            <w:r w:rsidRPr="00C4575E">
              <w:t xml:space="preserve">92.9 </w:t>
            </w:r>
            <w:r w:rsidR="00FD58E2">
              <w:br/>
            </w:r>
            <w:r w:rsidRPr="00C4575E">
              <w:t>± 1.2</w:t>
            </w:r>
          </w:p>
        </w:tc>
        <w:tc>
          <w:tcPr>
            <w:tcW w:w="459" w:type="pct"/>
            <w:gridSpan w:val="2"/>
            <w:shd w:val="clear" w:color="auto" w:fill="auto"/>
            <w:vAlign w:val="center"/>
          </w:tcPr>
          <w:p w:rsidR="00C4575E" w:rsidRPr="00C4575E" w:rsidRDefault="00C4575E" w:rsidP="00C4575E">
            <w:pPr>
              <w:pStyle w:val="TableBodyText"/>
            </w:pPr>
            <w:r w:rsidRPr="00C4575E">
              <w:t xml:space="preserve">96.0 </w:t>
            </w:r>
            <w:r w:rsidR="00FD58E2">
              <w:br/>
            </w:r>
            <w:r w:rsidRPr="00C4575E">
              <w:t>± 0.9</w:t>
            </w:r>
          </w:p>
        </w:tc>
        <w:tc>
          <w:tcPr>
            <w:tcW w:w="461" w:type="pct"/>
            <w:gridSpan w:val="2"/>
            <w:shd w:val="clear" w:color="auto" w:fill="auto"/>
            <w:vAlign w:val="center"/>
          </w:tcPr>
          <w:p w:rsidR="00C4575E" w:rsidRPr="00C4575E" w:rsidRDefault="00C4575E" w:rsidP="00C4575E">
            <w:pPr>
              <w:pStyle w:val="TableBodyText"/>
            </w:pPr>
            <w:r w:rsidRPr="00C4575E">
              <w:t xml:space="preserve">68.9 </w:t>
            </w:r>
            <w:r w:rsidR="00FD58E2">
              <w:br/>
            </w:r>
            <w:r w:rsidRPr="00C4575E">
              <w:t>± 6.3</w:t>
            </w:r>
          </w:p>
        </w:tc>
        <w:tc>
          <w:tcPr>
            <w:tcW w:w="455" w:type="pct"/>
            <w:gridSpan w:val="3"/>
            <w:vAlign w:val="center"/>
          </w:tcPr>
          <w:p w:rsidR="00C4575E" w:rsidRPr="00C4575E" w:rsidRDefault="00C4575E" w:rsidP="00C4575E">
            <w:pPr>
              <w:pStyle w:val="TableBodyText"/>
            </w:pPr>
            <w:r w:rsidRPr="00C4575E">
              <w:t xml:space="preserve">93.6 </w:t>
            </w:r>
            <w:r w:rsidR="00FD58E2">
              <w:br/>
            </w:r>
            <w:r w:rsidRPr="00C4575E">
              <w:t>± 0.2</w:t>
            </w:r>
          </w:p>
        </w:tc>
        <w:tc>
          <w:tcPr>
            <w:tcW w:w="384" w:type="pct"/>
            <w:shd w:val="clear" w:color="auto" w:fill="FFFFFF" w:themeFill="background1"/>
          </w:tcPr>
          <w:p w:rsidR="00C4575E" w:rsidRPr="00B817EA" w:rsidRDefault="00C4575E" w:rsidP="00C41302">
            <w:pPr>
              <w:pStyle w:val="TableBodyText"/>
            </w:pPr>
            <w:r>
              <w:t>4A.3</w:t>
            </w:r>
            <w:r w:rsidR="00C41302">
              <w:t>6</w:t>
            </w:r>
          </w:p>
        </w:tc>
      </w:tr>
      <w:tr w:rsidR="009D579F" w:rsidRPr="00EB5F5C" w:rsidTr="00EB6250">
        <w:tc>
          <w:tcPr>
            <w:tcW w:w="5000" w:type="pct"/>
            <w:gridSpan w:val="25"/>
            <w:shd w:val="clear" w:color="auto" w:fill="auto"/>
          </w:tcPr>
          <w:p w:rsidR="009D579F" w:rsidRPr="00534FE6" w:rsidRDefault="00DF25D1" w:rsidP="005E7069">
            <w:pPr>
              <w:pStyle w:val="TableBodyText"/>
              <w:spacing w:before="80" w:after="80"/>
              <w:ind w:left="0"/>
              <w:jc w:val="left"/>
            </w:pPr>
            <w:r>
              <w:rPr>
                <w:rFonts w:ascii="Times New Roman" w:hAnsi="Times New Roman"/>
                <w:sz w:val="26"/>
                <w:szCs w:val="24"/>
              </w:rPr>
              <w:br w:type="page"/>
            </w:r>
            <w:r w:rsidR="009D579F">
              <w:t>Reading</w:t>
            </w:r>
            <w:r w:rsidR="009D579F" w:rsidRPr="00534FE6">
              <w:t xml:space="preserve"> performance – proportion of Indigenous year 3 students achieving at or above national minimum standard</w:t>
            </w:r>
          </w:p>
        </w:tc>
      </w:tr>
      <w:tr w:rsidR="00C4575E" w:rsidRPr="00B817EA" w:rsidTr="004B45D9">
        <w:tc>
          <w:tcPr>
            <w:tcW w:w="11" w:type="pct"/>
            <w:shd w:val="clear" w:color="auto" w:fill="auto"/>
          </w:tcPr>
          <w:p w:rsidR="00C4575E" w:rsidRPr="00B817EA" w:rsidRDefault="00C4575E" w:rsidP="00E12F7C">
            <w:pPr>
              <w:pStyle w:val="TableBodyText"/>
              <w:jc w:val="left"/>
            </w:pPr>
          </w:p>
        </w:tc>
        <w:tc>
          <w:tcPr>
            <w:tcW w:w="147" w:type="pct"/>
            <w:gridSpan w:val="2"/>
            <w:shd w:val="clear" w:color="auto" w:fill="auto"/>
          </w:tcPr>
          <w:p w:rsidR="00C4575E" w:rsidRPr="00B817EA" w:rsidRDefault="00C4575E" w:rsidP="00E12F7C">
            <w:pPr>
              <w:pStyle w:val="TableBodyText"/>
              <w:jc w:val="left"/>
            </w:pPr>
            <w:r>
              <w:t>%</w:t>
            </w:r>
          </w:p>
        </w:tc>
        <w:tc>
          <w:tcPr>
            <w:tcW w:w="540" w:type="pct"/>
            <w:gridSpan w:val="2"/>
            <w:shd w:val="clear" w:color="auto" w:fill="auto"/>
            <w:vAlign w:val="center"/>
          </w:tcPr>
          <w:p w:rsidR="00C4575E" w:rsidRPr="00C4575E" w:rsidRDefault="00C4575E" w:rsidP="00C4575E">
            <w:pPr>
              <w:pStyle w:val="TableBodyText"/>
            </w:pPr>
            <w:r w:rsidRPr="00C4575E">
              <w:t xml:space="preserve">83.0 </w:t>
            </w:r>
            <w:r w:rsidR="00FD58E2">
              <w:br/>
            </w:r>
            <w:r w:rsidRPr="00C4575E">
              <w:t>± 1.5</w:t>
            </w:r>
          </w:p>
        </w:tc>
        <w:tc>
          <w:tcPr>
            <w:tcW w:w="544" w:type="pct"/>
            <w:gridSpan w:val="2"/>
            <w:shd w:val="clear" w:color="auto" w:fill="auto"/>
            <w:vAlign w:val="center"/>
          </w:tcPr>
          <w:p w:rsidR="00C4575E" w:rsidRPr="00C4575E" w:rsidRDefault="00C4575E" w:rsidP="00C4575E">
            <w:pPr>
              <w:pStyle w:val="TableBodyText"/>
            </w:pPr>
            <w:r w:rsidRPr="00C4575E">
              <w:t xml:space="preserve">84.9 </w:t>
            </w:r>
            <w:r w:rsidR="00FD58E2">
              <w:br/>
            </w:r>
            <w:r w:rsidRPr="00C4575E">
              <w:t>± 2.8</w:t>
            </w:r>
          </w:p>
        </w:tc>
        <w:tc>
          <w:tcPr>
            <w:tcW w:w="460" w:type="pct"/>
            <w:gridSpan w:val="2"/>
            <w:shd w:val="clear" w:color="auto" w:fill="auto"/>
            <w:vAlign w:val="center"/>
          </w:tcPr>
          <w:p w:rsidR="00C4575E" w:rsidRPr="00C4575E" w:rsidRDefault="00C4575E" w:rsidP="00C4575E">
            <w:pPr>
              <w:pStyle w:val="TableBodyText"/>
            </w:pPr>
            <w:r w:rsidRPr="00C4575E">
              <w:t xml:space="preserve">77.7 </w:t>
            </w:r>
            <w:r w:rsidR="00FD58E2">
              <w:br/>
            </w:r>
            <w:r w:rsidRPr="00C4575E">
              <w:t>± 2.1</w:t>
            </w:r>
          </w:p>
        </w:tc>
        <w:tc>
          <w:tcPr>
            <w:tcW w:w="539" w:type="pct"/>
            <w:gridSpan w:val="3"/>
            <w:shd w:val="clear" w:color="auto" w:fill="auto"/>
            <w:vAlign w:val="center"/>
          </w:tcPr>
          <w:p w:rsidR="00C4575E" w:rsidRPr="00C4575E" w:rsidRDefault="00C4575E" w:rsidP="00C4575E">
            <w:pPr>
              <w:pStyle w:val="TableBodyText"/>
            </w:pPr>
            <w:r w:rsidRPr="00C4575E">
              <w:t xml:space="preserve">64.1 </w:t>
            </w:r>
            <w:r w:rsidR="00FD58E2">
              <w:br/>
            </w:r>
            <w:r w:rsidRPr="00C4575E">
              <w:t>± 3.1</w:t>
            </w:r>
          </w:p>
        </w:tc>
        <w:tc>
          <w:tcPr>
            <w:tcW w:w="505" w:type="pct"/>
            <w:gridSpan w:val="3"/>
            <w:shd w:val="clear" w:color="auto" w:fill="auto"/>
            <w:vAlign w:val="center"/>
          </w:tcPr>
          <w:p w:rsidR="00C4575E" w:rsidRPr="00C4575E" w:rsidRDefault="00C4575E" w:rsidP="00C4575E">
            <w:pPr>
              <w:pStyle w:val="TableBodyText"/>
            </w:pPr>
            <w:r w:rsidRPr="00C4575E">
              <w:t xml:space="preserve">72.5 </w:t>
            </w:r>
            <w:r w:rsidR="00FD58E2">
              <w:br/>
            </w:r>
            <w:r w:rsidRPr="00C4575E">
              <w:t>± 4.9</w:t>
            </w:r>
          </w:p>
        </w:tc>
        <w:tc>
          <w:tcPr>
            <w:tcW w:w="494" w:type="pct"/>
            <w:gridSpan w:val="2"/>
            <w:shd w:val="clear" w:color="auto" w:fill="auto"/>
            <w:vAlign w:val="center"/>
          </w:tcPr>
          <w:p w:rsidR="00C4575E" w:rsidRPr="00C4575E" w:rsidRDefault="00C4575E" w:rsidP="00C4575E">
            <w:pPr>
              <w:pStyle w:val="TableBodyText"/>
            </w:pPr>
            <w:r w:rsidRPr="00C4575E">
              <w:t xml:space="preserve">85.2 </w:t>
            </w:r>
            <w:r w:rsidR="00FD58E2">
              <w:br/>
            </w:r>
            <w:r w:rsidRPr="00C4575E">
              <w:t>± 4.1</w:t>
            </w:r>
          </w:p>
        </w:tc>
        <w:tc>
          <w:tcPr>
            <w:tcW w:w="459" w:type="pct"/>
            <w:gridSpan w:val="2"/>
            <w:shd w:val="clear" w:color="auto" w:fill="auto"/>
            <w:vAlign w:val="center"/>
          </w:tcPr>
          <w:p w:rsidR="00C4575E" w:rsidRPr="00C4575E" w:rsidRDefault="00C4575E" w:rsidP="00C4575E">
            <w:pPr>
              <w:pStyle w:val="TableBodyText"/>
            </w:pPr>
            <w:r w:rsidRPr="00C4575E">
              <w:t xml:space="preserve">85.7 </w:t>
            </w:r>
            <w:r w:rsidR="00FD58E2">
              <w:br/>
            </w:r>
            <w:r w:rsidRPr="00C4575E">
              <w:t>± 7.8</w:t>
            </w:r>
          </w:p>
        </w:tc>
        <w:tc>
          <w:tcPr>
            <w:tcW w:w="461" w:type="pct"/>
            <w:gridSpan w:val="2"/>
            <w:shd w:val="clear" w:color="auto" w:fill="auto"/>
            <w:vAlign w:val="center"/>
          </w:tcPr>
          <w:p w:rsidR="00C4575E" w:rsidRPr="00C4575E" w:rsidRDefault="00C4575E" w:rsidP="00C4575E">
            <w:pPr>
              <w:pStyle w:val="TableBodyText"/>
            </w:pPr>
            <w:r w:rsidRPr="00C4575E">
              <w:t xml:space="preserve">39.6 </w:t>
            </w:r>
            <w:r w:rsidR="00FD58E2">
              <w:br/>
            </w:r>
            <w:r w:rsidRPr="00C4575E">
              <w:t>± 6.6</w:t>
            </w:r>
          </w:p>
        </w:tc>
        <w:tc>
          <w:tcPr>
            <w:tcW w:w="384" w:type="pct"/>
            <w:gridSpan w:val="2"/>
            <w:vAlign w:val="center"/>
          </w:tcPr>
          <w:p w:rsidR="00C4575E" w:rsidRPr="00C4575E" w:rsidRDefault="00C4575E" w:rsidP="00C4575E">
            <w:pPr>
              <w:pStyle w:val="TableBodyText"/>
            </w:pPr>
            <w:r w:rsidRPr="00C4575E">
              <w:t xml:space="preserve">74.2 </w:t>
            </w:r>
            <w:r w:rsidR="00FD58E2">
              <w:br/>
            </w:r>
            <w:r w:rsidRPr="00C4575E">
              <w:t>± 1.6</w:t>
            </w:r>
          </w:p>
        </w:tc>
        <w:tc>
          <w:tcPr>
            <w:tcW w:w="455" w:type="pct"/>
            <w:gridSpan w:val="2"/>
            <w:shd w:val="clear" w:color="auto" w:fill="FFFFFF" w:themeFill="background1"/>
          </w:tcPr>
          <w:p w:rsidR="00C4575E" w:rsidRPr="00B817EA" w:rsidRDefault="00C4575E" w:rsidP="00C41302">
            <w:pPr>
              <w:pStyle w:val="TableBodyText"/>
            </w:pPr>
            <w:r>
              <w:t>4A.3</w:t>
            </w:r>
            <w:r w:rsidR="00C41302">
              <w:t>6</w:t>
            </w:r>
          </w:p>
        </w:tc>
      </w:tr>
      <w:tr w:rsidR="009D579F" w:rsidRPr="00EB5F5C" w:rsidTr="00EB6250">
        <w:tc>
          <w:tcPr>
            <w:tcW w:w="5000" w:type="pct"/>
            <w:gridSpan w:val="25"/>
            <w:shd w:val="clear" w:color="auto" w:fill="auto"/>
          </w:tcPr>
          <w:p w:rsidR="009D579F" w:rsidRPr="00EB5F5C" w:rsidRDefault="009D579F" w:rsidP="005E7069">
            <w:pPr>
              <w:pStyle w:val="TableBodyText"/>
              <w:spacing w:before="80" w:after="80"/>
              <w:ind w:left="0"/>
              <w:jc w:val="left"/>
            </w:pPr>
            <w:r>
              <w:t>Reading</w:t>
            </w:r>
            <w:r w:rsidRPr="00EB5F5C">
              <w:t xml:space="preserve"> performance </w:t>
            </w:r>
            <w:r w:rsidRPr="00393E8A">
              <w:t xml:space="preserve">– proportion of </w:t>
            </w:r>
            <w:r>
              <w:t xml:space="preserve">all </w:t>
            </w:r>
            <w:r w:rsidRPr="00393E8A">
              <w:t>year 9 students achieving at or above national minimum standard</w:t>
            </w:r>
          </w:p>
        </w:tc>
      </w:tr>
      <w:tr w:rsidR="00C4575E" w:rsidRPr="00B817EA" w:rsidTr="004B45D9">
        <w:tc>
          <w:tcPr>
            <w:tcW w:w="11" w:type="pct"/>
            <w:shd w:val="clear" w:color="auto" w:fill="auto"/>
          </w:tcPr>
          <w:p w:rsidR="00C4575E" w:rsidRPr="00B817EA" w:rsidRDefault="00C4575E" w:rsidP="00E12F7C">
            <w:pPr>
              <w:pStyle w:val="TableBodyText"/>
              <w:jc w:val="left"/>
            </w:pPr>
          </w:p>
        </w:tc>
        <w:tc>
          <w:tcPr>
            <w:tcW w:w="147" w:type="pct"/>
            <w:gridSpan w:val="2"/>
            <w:shd w:val="clear" w:color="auto" w:fill="auto"/>
          </w:tcPr>
          <w:p w:rsidR="00C4575E" w:rsidRPr="00B817EA" w:rsidRDefault="00C4575E" w:rsidP="00E12F7C">
            <w:pPr>
              <w:pStyle w:val="TableBodyText"/>
              <w:jc w:val="left"/>
            </w:pPr>
            <w:r>
              <w:t>%</w:t>
            </w:r>
          </w:p>
        </w:tc>
        <w:tc>
          <w:tcPr>
            <w:tcW w:w="540" w:type="pct"/>
            <w:gridSpan w:val="2"/>
            <w:shd w:val="clear" w:color="auto" w:fill="auto"/>
            <w:vAlign w:val="center"/>
          </w:tcPr>
          <w:p w:rsidR="00C4575E" w:rsidRDefault="00C4575E" w:rsidP="00C4575E">
            <w:pPr>
              <w:pStyle w:val="TableBodyText"/>
            </w:pPr>
            <w:r>
              <w:t xml:space="preserve">91.9 </w:t>
            </w:r>
            <w:r w:rsidR="00FD58E2">
              <w:br/>
            </w:r>
            <w:r>
              <w:t>± 0.6</w:t>
            </w:r>
          </w:p>
        </w:tc>
        <w:tc>
          <w:tcPr>
            <w:tcW w:w="544" w:type="pct"/>
            <w:gridSpan w:val="2"/>
            <w:shd w:val="clear" w:color="auto" w:fill="auto"/>
            <w:vAlign w:val="center"/>
          </w:tcPr>
          <w:p w:rsidR="00C4575E" w:rsidRDefault="00C4575E" w:rsidP="00C4575E">
            <w:pPr>
              <w:pStyle w:val="TableBodyText"/>
            </w:pPr>
            <w:r>
              <w:t xml:space="preserve">93.0 </w:t>
            </w:r>
            <w:r w:rsidR="00FD58E2">
              <w:br/>
            </w:r>
            <w:r>
              <w:t>± 0.6</w:t>
            </w:r>
          </w:p>
        </w:tc>
        <w:tc>
          <w:tcPr>
            <w:tcW w:w="460" w:type="pct"/>
            <w:gridSpan w:val="2"/>
            <w:shd w:val="clear" w:color="auto" w:fill="auto"/>
            <w:vAlign w:val="center"/>
          </w:tcPr>
          <w:p w:rsidR="00C4575E" w:rsidRDefault="00C4575E" w:rsidP="00C4575E">
            <w:pPr>
              <w:pStyle w:val="TableBodyText"/>
            </w:pPr>
            <w:r>
              <w:t xml:space="preserve">90.5 </w:t>
            </w:r>
            <w:r w:rsidR="00FD58E2">
              <w:br/>
            </w:r>
            <w:r>
              <w:t>± 0.8</w:t>
            </w:r>
          </w:p>
        </w:tc>
        <w:tc>
          <w:tcPr>
            <w:tcW w:w="539" w:type="pct"/>
            <w:gridSpan w:val="3"/>
            <w:shd w:val="clear" w:color="auto" w:fill="auto"/>
            <w:vAlign w:val="center"/>
          </w:tcPr>
          <w:p w:rsidR="00C4575E" w:rsidRDefault="00C4575E" w:rsidP="00C4575E">
            <w:pPr>
              <w:pStyle w:val="TableBodyText"/>
            </w:pPr>
            <w:r>
              <w:t xml:space="preserve">90.7 </w:t>
            </w:r>
            <w:r w:rsidR="00FD58E2">
              <w:br/>
            </w:r>
            <w:r>
              <w:t>± 1.2</w:t>
            </w:r>
          </w:p>
        </w:tc>
        <w:tc>
          <w:tcPr>
            <w:tcW w:w="486" w:type="pct"/>
            <w:gridSpan w:val="2"/>
            <w:shd w:val="clear" w:color="auto" w:fill="auto"/>
            <w:vAlign w:val="center"/>
          </w:tcPr>
          <w:p w:rsidR="00C4575E" w:rsidRDefault="00C4575E" w:rsidP="00C4575E">
            <w:pPr>
              <w:pStyle w:val="TableBodyText"/>
            </w:pPr>
            <w:r>
              <w:t xml:space="preserve">90.8 </w:t>
            </w:r>
            <w:r w:rsidR="00FD58E2">
              <w:br/>
            </w:r>
            <w:r>
              <w:t>± 1.4</w:t>
            </w:r>
          </w:p>
        </w:tc>
        <w:tc>
          <w:tcPr>
            <w:tcW w:w="513" w:type="pct"/>
            <w:gridSpan w:val="3"/>
            <w:shd w:val="clear" w:color="auto" w:fill="auto"/>
            <w:vAlign w:val="center"/>
          </w:tcPr>
          <w:p w:rsidR="00C4575E" w:rsidRDefault="00C4575E" w:rsidP="00C4575E">
            <w:pPr>
              <w:pStyle w:val="TableBodyText"/>
            </w:pPr>
            <w:r>
              <w:t xml:space="preserve">89.9 </w:t>
            </w:r>
            <w:r w:rsidR="00FD58E2">
              <w:br/>
            </w:r>
            <w:r>
              <w:t>± 2.0</w:t>
            </w:r>
          </w:p>
        </w:tc>
        <w:tc>
          <w:tcPr>
            <w:tcW w:w="459" w:type="pct"/>
            <w:gridSpan w:val="2"/>
            <w:shd w:val="clear" w:color="auto" w:fill="auto"/>
            <w:vAlign w:val="center"/>
          </w:tcPr>
          <w:p w:rsidR="00C4575E" w:rsidRDefault="00C4575E" w:rsidP="00C4575E">
            <w:pPr>
              <w:pStyle w:val="TableBodyText"/>
            </w:pPr>
            <w:r>
              <w:t xml:space="preserve">94.7 </w:t>
            </w:r>
            <w:r w:rsidR="00FD58E2">
              <w:br/>
            </w:r>
            <w:r>
              <w:t>± 1.7</w:t>
            </w:r>
          </w:p>
        </w:tc>
        <w:tc>
          <w:tcPr>
            <w:tcW w:w="461" w:type="pct"/>
            <w:gridSpan w:val="2"/>
            <w:shd w:val="clear" w:color="auto" w:fill="auto"/>
            <w:vAlign w:val="center"/>
          </w:tcPr>
          <w:p w:rsidR="00C4575E" w:rsidRDefault="00C4575E" w:rsidP="00C4575E">
            <w:pPr>
              <w:pStyle w:val="TableBodyText"/>
            </w:pPr>
            <w:r>
              <w:t xml:space="preserve">65.3 </w:t>
            </w:r>
            <w:r w:rsidR="00FD58E2">
              <w:br/>
            </w:r>
            <w:r>
              <w:t>± 8.7</w:t>
            </w:r>
          </w:p>
        </w:tc>
        <w:tc>
          <w:tcPr>
            <w:tcW w:w="384" w:type="pct"/>
            <w:gridSpan w:val="2"/>
            <w:vAlign w:val="center"/>
          </w:tcPr>
          <w:p w:rsidR="00C4575E" w:rsidRDefault="00C4575E" w:rsidP="00C4575E">
            <w:pPr>
              <w:pStyle w:val="TableBodyText"/>
            </w:pPr>
            <w:r>
              <w:t xml:space="preserve">91.4 </w:t>
            </w:r>
            <w:r w:rsidR="00FD58E2">
              <w:br/>
            </w:r>
            <w:r>
              <w:t>± 0.4</w:t>
            </w:r>
          </w:p>
        </w:tc>
        <w:tc>
          <w:tcPr>
            <w:tcW w:w="455" w:type="pct"/>
            <w:gridSpan w:val="2"/>
            <w:shd w:val="clear" w:color="auto" w:fill="FFFFFF" w:themeFill="background1"/>
          </w:tcPr>
          <w:p w:rsidR="00C4575E" w:rsidRPr="00B817EA" w:rsidRDefault="00C4575E" w:rsidP="00C41302">
            <w:pPr>
              <w:pStyle w:val="TableBodyText"/>
            </w:pPr>
            <w:r>
              <w:t>4A.3</w:t>
            </w:r>
            <w:r w:rsidR="00C41302">
              <w:t>6</w:t>
            </w:r>
          </w:p>
        </w:tc>
      </w:tr>
      <w:tr w:rsidR="009D579F" w:rsidRPr="00EB5F5C" w:rsidTr="00EB6250">
        <w:tc>
          <w:tcPr>
            <w:tcW w:w="5000" w:type="pct"/>
            <w:gridSpan w:val="25"/>
            <w:shd w:val="clear" w:color="auto" w:fill="auto"/>
          </w:tcPr>
          <w:p w:rsidR="009D579F" w:rsidRPr="00393E8A" w:rsidRDefault="009D579F" w:rsidP="005E7069">
            <w:pPr>
              <w:pStyle w:val="TableBodyText"/>
              <w:spacing w:before="80" w:after="80"/>
              <w:ind w:left="0"/>
              <w:jc w:val="left"/>
            </w:pPr>
            <w:r>
              <w:t>Reading</w:t>
            </w:r>
            <w:r w:rsidRPr="00393E8A">
              <w:t xml:space="preserve"> performance – proportion of Indigenous year 9 students achieving at or above national minimum standard</w:t>
            </w:r>
          </w:p>
        </w:tc>
      </w:tr>
      <w:tr w:rsidR="00C4575E" w:rsidRPr="00EB5F5C" w:rsidTr="004B45D9">
        <w:trPr>
          <w:trHeight w:val="351"/>
        </w:trPr>
        <w:tc>
          <w:tcPr>
            <w:tcW w:w="11" w:type="pct"/>
            <w:shd w:val="clear" w:color="auto" w:fill="auto"/>
          </w:tcPr>
          <w:p w:rsidR="00C4575E" w:rsidRPr="00EB5F5C" w:rsidRDefault="00C4575E" w:rsidP="00E12F7C">
            <w:pPr>
              <w:pStyle w:val="TableBodyText"/>
              <w:jc w:val="left"/>
            </w:pPr>
          </w:p>
        </w:tc>
        <w:tc>
          <w:tcPr>
            <w:tcW w:w="147" w:type="pct"/>
            <w:gridSpan w:val="2"/>
            <w:shd w:val="clear" w:color="auto" w:fill="auto"/>
          </w:tcPr>
          <w:p w:rsidR="00C4575E" w:rsidRPr="009E1D43" w:rsidRDefault="00C4575E" w:rsidP="00E12F7C">
            <w:pPr>
              <w:pStyle w:val="TableBodyText"/>
              <w:jc w:val="left"/>
            </w:pPr>
            <w:r w:rsidRPr="009E1D43">
              <w:t>%</w:t>
            </w:r>
          </w:p>
        </w:tc>
        <w:tc>
          <w:tcPr>
            <w:tcW w:w="540" w:type="pct"/>
            <w:gridSpan w:val="2"/>
            <w:shd w:val="clear" w:color="auto" w:fill="auto"/>
            <w:vAlign w:val="center"/>
          </w:tcPr>
          <w:p w:rsidR="00C4575E" w:rsidRDefault="00C4575E" w:rsidP="00C4575E">
            <w:pPr>
              <w:pStyle w:val="TableBodyText"/>
            </w:pPr>
            <w:r>
              <w:t xml:space="preserve">74.2 </w:t>
            </w:r>
            <w:r w:rsidR="00FD58E2">
              <w:br/>
            </w:r>
            <w:r>
              <w:t>± 2.2</w:t>
            </w:r>
          </w:p>
        </w:tc>
        <w:tc>
          <w:tcPr>
            <w:tcW w:w="544" w:type="pct"/>
            <w:gridSpan w:val="2"/>
            <w:shd w:val="clear" w:color="auto" w:fill="auto"/>
            <w:vAlign w:val="center"/>
          </w:tcPr>
          <w:p w:rsidR="00C4575E" w:rsidRDefault="00C4575E" w:rsidP="00C4575E">
            <w:pPr>
              <w:pStyle w:val="TableBodyText"/>
            </w:pPr>
            <w:r>
              <w:t xml:space="preserve">80.7 </w:t>
            </w:r>
            <w:r w:rsidR="00FD58E2">
              <w:br/>
            </w:r>
            <w:r>
              <w:t>± 3.9</w:t>
            </w:r>
          </w:p>
        </w:tc>
        <w:tc>
          <w:tcPr>
            <w:tcW w:w="460" w:type="pct"/>
            <w:gridSpan w:val="2"/>
            <w:shd w:val="clear" w:color="auto" w:fill="auto"/>
            <w:vAlign w:val="center"/>
          </w:tcPr>
          <w:p w:rsidR="00C4575E" w:rsidRDefault="00C4575E" w:rsidP="00C4575E">
            <w:pPr>
              <w:pStyle w:val="TableBodyText"/>
            </w:pPr>
            <w:r>
              <w:t xml:space="preserve">69.8 </w:t>
            </w:r>
            <w:r w:rsidR="00FD58E2">
              <w:br/>
            </w:r>
            <w:r>
              <w:t>± 3.3</w:t>
            </w:r>
          </w:p>
        </w:tc>
        <w:tc>
          <w:tcPr>
            <w:tcW w:w="539" w:type="pct"/>
            <w:gridSpan w:val="3"/>
            <w:shd w:val="clear" w:color="auto" w:fill="auto"/>
            <w:vAlign w:val="center"/>
          </w:tcPr>
          <w:p w:rsidR="00C4575E" w:rsidRDefault="00C4575E" w:rsidP="00C4575E">
            <w:pPr>
              <w:pStyle w:val="TableBodyText"/>
            </w:pPr>
            <w:r>
              <w:t xml:space="preserve">57.7 </w:t>
            </w:r>
            <w:r w:rsidR="00FD58E2">
              <w:br/>
            </w:r>
            <w:r>
              <w:t>± 4.6</w:t>
            </w:r>
          </w:p>
        </w:tc>
        <w:tc>
          <w:tcPr>
            <w:tcW w:w="486" w:type="pct"/>
            <w:gridSpan w:val="2"/>
            <w:shd w:val="clear" w:color="auto" w:fill="auto"/>
            <w:vAlign w:val="center"/>
          </w:tcPr>
          <w:p w:rsidR="00C4575E" w:rsidRDefault="00C4575E" w:rsidP="00C4575E">
            <w:pPr>
              <w:pStyle w:val="TableBodyText"/>
            </w:pPr>
            <w:r>
              <w:t xml:space="preserve">66.6 </w:t>
            </w:r>
            <w:r w:rsidR="00FD58E2">
              <w:br/>
            </w:r>
            <w:r>
              <w:t>± 5.9</w:t>
            </w:r>
          </w:p>
        </w:tc>
        <w:tc>
          <w:tcPr>
            <w:tcW w:w="513" w:type="pct"/>
            <w:gridSpan w:val="3"/>
            <w:shd w:val="clear" w:color="auto" w:fill="auto"/>
            <w:vAlign w:val="center"/>
          </w:tcPr>
          <w:p w:rsidR="00C4575E" w:rsidRDefault="00C4575E" w:rsidP="00C4575E">
            <w:pPr>
              <w:pStyle w:val="TableBodyText"/>
            </w:pPr>
            <w:r>
              <w:t xml:space="preserve">78.9 </w:t>
            </w:r>
            <w:r w:rsidR="00FD58E2">
              <w:br/>
            </w:r>
            <w:r>
              <w:t>± 5.6</w:t>
            </w:r>
          </w:p>
        </w:tc>
        <w:tc>
          <w:tcPr>
            <w:tcW w:w="459" w:type="pct"/>
            <w:gridSpan w:val="2"/>
            <w:shd w:val="clear" w:color="auto" w:fill="auto"/>
            <w:vAlign w:val="center"/>
          </w:tcPr>
          <w:p w:rsidR="00C4575E" w:rsidRDefault="00C4575E" w:rsidP="00C4575E">
            <w:pPr>
              <w:pStyle w:val="TableBodyText"/>
            </w:pPr>
            <w:r>
              <w:t xml:space="preserve">82.4 </w:t>
            </w:r>
            <w:r w:rsidR="00FD58E2">
              <w:br/>
            </w:r>
            <w:r>
              <w:t>± 9.9</w:t>
            </w:r>
          </w:p>
        </w:tc>
        <w:tc>
          <w:tcPr>
            <w:tcW w:w="461" w:type="pct"/>
            <w:gridSpan w:val="2"/>
            <w:shd w:val="clear" w:color="auto" w:fill="auto"/>
            <w:vAlign w:val="center"/>
          </w:tcPr>
          <w:p w:rsidR="00C4575E" w:rsidRDefault="00C4575E" w:rsidP="00C4575E">
            <w:pPr>
              <w:pStyle w:val="TableBodyText"/>
            </w:pPr>
            <w:r>
              <w:t xml:space="preserve">29.1 </w:t>
            </w:r>
            <w:r w:rsidR="00FD58E2">
              <w:br/>
            </w:r>
            <w:r>
              <w:t>± 8.9</w:t>
            </w:r>
          </w:p>
        </w:tc>
        <w:tc>
          <w:tcPr>
            <w:tcW w:w="384" w:type="pct"/>
            <w:gridSpan w:val="2"/>
            <w:vAlign w:val="center"/>
          </w:tcPr>
          <w:p w:rsidR="00C4575E" w:rsidRDefault="00C4575E" w:rsidP="00C4575E">
            <w:pPr>
              <w:pStyle w:val="TableBodyText"/>
            </w:pPr>
            <w:r>
              <w:t xml:space="preserve">67.2 </w:t>
            </w:r>
            <w:r w:rsidR="00FD58E2">
              <w:br/>
            </w:r>
            <w:r>
              <w:t>± 1.9</w:t>
            </w:r>
          </w:p>
        </w:tc>
        <w:tc>
          <w:tcPr>
            <w:tcW w:w="455" w:type="pct"/>
            <w:gridSpan w:val="2"/>
            <w:shd w:val="clear" w:color="auto" w:fill="FFFFFF" w:themeFill="background1"/>
          </w:tcPr>
          <w:p w:rsidR="00C4575E" w:rsidRPr="00EB5F5C" w:rsidRDefault="00C4575E" w:rsidP="00C41302">
            <w:pPr>
              <w:pStyle w:val="TableBodyText"/>
            </w:pPr>
            <w:r>
              <w:t>4A.3</w:t>
            </w:r>
            <w:r w:rsidR="00C41302">
              <w:t>6</w:t>
            </w:r>
          </w:p>
        </w:tc>
      </w:tr>
      <w:tr w:rsidR="009D579F" w:rsidRPr="00EB5F5C" w:rsidTr="00EB6250">
        <w:tc>
          <w:tcPr>
            <w:tcW w:w="5000" w:type="pct"/>
            <w:gridSpan w:val="25"/>
            <w:shd w:val="clear" w:color="auto" w:fill="auto"/>
          </w:tcPr>
          <w:p w:rsidR="009D579F" w:rsidRPr="00534FE6" w:rsidRDefault="009D579F" w:rsidP="005E7069">
            <w:pPr>
              <w:pStyle w:val="TableColumnHeading"/>
              <w:ind w:left="0"/>
              <w:jc w:val="left"/>
              <w:rPr>
                <w:i w:val="0"/>
              </w:rPr>
            </w:pPr>
            <w:r w:rsidRPr="00534FE6">
              <w:rPr>
                <w:i w:val="0"/>
              </w:rPr>
              <w:t>Numeracy performance – proportion of all year 3 students achieving at or above national minimum standard</w:t>
            </w:r>
          </w:p>
        </w:tc>
      </w:tr>
      <w:tr w:rsidR="00C4575E" w:rsidRPr="00EB5F5C" w:rsidTr="004B45D9">
        <w:tc>
          <w:tcPr>
            <w:tcW w:w="11" w:type="pct"/>
            <w:shd w:val="clear" w:color="auto" w:fill="auto"/>
          </w:tcPr>
          <w:p w:rsidR="00C4575E" w:rsidRPr="00EB5F5C" w:rsidRDefault="00C4575E" w:rsidP="00E12F7C">
            <w:pPr>
              <w:pStyle w:val="TableBodyText"/>
              <w:jc w:val="left"/>
            </w:pPr>
          </w:p>
        </w:tc>
        <w:tc>
          <w:tcPr>
            <w:tcW w:w="147" w:type="pct"/>
            <w:gridSpan w:val="2"/>
            <w:shd w:val="clear" w:color="auto" w:fill="auto"/>
          </w:tcPr>
          <w:p w:rsidR="00C4575E" w:rsidRPr="00EB5F5C" w:rsidRDefault="00C4575E" w:rsidP="00E12F7C">
            <w:pPr>
              <w:pStyle w:val="TableBodyText"/>
              <w:jc w:val="left"/>
            </w:pPr>
            <w:r w:rsidRPr="00EB5F5C">
              <w:t>%</w:t>
            </w:r>
          </w:p>
        </w:tc>
        <w:tc>
          <w:tcPr>
            <w:tcW w:w="540" w:type="pct"/>
            <w:gridSpan w:val="2"/>
            <w:shd w:val="clear" w:color="auto" w:fill="auto"/>
            <w:vAlign w:val="center"/>
          </w:tcPr>
          <w:p w:rsidR="00C4575E" w:rsidRDefault="00C4575E" w:rsidP="00C4575E">
            <w:pPr>
              <w:pStyle w:val="TableBodyText"/>
            </w:pPr>
            <w:r>
              <w:t xml:space="preserve">95.1 </w:t>
            </w:r>
            <w:r w:rsidR="00FD58E2">
              <w:br/>
            </w:r>
            <w:r>
              <w:t>± 0.3</w:t>
            </w:r>
          </w:p>
        </w:tc>
        <w:tc>
          <w:tcPr>
            <w:tcW w:w="544" w:type="pct"/>
            <w:gridSpan w:val="2"/>
            <w:shd w:val="clear" w:color="auto" w:fill="auto"/>
            <w:vAlign w:val="center"/>
          </w:tcPr>
          <w:p w:rsidR="00C4575E" w:rsidRDefault="00C4575E" w:rsidP="00C4575E">
            <w:pPr>
              <w:pStyle w:val="TableBodyText"/>
            </w:pPr>
            <w:r>
              <w:t xml:space="preserve">95.6 </w:t>
            </w:r>
            <w:r w:rsidR="00FD58E2">
              <w:br/>
            </w:r>
            <w:r>
              <w:t>± 0.4</w:t>
            </w:r>
          </w:p>
        </w:tc>
        <w:tc>
          <w:tcPr>
            <w:tcW w:w="460" w:type="pct"/>
            <w:gridSpan w:val="2"/>
            <w:shd w:val="clear" w:color="auto" w:fill="auto"/>
            <w:vAlign w:val="center"/>
          </w:tcPr>
          <w:p w:rsidR="00C4575E" w:rsidRDefault="00C4575E" w:rsidP="00C4575E">
            <w:pPr>
              <w:pStyle w:val="TableBodyText"/>
            </w:pPr>
            <w:r>
              <w:t xml:space="preserve">92.7 </w:t>
            </w:r>
            <w:r w:rsidR="00FD58E2">
              <w:br/>
            </w:r>
            <w:r>
              <w:t>± 0.5</w:t>
            </w:r>
          </w:p>
        </w:tc>
        <w:tc>
          <w:tcPr>
            <w:tcW w:w="539" w:type="pct"/>
            <w:gridSpan w:val="3"/>
            <w:shd w:val="clear" w:color="auto" w:fill="auto"/>
            <w:vAlign w:val="center"/>
          </w:tcPr>
          <w:p w:rsidR="00C4575E" w:rsidRDefault="00C4575E" w:rsidP="00C4575E">
            <w:pPr>
              <w:pStyle w:val="TableBodyText"/>
            </w:pPr>
            <w:r>
              <w:t xml:space="preserve">92.5 </w:t>
            </w:r>
            <w:r w:rsidR="00FD58E2">
              <w:br/>
            </w:r>
            <w:r>
              <w:t>± 0.7</w:t>
            </w:r>
          </w:p>
        </w:tc>
        <w:tc>
          <w:tcPr>
            <w:tcW w:w="486" w:type="pct"/>
            <w:gridSpan w:val="2"/>
            <w:shd w:val="clear" w:color="auto" w:fill="auto"/>
            <w:vAlign w:val="center"/>
          </w:tcPr>
          <w:p w:rsidR="00C4575E" w:rsidRDefault="00C4575E" w:rsidP="00C4575E">
            <w:pPr>
              <w:pStyle w:val="TableBodyText"/>
            </w:pPr>
            <w:r>
              <w:t xml:space="preserve">91.9 </w:t>
            </w:r>
            <w:r w:rsidR="00FD58E2">
              <w:br/>
            </w:r>
            <w:r>
              <w:t>± 0.9</w:t>
            </w:r>
          </w:p>
        </w:tc>
        <w:tc>
          <w:tcPr>
            <w:tcW w:w="513" w:type="pct"/>
            <w:gridSpan w:val="3"/>
            <w:shd w:val="clear" w:color="auto" w:fill="auto"/>
            <w:vAlign w:val="center"/>
          </w:tcPr>
          <w:p w:rsidR="00C4575E" w:rsidRDefault="00C4575E" w:rsidP="00C4575E">
            <w:pPr>
              <w:pStyle w:val="TableBodyText"/>
            </w:pPr>
            <w:r>
              <w:t xml:space="preserve">93.9 </w:t>
            </w:r>
            <w:r w:rsidR="00FD58E2">
              <w:br/>
            </w:r>
            <w:r>
              <w:t>± 1.0</w:t>
            </w:r>
          </w:p>
        </w:tc>
        <w:tc>
          <w:tcPr>
            <w:tcW w:w="459" w:type="pct"/>
            <w:gridSpan w:val="2"/>
            <w:shd w:val="clear" w:color="auto" w:fill="auto"/>
            <w:vAlign w:val="center"/>
          </w:tcPr>
          <w:p w:rsidR="00C4575E" w:rsidRDefault="00C4575E" w:rsidP="00C4575E">
            <w:pPr>
              <w:pStyle w:val="TableBodyText"/>
            </w:pPr>
            <w:r>
              <w:t xml:space="preserve">96.5 </w:t>
            </w:r>
            <w:r w:rsidR="00FD58E2">
              <w:br/>
            </w:r>
            <w:r>
              <w:t>± 0.8</w:t>
            </w:r>
          </w:p>
        </w:tc>
        <w:tc>
          <w:tcPr>
            <w:tcW w:w="461" w:type="pct"/>
            <w:gridSpan w:val="2"/>
            <w:shd w:val="clear" w:color="auto" w:fill="auto"/>
            <w:vAlign w:val="center"/>
          </w:tcPr>
          <w:p w:rsidR="00C4575E" w:rsidRDefault="00C4575E" w:rsidP="00C4575E">
            <w:pPr>
              <w:pStyle w:val="TableBodyText"/>
            </w:pPr>
            <w:r>
              <w:t xml:space="preserve">70.0 </w:t>
            </w:r>
            <w:r w:rsidR="00FD58E2">
              <w:br/>
            </w:r>
            <w:r>
              <w:t>± 6.4</w:t>
            </w:r>
          </w:p>
        </w:tc>
        <w:tc>
          <w:tcPr>
            <w:tcW w:w="384" w:type="pct"/>
            <w:gridSpan w:val="2"/>
            <w:vAlign w:val="center"/>
          </w:tcPr>
          <w:p w:rsidR="00C4575E" w:rsidRDefault="00C4575E" w:rsidP="00C4575E">
            <w:pPr>
              <w:pStyle w:val="TableBodyText"/>
            </w:pPr>
            <w:r>
              <w:t xml:space="preserve">93.9 </w:t>
            </w:r>
            <w:r w:rsidR="00FD58E2">
              <w:br/>
            </w:r>
            <w:r>
              <w:t>± 0.2</w:t>
            </w:r>
          </w:p>
        </w:tc>
        <w:tc>
          <w:tcPr>
            <w:tcW w:w="455" w:type="pct"/>
            <w:gridSpan w:val="2"/>
            <w:shd w:val="clear" w:color="auto" w:fill="FFFFFF" w:themeFill="background1"/>
          </w:tcPr>
          <w:p w:rsidR="00C4575E" w:rsidRPr="00EB5F5C" w:rsidRDefault="00C4575E" w:rsidP="00C41302">
            <w:pPr>
              <w:pStyle w:val="TableBodyText"/>
            </w:pPr>
            <w:r>
              <w:t>4A.</w:t>
            </w:r>
            <w:r w:rsidR="00C41302">
              <w:t>71</w:t>
            </w:r>
          </w:p>
        </w:tc>
      </w:tr>
      <w:tr w:rsidR="009D579F" w:rsidRPr="00EB5F5C" w:rsidTr="00EB6250">
        <w:tc>
          <w:tcPr>
            <w:tcW w:w="5000" w:type="pct"/>
            <w:gridSpan w:val="25"/>
            <w:shd w:val="clear" w:color="auto" w:fill="auto"/>
          </w:tcPr>
          <w:p w:rsidR="009D579F" w:rsidRPr="00534FE6" w:rsidRDefault="009D579F" w:rsidP="005E7069">
            <w:pPr>
              <w:pStyle w:val="TableColumnHeading"/>
              <w:ind w:left="0"/>
              <w:jc w:val="left"/>
              <w:rPr>
                <w:i w:val="0"/>
              </w:rPr>
            </w:pPr>
            <w:r w:rsidRPr="00534FE6">
              <w:rPr>
                <w:i w:val="0"/>
              </w:rPr>
              <w:t>Numeracy performance – proportion of Indigenous year 3 students achieving at or above national minimum standard</w:t>
            </w:r>
          </w:p>
        </w:tc>
      </w:tr>
      <w:tr w:rsidR="00C4575E" w:rsidRPr="00EB5F5C" w:rsidTr="004B45D9">
        <w:tc>
          <w:tcPr>
            <w:tcW w:w="11" w:type="pct"/>
            <w:shd w:val="clear" w:color="auto" w:fill="auto"/>
          </w:tcPr>
          <w:p w:rsidR="00C4575E" w:rsidRPr="00EB5F5C" w:rsidRDefault="00C4575E" w:rsidP="00E12F7C">
            <w:pPr>
              <w:pStyle w:val="TableBodyText"/>
              <w:jc w:val="left"/>
            </w:pPr>
          </w:p>
        </w:tc>
        <w:tc>
          <w:tcPr>
            <w:tcW w:w="147" w:type="pct"/>
            <w:gridSpan w:val="2"/>
            <w:shd w:val="clear" w:color="auto" w:fill="auto"/>
          </w:tcPr>
          <w:p w:rsidR="00C4575E" w:rsidRPr="00EB5F5C" w:rsidRDefault="00C4575E" w:rsidP="00E12F7C">
            <w:pPr>
              <w:pStyle w:val="TableBodyText"/>
              <w:jc w:val="left"/>
            </w:pPr>
            <w:r w:rsidRPr="00EB5F5C">
              <w:t>%</w:t>
            </w:r>
          </w:p>
        </w:tc>
        <w:tc>
          <w:tcPr>
            <w:tcW w:w="540" w:type="pct"/>
            <w:gridSpan w:val="2"/>
            <w:shd w:val="clear" w:color="auto" w:fill="auto"/>
            <w:vAlign w:val="center"/>
          </w:tcPr>
          <w:p w:rsidR="00C4575E" w:rsidRDefault="00C4575E" w:rsidP="00C4575E">
            <w:pPr>
              <w:pStyle w:val="TableBodyText"/>
            </w:pPr>
            <w:r>
              <w:t xml:space="preserve">82.9 </w:t>
            </w:r>
            <w:r w:rsidR="00FD58E2">
              <w:br/>
            </w:r>
            <w:r>
              <w:t>± 1.9</w:t>
            </w:r>
          </w:p>
        </w:tc>
        <w:tc>
          <w:tcPr>
            <w:tcW w:w="544" w:type="pct"/>
            <w:gridSpan w:val="2"/>
            <w:shd w:val="clear" w:color="auto" w:fill="auto"/>
            <w:vAlign w:val="center"/>
          </w:tcPr>
          <w:p w:rsidR="00C4575E" w:rsidRDefault="00C4575E" w:rsidP="00C4575E">
            <w:pPr>
              <w:pStyle w:val="TableBodyText"/>
            </w:pPr>
            <w:r>
              <w:t xml:space="preserve">85.9 </w:t>
            </w:r>
            <w:r w:rsidR="00FD58E2">
              <w:br/>
            </w:r>
            <w:r>
              <w:t>± 3.1</w:t>
            </w:r>
          </w:p>
        </w:tc>
        <w:tc>
          <w:tcPr>
            <w:tcW w:w="460" w:type="pct"/>
            <w:gridSpan w:val="2"/>
            <w:shd w:val="clear" w:color="auto" w:fill="auto"/>
            <w:vAlign w:val="center"/>
          </w:tcPr>
          <w:p w:rsidR="00C4575E" w:rsidRDefault="00C4575E" w:rsidP="00C4575E">
            <w:pPr>
              <w:pStyle w:val="TableBodyText"/>
            </w:pPr>
            <w:r>
              <w:t xml:space="preserve">74.1 </w:t>
            </w:r>
            <w:r w:rsidR="00FD58E2">
              <w:br/>
            </w:r>
            <w:r>
              <w:t>± 2.6</w:t>
            </w:r>
          </w:p>
        </w:tc>
        <w:tc>
          <w:tcPr>
            <w:tcW w:w="536" w:type="pct"/>
            <w:gridSpan w:val="2"/>
            <w:shd w:val="clear" w:color="auto" w:fill="auto"/>
            <w:vAlign w:val="center"/>
          </w:tcPr>
          <w:p w:rsidR="00C4575E" w:rsidRDefault="00C4575E" w:rsidP="00C4575E">
            <w:pPr>
              <w:pStyle w:val="TableBodyText"/>
            </w:pPr>
            <w:r>
              <w:t xml:space="preserve">63.9 </w:t>
            </w:r>
            <w:r w:rsidR="00FD58E2">
              <w:br/>
            </w:r>
            <w:r>
              <w:t>± 3.2</w:t>
            </w:r>
          </w:p>
        </w:tc>
        <w:tc>
          <w:tcPr>
            <w:tcW w:w="489" w:type="pct"/>
            <w:gridSpan w:val="3"/>
            <w:shd w:val="clear" w:color="auto" w:fill="auto"/>
            <w:vAlign w:val="center"/>
          </w:tcPr>
          <w:p w:rsidR="00C4575E" w:rsidRDefault="00C4575E" w:rsidP="00C4575E">
            <w:pPr>
              <w:pStyle w:val="TableBodyText"/>
            </w:pPr>
            <w:r>
              <w:t xml:space="preserve">66.7 </w:t>
            </w:r>
            <w:r w:rsidR="00FD58E2">
              <w:br/>
            </w:r>
            <w:r>
              <w:t>± 5.0</w:t>
            </w:r>
          </w:p>
        </w:tc>
        <w:tc>
          <w:tcPr>
            <w:tcW w:w="513" w:type="pct"/>
            <w:gridSpan w:val="3"/>
            <w:shd w:val="clear" w:color="auto" w:fill="auto"/>
            <w:vAlign w:val="center"/>
          </w:tcPr>
          <w:p w:rsidR="00C4575E" w:rsidRDefault="00C4575E" w:rsidP="00C4575E">
            <w:pPr>
              <w:pStyle w:val="TableBodyText"/>
            </w:pPr>
            <w:r>
              <w:t xml:space="preserve">86.0 </w:t>
            </w:r>
            <w:r w:rsidR="00FD58E2">
              <w:br/>
            </w:r>
            <w:r>
              <w:t>± 3.6</w:t>
            </w:r>
          </w:p>
        </w:tc>
        <w:tc>
          <w:tcPr>
            <w:tcW w:w="459" w:type="pct"/>
            <w:gridSpan w:val="2"/>
            <w:shd w:val="clear" w:color="auto" w:fill="auto"/>
            <w:vAlign w:val="center"/>
          </w:tcPr>
          <w:p w:rsidR="00C4575E" w:rsidRDefault="00C4575E" w:rsidP="00C4575E">
            <w:pPr>
              <w:pStyle w:val="TableBodyText"/>
            </w:pPr>
            <w:r>
              <w:t xml:space="preserve">84.0 </w:t>
            </w:r>
            <w:r w:rsidR="00FD58E2">
              <w:br/>
            </w:r>
            <w:r>
              <w:t>± 7.6</w:t>
            </w:r>
          </w:p>
        </w:tc>
        <w:tc>
          <w:tcPr>
            <w:tcW w:w="461" w:type="pct"/>
            <w:gridSpan w:val="2"/>
            <w:shd w:val="clear" w:color="auto" w:fill="auto"/>
            <w:vAlign w:val="center"/>
          </w:tcPr>
          <w:p w:rsidR="00C4575E" w:rsidRDefault="00C4575E" w:rsidP="00C4575E">
            <w:pPr>
              <w:pStyle w:val="TableBodyText"/>
            </w:pPr>
            <w:r>
              <w:t xml:space="preserve">39.5 </w:t>
            </w:r>
            <w:r w:rsidR="00FD58E2">
              <w:br/>
            </w:r>
            <w:r>
              <w:t>± 6.8</w:t>
            </w:r>
          </w:p>
        </w:tc>
        <w:tc>
          <w:tcPr>
            <w:tcW w:w="384" w:type="pct"/>
            <w:gridSpan w:val="2"/>
            <w:vAlign w:val="center"/>
          </w:tcPr>
          <w:p w:rsidR="00C4575E" w:rsidRDefault="00C4575E" w:rsidP="00C4575E">
            <w:pPr>
              <w:pStyle w:val="TableBodyText"/>
            </w:pPr>
            <w:r>
              <w:t xml:space="preserve">72.7 </w:t>
            </w:r>
            <w:r w:rsidR="00FD58E2">
              <w:br/>
            </w:r>
            <w:r>
              <w:t>± 1.6</w:t>
            </w:r>
          </w:p>
        </w:tc>
        <w:tc>
          <w:tcPr>
            <w:tcW w:w="455" w:type="pct"/>
            <w:gridSpan w:val="2"/>
            <w:shd w:val="clear" w:color="auto" w:fill="FFFFFF" w:themeFill="background1"/>
          </w:tcPr>
          <w:p w:rsidR="00C4575E" w:rsidRPr="00EB5F5C" w:rsidRDefault="00C4575E" w:rsidP="00C41302">
            <w:pPr>
              <w:pStyle w:val="TableBodyText"/>
            </w:pPr>
            <w:r>
              <w:t>4A.</w:t>
            </w:r>
            <w:r w:rsidR="00C41302">
              <w:t>71</w:t>
            </w:r>
          </w:p>
        </w:tc>
      </w:tr>
      <w:tr w:rsidR="009D579F" w:rsidRPr="00EB5F5C" w:rsidTr="00EB6250">
        <w:tc>
          <w:tcPr>
            <w:tcW w:w="5000" w:type="pct"/>
            <w:gridSpan w:val="25"/>
            <w:shd w:val="clear" w:color="auto" w:fill="auto"/>
          </w:tcPr>
          <w:p w:rsidR="009D579F" w:rsidRPr="00393E8A" w:rsidRDefault="009D579F" w:rsidP="005E7069">
            <w:pPr>
              <w:pStyle w:val="TableColumnHeading"/>
              <w:ind w:left="0"/>
              <w:jc w:val="left"/>
              <w:rPr>
                <w:i w:val="0"/>
              </w:rPr>
            </w:pPr>
            <w:r w:rsidRPr="00393E8A">
              <w:rPr>
                <w:i w:val="0"/>
              </w:rPr>
              <w:t xml:space="preserve">Numeracy performance – proportion </w:t>
            </w:r>
            <w:r>
              <w:rPr>
                <w:i w:val="0"/>
              </w:rPr>
              <w:t xml:space="preserve">of all </w:t>
            </w:r>
            <w:r w:rsidRPr="00393E8A">
              <w:rPr>
                <w:i w:val="0"/>
              </w:rPr>
              <w:t>year 9 students achieving at or above national minimum standard</w:t>
            </w:r>
          </w:p>
        </w:tc>
      </w:tr>
      <w:tr w:rsidR="00C4575E" w:rsidRPr="00EB5F5C" w:rsidTr="004B45D9">
        <w:tc>
          <w:tcPr>
            <w:tcW w:w="11" w:type="pct"/>
            <w:shd w:val="clear" w:color="auto" w:fill="auto"/>
          </w:tcPr>
          <w:p w:rsidR="00C4575E" w:rsidRPr="00EB5F5C" w:rsidRDefault="00C4575E" w:rsidP="00E12F7C">
            <w:pPr>
              <w:pStyle w:val="TableBodyText"/>
              <w:jc w:val="left"/>
            </w:pPr>
          </w:p>
        </w:tc>
        <w:tc>
          <w:tcPr>
            <w:tcW w:w="147" w:type="pct"/>
            <w:gridSpan w:val="2"/>
            <w:shd w:val="clear" w:color="auto" w:fill="auto"/>
          </w:tcPr>
          <w:p w:rsidR="00C4575E" w:rsidRPr="00EB5F5C" w:rsidRDefault="00C4575E" w:rsidP="00E12F7C">
            <w:pPr>
              <w:pStyle w:val="TableBodyText"/>
              <w:jc w:val="left"/>
            </w:pPr>
            <w:r w:rsidRPr="00EB5F5C">
              <w:t>%</w:t>
            </w:r>
          </w:p>
        </w:tc>
        <w:tc>
          <w:tcPr>
            <w:tcW w:w="540" w:type="pct"/>
            <w:gridSpan w:val="2"/>
            <w:shd w:val="clear" w:color="auto" w:fill="auto"/>
            <w:vAlign w:val="center"/>
          </w:tcPr>
          <w:p w:rsidR="00C4575E" w:rsidRDefault="00C4575E" w:rsidP="00C4575E">
            <w:pPr>
              <w:pStyle w:val="TableBodyText"/>
            </w:pPr>
            <w:r>
              <w:t xml:space="preserve">93.7 </w:t>
            </w:r>
            <w:r w:rsidR="008F3417">
              <w:br/>
            </w:r>
            <w:r>
              <w:t>± 0.5</w:t>
            </w:r>
          </w:p>
        </w:tc>
        <w:tc>
          <w:tcPr>
            <w:tcW w:w="544" w:type="pct"/>
            <w:gridSpan w:val="2"/>
            <w:shd w:val="clear" w:color="auto" w:fill="auto"/>
            <w:vAlign w:val="center"/>
          </w:tcPr>
          <w:p w:rsidR="00C4575E" w:rsidRDefault="00C4575E" w:rsidP="00C4575E">
            <w:pPr>
              <w:pStyle w:val="TableBodyText"/>
            </w:pPr>
            <w:r>
              <w:t xml:space="preserve">95.0 </w:t>
            </w:r>
            <w:r w:rsidR="008F3417">
              <w:br/>
            </w:r>
            <w:r>
              <w:t>± 0.5</w:t>
            </w:r>
          </w:p>
        </w:tc>
        <w:tc>
          <w:tcPr>
            <w:tcW w:w="460" w:type="pct"/>
            <w:gridSpan w:val="2"/>
            <w:shd w:val="clear" w:color="auto" w:fill="auto"/>
            <w:vAlign w:val="center"/>
          </w:tcPr>
          <w:p w:rsidR="00C4575E" w:rsidRDefault="00C4575E" w:rsidP="00C4575E">
            <w:pPr>
              <w:pStyle w:val="TableBodyText"/>
            </w:pPr>
            <w:r>
              <w:t xml:space="preserve">93.7 </w:t>
            </w:r>
            <w:r w:rsidR="008F3417">
              <w:br/>
            </w:r>
            <w:r>
              <w:t>± 0.6</w:t>
            </w:r>
          </w:p>
        </w:tc>
        <w:tc>
          <w:tcPr>
            <w:tcW w:w="536" w:type="pct"/>
            <w:gridSpan w:val="2"/>
            <w:shd w:val="clear" w:color="auto" w:fill="auto"/>
            <w:vAlign w:val="center"/>
          </w:tcPr>
          <w:p w:rsidR="00C4575E" w:rsidRDefault="00C4575E" w:rsidP="00C4575E">
            <w:pPr>
              <w:pStyle w:val="TableBodyText"/>
            </w:pPr>
            <w:r>
              <w:t xml:space="preserve">93.1 </w:t>
            </w:r>
            <w:r w:rsidR="008F3417">
              <w:br/>
            </w:r>
            <w:r>
              <w:t>± 1.0</w:t>
            </w:r>
          </w:p>
        </w:tc>
        <w:tc>
          <w:tcPr>
            <w:tcW w:w="489" w:type="pct"/>
            <w:gridSpan w:val="3"/>
            <w:shd w:val="clear" w:color="auto" w:fill="auto"/>
            <w:vAlign w:val="center"/>
          </w:tcPr>
          <w:p w:rsidR="00C4575E" w:rsidRDefault="00C4575E" w:rsidP="00C4575E">
            <w:pPr>
              <w:pStyle w:val="TableBodyText"/>
            </w:pPr>
            <w:r>
              <w:t xml:space="preserve">92.9 </w:t>
            </w:r>
            <w:r w:rsidR="008F3417">
              <w:br/>
            </w:r>
            <w:r>
              <w:t>± 1.2</w:t>
            </w:r>
          </w:p>
        </w:tc>
        <w:tc>
          <w:tcPr>
            <w:tcW w:w="513" w:type="pct"/>
            <w:gridSpan w:val="3"/>
            <w:shd w:val="clear" w:color="auto" w:fill="auto"/>
            <w:vAlign w:val="center"/>
          </w:tcPr>
          <w:p w:rsidR="00C4575E" w:rsidRDefault="00C4575E" w:rsidP="00C4575E">
            <w:pPr>
              <w:pStyle w:val="TableBodyText"/>
            </w:pPr>
            <w:r>
              <w:t xml:space="preserve">92.4 </w:t>
            </w:r>
            <w:r w:rsidR="008F3417">
              <w:br/>
            </w:r>
            <w:r>
              <w:t>± 1.8</w:t>
            </w:r>
          </w:p>
        </w:tc>
        <w:tc>
          <w:tcPr>
            <w:tcW w:w="459" w:type="pct"/>
            <w:gridSpan w:val="2"/>
            <w:shd w:val="clear" w:color="auto" w:fill="auto"/>
            <w:vAlign w:val="center"/>
          </w:tcPr>
          <w:p w:rsidR="00C4575E" w:rsidRDefault="00C4575E" w:rsidP="00C4575E">
            <w:pPr>
              <w:pStyle w:val="TableBodyText"/>
            </w:pPr>
            <w:r>
              <w:t xml:space="preserve">95.5 </w:t>
            </w:r>
            <w:r w:rsidR="008F3417">
              <w:br/>
            </w:r>
            <w:r>
              <w:t>± 1.4</w:t>
            </w:r>
          </w:p>
        </w:tc>
        <w:tc>
          <w:tcPr>
            <w:tcW w:w="461" w:type="pct"/>
            <w:gridSpan w:val="2"/>
            <w:shd w:val="clear" w:color="auto" w:fill="auto"/>
            <w:vAlign w:val="center"/>
          </w:tcPr>
          <w:p w:rsidR="00C4575E" w:rsidRDefault="00C4575E" w:rsidP="00C4575E">
            <w:pPr>
              <w:pStyle w:val="TableBodyText"/>
            </w:pPr>
            <w:r>
              <w:t xml:space="preserve">74.0 </w:t>
            </w:r>
            <w:r w:rsidR="008F3417">
              <w:br/>
            </w:r>
            <w:r>
              <w:t>± 7.1</w:t>
            </w:r>
          </w:p>
        </w:tc>
        <w:tc>
          <w:tcPr>
            <w:tcW w:w="384" w:type="pct"/>
            <w:gridSpan w:val="2"/>
            <w:vAlign w:val="center"/>
          </w:tcPr>
          <w:p w:rsidR="00C4575E" w:rsidRDefault="00C4575E" w:rsidP="00C4575E">
            <w:pPr>
              <w:pStyle w:val="TableBodyText"/>
            </w:pPr>
            <w:r>
              <w:t xml:space="preserve">93.7 </w:t>
            </w:r>
            <w:r w:rsidR="008F3417">
              <w:br/>
            </w:r>
            <w:r>
              <w:t>± 0.3</w:t>
            </w:r>
          </w:p>
        </w:tc>
        <w:tc>
          <w:tcPr>
            <w:tcW w:w="455" w:type="pct"/>
            <w:gridSpan w:val="2"/>
            <w:shd w:val="clear" w:color="auto" w:fill="FFFFFF" w:themeFill="background1"/>
          </w:tcPr>
          <w:p w:rsidR="00C4575E" w:rsidRPr="00EB5F5C" w:rsidRDefault="00C4575E" w:rsidP="00C41302">
            <w:pPr>
              <w:pStyle w:val="TableBodyText"/>
            </w:pPr>
            <w:r>
              <w:t>4A.</w:t>
            </w:r>
            <w:r w:rsidR="00C41302">
              <w:t>71</w:t>
            </w:r>
          </w:p>
        </w:tc>
      </w:tr>
      <w:tr w:rsidR="009D579F" w:rsidRPr="00EB5F5C" w:rsidTr="00EB6250">
        <w:tc>
          <w:tcPr>
            <w:tcW w:w="5000" w:type="pct"/>
            <w:gridSpan w:val="25"/>
            <w:shd w:val="clear" w:color="auto" w:fill="auto"/>
          </w:tcPr>
          <w:p w:rsidR="009D579F" w:rsidRPr="00393E8A" w:rsidRDefault="009D579F" w:rsidP="005E7069">
            <w:pPr>
              <w:pStyle w:val="TableColumnHeading"/>
              <w:ind w:left="0"/>
              <w:jc w:val="left"/>
              <w:rPr>
                <w:i w:val="0"/>
              </w:rPr>
            </w:pPr>
            <w:r w:rsidRPr="00393E8A">
              <w:rPr>
                <w:i w:val="0"/>
              </w:rPr>
              <w:t xml:space="preserve">Numeracy performance – proportion </w:t>
            </w:r>
            <w:r>
              <w:rPr>
                <w:i w:val="0"/>
              </w:rPr>
              <w:t xml:space="preserve">of </w:t>
            </w:r>
            <w:r w:rsidRPr="00393E8A">
              <w:rPr>
                <w:i w:val="0"/>
              </w:rPr>
              <w:t>Indigenous year 9 students achieving at or above national minimum standard</w:t>
            </w:r>
          </w:p>
        </w:tc>
      </w:tr>
      <w:tr w:rsidR="00C4575E" w:rsidRPr="00EB5F5C" w:rsidTr="004B45D9">
        <w:tc>
          <w:tcPr>
            <w:tcW w:w="11" w:type="pct"/>
            <w:shd w:val="clear" w:color="auto" w:fill="auto"/>
          </w:tcPr>
          <w:p w:rsidR="00C4575E" w:rsidRPr="00EB5F5C" w:rsidRDefault="00C4575E" w:rsidP="00E12F7C">
            <w:pPr>
              <w:pStyle w:val="TableBodyText"/>
              <w:jc w:val="left"/>
            </w:pPr>
          </w:p>
        </w:tc>
        <w:tc>
          <w:tcPr>
            <w:tcW w:w="147" w:type="pct"/>
            <w:gridSpan w:val="2"/>
            <w:shd w:val="clear" w:color="auto" w:fill="auto"/>
          </w:tcPr>
          <w:p w:rsidR="00C4575E" w:rsidRPr="00EB5F5C" w:rsidRDefault="00C4575E" w:rsidP="00E12F7C">
            <w:pPr>
              <w:pStyle w:val="TableBodyText"/>
              <w:jc w:val="left"/>
            </w:pPr>
            <w:r w:rsidRPr="00EB5F5C">
              <w:t>%</w:t>
            </w:r>
          </w:p>
        </w:tc>
        <w:tc>
          <w:tcPr>
            <w:tcW w:w="540" w:type="pct"/>
            <w:gridSpan w:val="2"/>
            <w:shd w:val="clear" w:color="auto" w:fill="auto"/>
            <w:vAlign w:val="center"/>
          </w:tcPr>
          <w:p w:rsidR="00C4575E" w:rsidRDefault="00C4575E" w:rsidP="00C4575E">
            <w:pPr>
              <w:pStyle w:val="TableBodyText"/>
            </w:pPr>
            <w:r>
              <w:t xml:space="preserve">78.1 </w:t>
            </w:r>
            <w:r w:rsidR="008F3417">
              <w:br/>
            </w:r>
            <w:r>
              <w:t>± 2.1</w:t>
            </w:r>
          </w:p>
        </w:tc>
        <w:tc>
          <w:tcPr>
            <w:tcW w:w="544" w:type="pct"/>
            <w:gridSpan w:val="2"/>
            <w:shd w:val="clear" w:color="auto" w:fill="auto"/>
            <w:vAlign w:val="center"/>
          </w:tcPr>
          <w:p w:rsidR="00C4575E" w:rsidRDefault="00C4575E" w:rsidP="00C4575E">
            <w:pPr>
              <w:pStyle w:val="TableBodyText"/>
            </w:pPr>
            <w:r>
              <w:t xml:space="preserve">83.1 </w:t>
            </w:r>
            <w:r w:rsidR="008F3417">
              <w:br/>
            </w:r>
            <w:r>
              <w:t>± 3.1</w:t>
            </w:r>
          </w:p>
        </w:tc>
        <w:tc>
          <w:tcPr>
            <w:tcW w:w="460" w:type="pct"/>
            <w:gridSpan w:val="2"/>
            <w:shd w:val="clear" w:color="auto" w:fill="auto"/>
            <w:vAlign w:val="center"/>
          </w:tcPr>
          <w:p w:rsidR="00C4575E" w:rsidRDefault="00C4575E" w:rsidP="00C4575E">
            <w:pPr>
              <w:pStyle w:val="TableBodyText"/>
            </w:pPr>
            <w:r>
              <w:t xml:space="preserve">78.1 </w:t>
            </w:r>
            <w:r w:rsidR="008F3417">
              <w:br/>
            </w:r>
            <w:r>
              <w:t>± 2.6</w:t>
            </w:r>
          </w:p>
        </w:tc>
        <w:tc>
          <w:tcPr>
            <w:tcW w:w="536" w:type="pct"/>
            <w:gridSpan w:val="2"/>
            <w:shd w:val="clear" w:color="auto" w:fill="auto"/>
            <w:vAlign w:val="center"/>
          </w:tcPr>
          <w:p w:rsidR="00C4575E" w:rsidRDefault="00C4575E" w:rsidP="00C4575E">
            <w:pPr>
              <w:pStyle w:val="TableBodyText"/>
            </w:pPr>
            <w:r>
              <w:t xml:space="preserve">67.7 </w:t>
            </w:r>
            <w:r w:rsidR="008F3417">
              <w:br/>
            </w:r>
            <w:r>
              <w:t>± 4.3</w:t>
            </w:r>
          </w:p>
        </w:tc>
        <w:tc>
          <w:tcPr>
            <w:tcW w:w="508" w:type="pct"/>
            <w:gridSpan w:val="4"/>
            <w:shd w:val="clear" w:color="auto" w:fill="auto"/>
            <w:vAlign w:val="center"/>
          </w:tcPr>
          <w:p w:rsidR="00C4575E" w:rsidRDefault="00C4575E" w:rsidP="00C4575E">
            <w:pPr>
              <w:pStyle w:val="TableBodyText"/>
            </w:pPr>
            <w:r>
              <w:t xml:space="preserve">72.0 </w:t>
            </w:r>
            <w:r w:rsidR="008F3417">
              <w:br/>
            </w:r>
            <w:r>
              <w:t>± 4.7</w:t>
            </w:r>
          </w:p>
        </w:tc>
        <w:tc>
          <w:tcPr>
            <w:tcW w:w="494" w:type="pct"/>
            <w:gridSpan w:val="2"/>
            <w:shd w:val="clear" w:color="auto" w:fill="auto"/>
            <w:vAlign w:val="center"/>
          </w:tcPr>
          <w:p w:rsidR="00C4575E" w:rsidRDefault="00C4575E" w:rsidP="00C4575E">
            <w:pPr>
              <w:pStyle w:val="TableBodyText"/>
            </w:pPr>
            <w:r>
              <w:t xml:space="preserve">84.3 </w:t>
            </w:r>
            <w:r w:rsidR="008F3417">
              <w:br/>
            </w:r>
            <w:r>
              <w:t>± 4.6</w:t>
            </w:r>
          </w:p>
        </w:tc>
        <w:tc>
          <w:tcPr>
            <w:tcW w:w="459" w:type="pct"/>
            <w:gridSpan w:val="2"/>
            <w:shd w:val="clear" w:color="auto" w:fill="auto"/>
            <w:vAlign w:val="center"/>
          </w:tcPr>
          <w:p w:rsidR="00C4575E" w:rsidRDefault="00C4575E" w:rsidP="00C4575E">
            <w:pPr>
              <w:pStyle w:val="TableBodyText"/>
            </w:pPr>
            <w:r>
              <w:t xml:space="preserve">86.8 </w:t>
            </w:r>
            <w:r w:rsidR="008F3417">
              <w:br/>
            </w:r>
            <w:r>
              <w:t>± 7.0</w:t>
            </w:r>
          </w:p>
        </w:tc>
        <w:tc>
          <w:tcPr>
            <w:tcW w:w="461" w:type="pct"/>
            <w:gridSpan w:val="2"/>
            <w:shd w:val="clear" w:color="auto" w:fill="auto"/>
            <w:vAlign w:val="center"/>
          </w:tcPr>
          <w:p w:rsidR="00C4575E" w:rsidRDefault="00C4575E" w:rsidP="00C4575E">
            <w:pPr>
              <w:pStyle w:val="TableBodyText"/>
            </w:pPr>
            <w:r>
              <w:t xml:space="preserve">44.7 </w:t>
            </w:r>
            <w:r w:rsidR="008F3417">
              <w:br/>
            </w:r>
            <w:r>
              <w:t>± 7.8</w:t>
            </w:r>
          </w:p>
        </w:tc>
        <w:tc>
          <w:tcPr>
            <w:tcW w:w="384" w:type="pct"/>
            <w:gridSpan w:val="2"/>
            <w:vAlign w:val="center"/>
          </w:tcPr>
          <w:p w:rsidR="00C4575E" w:rsidRDefault="00C4575E" w:rsidP="00C4575E">
            <w:pPr>
              <w:pStyle w:val="TableBodyText"/>
            </w:pPr>
            <w:r>
              <w:t xml:space="preserve">74.2 </w:t>
            </w:r>
            <w:r w:rsidR="008F3417">
              <w:br/>
            </w:r>
            <w:r>
              <w:t>± 1.6</w:t>
            </w:r>
          </w:p>
        </w:tc>
        <w:tc>
          <w:tcPr>
            <w:tcW w:w="455" w:type="pct"/>
            <w:gridSpan w:val="2"/>
            <w:shd w:val="clear" w:color="auto" w:fill="FFFFFF" w:themeFill="background1"/>
          </w:tcPr>
          <w:p w:rsidR="00C4575E" w:rsidRPr="00EB5F5C" w:rsidRDefault="00C4575E" w:rsidP="00C41302">
            <w:pPr>
              <w:pStyle w:val="TableBodyText"/>
            </w:pPr>
            <w:r>
              <w:t>4A.</w:t>
            </w:r>
            <w:r w:rsidR="00C41302">
              <w:t>71</w:t>
            </w:r>
          </w:p>
        </w:tc>
      </w:tr>
      <w:tr w:rsidR="009C0856" w:rsidRPr="00B817EA" w:rsidTr="00EB6250">
        <w:tc>
          <w:tcPr>
            <w:tcW w:w="5000" w:type="pct"/>
            <w:gridSpan w:val="25"/>
            <w:shd w:val="clear" w:color="auto" w:fill="auto"/>
          </w:tcPr>
          <w:p w:rsidR="009C0856" w:rsidRDefault="009C0856" w:rsidP="009C0856">
            <w:pPr>
              <w:pStyle w:val="Continued"/>
            </w:pPr>
            <w:r>
              <w:t>(continued)</w:t>
            </w:r>
          </w:p>
        </w:tc>
      </w:tr>
    </w:tbl>
    <w:p w:rsidR="00EE11EB" w:rsidRDefault="00EE11EB"/>
    <w:p w:rsidR="00EE11EB" w:rsidRPr="00427B75" w:rsidRDefault="00EE11EB" w:rsidP="00EE11EB">
      <w:pPr>
        <w:pStyle w:val="TableTitle"/>
        <w:rPr>
          <w:rStyle w:val="DraftingNote"/>
          <w:b/>
          <w:color w:val="auto"/>
        </w:rPr>
      </w:pPr>
      <w:r w:rsidRPr="00427B75">
        <w:rPr>
          <w:b w:val="0"/>
        </w:rPr>
        <w:lastRenderedPageBreak/>
        <w:t xml:space="preserve">Table </w:t>
      </w:r>
      <w:r w:rsidR="007F4EBC" w:rsidRPr="007F4EBC">
        <w:rPr>
          <w:b w:val="0"/>
        </w:rPr>
        <w:t>B.2</w:t>
      </w:r>
      <w:r w:rsidRPr="00427B75">
        <w:rPr>
          <w:b w:val="0"/>
        </w:rPr>
        <w:tab/>
        <w:t>(continued)</w:t>
      </w:r>
    </w:p>
    <w:tbl>
      <w:tblPr>
        <w:tblW w:w="5249" w:type="pct"/>
        <w:tblLayout w:type="fixed"/>
        <w:tblCellMar>
          <w:left w:w="0" w:type="dxa"/>
          <w:right w:w="0" w:type="dxa"/>
        </w:tblCellMar>
        <w:tblLook w:val="0000" w:firstRow="0" w:lastRow="0" w:firstColumn="0" w:lastColumn="0" w:noHBand="0" w:noVBand="0"/>
      </w:tblPr>
      <w:tblGrid>
        <w:gridCol w:w="20"/>
        <w:gridCol w:w="234"/>
        <w:gridCol w:w="35"/>
        <w:gridCol w:w="703"/>
        <w:gridCol w:w="101"/>
        <w:gridCol w:w="85"/>
        <w:gridCol w:w="801"/>
        <w:gridCol w:w="98"/>
        <w:gridCol w:w="87"/>
        <w:gridCol w:w="762"/>
        <w:gridCol w:w="50"/>
        <w:gridCol w:w="851"/>
        <w:gridCol w:w="11"/>
        <w:gridCol w:w="89"/>
        <w:gridCol w:w="749"/>
        <w:gridCol w:w="6"/>
        <w:gridCol w:w="94"/>
        <w:gridCol w:w="904"/>
        <w:gridCol w:w="94"/>
        <w:gridCol w:w="755"/>
        <w:gridCol w:w="94"/>
        <w:gridCol w:w="897"/>
        <w:gridCol w:w="7"/>
        <w:gridCol w:w="94"/>
        <w:gridCol w:w="749"/>
        <w:gridCol w:w="28"/>
        <w:gridCol w:w="829"/>
      </w:tblGrid>
      <w:tr w:rsidR="00EB6250" w:rsidRPr="004413BC" w:rsidTr="001658B4">
        <w:tc>
          <w:tcPr>
            <w:tcW w:w="157" w:type="pct"/>
            <w:gridSpan w:val="3"/>
            <w:tcBorders>
              <w:top w:val="single" w:sz="6" w:space="0" w:color="auto"/>
              <w:bottom w:val="single" w:sz="6" w:space="0" w:color="auto"/>
            </w:tcBorders>
            <w:shd w:val="clear" w:color="auto" w:fill="auto"/>
          </w:tcPr>
          <w:p w:rsidR="00EE11EB" w:rsidRPr="00B817EA" w:rsidRDefault="00EE11EB" w:rsidP="00E12F7C">
            <w:pPr>
              <w:pStyle w:val="TableColumnHeading"/>
              <w:jc w:val="left"/>
            </w:pPr>
          </w:p>
        </w:tc>
        <w:tc>
          <w:tcPr>
            <w:tcW w:w="381" w:type="pct"/>
            <w:tcBorders>
              <w:top w:val="single" w:sz="6" w:space="0" w:color="auto"/>
              <w:bottom w:val="single" w:sz="6" w:space="0" w:color="auto"/>
            </w:tcBorders>
            <w:shd w:val="clear" w:color="auto" w:fill="auto"/>
          </w:tcPr>
          <w:p w:rsidR="00EE11EB" w:rsidRPr="004413BC" w:rsidRDefault="00EE11EB" w:rsidP="00780B9F">
            <w:pPr>
              <w:pStyle w:val="TableColumnHeading"/>
            </w:pPr>
            <w:r w:rsidRPr="004413BC">
              <w:t>NSW</w:t>
            </w:r>
          </w:p>
        </w:tc>
        <w:tc>
          <w:tcPr>
            <w:tcW w:w="535" w:type="pct"/>
            <w:gridSpan w:val="3"/>
            <w:tcBorders>
              <w:top w:val="single" w:sz="6" w:space="0" w:color="auto"/>
              <w:bottom w:val="single" w:sz="6" w:space="0" w:color="auto"/>
            </w:tcBorders>
            <w:shd w:val="clear" w:color="auto" w:fill="auto"/>
          </w:tcPr>
          <w:p w:rsidR="00EE11EB" w:rsidRPr="004413BC" w:rsidRDefault="00EE11EB" w:rsidP="00780B9F">
            <w:pPr>
              <w:pStyle w:val="TableColumnHeading"/>
            </w:pPr>
            <w:r w:rsidRPr="004413BC">
              <w:t>Vic</w:t>
            </w:r>
          </w:p>
        </w:tc>
        <w:tc>
          <w:tcPr>
            <w:tcW w:w="540" w:type="pct"/>
            <w:gridSpan w:val="4"/>
            <w:tcBorders>
              <w:top w:val="single" w:sz="6" w:space="0" w:color="auto"/>
              <w:bottom w:val="single" w:sz="6" w:space="0" w:color="auto"/>
            </w:tcBorders>
            <w:shd w:val="clear" w:color="auto" w:fill="auto"/>
          </w:tcPr>
          <w:p w:rsidR="00EE11EB" w:rsidRPr="004413BC" w:rsidRDefault="00EE11EB" w:rsidP="00780B9F">
            <w:pPr>
              <w:pStyle w:val="TableColumnHeading"/>
            </w:pPr>
            <w:r w:rsidRPr="004413BC">
              <w:t>Qld</w:t>
            </w:r>
          </w:p>
        </w:tc>
        <w:tc>
          <w:tcPr>
            <w:tcW w:w="461" w:type="pct"/>
            <w:tcBorders>
              <w:top w:val="single" w:sz="6" w:space="0" w:color="auto"/>
              <w:bottom w:val="single" w:sz="6" w:space="0" w:color="auto"/>
            </w:tcBorders>
            <w:shd w:val="clear" w:color="auto" w:fill="auto"/>
          </w:tcPr>
          <w:p w:rsidR="00EE11EB" w:rsidRPr="004413BC" w:rsidRDefault="00EE11EB" w:rsidP="00780B9F">
            <w:pPr>
              <w:pStyle w:val="TableColumnHeading"/>
            </w:pPr>
            <w:r w:rsidRPr="004413BC">
              <w:t>WA</w:t>
            </w:r>
          </w:p>
        </w:tc>
        <w:tc>
          <w:tcPr>
            <w:tcW w:w="460" w:type="pct"/>
            <w:gridSpan w:val="3"/>
            <w:tcBorders>
              <w:top w:val="single" w:sz="6" w:space="0" w:color="auto"/>
              <w:bottom w:val="single" w:sz="6" w:space="0" w:color="auto"/>
            </w:tcBorders>
            <w:shd w:val="clear" w:color="auto" w:fill="auto"/>
          </w:tcPr>
          <w:p w:rsidR="00EE11EB" w:rsidRPr="004413BC" w:rsidRDefault="00EE11EB" w:rsidP="00780B9F">
            <w:pPr>
              <w:pStyle w:val="TableColumnHeading"/>
            </w:pPr>
            <w:r w:rsidRPr="004413BC">
              <w:t>SA</w:t>
            </w:r>
          </w:p>
        </w:tc>
        <w:tc>
          <w:tcPr>
            <w:tcW w:w="544" w:type="pct"/>
            <w:gridSpan w:val="3"/>
            <w:tcBorders>
              <w:top w:val="single" w:sz="6" w:space="0" w:color="auto"/>
              <w:bottom w:val="single" w:sz="6" w:space="0" w:color="auto"/>
            </w:tcBorders>
            <w:shd w:val="clear" w:color="auto" w:fill="auto"/>
          </w:tcPr>
          <w:p w:rsidR="00EE11EB" w:rsidRPr="004413BC" w:rsidRDefault="00EE11EB" w:rsidP="00780B9F">
            <w:pPr>
              <w:pStyle w:val="TableColumnHeading"/>
            </w:pPr>
            <w:proofErr w:type="spellStart"/>
            <w:r w:rsidRPr="004413BC">
              <w:t>Tas</w:t>
            </w:r>
            <w:proofErr w:type="spellEnd"/>
          </w:p>
        </w:tc>
        <w:tc>
          <w:tcPr>
            <w:tcW w:w="460" w:type="pct"/>
            <w:gridSpan w:val="2"/>
            <w:tcBorders>
              <w:top w:val="single" w:sz="6" w:space="0" w:color="auto"/>
              <w:bottom w:val="single" w:sz="6" w:space="0" w:color="auto"/>
            </w:tcBorders>
            <w:shd w:val="clear" w:color="auto" w:fill="auto"/>
          </w:tcPr>
          <w:p w:rsidR="00EE11EB" w:rsidRPr="004413BC" w:rsidRDefault="00EE11EB" w:rsidP="00780B9F">
            <w:pPr>
              <w:pStyle w:val="TableColumnHeading"/>
            </w:pPr>
            <w:r w:rsidRPr="004413BC">
              <w:t>ACT</w:t>
            </w:r>
          </w:p>
        </w:tc>
        <w:tc>
          <w:tcPr>
            <w:tcW w:w="541" w:type="pct"/>
            <w:gridSpan w:val="3"/>
            <w:tcBorders>
              <w:top w:val="single" w:sz="6" w:space="0" w:color="auto"/>
              <w:bottom w:val="single" w:sz="6" w:space="0" w:color="auto"/>
            </w:tcBorders>
            <w:shd w:val="clear" w:color="auto" w:fill="auto"/>
          </w:tcPr>
          <w:p w:rsidR="00EE11EB" w:rsidRPr="004413BC" w:rsidRDefault="00EE11EB" w:rsidP="00780B9F">
            <w:pPr>
              <w:pStyle w:val="TableColumnHeading"/>
            </w:pPr>
            <w:r w:rsidRPr="004413BC">
              <w:t>NT</w:t>
            </w:r>
          </w:p>
        </w:tc>
        <w:tc>
          <w:tcPr>
            <w:tcW w:w="472" w:type="pct"/>
            <w:gridSpan w:val="3"/>
            <w:tcBorders>
              <w:top w:val="single" w:sz="6" w:space="0" w:color="auto"/>
              <w:bottom w:val="single" w:sz="6" w:space="0" w:color="auto"/>
            </w:tcBorders>
          </w:tcPr>
          <w:p w:rsidR="00EE11EB" w:rsidRPr="004413BC" w:rsidRDefault="00EE11EB" w:rsidP="00780B9F">
            <w:pPr>
              <w:pStyle w:val="TableColumnHeading"/>
            </w:pPr>
            <w:proofErr w:type="spellStart"/>
            <w:r w:rsidRPr="004413BC">
              <w:t>Aust</w:t>
            </w:r>
            <w:proofErr w:type="spellEnd"/>
          </w:p>
        </w:tc>
        <w:tc>
          <w:tcPr>
            <w:tcW w:w="449" w:type="pct"/>
            <w:tcBorders>
              <w:top w:val="single" w:sz="6" w:space="0" w:color="auto"/>
              <w:bottom w:val="single" w:sz="6" w:space="0" w:color="auto"/>
            </w:tcBorders>
          </w:tcPr>
          <w:p w:rsidR="00EE11EB" w:rsidRPr="004413BC" w:rsidRDefault="00EE11EB" w:rsidP="00780B9F">
            <w:pPr>
              <w:pStyle w:val="TableColumnHeading"/>
            </w:pPr>
            <w:r w:rsidRPr="004413BC">
              <w:t>Source</w:t>
            </w:r>
          </w:p>
        </w:tc>
      </w:tr>
      <w:tr w:rsidR="009D579F" w:rsidRPr="004413BC" w:rsidTr="00A104B6">
        <w:tc>
          <w:tcPr>
            <w:tcW w:w="5000" w:type="pct"/>
            <w:gridSpan w:val="27"/>
            <w:shd w:val="clear" w:color="auto" w:fill="auto"/>
          </w:tcPr>
          <w:p w:rsidR="009D579F" w:rsidRPr="004413BC" w:rsidRDefault="00C4575E" w:rsidP="00C41302">
            <w:pPr>
              <w:pStyle w:val="TableColumnHeading"/>
              <w:ind w:left="0"/>
              <w:jc w:val="left"/>
              <w:rPr>
                <w:i w:val="0"/>
              </w:rPr>
            </w:pPr>
            <w:r>
              <w:rPr>
                <w:i w:val="0"/>
              </w:rPr>
              <w:t>Science literacy</w:t>
            </w:r>
            <w:r w:rsidR="009D579F" w:rsidRPr="004413BC">
              <w:rPr>
                <w:i w:val="0"/>
              </w:rPr>
              <w:t xml:space="preserve"> performance – proportion of year 6 students achieving at or above proficient standard</w:t>
            </w:r>
            <w:r w:rsidR="00D4375D" w:rsidRPr="004413BC">
              <w:rPr>
                <w:i w:val="0"/>
              </w:rPr>
              <w:t xml:space="preserve">, </w:t>
            </w:r>
            <w:proofErr w:type="spellStart"/>
            <w:r w:rsidR="00C41302">
              <w:rPr>
                <w:i w:val="0"/>
              </w:rPr>
              <w:t>DN</w:t>
            </w:r>
            <w:proofErr w:type="spellEnd"/>
            <w:r w:rsidR="00C41302">
              <w:rPr>
                <w:i w:val="0"/>
              </w:rPr>
              <w:t xml:space="preserve">: </w:t>
            </w:r>
            <w:r w:rsidR="00C41302" w:rsidRPr="004B45D9">
              <w:rPr>
                <w:i w:val="0"/>
                <w:shd w:val="clear" w:color="auto" w:fill="FFFFFF" w:themeFill="background1"/>
              </w:rPr>
              <w:t xml:space="preserve">2012 NAP science literacy assessment data have not yet been publicly released. They have been provided by </w:t>
            </w:r>
            <w:proofErr w:type="spellStart"/>
            <w:r w:rsidR="00C41302" w:rsidRPr="004B45D9">
              <w:rPr>
                <w:i w:val="0"/>
                <w:shd w:val="clear" w:color="auto" w:fill="FFFFFF" w:themeFill="background1"/>
              </w:rPr>
              <w:t>ACARA</w:t>
            </w:r>
            <w:proofErr w:type="spellEnd"/>
            <w:r w:rsidR="00C41302" w:rsidRPr="004B45D9">
              <w:rPr>
                <w:i w:val="0"/>
                <w:shd w:val="clear" w:color="auto" w:fill="FFFFFF" w:themeFill="background1"/>
              </w:rPr>
              <w:t xml:space="preserve"> to the Steering Committee for inclusion in this draft  in confidence and under strict embargo until they are publicly released.</w:t>
            </w:r>
          </w:p>
        </w:tc>
      </w:tr>
      <w:tr w:rsidR="00C41302" w:rsidRPr="004413BC" w:rsidTr="004B45D9">
        <w:tc>
          <w:tcPr>
            <w:tcW w:w="11" w:type="pct"/>
            <w:shd w:val="clear" w:color="auto" w:fill="auto"/>
          </w:tcPr>
          <w:p w:rsidR="00C41302" w:rsidRPr="004413BC" w:rsidRDefault="00C41302" w:rsidP="00E12F7C">
            <w:pPr>
              <w:pStyle w:val="TableBodyText"/>
              <w:jc w:val="left"/>
            </w:pPr>
          </w:p>
        </w:tc>
        <w:tc>
          <w:tcPr>
            <w:tcW w:w="146" w:type="pct"/>
            <w:gridSpan w:val="2"/>
            <w:shd w:val="clear" w:color="auto" w:fill="auto"/>
          </w:tcPr>
          <w:p w:rsidR="00C41302" w:rsidRPr="004413BC" w:rsidRDefault="00C41302" w:rsidP="00E12F7C">
            <w:pPr>
              <w:pStyle w:val="TableBodyText"/>
              <w:jc w:val="left"/>
            </w:pPr>
            <w:r w:rsidRPr="004413BC">
              <w:t>%</w:t>
            </w:r>
          </w:p>
        </w:tc>
        <w:tc>
          <w:tcPr>
            <w:tcW w:w="482" w:type="pct"/>
            <w:gridSpan w:val="3"/>
            <w:shd w:val="clear" w:color="auto" w:fill="FFFFFF" w:themeFill="background1"/>
            <w:vAlign w:val="center"/>
          </w:tcPr>
          <w:p w:rsidR="00C41302" w:rsidRPr="00C41302" w:rsidRDefault="00C41302" w:rsidP="00C41302">
            <w:pPr>
              <w:pStyle w:val="TableBodyText"/>
            </w:pPr>
            <w:r w:rsidRPr="00C41302">
              <w:t xml:space="preserve">50.9 </w:t>
            </w:r>
            <w:r w:rsidR="008F3417">
              <w:br/>
            </w:r>
            <w:r w:rsidRPr="00C41302">
              <w:t>± 4.3</w:t>
            </w:r>
          </w:p>
        </w:tc>
        <w:tc>
          <w:tcPr>
            <w:tcW w:w="534" w:type="pct"/>
            <w:gridSpan w:val="3"/>
            <w:shd w:val="clear" w:color="auto" w:fill="FFFFFF" w:themeFill="background1"/>
            <w:vAlign w:val="center"/>
          </w:tcPr>
          <w:p w:rsidR="00C41302" w:rsidRPr="00C41302" w:rsidRDefault="00C41302" w:rsidP="00C41302">
            <w:pPr>
              <w:pStyle w:val="TableBodyText"/>
            </w:pPr>
            <w:r w:rsidRPr="00C41302">
              <w:t xml:space="preserve">51.3 </w:t>
            </w:r>
            <w:r w:rsidR="008F3417">
              <w:br/>
            </w:r>
            <w:r w:rsidRPr="00C41302">
              <w:t>± 4.7</w:t>
            </w:r>
          </w:p>
        </w:tc>
        <w:tc>
          <w:tcPr>
            <w:tcW w:w="440" w:type="pct"/>
            <w:gridSpan w:val="2"/>
            <w:shd w:val="clear" w:color="auto" w:fill="FFFFFF" w:themeFill="background1"/>
            <w:vAlign w:val="center"/>
          </w:tcPr>
          <w:p w:rsidR="00C41302" w:rsidRPr="00C41302" w:rsidRDefault="00C41302" w:rsidP="00C41302">
            <w:pPr>
              <w:pStyle w:val="TableBodyText"/>
            </w:pPr>
            <w:r w:rsidRPr="00C41302">
              <w:t xml:space="preserve">49.9 </w:t>
            </w:r>
            <w:r w:rsidR="008F3417">
              <w:br/>
            </w:r>
            <w:r w:rsidRPr="00C41302">
              <w:t>± 3.3</w:t>
            </w:r>
          </w:p>
        </w:tc>
        <w:tc>
          <w:tcPr>
            <w:tcW w:w="467" w:type="pct"/>
            <w:gridSpan w:val="2"/>
            <w:shd w:val="clear" w:color="auto" w:fill="FFFFFF" w:themeFill="background1"/>
            <w:vAlign w:val="center"/>
          </w:tcPr>
          <w:p w:rsidR="00C41302" w:rsidRPr="00C41302" w:rsidRDefault="00C41302" w:rsidP="00C41302">
            <w:pPr>
              <w:pStyle w:val="TableBodyText"/>
            </w:pPr>
            <w:r w:rsidRPr="00C41302">
              <w:t xml:space="preserve">56.4 </w:t>
            </w:r>
            <w:r w:rsidR="008F3417">
              <w:br/>
            </w:r>
            <w:r w:rsidRPr="00C41302">
              <w:t>± 4.2</w:t>
            </w:r>
          </w:p>
        </w:tc>
        <w:tc>
          <w:tcPr>
            <w:tcW w:w="457" w:type="pct"/>
            <w:gridSpan w:val="3"/>
            <w:shd w:val="clear" w:color="auto" w:fill="FFFFFF" w:themeFill="background1"/>
            <w:vAlign w:val="center"/>
          </w:tcPr>
          <w:p w:rsidR="00C41302" w:rsidRPr="00C41302" w:rsidRDefault="00C41302" w:rsidP="00C41302">
            <w:pPr>
              <w:pStyle w:val="TableBodyText"/>
            </w:pPr>
            <w:r w:rsidRPr="00C41302">
              <w:t xml:space="preserve">51.1 </w:t>
            </w:r>
            <w:r w:rsidR="008F3417">
              <w:br/>
            </w:r>
            <w:r w:rsidRPr="00C41302">
              <w:t>± 3.9</w:t>
            </w:r>
          </w:p>
        </w:tc>
        <w:tc>
          <w:tcPr>
            <w:tcW w:w="541" w:type="pct"/>
            <w:gridSpan w:val="2"/>
            <w:shd w:val="clear" w:color="auto" w:fill="FFFFFF" w:themeFill="background1"/>
            <w:vAlign w:val="center"/>
          </w:tcPr>
          <w:p w:rsidR="00C41302" w:rsidRPr="00C41302" w:rsidRDefault="00C41302" w:rsidP="00C41302">
            <w:pPr>
              <w:pStyle w:val="TableBodyText"/>
            </w:pPr>
            <w:r w:rsidRPr="00C41302">
              <w:t xml:space="preserve">51.3 </w:t>
            </w:r>
            <w:r w:rsidR="008F3417">
              <w:br/>
            </w:r>
            <w:r w:rsidRPr="00C41302">
              <w:t>± 5.4</w:t>
            </w:r>
          </w:p>
        </w:tc>
        <w:tc>
          <w:tcPr>
            <w:tcW w:w="460" w:type="pct"/>
            <w:gridSpan w:val="2"/>
            <w:shd w:val="clear" w:color="auto" w:fill="FFFFFF" w:themeFill="background1"/>
            <w:vAlign w:val="center"/>
          </w:tcPr>
          <w:p w:rsidR="00C41302" w:rsidRPr="00C41302" w:rsidRDefault="00C41302" w:rsidP="00C41302">
            <w:pPr>
              <w:pStyle w:val="TableBodyText"/>
            </w:pPr>
            <w:r w:rsidRPr="00C41302">
              <w:t xml:space="preserve">65.3 </w:t>
            </w:r>
            <w:r w:rsidR="008F3417">
              <w:br/>
            </w:r>
            <w:r w:rsidRPr="00C41302">
              <w:t>± 5.3</w:t>
            </w:r>
          </w:p>
        </w:tc>
        <w:tc>
          <w:tcPr>
            <w:tcW w:w="537" w:type="pct"/>
            <w:gridSpan w:val="2"/>
            <w:shd w:val="clear" w:color="auto" w:fill="FFFFFF" w:themeFill="background1"/>
            <w:vAlign w:val="center"/>
          </w:tcPr>
          <w:p w:rsidR="00C41302" w:rsidRPr="00C41302" w:rsidRDefault="00C41302" w:rsidP="00C41302">
            <w:pPr>
              <w:pStyle w:val="TableBodyText"/>
            </w:pPr>
            <w:r w:rsidRPr="00C41302">
              <w:t xml:space="preserve">31.0 </w:t>
            </w:r>
            <w:r w:rsidR="008F3417">
              <w:br/>
            </w:r>
            <w:r w:rsidRPr="00C41302">
              <w:t>± 7.6</w:t>
            </w:r>
          </w:p>
        </w:tc>
        <w:tc>
          <w:tcPr>
            <w:tcW w:w="476" w:type="pct"/>
            <w:gridSpan w:val="4"/>
            <w:shd w:val="clear" w:color="auto" w:fill="FFFFFF" w:themeFill="background1"/>
            <w:vAlign w:val="center"/>
          </w:tcPr>
          <w:p w:rsidR="00C41302" w:rsidRPr="00C41302" w:rsidRDefault="00C41302" w:rsidP="00C41302">
            <w:pPr>
              <w:pStyle w:val="TableBodyText"/>
            </w:pPr>
            <w:r w:rsidRPr="00C41302">
              <w:t xml:space="preserve">51.4 </w:t>
            </w:r>
            <w:r w:rsidR="008F3417">
              <w:br/>
            </w:r>
            <w:r w:rsidRPr="00C41302">
              <w:t>± 2.0</w:t>
            </w:r>
          </w:p>
        </w:tc>
        <w:tc>
          <w:tcPr>
            <w:tcW w:w="449" w:type="pct"/>
            <w:shd w:val="clear" w:color="auto" w:fill="FFFFFF" w:themeFill="background1"/>
          </w:tcPr>
          <w:p w:rsidR="00C41302" w:rsidRPr="004413BC" w:rsidRDefault="00C41302" w:rsidP="00C41302">
            <w:pPr>
              <w:pStyle w:val="TableBodyText"/>
            </w:pPr>
            <w:r w:rsidRPr="004413BC">
              <w:t>4A.</w:t>
            </w:r>
            <w:r>
              <w:t>89</w:t>
            </w:r>
          </w:p>
        </w:tc>
      </w:tr>
      <w:tr w:rsidR="00716671" w:rsidRPr="004413BC" w:rsidTr="004413BC">
        <w:tc>
          <w:tcPr>
            <w:tcW w:w="5000" w:type="pct"/>
            <w:gridSpan w:val="27"/>
            <w:shd w:val="clear" w:color="auto" w:fill="auto"/>
          </w:tcPr>
          <w:p w:rsidR="00716671" w:rsidRPr="004413BC" w:rsidRDefault="00B23849" w:rsidP="004B45D9">
            <w:pPr>
              <w:pStyle w:val="TableColumnHeading"/>
              <w:jc w:val="left"/>
              <w:rPr>
                <w:i w:val="0"/>
              </w:rPr>
            </w:pPr>
            <w:r w:rsidRPr="004413BC">
              <w:rPr>
                <w:i w:val="0"/>
              </w:rPr>
              <w:t xml:space="preserve">Proportion of </w:t>
            </w:r>
            <w:r w:rsidR="00C4575E">
              <w:rPr>
                <w:i w:val="0"/>
              </w:rPr>
              <w:t>15 year old</w:t>
            </w:r>
            <w:r w:rsidRPr="004413BC">
              <w:rPr>
                <w:i w:val="0"/>
              </w:rPr>
              <w:t xml:space="preserve"> students achieving</w:t>
            </w:r>
            <w:r w:rsidR="00DE4EE1" w:rsidRPr="00DE4EE1">
              <w:rPr>
                <w:i w:val="0"/>
              </w:rPr>
              <w:t xml:space="preserve"> level 3 or above</w:t>
            </w:r>
            <w:r w:rsidR="00DE4EE1">
              <w:rPr>
                <w:i w:val="0"/>
              </w:rPr>
              <w:t xml:space="preserve"> </w:t>
            </w:r>
            <w:r w:rsidRPr="004413BC">
              <w:rPr>
                <w:i w:val="0"/>
              </w:rPr>
              <w:t xml:space="preserve">in </w:t>
            </w:r>
            <w:r w:rsidR="00DE4EE1" w:rsidRPr="00DE4EE1">
              <w:rPr>
                <w:i w:val="0"/>
              </w:rPr>
              <w:t>in the overall reading literacy scale</w:t>
            </w:r>
            <w:r w:rsidR="00C4575E">
              <w:rPr>
                <w:i w:val="0"/>
              </w:rPr>
              <w:t>, PISA 2012</w:t>
            </w:r>
            <w:r w:rsidR="00DE4EE1">
              <w:rPr>
                <w:i w:val="0"/>
              </w:rPr>
              <w:t xml:space="preserve"> </w:t>
            </w:r>
          </w:p>
        </w:tc>
      </w:tr>
      <w:tr w:rsidR="00716671" w:rsidRPr="004413BC" w:rsidTr="00DE4EE1">
        <w:trPr>
          <w:trHeight w:val="2443"/>
        </w:trPr>
        <w:tc>
          <w:tcPr>
            <w:tcW w:w="5000" w:type="pct"/>
            <w:gridSpan w:val="27"/>
            <w:shd w:val="clear" w:color="auto" w:fill="auto"/>
          </w:tcPr>
          <w:tbl>
            <w:tblPr>
              <w:tblW w:w="9687" w:type="dxa"/>
              <w:tblLayout w:type="fixed"/>
              <w:tblCellMar>
                <w:left w:w="0" w:type="dxa"/>
                <w:right w:w="0" w:type="dxa"/>
              </w:tblCellMar>
              <w:tblLook w:val="0000" w:firstRow="0" w:lastRow="0" w:firstColumn="0" w:lastColumn="0" w:noHBand="0" w:noVBand="0"/>
            </w:tblPr>
            <w:tblGrid>
              <w:gridCol w:w="232"/>
              <w:gridCol w:w="876"/>
              <w:gridCol w:w="876"/>
              <w:gridCol w:w="978"/>
              <w:gridCol w:w="1006"/>
              <w:gridCol w:w="841"/>
              <w:gridCol w:w="860"/>
              <w:gridCol w:w="982"/>
              <w:gridCol w:w="862"/>
              <w:gridCol w:w="843"/>
              <w:gridCol w:w="872"/>
              <w:gridCol w:w="459"/>
            </w:tblGrid>
            <w:tr w:rsidR="00C41302" w:rsidRPr="004413BC" w:rsidTr="008F3417">
              <w:tc>
                <w:tcPr>
                  <w:tcW w:w="120" w:type="pct"/>
                  <w:shd w:val="clear" w:color="auto" w:fill="FFFFFF" w:themeFill="background1"/>
                </w:tcPr>
                <w:p w:rsidR="00C41302" w:rsidRPr="004413BC" w:rsidRDefault="00C41302" w:rsidP="00716671">
                  <w:pPr>
                    <w:pStyle w:val="TableBodyText"/>
                    <w:jc w:val="left"/>
                    <w:rPr>
                      <w:i/>
                    </w:rPr>
                  </w:pPr>
                  <w:r w:rsidRPr="004413BC">
                    <w:t>%</w:t>
                  </w:r>
                </w:p>
              </w:tc>
              <w:tc>
                <w:tcPr>
                  <w:tcW w:w="452" w:type="pct"/>
                  <w:shd w:val="clear" w:color="auto" w:fill="FFFFFF" w:themeFill="background1"/>
                  <w:vAlign w:val="center"/>
                </w:tcPr>
                <w:p w:rsidR="00C41302" w:rsidRPr="004B45D9" w:rsidRDefault="00C41302" w:rsidP="00C41302">
                  <w:pPr>
                    <w:pStyle w:val="TableBodyText"/>
                    <w:rPr>
                      <w:shd w:val="clear" w:color="auto" w:fill="FFFF00"/>
                    </w:rPr>
                  </w:pPr>
                  <w:r w:rsidRPr="004B45D9">
                    <w:rPr>
                      <w:shd w:val="clear" w:color="auto" w:fill="FFFFFF" w:themeFill="background1"/>
                    </w:rPr>
                    <w:t xml:space="preserve">63.6 </w:t>
                  </w:r>
                  <w:r w:rsidR="008F3417">
                    <w:rPr>
                      <w:shd w:val="clear" w:color="auto" w:fill="FFFFFF" w:themeFill="background1"/>
                    </w:rPr>
                    <w:br/>
                  </w:r>
                  <w:r w:rsidRPr="008F3417">
                    <w:t>± 2</w:t>
                  </w:r>
                  <w:r w:rsidRPr="004B45D9">
                    <w:rPr>
                      <w:shd w:val="clear" w:color="auto" w:fill="FFFFFF" w:themeFill="background1"/>
                    </w:rPr>
                    <w:t>.6</w:t>
                  </w:r>
                </w:p>
              </w:tc>
              <w:tc>
                <w:tcPr>
                  <w:tcW w:w="452" w:type="pct"/>
                  <w:shd w:val="clear" w:color="auto" w:fill="FFFFFF" w:themeFill="background1"/>
                  <w:vAlign w:val="center"/>
                </w:tcPr>
                <w:p w:rsidR="00C41302" w:rsidRPr="004B45D9" w:rsidRDefault="00C41302" w:rsidP="00C41302">
                  <w:pPr>
                    <w:pStyle w:val="TableBodyText"/>
                    <w:rPr>
                      <w:shd w:val="clear" w:color="auto" w:fill="FFFF00"/>
                    </w:rPr>
                  </w:pPr>
                  <w:r w:rsidRPr="004B45D9">
                    <w:rPr>
                      <w:shd w:val="clear" w:color="auto" w:fill="FFFFFF" w:themeFill="background1"/>
                    </w:rPr>
                    <w:t xml:space="preserve">67.5 </w:t>
                  </w:r>
                  <w:r w:rsidR="008F3417">
                    <w:rPr>
                      <w:shd w:val="clear" w:color="auto" w:fill="FFFFFF" w:themeFill="background1"/>
                    </w:rPr>
                    <w:br/>
                  </w:r>
                  <w:r w:rsidRPr="004B45D9">
                    <w:rPr>
                      <w:shd w:val="clear" w:color="auto" w:fill="FFFFFF" w:themeFill="background1"/>
                    </w:rPr>
                    <w:t>± 2.9</w:t>
                  </w:r>
                </w:p>
              </w:tc>
              <w:tc>
                <w:tcPr>
                  <w:tcW w:w="505" w:type="pct"/>
                  <w:shd w:val="clear" w:color="auto" w:fill="FFFFFF" w:themeFill="background1"/>
                  <w:vAlign w:val="center"/>
                </w:tcPr>
                <w:p w:rsidR="00C41302" w:rsidRPr="004B45D9" w:rsidRDefault="00C41302" w:rsidP="00C41302">
                  <w:pPr>
                    <w:pStyle w:val="TableBodyText"/>
                    <w:rPr>
                      <w:shd w:val="clear" w:color="auto" w:fill="FFFF00"/>
                    </w:rPr>
                  </w:pPr>
                  <w:r w:rsidRPr="004B45D9">
                    <w:rPr>
                      <w:shd w:val="clear" w:color="auto" w:fill="FFFFFF" w:themeFill="background1"/>
                    </w:rPr>
                    <w:t xml:space="preserve">62.0 </w:t>
                  </w:r>
                  <w:r w:rsidR="008F3417">
                    <w:rPr>
                      <w:shd w:val="clear" w:color="auto" w:fill="FFFFFF" w:themeFill="background1"/>
                    </w:rPr>
                    <w:br/>
                  </w:r>
                  <w:r w:rsidRPr="004B45D9">
                    <w:rPr>
                      <w:shd w:val="clear" w:color="auto" w:fill="FFFFFF" w:themeFill="background1"/>
                    </w:rPr>
                    <w:t>±</w:t>
                  </w:r>
                  <w:r w:rsidRPr="008F3417">
                    <w:rPr>
                      <w:shd w:val="clear" w:color="auto" w:fill="FFFFFF" w:themeFill="background1"/>
                    </w:rPr>
                    <w:t xml:space="preserve"> </w:t>
                  </w:r>
                  <w:r w:rsidRPr="004B45D9">
                    <w:rPr>
                      <w:shd w:val="clear" w:color="auto" w:fill="FFFFFF" w:themeFill="background1"/>
                    </w:rPr>
                    <w:t>2.8</w:t>
                  </w:r>
                </w:p>
              </w:tc>
              <w:tc>
                <w:tcPr>
                  <w:tcW w:w="519" w:type="pct"/>
                  <w:shd w:val="clear" w:color="auto" w:fill="FFFFFF" w:themeFill="background1"/>
                  <w:vAlign w:val="center"/>
                </w:tcPr>
                <w:p w:rsidR="00C41302" w:rsidRPr="008F3417" w:rsidRDefault="00C41302" w:rsidP="00C41302">
                  <w:pPr>
                    <w:pStyle w:val="TableBodyText"/>
                    <w:rPr>
                      <w:shd w:val="clear" w:color="auto" w:fill="FFFF00"/>
                    </w:rPr>
                  </w:pPr>
                  <w:r w:rsidRPr="008F3417">
                    <w:rPr>
                      <w:shd w:val="clear" w:color="auto" w:fill="FFFFFF" w:themeFill="background1"/>
                    </w:rPr>
                    <w:t xml:space="preserve">66.9 </w:t>
                  </w:r>
                  <w:r w:rsidR="008F3417" w:rsidRPr="008F3417">
                    <w:rPr>
                      <w:shd w:val="clear" w:color="auto" w:fill="FFFFFF" w:themeFill="background1"/>
                    </w:rPr>
                    <w:br/>
                  </w:r>
                  <w:r w:rsidRPr="008F3417">
                    <w:rPr>
                      <w:shd w:val="clear" w:color="auto" w:fill="FFFFFF" w:themeFill="background1"/>
                    </w:rPr>
                    <w:t>± 2.9</w:t>
                  </w:r>
                </w:p>
              </w:tc>
              <w:tc>
                <w:tcPr>
                  <w:tcW w:w="434" w:type="pct"/>
                  <w:shd w:val="clear" w:color="auto" w:fill="FFFFFF" w:themeFill="background1"/>
                  <w:vAlign w:val="center"/>
                </w:tcPr>
                <w:p w:rsidR="00C41302" w:rsidRPr="004B45D9" w:rsidRDefault="00C41302" w:rsidP="00C41302">
                  <w:pPr>
                    <w:pStyle w:val="TableBodyText"/>
                    <w:rPr>
                      <w:shd w:val="clear" w:color="auto" w:fill="FFFF00"/>
                    </w:rPr>
                  </w:pPr>
                  <w:r w:rsidRPr="004B45D9">
                    <w:rPr>
                      <w:shd w:val="clear" w:color="auto" w:fill="FFFFFF" w:themeFill="background1"/>
                    </w:rPr>
                    <w:t xml:space="preserve">60.5 </w:t>
                  </w:r>
                  <w:r w:rsidR="008F3417">
                    <w:rPr>
                      <w:shd w:val="clear" w:color="auto" w:fill="FFFFFF" w:themeFill="background1"/>
                    </w:rPr>
                    <w:br/>
                  </w:r>
                  <w:r w:rsidRPr="004B45D9">
                    <w:rPr>
                      <w:shd w:val="clear" w:color="auto" w:fill="FFFFFF" w:themeFill="background1"/>
                    </w:rPr>
                    <w:t>±</w:t>
                  </w:r>
                  <w:r w:rsidRPr="005F4B79">
                    <w:rPr>
                      <w:shd w:val="clear" w:color="auto" w:fill="FFFFFF" w:themeFill="background1"/>
                    </w:rPr>
                    <w:t xml:space="preserve"> </w:t>
                  </w:r>
                  <w:r w:rsidRPr="004B45D9">
                    <w:rPr>
                      <w:shd w:val="clear" w:color="auto" w:fill="FFFFFF" w:themeFill="background1"/>
                    </w:rPr>
                    <w:t>3.7</w:t>
                  </w:r>
                </w:p>
              </w:tc>
              <w:tc>
                <w:tcPr>
                  <w:tcW w:w="444" w:type="pct"/>
                  <w:shd w:val="clear" w:color="auto" w:fill="FFFFFF" w:themeFill="background1"/>
                  <w:vAlign w:val="center"/>
                </w:tcPr>
                <w:p w:rsidR="00C41302" w:rsidRPr="004B45D9" w:rsidRDefault="00C41302" w:rsidP="00C41302">
                  <w:pPr>
                    <w:pStyle w:val="TableBodyText"/>
                    <w:rPr>
                      <w:shd w:val="clear" w:color="auto" w:fill="FFFF00"/>
                    </w:rPr>
                  </w:pPr>
                  <w:r w:rsidRPr="004B45D9">
                    <w:rPr>
                      <w:shd w:val="clear" w:color="auto" w:fill="FFFFFF" w:themeFill="background1"/>
                    </w:rPr>
                    <w:t xml:space="preserve">52.8 </w:t>
                  </w:r>
                  <w:r w:rsidR="008F3417">
                    <w:rPr>
                      <w:shd w:val="clear" w:color="auto" w:fill="FFFFFF" w:themeFill="background1"/>
                    </w:rPr>
                    <w:br/>
                  </w:r>
                  <w:r w:rsidRPr="004B45D9">
                    <w:rPr>
                      <w:shd w:val="clear" w:color="auto" w:fill="FFFFFF" w:themeFill="background1"/>
                    </w:rPr>
                    <w:t>±</w:t>
                  </w:r>
                  <w:r w:rsidRPr="005F4B79">
                    <w:rPr>
                      <w:shd w:val="clear" w:color="auto" w:fill="FFFFFF" w:themeFill="background1"/>
                    </w:rPr>
                    <w:t xml:space="preserve"> </w:t>
                  </w:r>
                  <w:r w:rsidRPr="004B45D9">
                    <w:rPr>
                      <w:shd w:val="clear" w:color="auto" w:fill="FFFFFF" w:themeFill="background1"/>
                    </w:rPr>
                    <w:t>4.2</w:t>
                  </w:r>
                </w:p>
              </w:tc>
              <w:tc>
                <w:tcPr>
                  <w:tcW w:w="507" w:type="pct"/>
                  <w:shd w:val="clear" w:color="auto" w:fill="FFFFFF" w:themeFill="background1"/>
                  <w:vAlign w:val="center"/>
                </w:tcPr>
                <w:p w:rsidR="00C41302" w:rsidRPr="004B45D9" w:rsidRDefault="00C41302" w:rsidP="00C41302">
                  <w:pPr>
                    <w:pStyle w:val="TableBodyText"/>
                    <w:rPr>
                      <w:shd w:val="clear" w:color="auto" w:fill="FFFF00"/>
                    </w:rPr>
                  </w:pPr>
                  <w:r w:rsidRPr="004B45D9">
                    <w:rPr>
                      <w:shd w:val="clear" w:color="auto" w:fill="FFFFFF" w:themeFill="background1"/>
                    </w:rPr>
                    <w:t xml:space="preserve">71.6 </w:t>
                  </w:r>
                  <w:r w:rsidR="008F3417">
                    <w:rPr>
                      <w:shd w:val="clear" w:color="auto" w:fill="FFFFFF" w:themeFill="background1"/>
                    </w:rPr>
                    <w:br/>
                  </w:r>
                  <w:r w:rsidRPr="005F4B79">
                    <w:rPr>
                      <w:shd w:val="clear" w:color="auto" w:fill="FFFFFF" w:themeFill="background1"/>
                    </w:rPr>
                    <w:t>± 3</w:t>
                  </w:r>
                  <w:r w:rsidRPr="004B45D9">
                    <w:rPr>
                      <w:shd w:val="clear" w:color="auto" w:fill="FFFFFF" w:themeFill="background1"/>
                    </w:rPr>
                    <w:t>.4</w:t>
                  </w:r>
                </w:p>
              </w:tc>
              <w:tc>
                <w:tcPr>
                  <w:tcW w:w="445" w:type="pct"/>
                  <w:shd w:val="clear" w:color="auto" w:fill="FFFFFF" w:themeFill="background1"/>
                  <w:vAlign w:val="center"/>
                </w:tcPr>
                <w:p w:rsidR="00C41302" w:rsidRPr="004B45D9" w:rsidRDefault="00C41302" w:rsidP="00C41302">
                  <w:pPr>
                    <w:pStyle w:val="TableBodyText"/>
                    <w:rPr>
                      <w:shd w:val="clear" w:color="auto" w:fill="FFFF00"/>
                    </w:rPr>
                  </w:pPr>
                  <w:r w:rsidRPr="004B45D9">
                    <w:rPr>
                      <w:shd w:val="clear" w:color="auto" w:fill="FFFFFF" w:themeFill="background1"/>
                    </w:rPr>
                    <w:t xml:space="preserve">51.6 </w:t>
                  </w:r>
                  <w:r w:rsidR="008F3417">
                    <w:rPr>
                      <w:shd w:val="clear" w:color="auto" w:fill="FFFFFF" w:themeFill="background1"/>
                    </w:rPr>
                    <w:br/>
                  </w:r>
                  <w:r w:rsidRPr="004B45D9">
                    <w:rPr>
                      <w:shd w:val="clear" w:color="auto" w:fill="FFFFFF" w:themeFill="background1"/>
                    </w:rPr>
                    <w:t>±</w:t>
                  </w:r>
                  <w:r w:rsidRPr="005F4B79">
                    <w:rPr>
                      <w:shd w:val="clear" w:color="auto" w:fill="FFFFFF" w:themeFill="background1"/>
                    </w:rPr>
                    <w:t xml:space="preserve"> </w:t>
                  </w:r>
                  <w:r w:rsidRPr="004B45D9">
                    <w:rPr>
                      <w:shd w:val="clear" w:color="auto" w:fill="FFFFFF" w:themeFill="background1"/>
                    </w:rPr>
                    <w:t>6.5</w:t>
                  </w:r>
                </w:p>
              </w:tc>
              <w:tc>
                <w:tcPr>
                  <w:tcW w:w="435" w:type="pct"/>
                  <w:shd w:val="clear" w:color="auto" w:fill="FFFFFF" w:themeFill="background1"/>
                  <w:vAlign w:val="center"/>
                </w:tcPr>
                <w:p w:rsidR="00C41302" w:rsidRPr="004B45D9" w:rsidRDefault="00C41302" w:rsidP="00C41302">
                  <w:pPr>
                    <w:pStyle w:val="TableBodyText"/>
                    <w:rPr>
                      <w:shd w:val="clear" w:color="auto" w:fill="FFFF00"/>
                    </w:rPr>
                  </w:pPr>
                  <w:r w:rsidRPr="004B45D9">
                    <w:rPr>
                      <w:shd w:val="clear" w:color="auto" w:fill="FFFFFF" w:themeFill="background1"/>
                    </w:rPr>
                    <w:t xml:space="preserve">64.2 </w:t>
                  </w:r>
                  <w:r w:rsidR="008F3417">
                    <w:rPr>
                      <w:shd w:val="clear" w:color="auto" w:fill="FFFFFF" w:themeFill="background1"/>
                    </w:rPr>
                    <w:br/>
                  </w:r>
                  <w:r w:rsidRPr="004B45D9">
                    <w:rPr>
                      <w:shd w:val="clear" w:color="auto" w:fill="FFFFFF" w:themeFill="background1"/>
                    </w:rPr>
                    <w:t>±</w:t>
                  </w:r>
                  <w:r w:rsidRPr="005F4B79">
                    <w:rPr>
                      <w:shd w:val="clear" w:color="auto" w:fill="FFFFFF" w:themeFill="background1"/>
                    </w:rPr>
                    <w:t xml:space="preserve"> </w:t>
                  </w:r>
                  <w:r w:rsidRPr="004B45D9">
                    <w:rPr>
                      <w:shd w:val="clear" w:color="auto" w:fill="FFFFFF" w:themeFill="background1"/>
                    </w:rPr>
                    <w:t>1.3</w:t>
                  </w:r>
                </w:p>
              </w:tc>
              <w:tc>
                <w:tcPr>
                  <w:tcW w:w="687" w:type="pct"/>
                  <w:gridSpan w:val="2"/>
                  <w:shd w:val="clear" w:color="auto" w:fill="auto"/>
                </w:tcPr>
                <w:p w:rsidR="00C41302" w:rsidRPr="00C41302" w:rsidRDefault="00C41302" w:rsidP="00C41302">
                  <w:pPr>
                    <w:pStyle w:val="TableColumnHeading"/>
                    <w:ind w:left="0"/>
                    <w:jc w:val="left"/>
                    <w:rPr>
                      <w:shd w:val="clear" w:color="auto" w:fill="FFFF00"/>
                    </w:rPr>
                  </w:pPr>
                  <w:r w:rsidRPr="004B45D9">
                    <w:t xml:space="preserve">   </w:t>
                  </w:r>
                  <w:r w:rsidRPr="004B45D9">
                    <w:rPr>
                      <w:shd w:val="clear" w:color="auto" w:fill="FFFFFF" w:themeFill="background1"/>
                    </w:rPr>
                    <w:t xml:space="preserve"> </w:t>
                  </w:r>
                  <w:r w:rsidRPr="004B45D9">
                    <w:rPr>
                      <w:i w:val="0"/>
                      <w:shd w:val="clear" w:color="auto" w:fill="FFFFFF" w:themeFill="background1"/>
                    </w:rPr>
                    <w:t>4A.97</w:t>
                  </w:r>
                </w:p>
              </w:tc>
            </w:tr>
            <w:tr w:rsidR="00716671" w:rsidRPr="004413BC" w:rsidTr="004B45D9">
              <w:trPr>
                <w:gridAfter w:val="1"/>
                <w:wAfter w:w="237" w:type="pct"/>
              </w:trPr>
              <w:tc>
                <w:tcPr>
                  <w:tcW w:w="4763" w:type="pct"/>
                  <w:gridSpan w:val="11"/>
                  <w:shd w:val="clear" w:color="auto" w:fill="FFFFFF" w:themeFill="background1"/>
                </w:tcPr>
                <w:p w:rsidR="00716671" w:rsidRPr="008F3417" w:rsidRDefault="00DE4EE1" w:rsidP="004B45D9">
                  <w:pPr>
                    <w:pStyle w:val="TableColumnHeading"/>
                    <w:ind w:left="0"/>
                    <w:jc w:val="left"/>
                    <w:rPr>
                      <w:i w:val="0"/>
                    </w:rPr>
                  </w:pPr>
                  <w:r w:rsidRPr="008F3417">
                    <w:rPr>
                      <w:i w:val="0"/>
                    </w:rPr>
                    <w:t xml:space="preserve">Proportion of 15 year old students achieving level 3 or above in in the overall mathematical literacy scale, PISA 2012 </w:t>
                  </w:r>
                </w:p>
              </w:tc>
            </w:tr>
            <w:tr w:rsidR="00716671" w:rsidRPr="004413BC" w:rsidTr="004B45D9">
              <w:trPr>
                <w:gridAfter w:val="1"/>
                <w:wAfter w:w="237" w:type="pct"/>
                <w:trHeight w:val="1487"/>
              </w:trPr>
              <w:tc>
                <w:tcPr>
                  <w:tcW w:w="4763" w:type="pct"/>
                  <w:gridSpan w:val="11"/>
                  <w:shd w:val="clear" w:color="auto" w:fill="FFFFFF" w:themeFill="background1"/>
                </w:tcPr>
                <w:tbl>
                  <w:tblPr>
                    <w:tblW w:w="9688" w:type="dxa"/>
                    <w:tblLayout w:type="fixed"/>
                    <w:tblCellMar>
                      <w:left w:w="0" w:type="dxa"/>
                      <w:right w:w="0" w:type="dxa"/>
                    </w:tblCellMar>
                    <w:tblLook w:val="0000" w:firstRow="0" w:lastRow="0" w:firstColumn="0" w:lastColumn="0" w:noHBand="0" w:noVBand="0"/>
                  </w:tblPr>
                  <w:tblGrid>
                    <w:gridCol w:w="243"/>
                    <w:gridCol w:w="876"/>
                    <w:gridCol w:w="862"/>
                    <w:gridCol w:w="992"/>
                    <w:gridCol w:w="992"/>
                    <w:gridCol w:w="851"/>
                    <w:gridCol w:w="851"/>
                    <w:gridCol w:w="994"/>
                    <w:gridCol w:w="849"/>
                    <w:gridCol w:w="851"/>
                    <w:gridCol w:w="866"/>
                    <w:gridCol w:w="461"/>
                  </w:tblGrid>
                  <w:tr w:rsidR="00C41302" w:rsidRPr="008F3417" w:rsidTr="004B45D9">
                    <w:tc>
                      <w:tcPr>
                        <w:tcW w:w="126" w:type="pct"/>
                        <w:shd w:val="clear" w:color="auto" w:fill="auto"/>
                      </w:tcPr>
                      <w:p w:rsidR="00C41302" w:rsidRPr="008F3417" w:rsidRDefault="00C41302" w:rsidP="004413BC">
                        <w:pPr>
                          <w:pStyle w:val="TableBodyText"/>
                        </w:pPr>
                        <w:r w:rsidRPr="008F3417">
                          <w:t>%</w:t>
                        </w:r>
                      </w:p>
                    </w:tc>
                    <w:tc>
                      <w:tcPr>
                        <w:tcW w:w="452" w:type="pct"/>
                        <w:shd w:val="clear" w:color="auto" w:fill="auto"/>
                        <w:vAlign w:val="bottom"/>
                      </w:tcPr>
                      <w:p w:rsidR="00C41302" w:rsidRPr="008F3417" w:rsidRDefault="00C41302" w:rsidP="00C41302">
                        <w:pPr>
                          <w:pStyle w:val="TableBodyText"/>
                          <w:rPr>
                            <w:shd w:val="clear" w:color="auto" w:fill="FFFF00"/>
                          </w:rPr>
                        </w:pPr>
                        <w:r w:rsidRPr="008F3417">
                          <w:rPr>
                            <w:shd w:val="clear" w:color="auto" w:fill="FFFFFF" w:themeFill="background1"/>
                          </w:rPr>
                          <w:t xml:space="preserve">59.4 </w:t>
                        </w:r>
                        <w:r w:rsidR="008F3417" w:rsidRPr="008F3417">
                          <w:rPr>
                            <w:shd w:val="clear" w:color="auto" w:fill="FFFFFF" w:themeFill="background1"/>
                          </w:rPr>
                          <w:br/>
                        </w:r>
                        <w:r w:rsidRPr="008F3417">
                          <w:rPr>
                            <w:shd w:val="clear" w:color="auto" w:fill="FFFFFF" w:themeFill="background1"/>
                          </w:rPr>
                          <w:t>±</w:t>
                        </w:r>
                        <w:r w:rsidRPr="005F4B79">
                          <w:rPr>
                            <w:shd w:val="clear" w:color="auto" w:fill="FFFFFF" w:themeFill="background1"/>
                          </w:rPr>
                          <w:t xml:space="preserve"> </w:t>
                        </w:r>
                        <w:r w:rsidRPr="008F3417">
                          <w:rPr>
                            <w:shd w:val="clear" w:color="auto" w:fill="FFFFFF" w:themeFill="background1"/>
                          </w:rPr>
                          <w:t>2.8</w:t>
                        </w:r>
                      </w:p>
                    </w:tc>
                    <w:tc>
                      <w:tcPr>
                        <w:tcW w:w="445" w:type="pct"/>
                        <w:shd w:val="clear" w:color="auto" w:fill="auto"/>
                        <w:vAlign w:val="bottom"/>
                      </w:tcPr>
                      <w:p w:rsidR="00C41302" w:rsidRPr="008F3417" w:rsidRDefault="00C41302" w:rsidP="00C41302">
                        <w:pPr>
                          <w:pStyle w:val="TableBodyText"/>
                          <w:rPr>
                            <w:shd w:val="clear" w:color="auto" w:fill="FFFF00"/>
                          </w:rPr>
                        </w:pPr>
                        <w:r w:rsidRPr="008F3417">
                          <w:rPr>
                            <w:shd w:val="clear" w:color="auto" w:fill="FFFFFF" w:themeFill="background1"/>
                          </w:rPr>
                          <w:t xml:space="preserve">57.9 </w:t>
                        </w:r>
                        <w:r w:rsidR="008F3417" w:rsidRPr="008F3417">
                          <w:rPr>
                            <w:shd w:val="clear" w:color="auto" w:fill="FFFFFF" w:themeFill="background1"/>
                          </w:rPr>
                          <w:br/>
                        </w:r>
                        <w:r w:rsidRPr="008F3417">
                          <w:rPr>
                            <w:shd w:val="clear" w:color="auto" w:fill="FFFFFF" w:themeFill="background1"/>
                          </w:rPr>
                          <w:t>±</w:t>
                        </w:r>
                        <w:r w:rsidRPr="005F4B79">
                          <w:rPr>
                            <w:shd w:val="clear" w:color="auto" w:fill="FFFFFF" w:themeFill="background1"/>
                          </w:rPr>
                          <w:t xml:space="preserve"> </w:t>
                        </w:r>
                        <w:r w:rsidRPr="008F3417">
                          <w:rPr>
                            <w:shd w:val="clear" w:color="auto" w:fill="FFFFFF" w:themeFill="background1"/>
                          </w:rPr>
                          <w:t>3.2</w:t>
                        </w:r>
                      </w:p>
                    </w:tc>
                    <w:tc>
                      <w:tcPr>
                        <w:tcW w:w="512" w:type="pct"/>
                        <w:shd w:val="clear" w:color="auto" w:fill="auto"/>
                        <w:vAlign w:val="bottom"/>
                      </w:tcPr>
                      <w:p w:rsidR="00C41302" w:rsidRPr="008F3417" w:rsidRDefault="00C41302" w:rsidP="00C41302">
                        <w:pPr>
                          <w:pStyle w:val="TableBodyText"/>
                          <w:rPr>
                            <w:shd w:val="clear" w:color="auto" w:fill="FFFF00"/>
                          </w:rPr>
                        </w:pPr>
                        <w:r w:rsidRPr="008F3417">
                          <w:rPr>
                            <w:shd w:val="clear" w:color="auto" w:fill="FFFFFF" w:themeFill="background1"/>
                          </w:rPr>
                          <w:t xml:space="preserve">58.4 </w:t>
                        </w:r>
                        <w:r w:rsidR="008F3417" w:rsidRPr="008F3417">
                          <w:rPr>
                            <w:shd w:val="clear" w:color="auto" w:fill="FFFFFF" w:themeFill="background1"/>
                          </w:rPr>
                          <w:br/>
                        </w:r>
                        <w:r w:rsidRPr="008F3417">
                          <w:rPr>
                            <w:shd w:val="clear" w:color="auto" w:fill="FFFFFF" w:themeFill="background1"/>
                          </w:rPr>
                          <w:t>±</w:t>
                        </w:r>
                        <w:r w:rsidRPr="005F4B79">
                          <w:rPr>
                            <w:shd w:val="clear" w:color="auto" w:fill="FFFFFF" w:themeFill="background1"/>
                          </w:rPr>
                          <w:t xml:space="preserve"> </w:t>
                        </w:r>
                        <w:r w:rsidRPr="008F3417">
                          <w:rPr>
                            <w:shd w:val="clear" w:color="auto" w:fill="FFFFFF" w:themeFill="background1"/>
                          </w:rPr>
                          <w:t>3.1</w:t>
                        </w:r>
                      </w:p>
                    </w:tc>
                    <w:tc>
                      <w:tcPr>
                        <w:tcW w:w="512" w:type="pct"/>
                        <w:shd w:val="clear" w:color="auto" w:fill="auto"/>
                        <w:vAlign w:val="bottom"/>
                      </w:tcPr>
                      <w:p w:rsidR="00C41302" w:rsidRPr="008F3417" w:rsidRDefault="00C41302" w:rsidP="00C41302">
                        <w:pPr>
                          <w:pStyle w:val="TableBodyText"/>
                          <w:rPr>
                            <w:shd w:val="clear" w:color="auto" w:fill="FFFF00"/>
                          </w:rPr>
                        </w:pPr>
                        <w:r w:rsidRPr="008F3417">
                          <w:rPr>
                            <w:shd w:val="clear" w:color="auto" w:fill="FFFFFF" w:themeFill="background1"/>
                          </w:rPr>
                          <w:t xml:space="preserve">62.9 </w:t>
                        </w:r>
                        <w:r w:rsidR="008F3417" w:rsidRPr="008F3417">
                          <w:rPr>
                            <w:shd w:val="clear" w:color="auto" w:fill="FFFFFF" w:themeFill="background1"/>
                          </w:rPr>
                          <w:br/>
                        </w:r>
                        <w:r w:rsidRPr="005F4B79">
                          <w:rPr>
                            <w:shd w:val="clear" w:color="auto" w:fill="FFFFFF" w:themeFill="background1"/>
                          </w:rPr>
                          <w:t>± 3</w:t>
                        </w:r>
                        <w:r w:rsidRPr="008F3417">
                          <w:rPr>
                            <w:shd w:val="clear" w:color="auto" w:fill="FFFFFF" w:themeFill="background1"/>
                          </w:rPr>
                          <w:t>.4</w:t>
                        </w:r>
                      </w:p>
                    </w:tc>
                    <w:tc>
                      <w:tcPr>
                        <w:tcW w:w="439" w:type="pct"/>
                        <w:shd w:val="clear" w:color="auto" w:fill="auto"/>
                        <w:vAlign w:val="bottom"/>
                      </w:tcPr>
                      <w:p w:rsidR="00C41302" w:rsidRPr="008F3417" w:rsidRDefault="00C41302" w:rsidP="00C41302">
                        <w:pPr>
                          <w:pStyle w:val="TableBodyText"/>
                          <w:rPr>
                            <w:shd w:val="clear" w:color="auto" w:fill="FFFF00"/>
                          </w:rPr>
                        </w:pPr>
                        <w:r w:rsidRPr="008F3417">
                          <w:rPr>
                            <w:shd w:val="clear" w:color="auto" w:fill="FFFFFF" w:themeFill="background1"/>
                          </w:rPr>
                          <w:t xml:space="preserve">52.8 </w:t>
                        </w:r>
                        <w:r w:rsidR="008F3417" w:rsidRPr="008F3417">
                          <w:rPr>
                            <w:shd w:val="clear" w:color="auto" w:fill="FFFFFF" w:themeFill="background1"/>
                          </w:rPr>
                          <w:br/>
                        </w:r>
                        <w:r w:rsidRPr="008F3417">
                          <w:rPr>
                            <w:shd w:val="clear" w:color="auto" w:fill="FFFFFF" w:themeFill="background1"/>
                          </w:rPr>
                          <w:t>±</w:t>
                        </w:r>
                        <w:r w:rsidRPr="005F4B79">
                          <w:rPr>
                            <w:shd w:val="clear" w:color="auto" w:fill="FFFFFF" w:themeFill="background1"/>
                          </w:rPr>
                          <w:t xml:space="preserve"> </w:t>
                        </w:r>
                        <w:r w:rsidRPr="008F3417">
                          <w:rPr>
                            <w:shd w:val="clear" w:color="auto" w:fill="FFFFFF" w:themeFill="background1"/>
                          </w:rPr>
                          <w:t>3.4</w:t>
                        </w:r>
                      </w:p>
                    </w:tc>
                    <w:tc>
                      <w:tcPr>
                        <w:tcW w:w="439" w:type="pct"/>
                        <w:shd w:val="clear" w:color="auto" w:fill="auto"/>
                        <w:vAlign w:val="bottom"/>
                      </w:tcPr>
                      <w:p w:rsidR="00C41302" w:rsidRPr="008F3417" w:rsidRDefault="00C41302" w:rsidP="00C41302">
                        <w:pPr>
                          <w:pStyle w:val="TableBodyText"/>
                          <w:rPr>
                            <w:shd w:val="clear" w:color="auto" w:fill="FFFF00"/>
                          </w:rPr>
                        </w:pPr>
                        <w:r w:rsidRPr="008F3417">
                          <w:rPr>
                            <w:shd w:val="clear" w:color="auto" w:fill="FFFFFF" w:themeFill="background1"/>
                          </w:rPr>
                          <w:t xml:space="preserve">48.1 </w:t>
                        </w:r>
                        <w:r w:rsidR="008F3417" w:rsidRPr="008F3417">
                          <w:rPr>
                            <w:shd w:val="clear" w:color="auto" w:fill="FFFFFF" w:themeFill="background1"/>
                          </w:rPr>
                          <w:br/>
                        </w:r>
                        <w:r w:rsidRPr="008F3417">
                          <w:rPr>
                            <w:shd w:val="clear" w:color="auto" w:fill="FFFFFF" w:themeFill="background1"/>
                          </w:rPr>
                          <w:t>±</w:t>
                        </w:r>
                        <w:r w:rsidRPr="005F4B79">
                          <w:rPr>
                            <w:shd w:val="clear" w:color="auto" w:fill="FFFFFF" w:themeFill="background1"/>
                          </w:rPr>
                          <w:t xml:space="preserve"> </w:t>
                        </w:r>
                        <w:r w:rsidRPr="008F3417">
                          <w:rPr>
                            <w:shd w:val="clear" w:color="auto" w:fill="FFFFFF" w:themeFill="background1"/>
                          </w:rPr>
                          <w:t>3.4</w:t>
                        </w:r>
                      </w:p>
                    </w:tc>
                    <w:tc>
                      <w:tcPr>
                        <w:tcW w:w="513" w:type="pct"/>
                        <w:shd w:val="clear" w:color="auto" w:fill="auto"/>
                        <w:vAlign w:val="bottom"/>
                      </w:tcPr>
                      <w:p w:rsidR="00C41302" w:rsidRPr="008F3417" w:rsidRDefault="00C41302" w:rsidP="00C41302">
                        <w:pPr>
                          <w:pStyle w:val="TableBodyText"/>
                          <w:rPr>
                            <w:shd w:val="clear" w:color="auto" w:fill="FFFF00"/>
                          </w:rPr>
                        </w:pPr>
                        <w:r w:rsidRPr="008F3417">
                          <w:rPr>
                            <w:shd w:val="clear" w:color="auto" w:fill="FFFFFF" w:themeFill="background1"/>
                          </w:rPr>
                          <w:t xml:space="preserve">64.7 </w:t>
                        </w:r>
                        <w:r w:rsidR="008F3417" w:rsidRPr="008F3417">
                          <w:rPr>
                            <w:shd w:val="clear" w:color="auto" w:fill="FFFFFF" w:themeFill="background1"/>
                          </w:rPr>
                          <w:br/>
                        </w:r>
                        <w:r w:rsidRPr="008F3417">
                          <w:rPr>
                            <w:shd w:val="clear" w:color="auto" w:fill="FFFFFF" w:themeFill="background1"/>
                          </w:rPr>
                          <w:t>±</w:t>
                        </w:r>
                        <w:r w:rsidRPr="005F4B79">
                          <w:rPr>
                            <w:shd w:val="clear" w:color="auto" w:fill="FFFFFF" w:themeFill="background1"/>
                          </w:rPr>
                          <w:t xml:space="preserve"> </w:t>
                        </w:r>
                        <w:r w:rsidRPr="008F3417">
                          <w:rPr>
                            <w:shd w:val="clear" w:color="auto" w:fill="FFFFFF" w:themeFill="background1"/>
                          </w:rPr>
                          <w:t>3.7</w:t>
                        </w:r>
                      </w:p>
                    </w:tc>
                    <w:tc>
                      <w:tcPr>
                        <w:tcW w:w="438" w:type="pct"/>
                        <w:shd w:val="clear" w:color="auto" w:fill="auto"/>
                        <w:vAlign w:val="bottom"/>
                      </w:tcPr>
                      <w:p w:rsidR="00C41302" w:rsidRPr="008F3417" w:rsidRDefault="00C41302" w:rsidP="00C41302">
                        <w:pPr>
                          <w:pStyle w:val="TableBodyText"/>
                          <w:rPr>
                            <w:shd w:val="clear" w:color="auto" w:fill="FFFF00"/>
                          </w:rPr>
                        </w:pPr>
                        <w:r w:rsidRPr="008F3417">
                          <w:rPr>
                            <w:shd w:val="clear" w:color="auto" w:fill="FFFFFF" w:themeFill="background1"/>
                          </w:rPr>
                          <w:t xml:space="preserve">41.3 </w:t>
                        </w:r>
                        <w:r w:rsidR="008F3417" w:rsidRPr="008F3417">
                          <w:rPr>
                            <w:shd w:val="clear" w:color="auto" w:fill="FFFFFF" w:themeFill="background1"/>
                          </w:rPr>
                          <w:br/>
                        </w:r>
                        <w:r w:rsidRPr="008F3417">
                          <w:rPr>
                            <w:shd w:val="clear" w:color="auto" w:fill="FFFFFF" w:themeFill="background1"/>
                          </w:rPr>
                          <w:t>±</w:t>
                        </w:r>
                        <w:r w:rsidRPr="005F4B79">
                          <w:rPr>
                            <w:shd w:val="clear" w:color="auto" w:fill="FFFFFF" w:themeFill="background1"/>
                          </w:rPr>
                          <w:t xml:space="preserve"> </w:t>
                        </w:r>
                        <w:r w:rsidRPr="008F3417">
                          <w:rPr>
                            <w:shd w:val="clear" w:color="auto" w:fill="FFFFFF" w:themeFill="background1"/>
                          </w:rPr>
                          <w:t>10.7</w:t>
                        </w:r>
                      </w:p>
                    </w:tc>
                    <w:tc>
                      <w:tcPr>
                        <w:tcW w:w="439" w:type="pct"/>
                        <w:vAlign w:val="bottom"/>
                      </w:tcPr>
                      <w:p w:rsidR="00C41302" w:rsidRPr="008F3417" w:rsidRDefault="00C41302" w:rsidP="00C41302">
                        <w:pPr>
                          <w:pStyle w:val="TableBodyText"/>
                          <w:rPr>
                            <w:shd w:val="clear" w:color="auto" w:fill="FFFF00"/>
                          </w:rPr>
                        </w:pPr>
                        <w:r w:rsidRPr="008F3417">
                          <w:rPr>
                            <w:shd w:val="clear" w:color="auto" w:fill="FFFFFF" w:themeFill="background1"/>
                          </w:rPr>
                          <w:t xml:space="preserve">58.4 </w:t>
                        </w:r>
                        <w:r w:rsidR="008F3417" w:rsidRPr="008F3417">
                          <w:rPr>
                            <w:shd w:val="clear" w:color="auto" w:fill="FFFFFF" w:themeFill="background1"/>
                          </w:rPr>
                          <w:br/>
                        </w:r>
                        <w:r w:rsidRPr="008F3417">
                          <w:rPr>
                            <w:shd w:val="clear" w:color="auto" w:fill="FFFFFF" w:themeFill="background1"/>
                          </w:rPr>
                          <w:t>±</w:t>
                        </w:r>
                        <w:r w:rsidRPr="005F4B79">
                          <w:rPr>
                            <w:shd w:val="clear" w:color="auto" w:fill="FFFFFF" w:themeFill="background1"/>
                          </w:rPr>
                          <w:t xml:space="preserve"> </w:t>
                        </w:r>
                        <w:r w:rsidRPr="008F3417">
                          <w:rPr>
                            <w:shd w:val="clear" w:color="auto" w:fill="FFFFFF" w:themeFill="background1"/>
                          </w:rPr>
                          <w:t>1.5</w:t>
                        </w:r>
                      </w:p>
                    </w:tc>
                    <w:tc>
                      <w:tcPr>
                        <w:tcW w:w="684" w:type="pct"/>
                        <w:gridSpan w:val="2"/>
                        <w:shd w:val="clear" w:color="auto" w:fill="FFFFFF" w:themeFill="background1"/>
                      </w:tcPr>
                      <w:p w:rsidR="00C41302" w:rsidRPr="008F3417" w:rsidRDefault="00C41302" w:rsidP="004B45D9">
                        <w:pPr>
                          <w:pStyle w:val="TableColumnHeading"/>
                          <w:ind w:left="0"/>
                          <w:jc w:val="left"/>
                          <w:rPr>
                            <w:i w:val="0"/>
                            <w:shd w:val="clear" w:color="auto" w:fill="FFFF00"/>
                          </w:rPr>
                        </w:pPr>
                        <w:r w:rsidRPr="008F3417">
                          <w:rPr>
                            <w:i w:val="0"/>
                            <w:shd w:val="clear" w:color="auto" w:fill="FFFFFF" w:themeFill="background1"/>
                          </w:rPr>
                          <w:t xml:space="preserve">  4A.101</w:t>
                        </w:r>
                      </w:p>
                    </w:tc>
                  </w:tr>
                  <w:tr w:rsidR="00716671" w:rsidRPr="008F3417" w:rsidTr="00716671">
                    <w:trPr>
                      <w:gridAfter w:val="1"/>
                      <w:wAfter w:w="238" w:type="pct"/>
                    </w:trPr>
                    <w:tc>
                      <w:tcPr>
                        <w:tcW w:w="4762" w:type="pct"/>
                        <w:gridSpan w:val="11"/>
                        <w:shd w:val="clear" w:color="auto" w:fill="auto"/>
                      </w:tcPr>
                      <w:p w:rsidR="00716671" w:rsidRPr="008F3417" w:rsidRDefault="00DE4EE1" w:rsidP="004B45D9">
                        <w:pPr>
                          <w:pStyle w:val="TableColumnHeading"/>
                          <w:ind w:left="0"/>
                          <w:jc w:val="left"/>
                          <w:rPr>
                            <w:i w:val="0"/>
                          </w:rPr>
                        </w:pPr>
                        <w:r w:rsidRPr="008F3417">
                          <w:rPr>
                            <w:i w:val="0"/>
                          </w:rPr>
                          <w:t xml:space="preserve">Proportion of 15 year old students achieving level 3 or above in in the overall scientific literacy scale, PISA 2012 </w:t>
                        </w:r>
                      </w:p>
                    </w:tc>
                  </w:tr>
                  <w:tr w:rsidR="00716671" w:rsidRPr="008F3417" w:rsidTr="00B23849">
                    <w:trPr>
                      <w:gridAfter w:val="1"/>
                      <w:wAfter w:w="238" w:type="pct"/>
                      <w:trHeight w:val="424"/>
                    </w:trPr>
                    <w:tc>
                      <w:tcPr>
                        <w:tcW w:w="4762" w:type="pct"/>
                        <w:gridSpan w:val="11"/>
                        <w:shd w:val="clear" w:color="auto" w:fill="auto"/>
                      </w:tcPr>
                      <w:tbl>
                        <w:tblPr>
                          <w:tblW w:w="9687" w:type="dxa"/>
                          <w:tblLayout w:type="fixed"/>
                          <w:tblCellMar>
                            <w:left w:w="0" w:type="dxa"/>
                            <w:right w:w="0" w:type="dxa"/>
                          </w:tblCellMar>
                          <w:tblLook w:val="0000" w:firstRow="0" w:lastRow="0" w:firstColumn="0" w:lastColumn="0" w:noHBand="0" w:noVBand="0"/>
                        </w:tblPr>
                        <w:tblGrid>
                          <w:gridCol w:w="242"/>
                          <w:gridCol w:w="876"/>
                          <w:gridCol w:w="864"/>
                          <w:gridCol w:w="992"/>
                          <w:gridCol w:w="992"/>
                          <w:gridCol w:w="851"/>
                          <w:gridCol w:w="851"/>
                          <w:gridCol w:w="994"/>
                          <w:gridCol w:w="851"/>
                          <w:gridCol w:w="851"/>
                          <w:gridCol w:w="1323"/>
                        </w:tblGrid>
                        <w:tr w:rsidR="00C41302" w:rsidRPr="008F3417" w:rsidTr="004B45D9">
                          <w:tc>
                            <w:tcPr>
                              <w:tcW w:w="125" w:type="pct"/>
                              <w:shd w:val="clear" w:color="auto" w:fill="auto"/>
                            </w:tcPr>
                            <w:p w:rsidR="00C41302" w:rsidRPr="008F3417" w:rsidRDefault="00C41302" w:rsidP="004413BC">
                              <w:pPr>
                                <w:pStyle w:val="TableBodyText"/>
                              </w:pPr>
                              <w:r w:rsidRPr="008F3417">
                                <w:t>%</w:t>
                              </w:r>
                            </w:p>
                          </w:tc>
                          <w:tc>
                            <w:tcPr>
                              <w:tcW w:w="452" w:type="pct"/>
                              <w:shd w:val="clear" w:color="auto" w:fill="auto"/>
                              <w:vAlign w:val="bottom"/>
                            </w:tcPr>
                            <w:p w:rsidR="00C41302" w:rsidRPr="008F3417" w:rsidRDefault="00C41302" w:rsidP="00C41302">
                              <w:pPr>
                                <w:pStyle w:val="TableBodyText"/>
                                <w:rPr>
                                  <w:shd w:val="clear" w:color="auto" w:fill="FFFF00"/>
                                </w:rPr>
                              </w:pPr>
                              <w:r w:rsidRPr="008F3417">
                                <w:rPr>
                                  <w:shd w:val="clear" w:color="auto" w:fill="FFFFFF" w:themeFill="background1"/>
                                </w:rPr>
                                <w:t xml:space="preserve">65.6 </w:t>
                              </w:r>
                              <w:r w:rsidR="008F3417" w:rsidRPr="008F3417">
                                <w:rPr>
                                  <w:shd w:val="clear" w:color="auto" w:fill="FFFFFF" w:themeFill="background1"/>
                                </w:rPr>
                                <w:br/>
                              </w:r>
                              <w:r w:rsidRPr="008F3417">
                                <w:rPr>
                                  <w:shd w:val="clear" w:color="auto" w:fill="FFFFFF" w:themeFill="background1"/>
                                </w:rPr>
                                <w:t>±</w:t>
                              </w:r>
                              <w:r w:rsidRPr="005F4B79">
                                <w:rPr>
                                  <w:shd w:val="clear" w:color="auto" w:fill="FFFFFF" w:themeFill="background1"/>
                                </w:rPr>
                                <w:t xml:space="preserve"> </w:t>
                              </w:r>
                              <w:r w:rsidRPr="008F3417">
                                <w:rPr>
                                  <w:shd w:val="clear" w:color="auto" w:fill="FFFFFF" w:themeFill="background1"/>
                                </w:rPr>
                                <w:t>2.5</w:t>
                              </w:r>
                            </w:p>
                          </w:tc>
                          <w:tc>
                            <w:tcPr>
                              <w:tcW w:w="446" w:type="pct"/>
                              <w:shd w:val="clear" w:color="auto" w:fill="auto"/>
                              <w:vAlign w:val="bottom"/>
                            </w:tcPr>
                            <w:p w:rsidR="00C41302" w:rsidRPr="008F3417" w:rsidRDefault="00C41302" w:rsidP="00C41302">
                              <w:pPr>
                                <w:pStyle w:val="TableBodyText"/>
                                <w:rPr>
                                  <w:shd w:val="clear" w:color="auto" w:fill="FFFF00"/>
                                </w:rPr>
                              </w:pPr>
                              <w:r w:rsidRPr="008F3417">
                                <w:rPr>
                                  <w:shd w:val="clear" w:color="auto" w:fill="FFFFFF" w:themeFill="background1"/>
                                </w:rPr>
                                <w:t xml:space="preserve">64.1 </w:t>
                              </w:r>
                              <w:r w:rsidR="008F3417" w:rsidRPr="008F3417">
                                <w:rPr>
                                  <w:shd w:val="clear" w:color="auto" w:fill="FFFFFF" w:themeFill="background1"/>
                                </w:rPr>
                                <w:br/>
                              </w:r>
                              <w:r w:rsidRPr="008F3417">
                                <w:rPr>
                                  <w:shd w:val="clear" w:color="auto" w:fill="FFFFFF" w:themeFill="background1"/>
                                </w:rPr>
                                <w:t>±</w:t>
                              </w:r>
                              <w:r w:rsidRPr="005F4B79">
                                <w:rPr>
                                  <w:shd w:val="clear" w:color="auto" w:fill="FFFFFF" w:themeFill="background1"/>
                                </w:rPr>
                                <w:t xml:space="preserve"> </w:t>
                              </w:r>
                              <w:r w:rsidRPr="008F3417">
                                <w:rPr>
                                  <w:shd w:val="clear" w:color="auto" w:fill="FFFFFF" w:themeFill="background1"/>
                                </w:rPr>
                                <w:t>3.4</w:t>
                              </w:r>
                            </w:p>
                          </w:tc>
                          <w:tc>
                            <w:tcPr>
                              <w:tcW w:w="512" w:type="pct"/>
                              <w:shd w:val="clear" w:color="auto" w:fill="auto"/>
                              <w:vAlign w:val="bottom"/>
                            </w:tcPr>
                            <w:p w:rsidR="00C41302" w:rsidRPr="008F3417" w:rsidRDefault="00C41302" w:rsidP="00C41302">
                              <w:pPr>
                                <w:pStyle w:val="TableBodyText"/>
                                <w:rPr>
                                  <w:shd w:val="clear" w:color="auto" w:fill="FFFF00"/>
                                </w:rPr>
                              </w:pPr>
                              <w:r w:rsidRPr="008F3417">
                                <w:rPr>
                                  <w:shd w:val="clear" w:color="auto" w:fill="FFFFFF" w:themeFill="background1"/>
                                </w:rPr>
                                <w:t xml:space="preserve">63.8 </w:t>
                              </w:r>
                              <w:r w:rsidR="008F3417" w:rsidRPr="008F3417">
                                <w:rPr>
                                  <w:shd w:val="clear" w:color="auto" w:fill="FFFFFF" w:themeFill="background1"/>
                                </w:rPr>
                                <w:br/>
                              </w:r>
                              <w:r w:rsidRPr="008F3417">
                                <w:rPr>
                                  <w:shd w:val="clear" w:color="auto" w:fill="FFFFFF" w:themeFill="background1"/>
                                </w:rPr>
                                <w:t>±</w:t>
                              </w:r>
                              <w:r w:rsidRPr="005F4B79">
                                <w:rPr>
                                  <w:shd w:val="clear" w:color="auto" w:fill="FFFFFF" w:themeFill="background1"/>
                                </w:rPr>
                                <w:t xml:space="preserve"> </w:t>
                              </w:r>
                              <w:r w:rsidRPr="008F3417">
                                <w:rPr>
                                  <w:shd w:val="clear" w:color="auto" w:fill="FFFFFF" w:themeFill="background1"/>
                                </w:rPr>
                                <w:t>2.6</w:t>
                              </w:r>
                            </w:p>
                          </w:tc>
                          <w:tc>
                            <w:tcPr>
                              <w:tcW w:w="512" w:type="pct"/>
                              <w:shd w:val="clear" w:color="auto" w:fill="auto"/>
                              <w:vAlign w:val="bottom"/>
                            </w:tcPr>
                            <w:p w:rsidR="00C41302" w:rsidRPr="008F3417" w:rsidRDefault="00C41302" w:rsidP="00C41302">
                              <w:pPr>
                                <w:pStyle w:val="TableBodyText"/>
                                <w:rPr>
                                  <w:shd w:val="clear" w:color="auto" w:fill="FFFF00"/>
                                </w:rPr>
                              </w:pPr>
                              <w:r w:rsidRPr="008F3417">
                                <w:rPr>
                                  <w:shd w:val="clear" w:color="auto" w:fill="FFFFFF" w:themeFill="background1"/>
                                </w:rPr>
                                <w:t xml:space="preserve">70.2 </w:t>
                              </w:r>
                              <w:r w:rsidR="008F3417" w:rsidRPr="008F3417">
                                <w:rPr>
                                  <w:shd w:val="clear" w:color="auto" w:fill="FFFFFF" w:themeFill="background1"/>
                                </w:rPr>
                                <w:br/>
                              </w:r>
                              <w:r w:rsidRPr="008F3417">
                                <w:rPr>
                                  <w:shd w:val="clear" w:color="auto" w:fill="FFFFFF" w:themeFill="background1"/>
                                </w:rPr>
                                <w:t>±</w:t>
                              </w:r>
                              <w:r w:rsidRPr="005F4B79">
                                <w:rPr>
                                  <w:shd w:val="clear" w:color="auto" w:fill="FFFFFF" w:themeFill="background1"/>
                                </w:rPr>
                                <w:t xml:space="preserve"> </w:t>
                              </w:r>
                              <w:r w:rsidRPr="008F3417">
                                <w:rPr>
                                  <w:shd w:val="clear" w:color="auto" w:fill="FFFFFF" w:themeFill="background1"/>
                                </w:rPr>
                                <w:t>3.0</w:t>
                              </w:r>
                            </w:p>
                          </w:tc>
                          <w:tc>
                            <w:tcPr>
                              <w:tcW w:w="439" w:type="pct"/>
                              <w:shd w:val="clear" w:color="auto" w:fill="auto"/>
                              <w:vAlign w:val="bottom"/>
                            </w:tcPr>
                            <w:p w:rsidR="00C41302" w:rsidRPr="008F3417" w:rsidRDefault="00C41302" w:rsidP="00C41302">
                              <w:pPr>
                                <w:pStyle w:val="TableBodyText"/>
                                <w:rPr>
                                  <w:shd w:val="clear" w:color="auto" w:fill="FFFF00"/>
                                </w:rPr>
                              </w:pPr>
                              <w:r w:rsidRPr="008F3417">
                                <w:rPr>
                                  <w:shd w:val="clear" w:color="auto" w:fill="FFFFFF" w:themeFill="background1"/>
                                </w:rPr>
                                <w:t xml:space="preserve">61.3 </w:t>
                              </w:r>
                              <w:r w:rsidR="008F3417" w:rsidRPr="008F3417">
                                <w:rPr>
                                  <w:shd w:val="clear" w:color="auto" w:fill="FFFFFF" w:themeFill="background1"/>
                                </w:rPr>
                                <w:br/>
                              </w:r>
                              <w:r w:rsidRPr="008F3417">
                                <w:rPr>
                                  <w:shd w:val="clear" w:color="auto" w:fill="FFFFFF" w:themeFill="background1"/>
                                </w:rPr>
                                <w:t>±</w:t>
                              </w:r>
                              <w:r w:rsidRPr="005F4B79">
                                <w:rPr>
                                  <w:shd w:val="clear" w:color="auto" w:fill="FFFFFF" w:themeFill="background1"/>
                                </w:rPr>
                                <w:t xml:space="preserve"> </w:t>
                              </w:r>
                              <w:r w:rsidRPr="008F3417">
                                <w:rPr>
                                  <w:shd w:val="clear" w:color="auto" w:fill="FFFFFF" w:themeFill="background1"/>
                                </w:rPr>
                                <w:t>3.2</w:t>
                              </w:r>
                            </w:p>
                          </w:tc>
                          <w:tc>
                            <w:tcPr>
                              <w:tcW w:w="439" w:type="pct"/>
                              <w:shd w:val="clear" w:color="auto" w:fill="auto"/>
                              <w:vAlign w:val="bottom"/>
                            </w:tcPr>
                            <w:p w:rsidR="00C41302" w:rsidRPr="008F3417" w:rsidRDefault="00C41302" w:rsidP="00C41302">
                              <w:pPr>
                                <w:pStyle w:val="TableBodyText"/>
                                <w:rPr>
                                  <w:shd w:val="clear" w:color="auto" w:fill="FFFF00"/>
                                </w:rPr>
                              </w:pPr>
                              <w:r w:rsidRPr="008F3417">
                                <w:rPr>
                                  <w:shd w:val="clear" w:color="auto" w:fill="FFFFFF" w:themeFill="background1"/>
                                </w:rPr>
                                <w:t xml:space="preserve">57.2 </w:t>
                              </w:r>
                              <w:r w:rsidR="008F3417" w:rsidRPr="008F3417">
                                <w:rPr>
                                  <w:shd w:val="clear" w:color="auto" w:fill="FFFFFF" w:themeFill="background1"/>
                                </w:rPr>
                                <w:br/>
                              </w:r>
                              <w:r w:rsidRPr="008F3417">
                                <w:rPr>
                                  <w:shd w:val="clear" w:color="auto" w:fill="FFFFFF" w:themeFill="background1"/>
                                </w:rPr>
                                <w:t>±</w:t>
                              </w:r>
                              <w:r w:rsidRPr="005F4B79">
                                <w:rPr>
                                  <w:shd w:val="clear" w:color="auto" w:fill="FFFFFF" w:themeFill="background1"/>
                                </w:rPr>
                                <w:t xml:space="preserve"> </w:t>
                              </w:r>
                              <w:r w:rsidRPr="008F3417">
                                <w:rPr>
                                  <w:shd w:val="clear" w:color="auto" w:fill="FFFFFF" w:themeFill="background1"/>
                                </w:rPr>
                                <w:t>3.5</w:t>
                              </w:r>
                            </w:p>
                          </w:tc>
                          <w:tc>
                            <w:tcPr>
                              <w:tcW w:w="513" w:type="pct"/>
                              <w:shd w:val="clear" w:color="auto" w:fill="auto"/>
                              <w:vAlign w:val="bottom"/>
                            </w:tcPr>
                            <w:p w:rsidR="00C41302" w:rsidRPr="008F3417" w:rsidRDefault="00C41302" w:rsidP="00C41302">
                              <w:pPr>
                                <w:pStyle w:val="TableBodyText"/>
                                <w:rPr>
                                  <w:shd w:val="clear" w:color="auto" w:fill="FFFF00"/>
                                </w:rPr>
                              </w:pPr>
                              <w:r w:rsidRPr="008F3417">
                                <w:rPr>
                                  <w:shd w:val="clear" w:color="auto" w:fill="FFFFFF" w:themeFill="background1"/>
                                </w:rPr>
                                <w:t xml:space="preserve">70.5 </w:t>
                              </w:r>
                              <w:r w:rsidR="008F3417" w:rsidRPr="008F3417">
                                <w:rPr>
                                  <w:shd w:val="clear" w:color="auto" w:fill="FFFFFF" w:themeFill="background1"/>
                                </w:rPr>
                                <w:br/>
                              </w:r>
                              <w:r w:rsidRPr="008F3417">
                                <w:rPr>
                                  <w:shd w:val="clear" w:color="auto" w:fill="FFFFFF" w:themeFill="background1"/>
                                </w:rPr>
                                <w:t>±</w:t>
                              </w:r>
                              <w:r w:rsidRPr="005F4B79">
                                <w:rPr>
                                  <w:shd w:val="clear" w:color="auto" w:fill="FFFFFF" w:themeFill="background1"/>
                                </w:rPr>
                                <w:t xml:space="preserve"> </w:t>
                              </w:r>
                              <w:r w:rsidRPr="008F3417">
                                <w:rPr>
                                  <w:shd w:val="clear" w:color="auto" w:fill="FFFFFF" w:themeFill="background1"/>
                                </w:rPr>
                                <w:t>3.6</w:t>
                              </w:r>
                            </w:p>
                          </w:tc>
                          <w:tc>
                            <w:tcPr>
                              <w:tcW w:w="439" w:type="pct"/>
                              <w:shd w:val="clear" w:color="auto" w:fill="auto"/>
                              <w:vAlign w:val="bottom"/>
                            </w:tcPr>
                            <w:p w:rsidR="00C41302" w:rsidRPr="008F3417" w:rsidRDefault="00C41302" w:rsidP="00C41302">
                              <w:pPr>
                                <w:pStyle w:val="TableBodyText"/>
                                <w:rPr>
                                  <w:shd w:val="clear" w:color="auto" w:fill="FFFF00"/>
                                </w:rPr>
                              </w:pPr>
                              <w:r w:rsidRPr="008F3417">
                                <w:rPr>
                                  <w:shd w:val="clear" w:color="auto" w:fill="FFFFFF" w:themeFill="background1"/>
                                </w:rPr>
                                <w:t xml:space="preserve">55.1 </w:t>
                              </w:r>
                              <w:r w:rsidR="008F3417" w:rsidRPr="008F3417">
                                <w:rPr>
                                  <w:shd w:val="clear" w:color="auto" w:fill="FFFFFF" w:themeFill="background1"/>
                                </w:rPr>
                                <w:br/>
                              </w:r>
                              <w:r w:rsidRPr="008F3417">
                                <w:rPr>
                                  <w:shd w:val="clear" w:color="auto" w:fill="FFFFFF" w:themeFill="background1"/>
                                </w:rPr>
                                <w:t>±</w:t>
                              </w:r>
                              <w:r w:rsidRPr="005F4B79">
                                <w:rPr>
                                  <w:shd w:val="clear" w:color="auto" w:fill="FFFFFF" w:themeFill="background1"/>
                                </w:rPr>
                                <w:t xml:space="preserve"> </w:t>
                              </w:r>
                              <w:r w:rsidRPr="008F3417">
                                <w:rPr>
                                  <w:shd w:val="clear" w:color="auto" w:fill="FFFFFF" w:themeFill="background1"/>
                                </w:rPr>
                                <w:t>7.7</w:t>
                              </w:r>
                            </w:p>
                          </w:tc>
                          <w:tc>
                            <w:tcPr>
                              <w:tcW w:w="439" w:type="pct"/>
                              <w:shd w:val="clear" w:color="auto" w:fill="auto"/>
                              <w:vAlign w:val="bottom"/>
                            </w:tcPr>
                            <w:p w:rsidR="00C41302" w:rsidRPr="008F3417" w:rsidRDefault="00C41302" w:rsidP="00C41302">
                              <w:pPr>
                                <w:pStyle w:val="TableBodyText"/>
                                <w:rPr>
                                  <w:shd w:val="clear" w:color="auto" w:fill="FFFF00"/>
                                </w:rPr>
                              </w:pPr>
                              <w:r w:rsidRPr="008F3417">
                                <w:rPr>
                                  <w:shd w:val="clear" w:color="auto" w:fill="FFFFFF" w:themeFill="background1"/>
                                </w:rPr>
                                <w:t xml:space="preserve">64.9 </w:t>
                              </w:r>
                              <w:r w:rsidR="008F3417" w:rsidRPr="008F3417">
                                <w:rPr>
                                  <w:shd w:val="clear" w:color="auto" w:fill="FFFFFF" w:themeFill="background1"/>
                                </w:rPr>
                                <w:br/>
                              </w:r>
                              <w:r w:rsidRPr="008F3417">
                                <w:rPr>
                                  <w:shd w:val="clear" w:color="auto" w:fill="FFFFFF" w:themeFill="background1"/>
                                </w:rPr>
                                <w:t>±</w:t>
                              </w:r>
                              <w:r w:rsidRPr="005F4B79">
                                <w:rPr>
                                  <w:shd w:val="clear" w:color="auto" w:fill="FFFFFF" w:themeFill="background1"/>
                                </w:rPr>
                                <w:t xml:space="preserve"> </w:t>
                              </w:r>
                              <w:r w:rsidRPr="008F3417">
                                <w:rPr>
                                  <w:shd w:val="clear" w:color="auto" w:fill="FFFFFF" w:themeFill="background1"/>
                                </w:rPr>
                                <w:t>1.4</w:t>
                              </w:r>
                            </w:p>
                          </w:tc>
                          <w:tc>
                            <w:tcPr>
                              <w:tcW w:w="683" w:type="pct"/>
                              <w:shd w:val="clear" w:color="auto" w:fill="FFFFFF" w:themeFill="background1"/>
                            </w:tcPr>
                            <w:p w:rsidR="00C41302" w:rsidRPr="008F3417" w:rsidRDefault="00C41302" w:rsidP="004B45D9">
                              <w:pPr>
                                <w:pStyle w:val="TableColumnHeading"/>
                                <w:ind w:left="0"/>
                                <w:jc w:val="left"/>
                                <w:rPr>
                                  <w:i w:val="0"/>
                                  <w:shd w:val="clear" w:color="auto" w:fill="FFFF00"/>
                                </w:rPr>
                              </w:pPr>
                              <w:r w:rsidRPr="008F3417">
                                <w:rPr>
                                  <w:i w:val="0"/>
                                  <w:shd w:val="clear" w:color="auto" w:fill="FFFFFF" w:themeFill="background1"/>
                                </w:rPr>
                                <w:t xml:space="preserve">  4A.105</w:t>
                              </w:r>
                            </w:p>
                          </w:tc>
                        </w:tr>
                      </w:tbl>
                      <w:p w:rsidR="00716671" w:rsidRPr="008F3417" w:rsidRDefault="00716671" w:rsidP="004413BC">
                        <w:pPr>
                          <w:pStyle w:val="TableColumnHeading"/>
                          <w:rPr>
                            <w:i w:val="0"/>
                          </w:rPr>
                        </w:pPr>
                      </w:p>
                    </w:tc>
                  </w:tr>
                </w:tbl>
                <w:p w:rsidR="00716671" w:rsidRPr="008F3417" w:rsidRDefault="00716671" w:rsidP="004413BC">
                  <w:pPr>
                    <w:pStyle w:val="TableColumnHeading"/>
                    <w:rPr>
                      <w:i w:val="0"/>
                    </w:rPr>
                  </w:pPr>
                </w:p>
              </w:tc>
            </w:tr>
          </w:tbl>
          <w:p w:rsidR="00716671" w:rsidRPr="004413BC" w:rsidRDefault="00716671" w:rsidP="00D4375D">
            <w:pPr>
              <w:pStyle w:val="TableColumnHeading"/>
              <w:jc w:val="left"/>
            </w:pPr>
          </w:p>
        </w:tc>
      </w:tr>
      <w:tr w:rsidR="00716671" w:rsidRPr="004413BC" w:rsidTr="004413BC">
        <w:tc>
          <w:tcPr>
            <w:tcW w:w="5000" w:type="pct"/>
            <w:gridSpan w:val="27"/>
            <w:shd w:val="clear" w:color="auto" w:fill="auto"/>
          </w:tcPr>
          <w:p w:rsidR="00716671" w:rsidRPr="004413BC" w:rsidRDefault="00716671" w:rsidP="001658B4">
            <w:pPr>
              <w:pStyle w:val="TableColumnHeading"/>
              <w:jc w:val="left"/>
            </w:pPr>
            <w:r w:rsidRPr="004413BC">
              <w:t>Completion, 201</w:t>
            </w:r>
            <w:r w:rsidR="001658B4">
              <w:t>2</w:t>
            </w:r>
            <w:r w:rsidRPr="004413BC">
              <w:br/>
            </w:r>
            <w:r w:rsidRPr="004413BC">
              <w:rPr>
                <w:i w:val="0"/>
                <w:sz w:val="16"/>
                <w:szCs w:val="16"/>
              </w:rPr>
              <w:t xml:space="preserve">This indicator has multiple measures and data comparability and completeness vary (chapter 4) </w:t>
            </w:r>
            <w:r w:rsidRPr="004413BC">
              <w:br/>
            </w:r>
            <w:r w:rsidRPr="004413BC">
              <w:rPr>
                <w:i w:val="0"/>
              </w:rPr>
              <w:t>Year 12 completion rate</w:t>
            </w:r>
          </w:p>
        </w:tc>
      </w:tr>
      <w:tr w:rsidR="001658B4" w:rsidRPr="004413BC" w:rsidTr="005F4B79">
        <w:tc>
          <w:tcPr>
            <w:tcW w:w="11" w:type="pct"/>
            <w:shd w:val="clear" w:color="auto" w:fill="auto"/>
          </w:tcPr>
          <w:p w:rsidR="001658B4" w:rsidRPr="004413BC" w:rsidRDefault="001658B4" w:rsidP="00E12F7C">
            <w:pPr>
              <w:pStyle w:val="TableBodyText"/>
              <w:jc w:val="left"/>
              <w:rPr>
                <w:i/>
              </w:rPr>
            </w:pPr>
          </w:p>
        </w:tc>
        <w:tc>
          <w:tcPr>
            <w:tcW w:w="127" w:type="pct"/>
            <w:shd w:val="clear" w:color="auto" w:fill="auto"/>
          </w:tcPr>
          <w:p w:rsidR="001658B4" w:rsidRPr="004413BC" w:rsidRDefault="001658B4" w:rsidP="00E12F7C">
            <w:pPr>
              <w:pStyle w:val="TableBodyText"/>
              <w:jc w:val="left"/>
              <w:rPr>
                <w:i/>
              </w:rPr>
            </w:pPr>
            <w:r w:rsidRPr="004413BC">
              <w:t>%</w:t>
            </w:r>
          </w:p>
        </w:tc>
        <w:tc>
          <w:tcPr>
            <w:tcW w:w="455" w:type="pct"/>
            <w:gridSpan w:val="3"/>
            <w:shd w:val="clear" w:color="auto" w:fill="auto"/>
            <w:vAlign w:val="center"/>
          </w:tcPr>
          <w:p w:rsidR="001658B4" w:rsidRDefault="001658B4" w:rsidP="00DE4EE1">
            <w:pPr>
              <w:pStyle w:val="TableBodyText"/>
            </w:pPr>
            <w:r>
              <w:t xml:space="preserve">  72</w:t>
            </w:r>
          </w:p>
        </w:tc>
        <w:tc>
          <w:tcPr>
            <w:tcW w:w="533" w:type="pct"/>
            <w:gridSpan w:val="3"/>
            <w:shd w:val="clear" w:color="auto" w:fill="FFFFFF" w:themeFill="background1"/>
            <w:vAlign w:val="center"/>
          </w:tcPr>
          <w:p w:rsidR="001658B4" w:rsidRDefault="001658B4" w:rsidP="0018259F">
            <w:pPr>
              <w:pStyle w:val="TableBodyText"/>
            </w:pPr>
            <w:r>
              <w:t xml:space="preserve">  </w:t>
            </w:r>
            <w:r w:rsidR="0018259F">
              <w:t>80</w:t>
            </w:r>
          </w:p>
        </w:tc>
        <w:tc>
          <w:tcPr>
            <w:tcW w:w="460" w:type="pct"/>
            <w:gridSpan w:val="2"/>
            <w:shd w:val="clear" w:color="auto" w:fill="auto"/>
            <w:vAlign w:val="center"/>
          </w:tcPr>
          <w:p w:rsidR="001658B4" w:rsidRDefault="001658B4" w:rsidP="00DE4EE1">
            <w:pPr>
              <w:pStyle w:val="TableBodyText"/>
            </w:pPr>
            <w:r>
              <w:t xml:space="preserve">  70</w:t>
            </w:r>
          </w:p>
        </w:tc>
        <w:tc>
          <w:tcPr>
            <w:tcW w:w="542" w:type="pct"/>
            <w:gridSpan w:val="4"/>
            <w:shd w:val="clear" w:color="auto" w:fill="FFFFFF" w:themeFill="background1"/>
            <w:vAlign w:val="center"/>
          </w:tcPr>
          <w:p w:rsidR="001658B4" w:rsidRDefault="001658B4" w:rsidP="0018259F">
            <w:pPr>
              <w:pStyle w:val="TableBodyText"/>
            </w:pPr>
            <w:r>
              <w:t xml:space="preserve">  7</w:t>
            </w:r>
            <w:r w:rsidR="0018259F">
              <w:t>3</w:t>
            </w:r>
          </w:p>
        </w:tc>
        <w:tc>
          <w:tcPr>
            <w:tcW w:w="460" w:type="pct"/>
            <w:gridSpan w:val="3"/>
            <w:shd w:val="clear" w:color="auto" w:fill="FFFFFF" w:themeFill="background1"/>
            <w:vAlign w:val="center"/>
          </w:tcPr>
          <w:p w:rsidR="001658B4" w:rsidRDefault="001658B4" w:rsidP="00DE4EE1">
            <w:pPr>
              <w:pStyle w:val="TableBodyText"/>
            </w:pPr>
            <w:r>
              <w:t xml:space="preserve">  83</w:t>
            </w:r>
          </w:p>
        </w:tc>
        <w:tc>
          <w:tcPr>
            <w:tcW w:w="541" w:type="pct"/>
            <w:gridSpan w:val="2"/>
            <w:shd w:val="clear" w:color="auto" w:fill="FFFFFF" w:themeFill="background1"/>
            <w:vAlign w:val="center"/>
          </w:tcPr>
          <w:p w:rsidR="001658B4" w:rsidRDefault="001658B4" w:rsidP="00DE4EE1">
            <w:pPr>
              <w:pStyle w:val="TableBodyText"/>
            </w:pPr>
            <w:r>
              <w:t xml:space="preserve">  47</w:t>
            </w:r>
          </w:p>
        </w:tc>
        <w:tc>
          <w:tcPr>
            <w:tcW w:w="460" w:type="pct"/>
            <w:gridSpan w:val="2"/>
            <w:shd w:val="clear" w:color="auto" w:fill="FFFFFF" w:themeFill="background1"/>
            <w:vAlign w:val="center"/>
          </w:tcPr>
          <w:p w:rsidR="001658B4" w:rsidRPr="004B45D9" w:rsidRDefault="001658B4" w:rsidP="0018259F">
            <w:pPr>
              <w:pStyle w:val="TableBodyText"/>
            </w:pPr>
            <w:r w:rsidRPr="004B45D9">
              <w:t xml:space="preserve">  8</w:t>
            </w:r>
            <w:r w:rsidR="0018259F" w:rsidRPr="004B45D9">
              <w:t>2</w:t>
            </w:r>
          </w:p>
        </w:tc>
        <w:tc>
          <w:tcPr>
            <w:tcW w:w="541" w:type="pct"/>
            <w:gridSpan w:val="3"/>
            <w:shd w:val="clear" w:color="auto" w:fill="FFFFFF" w:themeFill="background1"/>
            <w:vAlign w:val="center"/>
          </w:tcPr>
          <w:p w:rsidR="001658B4" w:rsidRPr="004B45D9" w:rsidRDefault="001658B4" w:rsidP="0018259F">
            <w:pPr>
              <w:pStyle w:val="TableBodyText"/>
            </w:pPr>
            <w:r w:rsidRPr="004B45D9">
              <w:t xml:space="preserve">  </w:t>
            </w:r>
            <w:r w:rsidR="0018259F" w:rsidRPr="004B45D9">
              <w:t>38</w:t>
            </w:r>
          </w:p>
        </w:tc>
        <w:tc>
          <w:tcPr>
            <w:tcW w:w="421" w:type="pct"/>
            <w:gridSpan w:val="2"/>
            <w:shd w:val="clear" w:color="auto" w:fill="auto"/>
            <w:vAlign w:val="center"/>
          </w:tcPr>
          <w:p w:rsidR="001658B4" w:rsidRDefault="001658B4" w:rsidP="00DE4EE1">
            <w:pPr>
              <w:pStyle w:val="TableBodyText"/>
            </w:pPr>
            <w:r>
              <w:t xml:space="preserve">  73</w:t>
            </w:r>
          </w:p>
        </w:tc>
        <w:tc>
          <w:tcPr>
            <w:tcW w:w="449" w:type="pct"/>
            <w:shd w:val="clear" w:color="auto" w:fill="auto"/>
          </w:tcPr>
          <w:p w:rsidR="001658B4" w:rsidRPr="004413BC" w:rsidRDefault="001658B4" w:rsidP="0018259F">
            <w:pPr>
              <w:pStyle w:val="TableBodyText"/>
            </w:pPr>
            <w:r w:rsidRPr="004413BC">
              <w:t>4A.1</w:t>
            </w:r>
            <w:r>
              <w:t>2</w:t>
            </w:r>
            <w:r w:rsidR="0018259F">
              <w:t>6</w:t>
            </w:r>
          </w:p>
        </w:tc>
      </w:tr>
      <w:tr w:rsidR="00716671" w:rsidRPr="004413BC" w:rsidTr="004413BC">
        <w:tc>
          <w:tcPr>
            <w:tcW w:w="5000" w:type="pct"/>
            <w:gridSpan w:val="27"/>
            <w:shd w:val="clear" w:color="auto" w:fill="auto"/>
          </w:tcPr>
          <w:p w:rsidR="00716671" w:rsidRPr="004413BC" w:rsidRDefault="00716671" w:rsidP="001658B4">
            <w:pPr>
              <w:pStyle w:val="TableColumnHeading"/>
              <w:jc w:val="left"/>
            </w:pPr>
            <w:r w:rsidRPr="004413BC">
              <w:t>Destination, 201</w:t>
            </w:r>
            <w:r w:rsidR="001658B4">
              <w:t>2</w:t>
            </w:r>
            <w:r w:rsidRPr="004413BC">
              <w:br/>
            </w:r>
            <w:r w:rsidRPr="004413BC">
              <w:rPr>
                <w:i w:val="0"/>
                <w:sz w:val="16"/>
                <w:szCs w:val="16"/>
              </w:rPr>
              <w:t>Data for this indicator are not directly comparable (chapter 4)</w:t>
            </w:r>
            <w:r w:rsidRPr="004413BC">
              <w:br/>
            </w:r>
            <w:r w:rsidRPr="004413BC">
              <w:rPr>
                <w:i w:val="0"/>
              </w:rPr>
              <w:t>Proportion of year 12 students attending further education</w:t>
            </w:r>
            <w:r w:rsidRPr="004413BC">
              <w:rPr>
                <w:rStyle w:val="NoteLabel"/>
                <w:i w:val="0"/>
              </w:rPr>
              <w:t>d</w:t>
            </w:r>
          </w:p>
        </w:tc>
      </w:tr>
      <w:tr w:rsidR="001658B4" w:rsidRPr="004413BC" w:rsidTr="004B45D9">
        <w:tc>
          <w:tcPr>
            <w:tcW w:w="11" w:type="pct"/>
            <w:tcBorders>
              <w:bottom w:val="single" w:sz="6" w:space="0" w:color="auto"/>
            </w:tcBorders>
            <w:shd w:val="clear" w:color="auto" w:fill="auto"/>
          </w:tcPr>
          <w:p w:rsidR="001658B4" w:rsidRPr="004413BC" w:rsidRDefault="001658B4" w:rsidP="00E12F7C">
            <w:pPr>
              <w:pStyle w:val="TableBodyText"/>
              <w:jc w:val="left"/>
            </w:pPr>
          </w:p>
        </w:tc>
        <w:tc>
          <w:tcPr>
            <w:tcW w:w="127" w:type="pct"/>
            <w:tcBorders>
              <w:bottom w:val="single" w:sz="6" w:space="0" w:color="auto"/>
            </w:tcBorders>
            <w:shd w:val="clear" w:color="auto" w:fill="auto"/>
          </w:tcPr>
          <w:p w:rsidR="001658B4" w:rsidRPr="004413BC" w:rsidRDefault="001658B4" w:rsidP="00E12F7C">
            <w:pPr>
              <w:pStyle w:val="TableBodyText"/>
              <w:jc w:val="left"/>
            </w:pPr>
            <w:r w:rsidRPr="004413BC">
              <w:t>%</w:t>
            </w:r>
          </w:p>
        </w:tc>
        <w:tc>
          <w:tcPr>
            <w:tcW w:w="455" w:type="pct"/>
            <w:gridSpan w:val="3"/>
            <w:tcBorders>
              <w:bottom w:val="single" w:sz="6" w:space="0" w:color="auto"/>
            </w:tcBorders>
            <w:shd w:val="clear" w:color="auto" w:fill="auto"/>
            <w:vAlign w:val="center"/>
          </w:tcPr>
          <w:p w:rsidR="001658B4" w:rsidRDefault="001658B4" w:rsidP="00DE4EE1">
            <w:pPr>
              <w:pStyle w:val="TableBodyText"/>
            </w:pPr>
            <w:r>
              <w:t xml:space="preserve">70.1 </w:t>
            </w:r>
            <w:r w:rsidR="005F4B79">
              <w:br/>
            </w:r>
            <w:r>
              <w:t>± 10.5</w:t>
            </w:r>
          </w:p>
        </w:tc>
        <w:tc>
          <w:tcPr>
            <w:tcW w:w="533" w:type="pct"/>
            <w:gridSpan w:val="3"/>
            <w:tcBorders>
              <w:bottom w:val="single" w:sz="6" w:space="0" w:color="auto"/>
            </w:tcBorders>
            <w:shd w:val="clear" w:color="auto" w:fill="auto"/>
            <w:vAlign w:val="center"/>
          </w:tcPr>
          <w:p w:rsidR="001658B4" w:rsidRDefault="001658B4" w:rsidP="005F4B79">
            <w:pPr>
              <w:pStyle w:val="TableBodyText"/>
            </w:pPr>
            <w:r>
              <w:t xml:space="preserve">73.8 </w:t>
            </w:r>
            <w:r w:rsidR="005F4B79">
              <w:br/>
            </w:r>
            <w:r>
              <w:t>± 8.0</w:t>
            </w:r>
          </w:p>
        </w:tc>
        <w:tc>
          <w:tcPr>
            <w:tcW w:w="460" w:type="pct"/>
            <w:gridSpan w:val="2"/>
            <w:tcBorders>
              <w:bottom w:val="single" w:sz="6" w:space="0" w:color="auto"/>
            </w:tcBorders>
            <w:shd w:val="clear" w:color="auto" w:fill="auto"/>
            <w:vAlign w:val="center"/>
          </w:tcPr>
          <w:p w:rsidR="001658B4" w:rsidRDefault="001658B4" w:rsidP="00DE4EE1">
            <w:pPr>
              <w:pStyle w:val="TableBodyText"/>
            </w:pPr>
            <w:r>
              <w:t xml:space="preserve">62.3 </w:t>
            </w:r>
            <w:r w:rsidR="005F4B79">
              <w:br/>
            </w:r>
            <w:r>
              <w:t>± 10.4</w:t>
            </w:r>
          </w:p>
        </w:tc>
        <w:tc>
          <w:tcPr>
            <w:tcW w:w="542" w:type="pct"/>
            <w:gridSpan w:val="4"/>
            <w:tcBorders>
              <w:bottom w:val="single" w:sz="6" w:space="0" w:color="auto"/>
            </w:tcBorders>
            <w:shd w:val="clear" w:color="auto" w:fill="auto"/>
            <w:vAlign w:val="center"/>
          </w:tcPr>
          <w:p w:rsidR="001658B4" w:rsidRDefault="001658B4" w:rsidP="005F4B79">
            <w:pPr>
              <w:pStyle w:val="TableBodyText"/>
            </w:pPr>
            <w:r>
              <w:t>60.0</w:t>
            </w:r>
            <w:r w:rsidR="005F4B79">
              <w:t xml:space="preserve"> </w:t>
            </w:r>
            <w:r w:rsidR="005F4B79">
              <w:br/>
            </w:r>
            <w:r>
              <w:t>± 14.7</w:t>
            </w:r>
          </w:p>
        </w:tc>
        <w:tc>
          <w:tcPr>
            <w:tcW w:w="460" w:type="pct"/>
            <w:gridSpan w:val="3"/>
            <w:tcBorders>
              <w:bottom w:val="single" w:sz="6" w:space="0" w:color="auto"/>
            </w:tcBorders>
            <w:shd w:val="clear" w:color="auto" w:fill="auto"/>
            <w:vAlign w:val="center"/>
          </w:tcPr>
          <w:p w:rsidR="001658B4" w:rsidRDefault="001658B4" w:rsidP="00DE4EE1">
            <w:pPr>
              <w:pStyle w:val="TableBodyText"/>
            </w:pPr>
            <w:r>
              <w:t xml:space="preserve">63.5 </w:t>
            </w:r>
            <w:r w:rsidR="005F4B79">
              <w:br/>
            </w:r>
            <w:r>
              <w:t>± 12.9</w:t>
            </w:r>
          </w:p>
        </w:tc>
        <w:tc>
          <w:tcPr>
            <w:tcW w:w="541" w:type="pct"/>
            <w:gridSpan w:val="2"/>
            <w:tcBorders>
              <w:bottom w:val="single" w:sz="6" w:space="0" w:color="auto"/>
            </w:tcBorders>
            <w:shd w:val="clear" w:color="auto" w:fill="auto"/>
            <w:vAlign w:val="center"/>
          </w:tcPr>
          <w:p w:rsidR="001658B4" w:rsidRDefault="001658B4" w:rsidP="00DE4EE1">
            <w:pPr>
              <w:pStyle w:val="TableBodyText"/>
            </w:pPr>
            <w:r>
              <w:t xml:space="preserve">53.8 </w:t>
            </w:r>
            <w:r w:rsidR="005F4B79">
              <w:br/>
            </w:r>
            <w:r>
              <w:t>± 26.0</w:t>
            </w:r>
          </w:p>
        </w:tc>
        <w:tc>
          <w:tcPr>
            <w:tcW w:w="460" w:type="pct"/>
            <w:gridSpan w:val="2"/>
            <w:tcBorders>
              <w:bottom w:val="single" w:sz="6" w:space="0" w:color="auto"/>
            </w:tcBorders>
            <w:shd w:val="clear" w:color="auto" w:fill="auto"/>
            <w:vAlign w:val="center"/>
          </w:tcPr>
          <w:p w:rsidR="001658B4" w:rsidRDefault="001658B4" w:rsidP="00DE4EE1">
            <w:pPr>
              <w:pStyle w:val="TableBodyText"/>
            </w:pPr>
            <w:r>
              <w:t xml:space="preserve">63.6 </w:t>
            </w:r>
            <w:r w:rsidR="005F4B79">
              <w:br/>
            </w:r>
            <w:r>
              <w:t>± 19.6</w:t>
            </w:r>
          </w:p>
        </w:tc>
        <w:tc>
          <w:tcPr>
            <w:tcW w:w="541" w:type="pct"/>
            <w:gridSpan w:val="3"/>
            <w:tcBorders>
              <w:bottom w:val="single" w:sz="6" w:space="0" w:color="auto"/>
            </w:tcBorders>
            <w:shd w:val="clear" w:color="auto" w:fill="auto"/>
            <w:vAlign w:val="center"/>
          </w:tcPr>
          <w:p w:rsidR="001658B4" w:rsidRDefault="0018259F" w:rsidP="00DE4EE1">
            <w:pPr>
              <w:pStyle w:val="TableBodyText"/>
            </w:pPr>
            <w:proofErr w:type="spellStart"/>
            <w:r>
              <w:t>np</w:t>
            </w:r>
            <w:proofErr w:type="spellEnd"/>
          </w:p>
        </w:tc>
        <w:tc>
          <w:tcPr>
            <w:tcW w:w="406" w:type="pct"/>
            <w:tcBorders>
              <w:bottom w:val="single" w:sz="6" w:space="0" w:color="auto"/>
            </w:tcBorders>
            <w:shd w:val="clear" w:color="auto" w:fill="auto"/>
            <w:vAlign w:val="center"/>
          </w:tcPr>
          <w:p w:rsidR="001658B4" w:rsidRDefault="001658B4" w:rsidP="00DE4EE1">
            <w:pPr>
              <w:pStyle w:val="TableBodyText"/>
            </w:pPr>
            <w:r>
              <w:t xml:space="preserve">66.9 </w:t>
            </w:r>
            <w:r w:rsidR="005F4B79">
              <w:br/>
            </w:r>
            <w:r>
              <w:t>± 4.5</w:t>
            </w:r>
          </w:p>
        </w:tc>
        <w:tc>
          <w:tcPr>
            <w:tcW w:w="464" w:type="pct"/>
            <w:gridSpan w:val="2"/>
            <w:tcBorders>
              <w:bottom w:val="single" w:sz="6" w:space="0" w:color="auto"/>
            </w:tcBorders>
            <w:shd w:val="clear" w:color="auto" w:fill="auto"/>
            <w:vAlign w:val="center"/>
          </w:tcPr>
          <w:p w:rsidR="001658B4" w:rsidRPr="004413BC" w:rsidRDefault="001658B4" w:rsidP="005A354B">
            <w:pPr>
              <w:pStyle w:val="TableBodyText"/>
              <w:jc w:val="center"/>
            </w:pPr>
            <w:r w:rsidRPr="004413BC">
              <w:t>4A.1</w:t>
            </w:r>
            <w:r>
              <w:t>2</w:t>
            </w:r>
            <w:r w:rsidR="0018259F">
              <w:t>8</w:t>
            </w:r>
          </w:p>
        </w:tc>
      </w:tr>
    </w:tbl>
    <w:p w:rsidR="00AE17B2" w:rsidRPr="00B817EA" w:rsidRDefault="005E7069" w:rsidP="00AE17B2">
      <w:pPr>
        <w:pStyle w:val="Note"/>
      </w:pPr>
      <w:r w:rsidRPr="004413BC">
        <w:t xml:space="preserve">FTE = Full time equivalent. </w:t>
      </w:r>
      <w:r w:rsidRPr="004413BC">
        <w:rPr>
          <w:rStyle w:val="NoteLabel"/>
        </w:rPr>
        <w:t>a</w:t>
      </w:r>
      <w:r w:rsidRPr="004413BC">
        <w:t> Caveats for these</w:t>
      </w:r>
      <w:r w:rsidRPr="00B817EA">
        <w:t xml:space="preserve"> data are available in </w:t>
      </w:r>
      <w:r w:rsidR="0033546B">
        <w:t>c</w:t>
      </w:r>
      <w:r w:rsidRPr="00B817EA">
        <w:t xml:space="preserve">hapter </w:t>
      </w:r>
      <w:r>
        <w:t>4</w:t>
      </w:r>
      <w:r w:rsidRPr="00B817EA">
        <w:t xml:space="preserve"> and </w:t>
      </w:r>
      <w:r w:rsidR="0033546B">
        <w:t>a</w:t>
      </w:r>
      <w:r w:rsidRPr="00B817EA">
        <w:t xml:space="preserve">ttachment </w:t>
      </w:r>
      <w:r>
        <w:t>4</w:t>
      </w:r>
      <w:r w:rsidRPr="00B817EA">
        <w:t xml:space="preserve">A. Refer to the indicator interpretation boxes in chapter </w:t>
      </w:r>
      <w:r>
        <w:t>4</w:t>
      </w:r>
      <w:r w:rsidRPr="00B817EA">
        <w:t xml:space="preserve"> for information to assist with </w:t>
      </w:r>
      <w:r w:rsidR="00482624">
        <w:t xml:space="preserve">the </w:t>
      </w:r>
      <w:r w:rsidRPr="00B817EA">
        <w:t>interpret</w:t>
      </w:r>
      <w:r w:rsidR="00482624">
        <w:t>ation of</w:t>
      </w:r>
      <w:r w:rsidRPr="00B817EA">
        <w:t xml:space="preserve"> data presented in this table. </w:t>
      </w:r>
      <w:r w:rsidRPr="00A55213">
        <w:rPr>
          <w:rStyle w:val="NoteLabel"/>
        </w:rPr>
        <w:t>b</w:t>
      </w:r>
      <w:r w:rsidRPr="00B817EA">
        <w:t> </w:t>
      </w:r>
      <w:r w:rsidR="00A871B3">
        <w:t>These</w:t>
      </w:r>
      <w:r w:rsidRPr="00B817EA">
        <w:t xml:space="preserve"> data are derived from detailed data in </w:t>
      </w:r>
      <w:r w:rsidR="0033546B">
        <w:t>c</w:t>
      </w:r>
      <w:r w:rsidRPr="00B817EA">
        <w:t xml:space="preserve">hapter </w:t>
      </w:r>
      <w:r>
        <w:t>4</w:t>
      </w:r>
      <w:r w:rsidRPr="00B817EA">
        <w:t xml:space="preserve"> and </w:t>
      </w:r>
      <w:r w:rsidR="0033546B">
        <w:t>a</w:t>
      </w:r>
      <w:r w:rsidRPr="00B817EA">
        <w:t xml:space="preserve">ttachment </w:t>
      </w:r>
      <w:r>
        <w:t>4</w:t>
      </w:r>
      <w:r w:rsidRPr="00B817EA">
        <w:t xml:space="preserve">A. </w:t>
      </w:r>
      <w:r w:rsidRPr="00534FE6">
        <w:rPr>
          <w:rStyle w:val="NoteLabel"/>
        </w:rPr>
        <w:t>c</w:t>
      </w:r>
      <w:r>
        <w:t> </w:t>
      </w:r>
      <w:r w:rsidR="00AD0C77">
        <w:t xml:space="preserve">Some </w:t>
      </w:r>
      <w:r w:rsidRPr="00393E8A">
        <w:t>percentages reported in this table include 95 per cent confidence intervals (for example, 80.0 per cent ± 2.7 per cent).</w:t>
      </w:r>
      <w:r w:rsidR="00AE17B2">
        <w:t xml:space="preserve"> </w:t>
      </w:r>
      <w:r w:rsidR="00AE17B2" w:rsidRPr="00AE17B2">
        <w:rPr>
          <w:rStyle w:val="NoteLabel"/>
        </w:rPr>
        <w:t>d</w:t>
      </w:r>
      <w:r w:rsidR="00AE17B2">
        <w:t> </w:t>
      </w:r>
      <w:r w:rsidR="00AE17B2" w:rsidRPr="00AE17B2">
        <w:t>Estimates in italics have relative standard errors greater than 25 per cent and should be used with caution.</w:t>
      </w:r>
      <w:r w:rsidR="00AE17B2">
        <w:t xml:space="preserve"> </w:t>
      </w:r>
      <w:r w:rsidR="00AE17B2" w:rsidRPr="00B817EA">
        <w:t xml:space="preserve"> – Nil or rounded to zero.</w:t>
      </w:r>
      <w:r w:rsidR="00AD0C77">
        <w:t xml:space="preserve"> .. Not applicable</w:t>
      </w:r>
      <w:r w:rsidR="0018259F">
        <w:t xml:space="preserve">. </w:t>
      </w:r>
      <w:proofErr w:type="spellStart"/>
      <w:r w:rsidR="0018259F" w:rsidRPr="0018259F">
        <w:rPr>
          <w:b/>
        </w:rPr>
        <w:t>np</w:t>
      </w:r>
      <w:proofErr w:type="spellEnd"/>
      <w:r w:rsidR="0018259F">
        <w:t xml:space="preserve"> Not published</w:t>
      </w:r>
      <w:r w:rsidR="00AD0C77">
        <w:t>.</w:t>
      </w:r>
    </w:p>
    <w:p w:rsidR="00C07440" w:rsidRDefault="0033546B" w:rsidP="005E7069">
      <w:pPr>
        <w:pStyle w:val="Source"/>
      </w:pPr>
      <w:r>
        <w:t xml:space="preserve">Source: </w:t>
      </w:r>
      <w:r w:rsidR="00015CB2">
        <w:t>C</w:t>
      </w:r>
      <w:r w:rsidR="005E7069" w:rsidRPr="00B817EA">
        <w:t xml:space="preserve">hapter </w:t>
      </w:r>
      <w:r w:rsidR="005E7069">
        <w:t>4</w:t>
      </w:r>
      <w:r w:rsidR="005E7069" w:rsidRPr="00B817EA">
        <w:t xml:space="preserve"> and </w:t>
      </w:r>
      <w:r>
        <w:t>a</w:t>
      </w:r>
      <w:r w:rsidR="005E7069" w:rsidRPr="00B817EA">
        <w:t xml:space="preserve">ttachment </w:t>
      </w:r>
      <w:r w:rsidR="005E7069">
        <w:t>4</w:t>
      </w:r>
      <w:r w:rsidR="005E7069" w:rsidRPr="00B817EA">
        <w:t>A.</w:t>
      </w:r>
    </w:p>
    <w:p w:rsidR="00D959D3" w:rsidRDefault="00666BDE" w:rsidP="00D959D3">
      <w:pPr>
        <w:pStyle w:val="Heading4"/>
      </w:pPr>
      <w:r>
        <w:br w:type="page"/>
      </w:r>
      <w:r w:rsidR="00D959D3">
        <w:lastRenderedPageBreak/>
        <w:t>Vocational education and training</w:t>
      </w:r>
    </w:p>
    <w:p w:rsidR="00A0590B" w:rsidRDefault="00A0590B" w:rsidP="00A0590B">
      <w:pPr>
        <w:pStyle w:val="BodyText"/>
      </w:pPr>
      <w:r>
        <w:t xml:space="preserve">The performance indicator framework for </w:t>
      </w:r>
      <w:r w:rsidR="00DF15D9">
        <w:t>VET</w:t>
      </w:r>
      <w:r w:rsidR="005B35FF">
        <w:t xml:space="preserve"> is presented in figure B.</w:t>
      </w:r>
      <w:r w:rsidR="00CA426B">
        <w:t>26</w:t>
      </w:r>
      <w:r>
        <w:t>.</w:t>
      </w:r>
      <w:r w:rsidR="00FF488C">
        <w:t xml:space="preserve"> This</w:t>
      </w:r>
      <w:r w:rsidR="00FF488C" w:rsidRPr="00E6147C">
        <w:t xml:space="preserve"> framework provides comprehensive information on the equity, effectiveness</w:t>
      </w:r>
      <w:r w:rsidR="00FF488C">
        <w:t>,</w:t>
      </w:r>
      <w:r w:rsidR="00FF488C" w:rsidRPr="00E6147C">
        <w:t xml:space="preserve"> efficiency </w:t>
      </w:r>
      <w:r w:rsidR="00FF488C">
        <w:t xml:space="preserve">and the outcomes </w:t>
      </w:r>
      <w:r w:rsidR="00FF488C" w:rsidRPr="00E6147C">
        <w:t>of</w:t>
      </w:r>
      <w:r w:rsidR="00FF488C">
        <w:t xml:space="preserve"> </w:t>
      </w:r>
      <w:r w:rsidR="00FF488C">
        <w:rPr>
          <w:color w:val="000000"/>
        </w:rPr>
        <w:t>VET.</w:t>
      </w:r>
    </w:p>
    <w:p w:rsidR="00D959D3" w:rsidRDefault="00D959D3">
      <w:pPr>
        <w:pStyle w:val="FigureTitle"/>
      </w:pPr>
      <w:r>
        <w:rPr>
          <w:b w:val="0"/>
        </w:rPr>
        <w:t xml:space="preserve">Figure </w:t>
      </w:r>
      <w:r w:rsidR="00CA426B">
        <w:rPr>
          <w:b w:val="0"/>
        </w:rPr>
        <w:t>B.26</w:t>
      </w:r>
      <w:r>
        <w:tab/>
      </w:r>
      <w:r w:rsidR="006A11F7">
        <w:t>VET</w:t>
      </w:r>
      <w:r w:rsidR="000214D6" w:rsidRPr="000214D6">
        <w:t xml:space="preserve"> </w:t>
      </w:r>
      <w:r w:rsidR="000214D6">
        <w:t>performance indicator framework</w:t>
      </w:r>
      <w:r w:rsidR="004453A9">
        <w:t xml:space="preserve">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959D3">
        <w:tc>
          <w:tcPr>
            <w:tcW w:w="8777" w:type="dxa"/>
          </w:tcPr>
          <w:p w:rsidR="00D959D3" w:rsidRDefault="00F278B2">
            <w:pPr>
              <w:pStyle w:val="Figure"/>
            </w:pPr>
            <w:r w:rsidRPr="00085E6F">
              <w:rPr>
                <w:noProof/>
              </w:rPr>
              <w:drawing>
                <wp:inline distT="0" distB="0" distL="0" distR="0" wp14:anchorId="08B70C7B" wp14:editId="716680EE">
                  <wp:extent cx="5497032" cy="4132476"/>
                  <wp:effectExtent l="0" t="0" r="8890" b="1905"/>
                  <wp:docPr id="25" name="Picture 25" descr="Figure B.26 VET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500303" cy="4134935"/>
                          </a:xfrm>
                          <a:prstGeom prst="rect">
                            <a:avLst/>
                          </a:prstGeom>
                          <a:noFill/>
                          <a:ln>
                            <a:noFill/>
                          </a:ln>
                        </pic:spPr>
                      </pic:pic>
                    </a:graphicData>
                  </a:graphic>
                </wp:inline>
              </w:drawing>
            </w:r>
          </w:p>
        </w:tc>
      </w:tr>
    </w:tbl>
    <w:p w:rsidR="00652E20" w:rsidRDefault="00D959D3" w:rsidP="00D959D3">
      <w:pPr>
        <w:pStyle w:val="BodyText"/>
      </w:pPr>
      <w:r>
        <w:t xml:space="preserve">An overview of the </w:t>
      </w:r>
      <w:r w:rsidR="00DF15D9">
        <w:t>VET</w:t>
      </w:r>
      <w:r>
        <w:t xml:space="preserve"> performance indicator results for </w:t>
      </w:r>
      <w:r w:rsidR="00A0590B">
        <w:t xml:space="preserve">the most recent period </w:t>
      </w:r>
      <w:r>
        <w:t>are presented in table B.3.</w:t>
      </w:r>
      <w:r w:rsidR="00482624">
        <w:t xml:space="preserve"> Information to assist the interpretation of these data can be found in the indicator interpretation boxes in chapter 5 and the footnotes in attachment 5A.</w:t>
      </w:r>
    </w:p>
    <w:p w:rsidR="00652E20" w:rsidRDefault="00652E20" w:rsidP="00D959D3">
      <w:pPr>
        <w:pStyle w:val="BodyText"/>
      </w:pPr>
    </w:p>
    <w:p w:rsidR="00D959D3" w:rsidRDefault="00D959D3" w:rsidP="00D959D3">
      <w:pPr>
        <w:pStyle w:val="TableTitle"/>
        <w:rPr>
          <w:vertAlign w:val="superscript"/>
        </w:rPr>
      </w:pPr>
      <w:r w:rsidRPr="00C50A9D">
        <w:rPr>
          <w:b w:val="0"/>
        </w:rPr>
        <w:lastRenderedPageBreak/>
        <w:t xml:space="preserve">Table </w:t>
      </w:r>
      <w:bookmarkStart w:id="16" w:name="OLE_LINK28"/>
      <w:r w:rsidR="00891AAF">
        <w:rPr>
          <w:b w:val="0"/>
        </w:rPr>
        <w:t>B.</w:t>
      </w:r>
      <w:r w:rsidR="005C0C17">
        <w:rPr>
          <w:b w:val="0"/>
          <w:noProof/>
        </w:rPr>
        <w:t>3</w:t>
      </w:r>
      <w:bookmarkEnd w:id="16"/>
      <w:r w:rsidRPr="00C50A9D">
        <w:rPr>
          <w:b w:val="0"/>
        </w:rPr>
        <w:tab/>
      </w:r>
      <w:r w:rsidRPr="00B817EA">
        <w:t xml:space="preserve">Performance indicators for </w:t>
      </w:r>
      <w:proofErr w:type="spellStart"/>
      <w:r w:rsidR="00DF15D9">
        <w:t>VET</w:t>
      </w:r>
      <w:r w:rsidRPr="0063741B">
        <w:rPr>
          <w:vertAlign w:val="superscript"/>
        </w:rPr>
        <w:t>a</w:t>
      </w:r>
      <w:proofErr w:type="spellEnd"/>
      <w:r w:rsidRPr="0063741B">
        <w:rPr>
          <w:vertAlign w:val="superscript"/>
        </w:rPr>
        <w:t>, b</w:t>
      </w:r>
      <w:r w:rsidR="007E7F1E">
        <w:rPr>
          <w:vertAlign w:val="superscript"/>
        </w:rPr>
        <w:t>, c</w:t>
      </w:r>
    </w:p>
    <w:tbl>
      <w:tblPr>
        <w:tblW w:w="5323" w:type="pct"/>
        <w:tblLayout w:type="fixed"/>
        <w:tblCellMar>
          <w:left w:w="0" w:type="dxa"/>
          <w:right w:w="0" w:type="dxa"/>
        </w:tblCellMar>
        <w:tblLook w:val="0000" w:firstRow="0" w:lastRow="0" w:firstColumn="0" w:lastColumn="0" w:noHBand="0" w:noVBand="0"/>
      </w:tblPr>
      <w:tblGrid>
        <w:gridCol w:w="23"/>
        <w:gridCol w:w="261"/>
        <w:gridCol w:w="18"/>
        <w:gridCol w:w="7"/>
        <w:gridCol w:w="24"/>
        <w:gridCol w:w="996"/>
        <w:gridCol w:w="11"/>
        <w:gridCol w:w="49"/>
        <w:gridCol w:w="793"/>
        <w:gridCol w:w="9"/>
        <w:gridCol w:w="51"/>
        <w:gridCol w:w="934"/>
        <w:gridCol w:w="52"/>
        <w:gridCol w:w="7"/>
        <w:gridCol w:w="792"/>
        <w:gridCol w:w="65"/>
        <w:gridCol w:w="913"/>
        <w:gridCol w:w="41"/>
        <w:gridCol w:w="7"/>
        <w:gridCol w:w="30"/>
        <w:gridCol w:w="790"/>
        <w:gridCol w:w="69"/>
        <w:gridCol w:w="878"/>
        <w:gridCol w:w="853"/>
        <w:gridCol w:w="711"/>
        <w:gridCol w:w="973"/>
      </w:tblGrid>
      <w:tr w:rsidR="00EB6250" w:rsidRPr="00B817EA" w:rsidTr="001E5768">
        <w:tc>
          <w:tcPr>
            <w:tcW w:w="177" w:type="pct"/>
            <w:gridSpan w:val="5"/>
            <w:tcBorders>
              <w:top w:val="single" w:sz="6" w:space="0" w:color="auto"/>
              <w:bottom w:val="single" w:sz="6" w:space="0" w:color="auto"/>
            </w:tcBorders>
            <w:shd w:val="clear" w:color="auto" w:fill="auto"/>
          </w:tcPr>
          <w:p w:rsidR="00374749" w:rsidRPr="00B817EA" w:rsidRDefault="00374749" w:rsidP="00DF25D1">
            <w:pPr>
              <w:pStyle w:val="TableColumnHeading"/>
            </w:pPr>
          </w:p>
        </w:tc>
        <w:tc>
          <w:tcPr>
            <w:tcW w:w="532" w:type="pct"/>
            <w:tcBorders>
              <w:top w:val="single" w:sz="6" w:space="0" w:color="auto"/>
              <w:bottom w:val="single" w:sz="6" w:space="0" w:color="auto"/>
            </w:tcBorders>
            <w:shd w:val="clear" w:color="auto" w:fill="auto"/>
          </w:tcPr>
          <w:p w:rsidR="00374749" w:rsidRPr="00B817EA" w:rsidRDefault="00374749" w:rsidP="00DF25D1">
            <w:pPr>
              <w:pStyle w:val="TableColumnHeading"/>
            </w:pPr>
            <w:r w:rsidRPr="00B817EA">
              <w:t>NSW</w:t>
            </w:r>
          </w:p>
        </w:tc>
        <w:tc>
          <w:tcPr>
            <w:tcW w:w="456" w:type="pct"/>
            <w:gridSpan w:val="3"/>
            <w:tcBorders>
              <w:top w:val="single" w:sz="6" w:space="0" w:color="auto"/>
              <w:bottom w:val="single" w:sz="6" w:space="0" w:color="auto"/>
            </w:tcBorders>
            <w:shd w:val="clear" w:color="auto" w:fill="auto"/>
          </w:tcPr>
          <w:p w:rsidR="00374749" w:rsidRPr="00B817EA" w:rsidRDefault="00374749" w:rsidP="00DF25D1">
            <w:pPr>
              <w:pStyle w:val="TableColumnHeading"/>
            </w:pPr>
            <w:r w:rsidRPr="00B817EA">
              <w:t>Vic</w:t>
            </w:r>
          </w:p>
        </w:tc>
        <w:tc>
          <w:tcPr>
            <w:tcW w:w="531" w:type="pct"/>
            <w:gridSpan w:val="3"/>
            <w:tcBorders>
              <w:top w:val="single" w:sz="6" w:space="0" w:color="auto"/>
              <w:bottom w:val="single" w:sz="6" w:space="0" w:color="auto"/>
            </w:tcBorders>
            <w:shd w:val="clear" w:color="auto" w:fill="auto"/>
          </w:tcPr>
          <w:p w:rsidR="00374749" w:rsidRPr="00B817EA" w:rsidRDefault="00374749" w:rsidP="00DF25D1">
            <w:pPr>
              <w:pStyle w:val="TableColumnHeading"/>
            </w:pPr>
            <w:r w:rsidRPr="00B817EA">
              <w:t>Qld</w:t>
            </w:r>
          </w:p>
        </w:tc>
        <w:tc>
          <w:tcPr>
            <w:tcW w:w="455" w:type="pct"/>
            <w:gridSpan w:val="3"/>
            <w:tcBorders>
              <w:top w:val="single" w:sz="6" w:space="0" w:color="auto"/>
              <w:bottom w:val="single" w:sz="6" w:space="0" w:color="auto"/>
            </w:tcBorders>
            <w:shd w:val="clear" w:color="auto" w:fill="auto"/>
          </w:tcPr>
          <w:p w:rsidR="00374749" w:rsidRPr="00B817EA" w:rsidRDefault="00374749" w:rsidP="00DF25D1">
            <w:pPr>
              <w:pStyle w:val="TableColumnHeading"/>
            </w:pPr>
            <w:r w:rsidRPr="00B817EA">
              <w:t>WA</w:t>
            </w:r>
          </w:p>
        </w:tc>
        <w:tc>
          <w:tcPr>
            <w:tcW w:w="523" w:type="pct"/>
            <w:gridSpan w:val="2"/>
            <w:tcBorders>
              <w:top w:val="single" w:sz="6" w:space="0" w:color="auto"/>
              <w:bottom w:val="single" w:sz="6" w:space="0" w:color="auto"/>
            </w:tcBorders>
            <w:shd w:val="clear" w:color="auto" w:fill="auto"/>
          </w:tcPr>
          <w:p w:rsidR="00374749" w:rsidRPr="00B817EA" w:rsidRDefault="00374749" w:rsidP="00DF25D1">
            <w:pPr>
              <w:pStyle w:val="TableColumnHeading"/>
            </w:pPr>
            <w:r w:rsidRPr="00B817EA">
              <w:t>SA</w:t>
            </w:r>
          </w:p>
        </w:tc>
        <w:tc>
          <w:tcPr>
            <w:tcW w:w="464" w:type="pct"/>
            <w:gridSpan w:val="4"/>
            <w:tcBorders>
              <w:top w:val="single" w:sz="6" w:space="0" w:color="auto"/>
              <w:bottom w:val="single" w:sz="6" w:space="0" w:color="auto"/>
            </w:tcBorders>
            <w:shd w:val="clear" w:color="auto" w:fill="auto"/>
          </w:tcPr>
          <w:p w:rsidR="00374749" w:rsidRPr="00B817EA" w:rsidRDefault="00374749" w:rsidP="00DF25D1">
            <w:pPr>
              <w:pStyle w:val="TableColumnHeading"/>
            </w:pPr>
            <w:proofErr w:type="spellStart"/>
            <w:r w:rsidRPr="00B817EA">
              <w:t>Tas</w:t>
            </w:r>
            <w:proofErr w:type="spellEnd"/>
          </w:p>
        </w:tc>
        <w:tc>
          <w:tcPr>
            <w:tcW w:w="506" w:type="pct"/>
            <w:gridSpan w:val="2"/>
            <w:tcBorders>
              <w:top w:val="single" w:sz="6" w:space="0" w:color="auto"/>
              <w:bottom w:val="single" w:sz="6" w:space="0" w:color="auto"/>
            </w:tcBorders>
            <w:shd w:val="clear" w:color="auto" w:fill="auto"/>
          </w:tcPr>
          <w:p w:rsidR="00374749" w:rsidRPr="00B817EA" w:rsidRDefault="00374749" w:rsidP="00DF25D1">
            <w:pPr>
              <w:pStyle w:val="TableColumnHeading"/>
            </w:pPr>
            <w:r w:rsidRPr="00B817EA">
              <w:t>ACT</w:t>
            </w:r>
          </w:p>
        </w:tc>
        <w:tc>
          <w:tcPr>
            <w:tcW w:w="456" w:type="pct"/>
            <w:tcBorders>
              <w:top w:val="single" w:sz="6" w:space="0" w:color="auto"/>
              <w:bottom w:val="single" w:sz="6" w:space="0" w:color="auto"/>
            </w:tcBorders>
            <w:shd w:val="clear" w:color="auto" w:fill="auto"/>
          </w:tcPr>
          <w:p w:rsidR="00374749" w:rsidRPr="00B817EA" w:rsidRDefault="00374749" w:rsidP="00DF25D1">
            <w:pPr>
              <w:pStyle w:val="TableColumnHeading"/>
            </w:pPr>
            <w:r w:rsidRPr="00B817EA">
              <w:t>NT</w:t>
            </w:r>
          </w:p>
        </w:tc>
        <w:tc>
          <w:tcPr>
            <w:tcW w:w="380" w:type="pct"/>
            <w:tcBorders>
              <w:top w:val="single" w:sz="6" w:space="0" w:color="auto"/>
              <w:bottom w:val="single" w:sz="6" w:space="0" w:color="auto"/>
            </w:tcBorders>
          </w:tcPr>
          <w:p w:rsidR="00374749" w:rsidRPr="00B817EA" w:rsidRDefault="00374749" w:rsidP="00DF25D1">
            <w:pPr>
              <w:pStyle w:val="TableColumnHeading"/>
            </w:pPr>
            <w:proofErr w:type="spellStart"/>
            <w:r w:rsidRPr="00B817EA">
              <w:t>Aust</w:t>
            </w:r>
            <w:proofErr w:type="spellEnd"/>
          </w:p>
        </w:tc>
        <w:tc>
          <w:tcPr>
            <w:tcW w:w="521" w:type="pct"/>
            <w:tcBorders>
              <w:top w:val="single" w:sz="6" w:space="0" w:color="auto"/>
              <w:bottom w:val="single" w:sz="6" w:space="0" w:color="auto"/>
            </w:tcBorders>
          </w:tcPr>
          <w:p w:rsidR="00374749" w:rsidRPr="00B817EA" w:rsidRDefault="00374749" w:rsidP="00DF25D1">
            <w:pPr>
              <w:pStyle w:val="TableColumnHeading"/>
            </w:pPr>
            <w:r w:rsidRPr="00B817EA">
              <w:t>Source</w:t>
            </w:r>
          </w:p>
        </w:tc>
      </w:tr>
      <w:tr w:rsidR="00990C8F" w:rsidRPr="004E27F9" w:rsidTr="00EB6250">
        <w:trPr>
          <w:trHeight w:val="329"/>
        </w:trPr>
        <w:tc>
          <w:tcPr>
            <w:tcW w:w="5000" w:type="pct"/>
            <w:gridSpan w:val="26"/>
          </w:tcPr>
          <w:p w:rsidR="00990C8F" w:rsidRPr="004E27F9" w:rsidRDefault="00990C8F" w:rsidP="005B2CB7">
            <w:pPr>
              <w:pStyle w:val="TableColumnHeading"/>
              <w:jc w:val="left"/>
              <w:rPr>
                <w:b/>
                <w:i w:val="0"/>
              </w:rPr>
            </w:pPr>
            <w:r w:rsidRPr="004E27F9">
              <w:rPr>
                <w:b/>
                <w:i w:val="0"/>
              </w:rPr>
              <w:t xml:space="preserve">Equity — </w:t>
            </w:r>
            <w:r>
              <w:rPr>
                <w:b/>
                <w:i w:val="0"/>
              </w:rPr>
              <w:t>a</w:t>
            </w:r>
            <w:r w:rsidRPr="004E27F9">
              <w:rPr>
                <w:b/>
                <w:i w:val="0"/>
              </w:rPr>
              <w:t>ccess indicators</w:t>
            </w:r>
          </w:p>
        </w:tc>
      </w:tr>
      <w:tr w:rsidR="00990C8F" w:rsidRPr="00B817EA" w:rsidTr="00EB6250">
        <w:trPr>
          <w:trHeight w:val="329"/>
        </w:trPr>
        <w:tc>
          <w:tcPr>
            <w:tcW w:w="5000" w:type="pct"/>
            <w:gridSpan w:val="26"/>
          </w:tcPr>
          <w:p w:rsidR="00990C8F" w:rsidRDefault="00990C8F" w:rsidP="005B2CB7">
            <w:pPr>
              <w:pStyle w:val="TableColumnHeading"/>
              <w:spacing w:after="0"/>
              <w:jc w:val="left"/>
            </w:pPr>
            <w:r>
              <w:t>P</w:t>
            </w:r>
            <w:r w:rsidRPr="004F4DD9">
              <w:t xml:space="preserve">articipation </w:t>
            </w:r>
            <w:r>
              <w:t>in government funded VET</w:t>
            </w:r>
            <w:r w:rsidRPr="004F4DD9">
              <w:t xml:space="preserve"> by target group</w:t>
            </w:r>
            <w:r>
              <w:t>s</w:t>
            </w:r>
          </w:p>
          <w:p w:rsidR="00990C8F" w:rsidRDefault="00990C8F" w:rsidP="005B2CB7">
            <w:pPr>
              <w:pStyle w:val="TableColumnHeading"/>
              <w:spacing w:before="0" w:after="0"/>
              <w:jc w:val="left"/>
            </w:pPr>
            <w:r w:rsidRPr="004821D5">
              <w:rPr>
                <w:i w:val="0"/>
                <w:sz w:val="16"/>
                <w:szCs w:val="16"/>
              </w:rPr>
              <w:t xml:space="preserve">Data for </w:t>
            </w:r>
            <w:r>
              <w:rPr>
                <w:i w:val="0"/>
                <w:sz w:val="16"/>
                <w:szCs w:val="16"/>
              </w:rPr>
              <w:t xml:space="preserve">this indicator </w:t>
            </w:r>
            <w:r w:rsidRPr="005509CC">
              <w:rPr>
                <w:i w:val="0"/>
                <w:sz w:val="16"/>
                <w:szCs w:val="16"/>
              </w:rPr>
              <w:t>are not directly comparable</w:t>
            </w:r>
            <w:r>
              <w:rPr>
                <w:i w:val="0"/>
                <w:sz w:val="16"/>
                <w:szCs w:val="16"/>
              </w:rPr>
              <w:t xml:space="preserve"> </w:t>
            </w:r>
            <w:r w:rsidRPr="004821D5">
              <w:rPr>
                <w:i w:val="0"/>
                <w:sz w:val="16"/>
                <w:szCs w:val="16"/>
              </w:rPr>
              <w:t xml:space="preserve"> (chapter </w:t>
            </w:r>
            <w:r>
              <w:rPr>
                <w:i w:val="0"/>
                <w:sz w:val="16"/>
                <w:szCs w:val="16"/>
              </w:rPr>
              <w:t>5</w:t>
            </w:r>
            <w:r w:rsidRPr="004821D5">
              <w:rPr>
                <w:i w:val="0"/>
                <w:sz w:val="16"/>
                <w:szCs w:val="16"/>
              </w:rPr>
              <w:t>)</w:t>
            </w:r>
          </w:p>
          <w:p w:rsidR="00990C8F" w:rsidRPr="00B817EA" w:rsidRDefault="00990C8F" w:rsidP="00A470BD">
            <w:pPr>
              <w:pStyle w:val="TableColumnHeading"/>
              <w:spacing w:before="0"/>
              <w:ind w:left="180"/>
              <w:jc w:val="left"/>
            </w:pPr>
            <w:r w:rsidRPr="005509CC">
              <w:rPr>
                <w:i w:val="0"/>
              </w:rPr>
              <w:t xml:space="preserve">Participation </w:t>
            </w:r>
            <w:r>
              <w:rPr>
                <w:i w:val="0"/>
              </w:rPr>
              <w:t xml:space="preserve">rate for </w:t>
            </w:r>
            <w:r w:rsidRPr="005509CC">
              <w:rPr>
                <w:i w:val="0"/>
              </w:rPr>
              <w:t>Indigenous Australians aged 15-64 years</w:t>
            </w:r>
            <w:r>
              <w:rPr>
                <w:i w:val="0"/>
              </w:rPr>
              <w:t xml:space="preserve"> (201</w:t>
            </w:r>
            <w:r w:rsidR="00A470BD">
              <w:rPr>
                <w:i w:val="0"/>
              </w:rPr>
              <w:t>2</w:t>
            </w:r>
            <w:r>
              <w:rPr>
                <w:i w:val="0"/>
              </w:rPr>
              <w:t>)</w:t>
            </w:r>
          </w:p>
        </w:tc>
      </w:tr>
      <w:tr w:rsidR="00716746" w:rsidRPr="004F4DD9" w:rsidTr="001E5768">
        <w:tc>
          <w:tcPr>
            <w:tcW w:w="12" w:type="pct"/>
            <w:shd w:val="clear" w:color="auto" w:fill="auto"/>
          </w:tcPr>
          <w:p w:rsidR="00716746" w:rsidRPr="004F4DD9" w:rsidRDefault="00716746" w:rsidP="005B2CB7">
            <w:pPr>
              <w:pStyle w:val="TableBodyText"/>
            </w:pPr>
          </w:p>
        </w:tc>
        <w:tc>
          <w:tcPr>
            <w:tcW w:w="152" w:type="pct"/>
            <w:gridSpan w:val="3"/>
          </w:tcPr>
          <w:p w:rsidR="00716746" w:rsidRPr="004F4DD9" w:rsidRDefault="00716746" w:rsidP="005B2CB7">
            <w:pPr>
              <w:pStyle w:val="TableBodyText"/>
            </w:pPr>
            <w:r w:rsidRPr="00B817EA">
              <w:t>%</w:t>
            </w:r>
          </w:p>
        </w:tc>
        <w:tc>
          <w:tcPr>
            <w:tcW w:w="577" w:type="pct"/>
            <w:gridSpan w:val="4"/>
            <w:vAlign w:val="center"/>
          </w:tcPr>
          <w:p w:rsidR="00716746" w:rsidRDefault="00716746" w:rsidP="00716746">
            <w:pPr>
              <w:pStyle w:val="TableBodyText"/>
            </w:pPr>
            <w:r>
              <w:t>27.1</w:t>
            </w:r>
          </w:p>
        </w:tc>
        <w:tc>
          <w:tcPr>
            <w:tcW w:w="456" w:type="pct"/>
            <w:gridSpan w:val="3"/>
            <w:vAlign w:val="center"/>
          </w:tcPr>
          <w:p w:rsidR="00716746" w:rsidRDefault="00716746" w:rsidP="00716746">
            <w:pPr>
              <w:pStyle w:val="TableBodyText"/>
            </w:pPr>
            <w:r>
              <w:t>25.4</w:t>
            </w:r>
          </w:p>
        </w:tc>
        <w:tc>
          <w:tcPr>
            <w:tcW w:w="531" w:type="pct"/>
            <w:gridSpan w:val="3"/>
            <w:vAlign w:val="center"/>
          </w:tcPr>
          <w:p w:rsidR="00716746" w:rsidRDefault="00716746" w:rsidP="00716746">
            <w:pPr>
              <w:pStyle w:val="TableBodyText"/>
            </w:pPr>
            <w:r>
              <w:t>14.9</w:t>
            </w:r>
          </w:p>
        </w:tc>
        <w:tc>
          <w:tcPr>
            <w:tcW w:w="458" w:type="pct"/>
            <w:gridSpan w:val="2"/>
            <w:vAlign w:val="center"/>
          </w:tcPr>
          <w:p w:rsidR="00716746" w:rsidRDefault="00716746" w:rsidP="00716746">
            <w:pPr>
              <w:pStyle w:val="TableBodyText"/>
            </w:pPr>
            <w:r>
              <w:t>24.4</w:t>
            </w:r>
          </w:p>
        </w:tc>
        <w:tc>
          <w:tcPr>
            <w:tcW w:w="514" w:type="pct"/>
            <w:gridSpan w:val="3"/>
            <w:vAlign w:val="center"/>
          </w:tcPr>
          <w:p w:rsidR="00716746" w:rsidRDefault="00716746" w:rsidP="00716746">
            <w:pPr>
              <w:pStyle w:val="TableBodyText"/>
            </w:pPr>
            <w:r>
              <w:t>28.1</w:t>
            </w:r>
          </w:p>
        </w:tc>
        <w:tc>
          <w:tcPr>
            <w:tcW w:w="475" w:type="pct"/>
            <w:gridSpan w:val="3"/>
            <w:vAlign w:val="center"/>
          </w:tcPr>
          <w:p w:rsidR="00716746" w:rsidRDefault="00716746" w:rsidP="00716746">
            <w:pPr>
              <w:pStyle w:val="TableBodyText"/>
            </w:pPr>
            <w:r>
              <w:t>12.0</w:t>
            </w:r>
          </w:p>
        </w:tc>
        <w:tc>
          <w:tcPr>
            <w:tcW w:w="469" w:type="pct"/>
            <w:vAlign w:val="center"/>
          </w:tcPr>
          <w:p w:rsidR="00716746" w:rsidRDefault="00716746" w:rsidP="00716746">
            <w:pPr>
              <w:pStyle w:val="TableBodyText"/>
            </w:pPr>
            <w:r>
              <w:t>24.1</w:t>
            </w:r>
          </w:p>
        </w:tc>
        <w:tc>
          <w:tcPr>
            <w:tcW w:w="456" w:type="pct"/>
            <w:vAlign w:val="center"/>
          </w:tcPr>
          <w:p w:rsidR="00716746" w:rsidRDefault="00716746" w:rsidP="00716746">
            <w:pPr>
              <w:pStyle w:val="TableBodyText"/>
            </w:pPr>
            <w:r>
              <w:t>19.9</w:t>
            </w:r>
          </w:p>
        </w:tc>
        <w:tc>
          <w:tcPr>
            <w:tcW w:w="380" w:type="pct"/>
            <w:vAlign w:val="center"/>
          </w:tcPr>
          <w:p w:rsidR="00716746" w:rsidRDefault="00716746" w:rsidP="00716746">
            <w:pPr>
              <w:pStyle w:val="TableBodyText"/>
            </w:pPr>
            <w:r>
              <w:t>21.7</w:t>
            </w:r>
          </w:p>
        </w:tc>
        <w:tc>
          <w:tcPr>
            <w:tcW w:w="521" w:type="pct"/>
          </w:tcPr>
          <w:p w:rsidR="00716746" w:rsidRPr="004F4DD9" w:rsidRDefault="00716746" w:rsidP="00780B9F">
            <w:pPr>
              <w:pStyle w:val="TableBodyText"/>
            </w:pPr>
            <w:r>
              <w:t>5A.10</w:t>
            </w:r>
          </w:p>
        </w:tc>
      </w:tr>
      <w:tr w:rsidR="00990C8F" w:rsidRPr="004E27F9" w:rsidTr="00EB6250">
        <w:trPr>
          <w:trHeight w:val="329"/>
        </w:trPr>
        <w:tc>
          <w:tcPr>
            <w:tcW w:w="5000" w:type="pct"/>
            <w:gridSpan w:val="26"/>
          </w:tcPr>
          <w:p w:rsidR="00990C8F" w:rsidRPr="004E27F9" w:rsidRDefault="00990C8F" w:rsidP="005B2CB7">
            <w:pPr>
              <w:pStyle w:val="TableColumnHeading"/>
              <w:jc w:val="left"/>
              <w:rPr>
                <w:b/>
                <w:i w:val="0"/>
              </w:rPr>
            </w:pPr>
            <w:r>
              <w:rPr>
                <w:b/>
                <w:i w:val="0"/>
              </w:rPr>
              <w:t>Effectiveness</w:t>
            </w:r>
            <w:r w:rsidRPr="004E27F9">
              <w:rPr>
                <w:b/>
                <w:i w:val="0"/>
              </w:rPr>
              <w:t xml:space="preserve"> indicators</w:t>
            </w:r>
          </w:p>
        </w:tc>
      </w:tr>
      <w:tr w:rsidR="00990C8F" w:rsidRPr="00B817EA" w:rsidTr="00EB6250">
        <w:trPr>
          <w:trHeight w:val="329"/>
        </w:trPr>
        <w:tc>
          <w:tcPr>
            <w:tcW w:w="5000" w:type="pct"/>
            <w:gridSpan w:val="26"/>
          </w:tcPr>
          <w:p w:rsidR="00990C8F" w:rsidRDefault="00990C8F" w:rsidP="005B2CB7">
            <w:pPr>
              <w:pStyle w:val="TableColumnHeading"/>
              <w:spacing w:after="0"/>
              <w:jc w:val="left"/>
            </w:pPr>
            <w:r>
              <w:t>P</w:t>
            </w:r>
            <w:r w:rsidRPr="004F4DD9">
              <w:t xml:space="preserve">articipation in </w:t>
            </w:r>
            <w:r>
              <w:t>government funded</w:t>
            </w:r>
            <w:r w:rsidRPr="004F4DD9">
              <w:t xml:space="preserve"> VET</w:t>
            </w:r>
          </w:p>
          <w:p w:rsidR="00990C8F" w:rsidRDefault="00990C8F" w:rsidP="005B2CB7">
            <w:pPr>
              <w:pStyle w:val="TableColumnHeading"/>
              <w:spacing w:before="0" w:after="0"/>
              <w:jc w:val="left"/>
              <w:rPr>
                <w:i w:val="0"/>
                <w:sz w:val="16"/>
                <w:szCs w:val="16"/>
              </w:rPr>
            </w:pPr>
            <w:r w:rsidRPr="004821D5">
              <w:rPr>
                <w:i w:val="0"/>
                <w:sz w:val="16"/>
                <w:szCs w:val="16"/>
              </w:rPr>
              <w:t xml:space="preserve">Data for </w:t>
            </w:r>
            <w:r>
              <w:rPr>
                <w:i w:val="0"/>
                <w:sz w:val="16"/>
                <w:szCs w:val="16"/>
              </w:rPr>
              <w:t>this indicator are</w:t>
            </w:r>
            <w:r w:rsidRPr="004821D5">
              <w:rPr>
                <w:i w:val="0"/>
                <w:sz w:val="16"/>
                <w:szCs w:val="16"/>
              </w:rPr>
              <w:t xml:space="preserve"> comparable</w:t>
            </w:r>
            <w:r>
              <w:rPr>
                <w:i w:val="0"/>
                <w:sz w:val="16"/>
                <w:szCs w:val="16"/>
              </w:rPr>
              <w:t>, subject to caveats</w:t>
            </w:r>
            <w:r w:rsidRPr="004821D5">
              <w:rPr>
                <w:i w:val="0"/>
                <w:sz w:val="16"/>
                <w:szCs w:val="16"/>
              </w:rPr>
              <w:t xml:space="preserve"> (chapter </w:t>
            </w:r>
            <w:r>
              <w:rPr>
                <w:i w:val="0"/>
                <w:sz w:val="16"/>
                <w:szCs w:val="16"/>
              </w:rPr>
              <w:t>5</w:t>
            </w:r>
            <w:r w:rsidRPr="004821D5">
              <w:rPr>
                <w:i w:val="0"/>
                <w:sz w:val="16"/>
                <w:szCs w:val="16"/>
              </w:rPr>
              <w:t>)</w:t>
            </w:r>
          </w:p>
          <w:p w:rsidR="00990C8F" w:rsidRPr="00B817EA" w:rsidRDefault="00990C8F" w:rsidP="00716746">
            <w:pPr>
              <w:pStyle w:val="TableColumnHeading"/>
              <w:spacing w:before="0"/>
              <w:ind w:left="180"/>
              <w:jc w:val="left"/>
            </w:pPr>
            <w:r w:rsidRPr="005509CC">
              <w:rPr>
                <w:i w:val="0"/>
              </w:rPr>
              <w:t xml:space="preserve">Participation </w:t>
            </w:r>
            <w:r>
              <w:rPr>
                <w:i w:val="0"/>
              </w:rPr>
              <w:t xml:space="preserve">rate for the population aged </w:t>
            </w:r>
            <w:r w:rsidRPr="005509CC">
              <w:rPr>
                <w:i w:val="0"/>
              </w:rPr>
              <w:t>15-64 years</w:t>
            </w:r>
            <w:r>
              <w:rPr>
                <w:i w:val="0"/>
              </w:rPr>
              <w:t xml:space="preserve"> (</w:t>
            </w:r>
            <w:r w:rsidR="00475DBA">
              <w:rPr>
                <w:i w:val="0"/>
              </w:rPr>
              <w:t>201</w:t>
            </w:r>
            <w:r w:rsidR="00716746">
              <w:rPr>
                <w:i w:val="0"/>
              </w:rPr>
              <w:t>2</w:t>
            </w:r>
            <w:r>
              <w:rPr>
                <w:i w:val="0"/>
              </w:rPr>
              <w:t>)</w:t>
            </w:r>
          </w:p>
        </w:tc>
      </w:tr>
      <w:tr w:rsidR="00716746" w:rsidRPr="004F4DD9" w:rsidTr="001E5768">
        <w:tc>
          <w:tcPr>
            <w:tcW w:w="12" w:type="pct"/>
            <w:shd w:val="clear" w:color="auto" w:fill="auto"/>
          </w:tcPr>
          <w:p w:rsidR="00716746" w:rsidRPr="004F4DD9" w:rsidRDefault="00716746" w:rsidP="005B2CB7">
            <w:pPr>
              <w:pStyle w:val="TableBodyText"/>
            </w:pPr>
          </w:p>
        </w:tc>
        <w:tc>
          <w:tcPr>
            <w:tcW w:w="152" w:type="pct"/>
            <w:gridSpan w:val="3"/>
          </w:tcPr>
          <w:p w:rsidR="00716746" w:rsidRPr="004F4DD9" w:rsidRDefault="00716746" w:rsidP="005B2CB7">
            <w:pPr>
              <w:pStyle w:val="TableBodyText"/>
            </w:pPr>
            <w:r w:rsidRPr="00B817EA">
              <w:t>%</w:t>
            </w:r>
          </w:p>
        </w:tc>
        <w:tc>
          <w:tcPr>
            <w:tcW w:w="577" w:type="pct"/>
            <w:gridSpan w:val="4"/>
            <w:vAlign w:val="center"/>
          </w:tcPr>
          <w:p w:rsidR="00716746" w:rsidRDefault="00716746" w:rsidP="00716746">
            <w:pPr>
              <w:pStyle w:val="TableBodyText"/>
            </w:pPr>
            <w:r>
              <w:t>9.4</w:t>
            </w:r>
          </w:p>
        </w:tc>
        <w:tc>
          <w:tcPr>
            <w:tcW w:w="456" w:type="pct"/>
            <w:gridSpan w:val="3"/>
            <w:vAlign w:val="center"/>
          </w:tcPr>
          <w:p w:rsidR="00716746" w:rsidRDefault="00716746" w:rsidP="00716746">
            <w:pPr>
              <w:pStyle w:val="TableBodyText"/>
            </w:pPr>
            <w:r>
              <w:t>12.8</w:t>
            </w:r>
          </w:p>
        </w:tc>
        <w:tc>
          <w:tcPr>
            <w:tcW w:w="531" w:type="pct"/>
            <w:gridSpan w:val="3"/>
            <w:vAlign w:val="center"/>
          </w:tcPr>
          <w:p w:rsidR="00716746" w:rsidRDefault="00716746" w:rsidP="00716746">
            <w:pPr>
              <w:pStyle w:val="TableBodyText"/>
            </w:pPr>
            <w:r>
              <w:t>7.7</w:t>
            </w:r>
          </w:p>
        </w:tc>
        <w:tc>
          <w:tcPr>
            <w:tcW w:w="458" w:type="pct"/>
            <w:gridSpan w:val="2"/>
            <w:vAlign w:val="center"/>
          </w:tcPr>
          <w:p w:rsidR="00716746" w:rsidRDefault="00716746" w:rsidP="00716746">
            <w:pPr>
              <w:pStyle w:val="TableBodyText"/>
            </w:pPr>
            <w:r>
              <w:t>8.6</w:t>
            </w:r>
          </w:p>
        </w:tc>
        <w:tc>
          <w:tcPr>
            <w:tcW w:w="514" w:type="pct"/>
            <w:gridSpan w:val="3"/>
            <w:vAlign w:val="center"/>
          </w:tcPr>
          <w:p w:rsidR="00716746" w:rsidRDefault="00716746" w:rsidP="00716746">
            <w:pPr>
              <w:pStyle w:val="TableBodyText"/>
            </w:pPr>
            <w:r>
              <w:t>11.0</w:t>
            </w:r>
          </w:p>
        </w:tc>
        <w:tc>
          <w:tcPr>
            <w:tcW w:w="475" w:type="pct"/>
            <w:gridSpan w:val="3"/>
            <w:vAlign w:val="center"/>
          </w:tcPr>
          <w:p w:rsidR="00716746" w:rsidRDefault="00716746" w:rsidP="00716746">
            <w:pPr>
              <w:pStyle w:val="TableBodyText"/>
            </w:pPr>
            <w:r>
              <w:t>9.5</w:t>
            </w:r>
          </w:p>
        </w:tc>
        <w:tc>
          <w:tcPr>
            <w:tcW w:w="469" w:type="pct"/>
            <w:vAlign w:val="center"/>
          </w:tcPr>
          <w:p w:rsidR="00716746" w:rsidRDefault="00716746" w:rsidP="00716746">
            <w:pPr>
              <w:pStyle w:val="TableBodyText"/>
            </w:pPr>
            <w:r>
              <w:t>8.8</w:t>
            </w:r>
          </w:p>
        </w:tc>
        <w:tc>
          <w:tcPr>
            <w:tcW w:w="456" w:type="pct"/>
            <w:vAlign w:val="center"/>
          </w:tcPr>
          <w:p w:rsidR="00716746" w:rsidRDefault="00716746" w:rsidP="00716746">
            <w:pPr>
              <w:pStyle w:val="TableBodyText"/>
            </w:pPr>
            <w:r>
              <w:t>12.5</w:t>
            </w:r>
          </w:p>
        </w:tc>
        <w:tc>
          <w:tcPr>
            <w:tcW w:w="380" w:type="pct"/>
            <w:vAlign w:val="center"/>
          </w:tcPr>
          <w:p w:rsidR="00716746" w:rsidRDefault="00716746" w:rsidP="00716746">
            <w:pPr>
              <w:pStyle w:val="TableBodyText"/>
            </w:pPr>
            <w:r>
              <w:t>10.0</w:t>
            </w:r>
          </w:p>
        </w:tc>
        <w:tc>
          <w:tcPr>
            <w:tcW w:w="521" w:type="pct"/>
          </w:tcPr>
          <w:p w:rsidR="00716746" w:rsidRPr="004F4DD9" w:rsidRDefault="00716746" w:rsidP="005B2CB7">
            <w:pPr>
              <w:pStyle w:val="TableBodyText"/>
            </w:pPr>
            <w:r>
              <w:t>5A.9</w:t>
            </w:r>
          </w:p>
        </w:tc>
      </w:tr>
      <w:tr w:rsidR="00990C8F" w:rsidRPr="004E27F9" w:rsidTr="00EB6250">
        <w:trPr>
          <w:trHeight w:val="329"/>
        </w:trPr>
        <w:tc>
          <w:tcPr>
            <w:tcW w:w="5000" w:type="pct"/>
            <w:gridSpan w:val="26"/>
          </w:tcPr>
          <w:p w:rsidR="00990C8F" w:rsidRPr="004E27F9" w:rsidRDefault="00990C8F" w:rsidP="005B2CB7">
            <w:pPr>
              <w:pStyle w:val="TableColumnHeading"/>
              <w:jc w:val="left"/>
              <w:rPr>
                <w:b/>
                <w:i w:val="0"/>
              </w:rPr>
            </w:pPr>
            <w:r>
              <w:rPr>
                <w:b/>
                <w:i w:val="0"/>
              </w:rPr>
              <w:t>Efficiency</w:t>
            </w:r>
            <w:r w:rsidRPr="004E27F9">
              <w:rPr>
                <w:b/>
                <w:i w:val="0"/>
              </w:rPr>
              <w:t xml:space="preserve"> indicators</w:t>
            </w:r>
          </w:p>
        </w:tc>
      </w:tr>
      <w:tr w:rsidR="00990C8F" w:rsidRPr="00B817EA" w:rsidTr="00EB6250">
        <w:trPr>
          <w:trHeight w:val="329"/>
        </w:trPr>
        <w:tc>
          <w:tcPr>
            <w:tcW w:w="5000" w:type="pct"/>
            <w:gridSpan w:val="26"/>
          </w:tcPr>
          <w:p w:rsidR="00990C8F" w:rsidRDefault="00990C8F" w:rsidP="005B2CB7">
            <w:pPr>
              <w:pStyle w:val="TableColumnHeading"/>
              <w:spacing w:after="0"/>
              <w:jc w:val="left"/>
            </w:pPr>
            <w:r w:rsidRPr="00632B04">
              <w:t xml:space="preserve">Government recurrent expenditure per </w:t>
            </w:r>
            <w:r>
              <w:t xml:space="preserve">government funded </w:t>
            </w:r>
            <w:r w:rsidRPr="00632B04">
              <w:t>annual hour</w:t>
            </w:r>
            <w:r>
              <w:t xml:space="preserve"> </w:t>
            </w:r>
            <w:r w:rsidRPr="00ED4203">
              <w:rPr>
                <w:i w:val="0"/>
              </w:rPr>
              <w:t>(</w:t>
            </w:r>
            <w:r w:rsidR="00475DBA">
              <w:rPr>
                <w:i w:val="0"/>
              </w:rPr>
              <w:t>201</w:t>
            </w:r>
            <w:r w:rsidR="00716746">
              <w:rPr>
                <w:i w:val="0"/>
              </w:rPr>
              <w:t>2</w:t>
            </w:r>
            <w:r>
              <w:rPr>
                <w:i w:val="0"/>
              </w:rPr>
              <w:t>)</w:t>
            </w:r>
          </w:p>
          <w:p w:rsidR="00990C8F" w:rsidRPr="00B817EA" w:rsidRDefault="00990C8F" w:rsidP="005B2CB7">
            <w:pPr>
              <w:pStyle w:val="TableColumnHeading"/>
              <w:spacing w:before="0"/>
              <w:jc w:val="left"/>
            </w:pPr>
            <w:r w:rsidRPr="004821D5">
              <w:rPr>
                <w:i w:val="0"/>
                <w:sz w:val="16"/>
                <w:szCs w:val="16"/>
              </w:rPr>
              <w:t xml:space="preserve">Data for </w:t>
            </w:r>
            <w:r>
              <w:rPr>
                <w:i w:val="0"/>
                <w:sz w:val="16"/>
                <w:szCs w:val="16"/>
              </w:rPr>
              <w:t>this indicator are</w:t>
            </w:r>
            <w:r w:rsidRPr="004821D5">
              <w:rPr>
                <w:i w:val="0"/>
                <w:sz w:val="16"/>
                <w:szCs w:val="16"/>
              </w:rPr>
              <w:t xml:space="preserve"> comparable</w:t>
            </w:r>
            <w:r>
              <w:rPr>
                <w:i w:val="0"/>
                <w:sz w:val="16"/>
                <w:szCs w:val="16"/>
              </w:rPr>
              <w:t>, subject to caveats</w:t>
            </w:r>
            <w:r w:rsidRPr="004821D5">
              <w:rPr>
                <w:i w:val="0"/>
                <w:sz w:val="16"/>
                <w:szCs w:val="16"/>
              </w:rPr>
              <w:t xml:space="preserve"> (chapter </w:t>
            </w:r>
            <w:r>
              <w:rPr>
                <w:i w:val="0"/>
                <w:sz w:val="16"/>
                <w:szCs w:val="16"/>
              </w:rPr>
              <w:t>5</w:t>
            </w:r>
            <w:r w:rsidRPr="004821D5">
              <w:rPr>
                <w:i w:val="0"/>
                <w:sz w:val="16"/>
                <w:szCs w:val="16"/>
              </w:rPr>
              <w:t>)</w:t>
            </w:r>
          </w:p>
        </w:tc>
      </w:tr>
      <w:tr w:rsidR="00716746" w:rsidRPr="004F4DD9" w:rsidTr="001E5768">
        <w:tc>
          <w:tcPr>
            <w:tcW w:w="12" w:type="pct"/>
            <w:shd w:val="clear" w:color="auto" w:fill="auto"/>
          </w:tcPr>
          <w:p w:rsidR="00716746" w:rsidRPr="004F4DD9" w:rsidRDefault="00716746" w:rsidP="005B2CB7">
            <w:pPr>
              <w:pStyle w:val="TableBodyText"/>
            </w:pPr>
          </w:p>
        </w:tc>
        <w:tc>
          <w:tcPr>
            <w:tcW w:w="148" w:type="pct"/>
            <w:gridSpan w:val="2"/>
            <w:vAlign w:val="center"/>
          </w:tcPr>
          <w:p w:rsidR="00716746" w:rsidRPr="004F4DD9" w:rsidRDefault="00716746" w:rsidP="00D162A8">
            <w:pPr>
              <w:pStyle w:val="TableBodyText"/>
              <w:jc w:val="center"/>
            </w:pPr>
            <w:r>
              <w:t>$</w:t>
            </w:r>
          </w:p>
        </w:tc>
        <w:tc>
          <w:tcPr>
            <w:tcW w:w="581" w:type="pct"/>
            <w:gridSpan w:val="5"/>
            <w:vAlign w:val="center"/>
          </w:tcPr>
          <w:p w:rsidR="00716746" w:rsidRDefault="00716746" w:rsidP="00716746">
            <w:pPr>
              <w:pStyle w:val="TableBodyText"/>
            </w:pPr>
            <w:r>
              <w:t xml:space="preserve">  12.65</w:t>
            </w:r>
          </w:p>
        </w:tc>
        <w:tc>
          <w:tcPr>
            <w:tcW w:w="456" w:type="pct"/>
            <w:gridSpan w:val="3"/>
            <w:vAlign w:val="center"/>
          </w:tcPr>
          <w:p w:rsidR="00716746" w:rsidRDefault="00716746" w:rsidP="00716746">
            <w:pPr>
              <w:pStyle w:val="TableBodyText"/>
            </w:pPr>
            <w:r>
              <w:t xml:space="preserve">  10.62</w:t>
            </w:r>
          </w:p>
        </w:tc>
        <w:tc>
          <w:tcPr>
            <w:tcW w:w="531" w:type="pct"/>
            <w:gridSpan w:val="3"/>
            <w:vAlign w:val="center"/>
          </w:tcPr>
          <w:p w:rsidR="00716746" w:rsidRDefault="00716746" w:rsidP="00716746">
            <w:pPr>
              <w:pStyle w:val="TableBodyText"/>
            </w:pPr>
            <w:r>
              <w:t xml:space="preserve">  15.98</w:t>
            </w:r>
          </w:p>
        </w:tc>
        <w:tc>
          <w:tcPr>
            <w:tcW w:w="458" w:type="pct"/>
            <w:gridSpan w:val="2"/>
            <w:vAlign w:val="center"/>
          </w:tcPr>
          <w:p w:rsidR="00716746" w:rsidRDefault="00716746" w:rsidP="00716746">
            <w:pPr>
              <w:pStyle w:val="TableBodyText"/>
            </w:pPr>
            <w:r>
              <w:t xml:space="preserve">  14.99</w:t>
            </w:r>
          </w:p>
        </w:tc>
        <w:tc>
          <w:tcPr>
            <w:tcW w:w="514" w:type="pct"/>
            <w:gridSpan w:val="3"/>
            <w:vAlign w:val="center"/>
          </w:tcPr>
          <w:p w:rsidR="00716746" w:rsidRDefault="00716746" w:rsidP="00716746">
            <w:pPr>
              <w:pStyle w:val="TableBodyText"/>
            </w:pPr>
            <w:r>
              <w:t xml:space="preserve">  10.57</w:t>
            </w:r>
          </w:p>
        </w:tc>
        <w:tc>
          <w:tcPr>
            <w:tcW w:w="475" w:type="pct"/>
            <w:gridSpan w:val="3"/>
            <w:vAlign w:val="center"/>
          </w:tcPr>
          <w:p w:rsidR="00716746" w:rsidRDefault="00716746" w:rsidP="00716746">
            <w:pPr>
              <w:pStyle w:val="TableBodyText"/>
            </w:pPr>
            <w:r>
              <w:t xml:space="preserve">  14.17</w:t>
            </w:r>
          </w:p>
        </w:tc>
        <w:tc>
          <w:tcPr>
            <w:tcW w:w="469" w:type="pct"/>
            <w:vAlign w:val="center"/>
          </w:tcPr>
          <w:p w:rsidR="00716746" w:rsidRDefault="00716746" w:rsidP="00716746">
            <w:pPr>
              <w:pStyle w:val="TableBodyText"/>
            </w:pPr>
            <w:r>
              <w:t xml:space="preserve">  18.29</w:t>
            </w:r>
          </w:p>
        </w:tc>
        <w:tc>
          <w:tcPr>
            <w:tcW w:w="456" w:type="pct"/>
            <w:vAlign w:val="center"/>
          </w:tcPr>
          <w:p w:rsidR="00716746" w:rsidRDefault="00716746" w:rsidP="00716746">
            <w:pPr>
              <w:pStyle w:val="TableBodyText"/>
            </w:pPr>
            <w:r>
              <w:t xml:space="preserve">  26.09</w:t>
            </w:r>
          </w:p>
        </w:tc>
        <w:tc>
          <w:tcPr>
            <w:tcW w:w="380" w:type="pct"/>
            <w:vAlign w:val="center"/>
          </w:tcPr>
          <w:p w:rsidR="00716746" w:rsidRDefault="00716746" w:rsidP="00716746">
            <w:pPr>
              <w:pStyle w:val="TableBodyText"/>
            </w:pPr>
            <w:r>
              <w:t xml:space="preserve"> 12.62</w:t>
            </w:r>
          </w:p>
        </w:tc>
        <w:tc>
          <w:tcPr>
            <w:tcW w:w="521" w:type="pct"/>
          </w:tcPr>
          <w:p w:rsidR="00716746" w:rsidRPr="004F4DD9" w:rsidRDefault="00716746" w:rsidP="005B2CB7">
            <w:pPr>
              <w:pStyle w:val="TableBodyText"/>
            </w:pPr>
            <w:r>
              <w:t>5A.19</w:t>
            </w:r>
          </w:p>
        </w:tc>
      </w:tr>
      <w:tr w:rsidR="00990C8F" w:rsidRPr="00B817EA" w:rsidTr="00EB6250">
        <w:trPr>
          <w:trHeight w:val="329"/>
        </w:trPr>
        <w:tc>
          <w:tcPr>
            <w:tcW w:w="5000" w:type="pct"/>
            <w:gridSpan w:val="26"/>
          </w:tcPr>
          <w:p w:rsidR="00990C8F" w:rsidRDefault="00990C8F" w:rsidP="005B2CB7">
            <w:pPr>
              <w:pStyle w:val="TableColumnHeading"/>
              <w:spacing w:after="0"/>
              <w:jc w:val="left"/>
            </w:pPr>
            <w:r w:rsidRPr="00632B04">
              <w:t xml:space="preserve">Government recurrent expenditure per </w:t>
            </w:r>
            <w:r>
              <w:t xml:space="preserve">government funded load pass </w:t>
            </w:r>
            <w:r w:rsidRPr="00ED4203">
              <w:rPr>
                <w:i w:val="0"/>
              </w:rPr>
              <w:t>(</w:t>
            </w:r>
            <w:r w:rsidR="00475DBA">
              <w:rPr>
                <w:i w:val="0"/>
              </w:rPr>
              <w:t>201</w:t>
            </w:r>
            <w:r w:rsidR="00716746">
              <w:rPr>
                <w:i w:val="0"/>
              </w:rPr>
              <w:t>2</w:t>
            </w:r>
            <w:r>
              <w:rPr>
                <w:i w:val="0"/>
              </w:rPr>
              <w:t>)</w:t>
            </w:r>
          </w:p>
          <w:p w:rsidR="00990C8F" w:rsidRPr="00B817EA" w:rsidRDefault="00990C8F" w:rsidP="005B2CB7">
            <w:pPr>
              <w:pStyle w:val="TableColumnHeading"/>
              <w:spacing w:before="0"/>
              <w:jc w:val="left"/>
            </w:pPr>
            <w:r w:rsidRPr="004821D5">
              <w:rPr>
                <w:i w:val="0"/>
                <w:sz w:val="16"/>
                <w:szCs w:val="16"/>
              </w:rPr>
              <w:t xml:space="preserve">Data for </w:t>
            </w:r>
            <w:r>
              <w:rPr>
                <w:i w:val="0"/>
                <w:sz w:val="16"/>
                <w:szCs w:val="16"/>
              </w:rPr>
              <w:t>this indicator are</w:t>
            </w:r>
            <w:r w:rsidRPr="004821D5">
              <w:rPr>
                <w:i w:val="0"/>
                <w:sz w:val="16"/>
                <w:szCs w:val="16"/>
              </w:rPr>
              <w:t xml:space="preserve"> comparable</w:t>
            </w:r>
            <w:r>
              <w:rPr>
                <w:i w:val="0"/>
                <w:sz w:val="16"/>
                <w:szCs w:val="16"/>
              </w:rPr>
              <w:t>, subject to caveats</w:t>
            </w:r>
            <w:r w:rsidRPr="004821D5">
              <w:rPr>
                <w:i w:val="0"/>
                <w:sz w:val="16"/>
                <w:szCs w:val="16"/>
              </w:rPr>
              <w:t xml:space="preserve"> (chapter </w:t>
            </w:r>
            <w:r>
              <w:rPr>
                <w:i w:val="0"/>
                <w:sz w:val="16"/>
                <w:szCs w:val="16"/>
              </w:rPr>
              <w:t>5</w:t>
            </w:r>
            <w:r w:rsidRPr="004821D5">
              <w:rPr>
                <w:i w:val="0"/>
                <w:sz w:val="16"/>
                <w:szCs w:val="16"/>
              </w:rPr>
              <w:t>)</w:t>
            </w:r>
          </w:p>
        </w:tc>
      </w:tr>
      <w:tr w:rsidR="00716746" w:rsidRPr="004F4DD9" w:rsidTr="001E5768">
        <w:tc>
          <w:tcPr>
            <w:tcW w:w="12" w:type="pct"/>
            <w:shd w:val="clear" w:color="auto" w:fill="auto"/>
          </w:tcPr>
          <w:p w:rsidR="00716746" w:rsidRPr="004F4DD9" w:rsidRDefault="00716746" w:rsidP="005B2CB7">
            <w:pPr>
              <w:pStyle w:val="TableBodyText"/>
            </w:pPr>
          </w:p>
        </w:tc>
        <w:tc>
          <w:tcPr>
            <w:tcW w:w="148" w:type="pct"/>
            <w:gridSpan w:val="2"/>
          </w:tcPr>
          <w:p w:rsidR="00716746" w:rsidRPr="004F4DD9" w:rsidRDefault="00716746" w:rsidP="005B2CB7">
            <w:pPr>
              <w:pStyle w:val="TableBodyText"/>
            </w:pPr>
            <w:r>
              <w:t>$</w:t>
            </w:r>
          </w:p>
        </w:tc>
        <w:tc>
          <w:tcPr>
            <w:tcW w:w="581" w:type="pct"/>
            <w:gridSpan w:val="5"/>
            <w:vAlign w:val="bottom"/>
          </w:tcPr>
          <w:p w:rsidR="00716746" w:rsidRDefault="00716746" w:rsidP="00716746">
            <w:pPr>
              <w:pStyle w:val="TableBodyText"/>
            </w:pPr>
            <w:r>
              <w:t>16.36</w:t>
            </w:r>
          </w:p>
        </w:tc>
        <w:tc>
          <w:tcPr>
            <w:tcW w:w="456" w:type="pct"/>
            <w:gridSpan w:val="3"/>
            <w:vAlign w:val="bottom"/>
          </w:tcPr>
          <w:p w:rsidR="00716746" w:rsidRDefault="00716746" w:rsidP="00716746">
            <w:pPr>
              <w:pStyle w:val="TableBodyText"/>
            </w:pPr>
            <w:r>
              <w:t>12.56</w:t>
            </w:r>
          </w:p>
        </w:tc>
        <w:tc>
          <w:tcPr>
            <w:tcW w:w="531" w:type="pct"/>
            <w:gridSpan w:val="3"/>
            <w:vAlign w:val="bottom"/>
          </w:tcPr>
          <w:p w:rsidR="00716746" w:rsidRDefault="00716746" w:rsidP="00716746">
            <w:pPr>
              <w:pStyle w:val="TableBodyText"/>
            </w:pPr>
            <w:r>
              <w:t>18.76</w:t>
            </w:r>
          </w:p>
        </w:tc>
        <w:tc>
          <w:tcPr>
            <w:tcW w:w="458" w:type="pct"/>
            <w:gridSpan w:val="2"/>
            <w:vAlign w:val="bottom"/>
          </w:tcPr>
          <w:p w:rsidR="00716746" w:rsidRDefault="00716746" w:rsidP="00716746">
            <w:pPr>
              <w:pStyle w:val="TableBodyText"/>
            </w:pPr>
            <w:r>
              <w:t>19.22</w:t>
            </w:r>
          </w:p>
        </w:tc>
        <w:tc>
          <w:tcPr>
            <w:tcW w:w="514" w:type="pct"/>
            <w:gridSpan w:val="3"/>
            <w:vAlign w:val="bottom"/>
          </w:tcPr>
          <w:p w:rsidR="00716746" w:rsidRDefault="00716746" w:rsidP="00716746">
            <w:pPr>
              <w:pStyle w:val="TableBodyText"/>
            </w:pPr>
            <w:r>
              <w:t>12.04</w:t>
            </w:r>
          </w:p>
        </w:tc>
        <w:tc>
          <w:tcPr>
            <w:tcW w:w="475" w:type="pct"/>
            <w:gridSpan w:val="3"/>
            <w:vAlign w:val="bottom"/>
          </w:tcPr>
          <w:p w:rsidR="00716746" w:rsidRDefault="00716746" w:rsidP="00716746">
            <w:pPr>
              <w:pStyle w:val="TableBodyText"/>
            </w:pPr>
            <w:r>
              <w:t>17.72</w:t>
            </w:r>
          </w:p>
        </w:tc>
        <w:tc>
          <w:tcPr>
            <w:tcW w:w="469" w:type="pct"/>
            <w:vAlign w:val="bottom"/>
          </w:tcPr>
          <w:p w:rsidR="00716746" w:rsidRDefault="00716746" w:rsidP="00716746">
            <w:pPr>
              <w:pStyle w:val="TableBodyText"/>
            </w:pPr>
            <w:r>
              <w:t>21.83</w:t>
            </w:r>
          </w:p>
        </w:tc>
        <w:tc>
          <w:tcPr>
            <w:tcW w:w="456" w:type="pct"/>
            <w:vAlign w:val="bottom"/>
          </w:tcPr>
          <w:p w:rsidR="00716746" w:rsidRDefault="00716746" w:rsidP="00716746">
            <w:pPr>
              <w:pStyle w:val="TableBodyText"/>
            </w:pPr>
            <w:r>
              <w:t>34.12</w:t>
            </w:r>
          </w:p>
        </w:tc>
        <w:tc>
          <w:tcPr>
            <w:tcW w:w="380" w:type="pct"/>
            <w:vAlign w:val="bottom"/>
          </w:tcPr>
          <w:p w:rsidR="00716746" w:rsidRDefault="00716746" w:rsidP="00716746">
            <w:pPr>
              <w:pStyle w:val="TableBodyText"/>
            </w:pPr>
            <w:r>
              <w:t>15.39</w:t>
            </w:r>
          </w:p>
        </w:tc>
        <w:tc>
          <w:tcPr>
            <w:tcW w:w="521" w:type="pct"/>
          </w:tcPr>
          <w:p w:rsidR="00716746" w:rsidRPr="004F4DD9" w:rsidRDefault="00716746" w:rsidP="005B2CB7">
            <w:pPr>
              <w:pStyle w:val="TableBodyText"/>
            </w:pPr>
            <w:r>
              <w:t>5A.20</w:t>
            </w:r>
          </w:p>
        </w:tc>
      </w:tr>
      <w:tr w:rsidR="00990C8F" w:rsidRPr="00B817EA" w:rsidTr="00EB6250">
        <w:trPr>
          <w:trHeight w:val="329"/>
        </w:trPr>
        <w:tc>
          <w:tcPr>
            <w:tcW w:w="5000" w:type="pct"/>
            <w:gridSpan w:val="26"/>
          </w:tcPr>
          <w:p w:rsidR="00990C8F" w:rsidRDefault="00990C8F" w:rsidP="005B2CB7">
            <w:pPr>
              <w:pStyle w:val="TableColumnHeading"/>
              <w:spacing w:after="0"/>
              <w:jc w:val="left"/>
            </w:pPr>
            <w:r w:rsidRPr="004F4DD9">
              <w:t xml:space="preserve">User cost of capital per </w:t>
            </w:r>
            <w:r>
              <w:t xml:space="preserve">government funded </w:t>
            </w:r>
            <w:r w:rsidRPr="004F4DD9">
              <w:t>annual hour</w:t>
            </w:r>
            <w:r>
              <w:t xml:space="preserve"> </w:t>
            </w:r>
            <w:r w:rsidRPr="00ED4203">
              <w:rPr>
                <w:i w:val="0"/>
              </w:rPr>
              <w:t>(</w:t>
            </w:r>
            <w:r w:rsidR="00475DBA">
              <w:rPr>
                <w:i w:val="0"/>
              </w:rPr>
              <w:t>201</w:t>
            </w:r>
            <w:r w:rsidR="00716746">
              <w:rPr>
                <w:i w:val="0"/>
              </w:rPr>
              <w:t>2</w:t>
            </w:r>
            <w:r>
              <w:rPr>
                <w:i w:val="0"/>
              </w:rPr>
              <w:t>)</w:t>
            </w:r>
          </w:p>
          <w:p w:rsidR="00990C8F" w:rsidRPr="00B817EA" w:rsidRDefault="00990C8F" w:rsidP="005B2CB7">
            <w:pPr>
              <w:pStyle w:val="TableColumnHeading"/>
              <w:spacing w:before="0"/>
              <w:jc w:val="left"/>
            </w:pPr>
            <w:r w:rsidRPr="004821D5">
              <w:rPr>
                <w:i w:val="0"/>
                <w:sz w:val="16"/>
                <w:szCs w:val="16"/>
              </w:rPr>
              <w:t xml:space="preserve">Data for </w:t>
            </w:r>
            <w:r>
              <w:rPr>
                <w:i w:val="0"/>
                <w:sz w:val="16"/>
                <w:szCs w:val="16"/>
              </w:rPr>
              <w:t>this indicator are</w:t>
            </w:r>
            <w:r w:rsidRPr="004821D5">
              <w:rPr>
                <w:i w:val="0"/>
                <w:sz w:val="16"/>
                <w:szCs w:val="16"/>
              </w:rPr>
              <w:t xml:space="preserve"> comparable</w:t>
            </w:r>
            <w:r>
              <w:rPr>
                <w:i w:val="0"/>
                <w:sz w:val="16"/>
                <w:szCs w:val="16"/>
              </w:rPr>
              <w:t>, subject to caveats</w:t>
            </w:r>
            <w:r w:rsidRPr="004821D5">
              <w:rPr>
                <w:i w:val="0"/>
                <w:sz w:val="16"/>
                <w:szCs w:val="16"/>
              </w:rPr>
              <w:t xml:space="preserve"> (chapter </w:t>
            </w:r>
            <w:r>
              <w:rPr>
                <w:i w:val="0"/>
                <w:sz w:val="16"/>
                <w:szCs w:val="16"/>
              </w:rPr>
              <w:t>5</w:t>
            </w:r>
            <w:r w:rsidRPr="004821D5">
              <w:rPr>
                <w:i w:val="0"/>
                <w:sz w:val="16"/>
                <w:szCs w:val="16"/>
              </w:rPr>
              <w:t>)</w:t>
            </w:r>
          </w:p>
        </w:tc>
      </w:tr>
      <w:tr w:rsidR="00716746" w:rsidRPr="004F4DD9" w:rsidTr="001E5768">
        <w:tc>
          <w:tcPr>
            <w:tcW w:w="12" w:type="pct"/>
            <w:shd w:val="clear" w:color="auto" w:fill="auto"/>
          </w:tcPr>
          <w:p w:rsidR="00716746" w:rsidRPr="004F4DD9" w:rsidRDefault="00716746" w:rsidP="005B2CB7">
            <w:pPr>
              <w:pStyle w:val="TableBodyText"/>
            </w:pPr>
          </w:p>
        </w:tc>
        <w:tc>
          <w:tcPr>
            <w:tcW w:w="148" w:type="pct"/>
            <w:gridSpan w:val="2"/>
          </w:tcPr>
          <w:p w:rsidR="00716746" w:rsidRPr="004F4DD9" w:rsidRDefault="00716746" w:rsidP="005B2CB7">
            <w:pPr>
              <w:pStyle w:val="TableBodyText"/>
            </w:pPr>
            <w:r>
              <w:t>$</w:t>
            </w:r>
          </w:p>
        </w:tc>
        <w:tc>
          <w:tcPr>
            <w:tcW w:w="581" w:type="pct"/>
            <w:gridSpan w:val="5"/>
            <w:vAlign w:val="center"/>
          </w:tcPr>
          <w:p w:rsidR="00716746" w:rsidRDefault="00716746" w:rsidP="00716746">
            <w:pPr>
              <w:pStyle w:val="TableBodyText"/>
            </w:pPr>
            <w:r>
              <w:t>2.52</w:t>
            </w:r>
          </w:p>
        </w:tc>
        <w:tc>
          <w:tcPr>
            <w:tcW w:w="456" w:type="pct"/>
            <w:gridSpan w:val="3"/>
            <w:vAlign w:val="center"/>
          </w:tcPr>
          <w:p w:rsidR="00716746" w:rsidRDefault="00716746" w:rsidP="00716746">
            <w:pPr>
              <w:pStyle w:val="TableBodyText"/>
            </w:pPr>
            <w:r>
              <w:t>1.27</w:t>
            </w:r>
          </w:p>
        </w:tc>
        <w:tc>
          <w:tcPr>
            <w:tcW w:w="531" w:type="pct"/>
            <w:gridSpan w:val="3"/>
            <w:vAlign w:val="center"/>
          </w:tcPr>
          <w:p w:rsidR="00716746" w:rsidRDefault="00716746" w:rsidP="00716746">
            <w:pPr>
              <w:pStyle w:val="TableBodyText"/>
            </w:pPr>
            <w:r>
              <w:t>2.28</w:t>
            </w:r>
          </w:p>
        </w:tc>
        <w:tc>
          <w:tcPr>
            <w:tcW w:w="458" w:type="pct"/>
            <w:gridSpan w:val="2"/>
            <w:vAlign w:val="center"/>
          </w:tcPr>
          <w:p w:rsidR="00716746" w:rsidRDefault="00716746" w:rsidP="00716746">
            <w:pPr>
              <w:pStyle w:val="TableBodyText"/>
            </w:pPr>
            <w:r>
              <w:t>2.01</w:t>
            </w:r>
          </w:p>
        </w:tc>
        <w:tc>
          <w:tcPr>
            <w:tcW w:w="514" w:type="pct"/>
            <w:gridSpan w:val="3"/>
            <w:vAlign w:val="center"/>
          </w:tcPr>
          <w:p w:rsidR="00716746" w:rsidRDefault="00716746" w:rsidP="00716746">
            <w:pPr>
              <w:pStyle w:val="TableBodyText"/>
            </w:pPr>
            <w:r>
              <w:t>2.03</w:t>
            </w:r>
          </w:p>
        </w:tc>
        <w:tc>
          <w:tcPr>
            <w:tcW w:w="475" w:type="pct"/>
            <w:gridSpan w:val="3"/>
            <w:vAlign w:val="center"/>
          </w:tcPr>
          <w:p w:rsidR="00716746" w:rsidRDefault="00716746" w:rsidP="00716746">
            <w:pPr>
              <w:pStyle w:val="TableBodyText"/>
            </w:pPr>
            <w:r>
              <w:t>2.60</w:t>
            </w:r>
          </w:p>
        </w:tc>
        <w:tc>
          <w:tcPr>
            <w:tcW w:w="469" w:type="pct"/>
            <w:vAlign w:val="center"/>
          </w:tcPr>
          <w:p w:rsidR="00716746" w:rsidRDefault="00716746" w:rsidP="00716746">
            <w:pPr>
              <w:pStyle w:val="TableBodyText"/>
            </w:pPr>
            <w:r>
              <w:t>2.84</w:t>
            </w:r>
          </w:p>
        </w:tc>
        <w:tc>
          <w:tcPr>
            <w:tcW w:w="456" w:type="pct"/>
            <w:vAlign w:val="center"/>
          </w:tcPr>
          <w:p w:rsidR="00716746" w:rsidRDefault="00716746" w:rsidP="00716746">
            <w:pPr>
              <w:pStyle w:val="TableBodyText"/>
            </w:pPr>
            <w:r>
              <w:t>3.29</w:t>
            </w:r>
          </w:p>
        </w:tc>
        <w:tc>
          <w:tcPr>
            <w:tcW w:w="380" w:type="pct"/>
            <w:vAlign w:val="center"/>
          </w:tcPr>
          <w:p w:rsidR="00716746" w:rsidRDefault="00716746" w:rsidP="00716746">
            <w:pPr>
              <w:pStyle w:val="TableBodyText"/>
            </w:pPr>
            <w:r>
              <w:t>1.94</w:t>
            </w:r>
          </w:p>
        </w:tc>
        <w:tc>
          <w:tcPr>
            <w:tcW w:w="521" w:type="pct"/>
          </w:tcPr>
          <w:p w:rsidR="00716746" w:rsidRPr="004F4DD9" w:rsidRDefault="00716746" w:rsidP="005B2CB7">
            <w:pPr>
              <w:pStyle w:val="TableBodyText"/>
            </w:pPr>
            <w:r>
              <w:t>5A.21</w:t>
            </w:r>
          </w:p>
        </w:tc>
      </w:tr>
      <w:tr w:rsidR="00990C8F" w:rsidRPr="00B817EA" w:rsidTr="00EB6250">
        <w:trPr>
          <w:trHeight w:val="329"/>
        </w:trPr>
        <w:tc>
          <w:tcPr>
            <w:tcW w:w="5000" w:type="pct"/>
            <w:gridSpan w:val="26"/>
          </w:tcPr>
          <w:p w:rsidR="00990C8F" w:rsidRDefault="00990C8F" w:rsidP="005B2CB7">
            <w:pPr>
              <w:pStyle w:val="TableColumnHeading"/>
              <w:spacing w:after="0"/>
              <w:jc w:val="left"/>
            </w:pPr>
            <w:r w:rsidRPr="004F4DD9">
              <w:t xml:space="preserve">User cost of capital per </w:t>
            </w:r>
            <w:r>
              <w:t xml:space="preserve">government funded </w:t>
            </w:r>
            <w:r w:rsidRPr="004F4DD9">
              <w:t>load pass</w:t>
            </w:r>
            <w:r>
              <w:t xml:space="preserve"> </w:t>
            </w:r>
            <w:r w:rsidRPr="00ED4203">
              <w:rPr>
                <w:i w:val="0"/>
              </w:rPr>
              <w:t>(</w:t>
            </w:r>
            <w:r w:rsidR="00475DBA">
              <w:rPr>
                <w:i w:val="0"/>
              </w:rPr>
              <w:t>201</w:t>
            </w:r>
            <w:r w:rsidR="00716746">
              <w:rPr>
                <w:i w:val="0"/>
              </w:rPr>
              <w:t>2</w:t>
            </w:r>
            <w:r>
              <w:rPr>
                <w:i w:val="0"/>
              </w:rPr>
              <w:t>)</w:t>
            </w:r>
          </w:p>
          <w:p w:rsidR="00990C8F" w:rsidRPr="00B817EA" w:rsidRDefault="00990C8F" w:rsidP="005B2CB7">
            <w:pPr>
              <w:pStyle w:val="TableColumnHeading"/>
              <w:spacing w:before="0"/>
              <w:jc w:val="left"/>
            </w:pPr>
            <w:r w:rsidRPr="004821D5">
              <w:rPr>
                <w:i w:val="0"/>
                <w:sz w:val="16"/>
                <w:szCs w:val="16"/>
              </w:rPr>
              <w:t xml:space="preserve">Data for </w:t>
            </w:r>
            <w:r>
              <w:rPr>
                <w:i w:val="0"/>
                <w:sz w:val="16"/>
                <w:szCs w:val="16"/>
              </w:rPr>
              <w:t>this indicator are</w:t>
            </w:r>
            <w:r w:rsidRPr="004821D5">
              <w:rPr>
                <w:i w:val="0"/>
                <w:sz w:val="16"/>
                <w:szCs w:val="16"/>
              </w:rPr>
              <w:t xml:space="preserve"> comparable</w:t>
            </w:r>
            <w:r>
              <w:rPr>
                <w:i w:val="0"/>
                <w:sz w:val="16"/>
                <w:szCs w:val="16"/>
              </w:rPr>
              <w:t>, subject to caveats</w:t>
            </w:r>
            <w:r w:rsidRPr="004821D5">
              <w:rPr>
                <w:i w:val="0"/>
                <w:sz w:val="16"/>
                <w:szCs w:val="16"/>
              </w:rPr>
              <w:t xml:space="preserve"> (chapter </w:t>
            </w:r>
            <w:r>
              <w:rPr>
                <w:i w:val="0"/>
                <w:sz w:val="16"/>
                <w:szCs w:val="16"/>
              </w:rPr>
              <w:t>5</w:t>
            </w:r>
            <w:r w:rsidRPr="004821D5">
              <w:rPr>
                <w:i w:val="0"/>
                <w:sz w:val="16"/>
                <w:szCs w:val="16"/>
              </w:rPr>
              <w:t>)</w:t>
            </w:r>
          </w:p>
        </w:tc>
      </w:tr>
      <w:tr w:rsidR="001E5768" w:rsidRPr="004F4DD9" w:rsidTr="004B45D9">
        <w:tc>
          <w:tcPr>
            <w:tcW w:w="12" w:type="pct"/>
            <w:shd w:val="clear" w:color="auto" w:fill="auto"/>
          </w:tcPr>
          <w:p w:rsidR="001E5768" w:rsidRPr="004F4DD9" w:rsidRDefault="001E5768" w:rsidP="005B2CB7">
            <w:pPr>
              <w:pStyle w:val="TableBodyText"/>
            </w:pPr>
          </w:p>
        </w:tc>
        <w:tc>
          <w:tcPr>
            <w:tcW w:w="148" w:type="pct"/>
            <w:gridSpan w:val="2"/>
          </w:tcPr>
          <w:p w:rsidR="001E5768" w:rsidRPr="004F4DD9" w:rsidRDefault="001E5768" w:rsidP="005B2CB7">
            <w:pPr>
              <w:pStyle w:val="TableBodyText"/>
            </w:pPr>
            <w:r>
              <w:t>$</w:t>
            </w:r>
          </w:p>
        </w:tc>
        <w:tc>
          <w:tcPr>
            <w:tcW w:w="581" w:type="pct"/>
            <w:gridSpan w:val="5"/>
            <w:shd w:val="clear" w:color="auto" w:fill="FFFFFF" w:themeFill="background1"/>
            <w:vAlign w:val="bottom"/>
          </w:tcPr>
          <w:p w:rsidR="001E5768" w:rsidRDefault="001E5768" w:rsidP="001E5768">
            <w:pPr>
              <w:pStyle w:val="TableBodyText"/>
            </w:pPr>
            <w:r>
              <w:t>3.25</w:t>
            </w:r>
          </w:p>
        </w:tc>
        <w:tc>
          <w:tcPr>
            <w:tcW w:w="456" w:type="pct"/>
            <w:gridSpan w:val="3"/>
            <w:shd w:val="clear" w:color="auto" w:fill="FFFFFF" w:themeFill="background1"/>
            <w:vAlign w:val="bottom"/>
          </w:tcPr>
          <w:p w:rsidR="001E5768" w:rsidRDefault="001E5768" w:rsidP="001E5768">
            <w:pPr>
              <w:pStyle w:val="TableBodyText"/>
            </w:pPr>
            <w:r>
              <w:t>1.51</w:t>
            </w:r>
          </w:p>
        </w:tc>
        <w:tc>
          <w:tcPr>
            <w:tcW w:w="531" w:type="pct"/>
            <w:gridSpan w:val="3"/>
            <w:shd w:val="clear" w:color="auto" w:fill="FFFFFF" w:themeFill="background1"/>
            <w:vAlign w:val="bottom"/>
          </w:tcPr>
          <w:p w:rsidR="001E5768" w:rsidRDefault="001E5768" w:rsidP="001E5768">
            <w:pPr>
              <w:pStyle w:val="TableBodyText"/>
            </w:pPr>
            <w:r>
              <w:t>2.68</w:t>
            </w:r>
          </w:p>
        </w:tc>
        <w:tc>
          <w:tcPr>
            <w:tcW w:w="458" w:type="pct"/>
            <w:gridSpan w:val="2"/>
            <w:shd w:val="clear" w:color="auto" w:fill="FFFFFF" w:themeFill="background1"/>
            <w:vAlign w:val="bottom"/>
          </w:tcPr>
          <w:p w:rsidR="001E5768" w:rsidRDefault="001E5768" w:rsidP="001E5768">
            <w:pPr>
              <w:pStyle w:val="TableBodyText"/>
            </w:pPr>
            <w:r>
              <w:t>2.58</w:t>
            </w:r>
          </w:p>
        </w:tc>
        <w:tc>
          <w:tcPr>
            <w:tcW w:w="510" w:type="pct"/>
            <w:gridSpan w:val="2"/>
            <w:shd w:val="clear" w:color="auto" w:fill="FFFFFF" w:themeFill="background1"/>
            <w:vAlign w:val="bottom"/>
          </w:tcPr>
          <w:p w:rsidR="001E5768" w:rsidRDefault="001E5768" w:rsidP="001E5768">
            <w:pPr>
              <w:pStyle w:val="TableBodyText"/>
            </w:pPr>
            <w:r>
              <w:t>2.31</w:t>
            </w:r>
          </w:p>
        </w:tc>
        <w:tc>
          <w:tcPr>
            <w:tcW w:w="479" w:type="pct"/>
            <w:gridSpan w:val="4"/>
            <w:shd w:val="clear" w:color="auto" w:fill="FFFFFF" w:themeFill="background1"/>
            <w:vAlign w:val="bottom"/>
          </w:tcPr>
          <w:p w:rsidR="001E5768" w:rsidRDefault="001E5768" w:rsidP="001E5768">
            <w:pPr>
              <w:pStyle w:val="TableBodyText"/>
            </w:pPr>
            <w:r>
              <w:t>3.25</w:t>
            </w:r>
          </w:p>
        </w:tc>
        <w:tc>
          <w:tcPr>
            <w:tcW w:w="469" w:type="pct"/>
            <w:shd w:val="clear" w:color="auto" w:fill="FFFFFF" w:themeFill="background1"/>
            <w:vAlign w:val="bottom"/>
          </w:tcPr>
          <w:p w:rsidR="001E5768" w:rsidRDefault="001E5768" w:rsidP="001E5768">
            <w:pPr>
              <w:pStyle w:val="TableBodyText"/>
            </w:pPr>
            <w:r>
              <w:t>3.39</w:t>
            </w:r>
          </w:p>
        </w:tc>
        <w:tc>
          <w:tcPr>
            <w:tcW w:w="456" w:type="pct"/>
            <w:shd w:val="clear" w:color="auto" w:fill="FFFFFF" w:themeFill="background1"/>
            <w:vAlign w:val="bottom"/>
          </w:tcPr>
          <w:p w:rsidR="001E5768" w:rsidRDefault="001E5768" w:rsidP="001E5768">
            <w:pPr>
              <w:pStyle w:val="TableBodyText"/>
            </w:pPr>
            <w:r>
              <w:t>4.30</w:t>
            </w:r>
          </w:p>
        </w:tc>
        <w:tc>
          <w:tcPr>
            <w:tcW w:w="380" w:type="pct"/>
            <w:shd w:val="clear" w:color="auto" w:fill="FFFFFF" w:themeFill="background1"/>
            <w:vAlign w:val="bottom"/>
          </w:tcPr>
          <w:p w:rsidR="001E5768" w:rsidRDefault="001E5768" w:rsidP="001E5768">
            <w:pPr>
              <w:pStyle w:val="TableBodyText"/>
            </w:pPr>
            <w:r>
              <w:t>2.37</w:t>
            </w:r>
          </w:p>
        </w:tc>
        <w:tc>
          <w:tcPr>
            <w:tcW w:w="521" w:type="pct"/>
          </w:tcPr>
          <w:p w:rsidR="001E5768" w:rsidRPr="004F4DD9" w:rsidRDefault="001E5768" w:rsidP="005B2CB7">
            <w:pPr>
              <w:pStyle w:val="TableBodyText"/>
            </w:pPr>
            <w:r>
              <w:t>5A.24</w:t>
            </w:r>
          </w:p>
        </w:tc>
      </w:tr>
      <w:tr w:rsidR="00990C8F" w:rsidRPr="004E27F9" w:rsidTr="00EB6250">
        <w:tc>
          <w:tcPr>
            <w:tcW w:w="5000" w:type="pct"/>
            <w:gridSpan w:val="26"/>
            <w:shd w:val="clear" w:color="auto" w:fill="auto"/>
          </w:tcPr>
          <w:p w:rsidR="00990C8F" w:rsidRPr="004E27F9" w:rsidRDefault="00990C8F" w:rsidP="005B2CB7">
            <w:pPr>
              <w:pStyle w:val="TableBodyText"/>
              <w:spacing w:before="80" w:after="80"/>
              <w:jc w:val="left"/>
              <w:rPr>
                <w:b/>
              </w:rPr>
            </w:pPr>
            <w:r w:rsidRPr="004E27F9">
              <w:rPr>
                <w:b/>
              </w:rPr>
              <w:t>Outcome indicators</w:t>
            </w:r>
          </w:p>
        </w:tc>
      </w:tr>
      <w:tr w:rsidR="00990C8F" w:rsidRPr="00B817EA" w:rsidTr="00EB6250">
        <w:trPr>
          <w:trHeight w:val="329"/>
        </w:trPr>
        <w:tc>
          <w:tcPr>
            <w:tcW w:w="5000" w:type="pct"/>
            <w:gridSpan w:val="26"/>
          </w:tcPr>
          <w:p w:rsidR="00990C8F" w:rsidRDefault="00990C8F" w:rsidP="005B2CB7">
            <w:pPr>
              <w:pStyle w:val="TableColumnHeading"/>
              <w:spacing w:after="0"/>
              <w:jc w:val="left"/>
            </w:pPr>
            <w:r w:rsidRPr="004F4DD9">
              <w:t>Student employment and further study outcomes</w:t>
            </w:r>
            <w:r>
              <w:t xml:space="preserve"> </w:t>
            </w:r>
          </w:p>
          <w:p w:rsidR="00990C8F" w:rsidRDefault="00990C8F" w:rsidP="005B2CB7">
            <w:pPr>
              <w:pStyle w:val="TableColumnHeading"/>
              <w:spacing w:before="0" w:after="0"/>
              <w:jc w:val="left"/>
              <w:rPr>
                <w:i w:val="0"/>
                <w:sz w:val="16"/>
                <w:szCs w:val="16"/>
              </w:rPr>
            </w:pPr>
            <w:r w:rsidRPr="004821D5">
              <w:rPr>
                <w:i w:val="0"/>
                <w:sz w:val="16"/>
                <w:szCs w:val="16"/>
              </w:rPr>
              <w:t xml:space="preserve">Data for </w:t>
            </w:r>
            <w:r>
              <w:rPr>
                <w:i w:val="0"/>
                <w:sz w:val="16"/>
                <w:szCs w:val="16"/>
              </w:rPr>
              <w:t>this indicator are</w:t>
            </w:r>
            <w:r w:rsidRPr="004821D5">
              <w:rPr>
                <w:i w:val="0"/>
                <w:sz w:val="16"/>
                <w:szCs w:val="16"/>
              </w:rPr>
              <w:t xml:space="preserve"> comparable</w:t>
            </w:r>
            <w:r>
              <w:rPr>
                <w:i w:val="0"/>
                <w:sz w:val="16"/>
                <w:szCs w:val="16"/>
              </w:rPr>
              <w:t>, subject to caveats</w:t>
            </w:r>
            <w:r w:rsidRPr="004821D5">
              <w:rPr>
                <w:i w:val="0"/>
                <w:sz w:val="16"/>
                <w:szCs w:val="16"/>
              </w:rPr>
              <w:t xml:space="preserve"> (chapter </w:t>
            </w:r>
            <w:r>
              <w:rPr>
                <w:i w:val="0"/>
                <w:sz w:val="16"/>
                <w:szCs w:val="16"/>
              </w:rPr>
              <w:t>5</w:t>
            </w:r>
            <w:r w:rsidRPr="004821D5">
              <w:rPr>
                <w:i w:val="0"/>
                <w:sz w:val="16"/>
                <w:szCs w:val="16"/>
              </w:rPr>
              <w:t>)</w:t>
            </w:r>
          </w:p>
          <w:p w:rsidR="00990C8F" w:rsidRPr="00B817EA" w:rsidRDefault="00990C8F" w:rsidP="00716746">
            <w:pPr>
              <w:pStyle w:val="TableColumnHeading"/>
              <w:spacing w:before="0"/>
              <w:ind w:left="180"/>
              <w:jc w:val="left"/>
            </w:pPr>
            <w:r>
              <w:rPr>
                <w:i w:val="0"/>
              </w:rPr>
              <w:t xml:space="preserve">Proportion of government funded VET graduates who were employed and/or continued on to further study in </w:t>
            </w:r>
            <w:r w:rsidR="00475DBA">
              <w:rPr>
                <w:i w:val="0"/>
              </w:rPr>
              <w:t>201</w:t>
            </w:r>
            <w:r w:rsidR="00716746">
              <w:rPr>
                <w:i w:val="0"/>
              </w:rPr>
              <w:t>2</w:t>
            </w:r>
            <w:r w:rsidR="00475DBA">
              <w:rPr>
                <w:i w:val="0"/>
              </w:rPr>
              <w:t xml:space="preserve"> </w:t>
            </w:r>
            <w:r>
              <w:rPr>
                <w:i w:val="0"/>
              </w:rPr>
              <w:t>afte</w:t>
            </w:r>
            <w:r w:rsidR="00475DBA">
              <w:rPr>
                <w:i w:val="0"/>
              </w:rPr>
              <w:t>r completing their course in 201</w:t>
            </w:r>
            <w:r w:rsidR="00716746">
              <w:rPr>
                <w:i w:val="0"/>
              </w:rPr>
              <w:t>1</w:t>
            </w:r>
          </w:p>
        </w:tc>
      </w:tr>
      <w:tr w:rsidR="00716746" w:rsidRPr="0083018C" w:rsidTr="001E5768">
        <w:tc>
          <w:tcPr>
            <w:tcW w:w="12" w:type="pct"/>
            <w:shd w:val="clear" w:color="auto" w:fill="auto"/>
          </w:tcPr>
          <w:p w:rsidR="00716746" w:rsidRPr="0083018C" w:rsidRDefault="00716746" w:rsidP="005B2CB7">
            <w:pPr>
              <w:pStyle w:val="TableBodyText"/>
            </w:pPr>
          </w:p>
        </w:tc>
        <w:tc>
          <w:tcPr>
            <w:tcW w:w="148" w:type="pct"/>
            <w:gridSpan w:val="2"/>
          </w:tcPr>
          <w:p w:rsidR="00716746" w:rsidRPr="0083018C" w:rsidRDefault="00716746" w:rsidP="005B2CB7">
            <w:pPr>
              <w:pStyle w:val="TableBodyText"/>
            </w:pPr>
            <w:r w:rsidRPr="0083018C">
              <w:t>%</w:t>
            </w:r>
          </w:p>
        </w:tc>
        <w:tc>
          <w:tcPr>
            <w:tcW w:w="581" w:type="pct"/>
            <w:gridSpan w:val="5"/>
            <w:vAlign w:val="center"/>
          </w:tcPr>
          <w:p w:rsidR="00716746" w:rsidRDefault="00716746" w:rsidP="00B60F3B">
            <w:pPr>
              <w:pStyle w:val="TableBodyText"/>
            </w:pPr>
            <w:r>
              <w:t>88.8</w:t>
            </w:r>
            <w:r w:rsidR="00B60F3B">
              <w:br/>
            </w:r>
            <w:r>
              <w:t>± 1.2</w:t>
            </w:r>
          </w:p>
        </w:tc>
        <w:tc>
          <w:tcPr>
            <w:tcW w:w="456" w:type="pct"/>
            <w:gridSpan w:val="3"/>
            <w:vAlign w:val="center"/>
          </w:tcPr>
          <w:p w:rsidR="00716746" w:rsidRDefault="00716746" w:rsidP="00716746">
            <w:pPr>
              <w:pStyle w:val="TableBodyText"/>
            </w:pPr>
            <w:r>
              <w:t xml:space="preserve">85.6 </w:t>
            </w:r>
            <w:r w:rsidR="00B60F3B">
              <w:br/>
            </w:r>
            <w:r>
              <w:t>± 2.1</w:t>
            </w:r>
          </w:p>
        </w:tc>
        <w:tc>
          <w:tcPr>
            <w:tcW w:w="527" w:type="pct"/>
            <w:gridSpan w:val="2"/>
            <w:vAlign w:val="center"/>
          </w:tcPr>
          <w:p w:rsidR="00716746" w:rsidRDefault="00716746" w:rsidP="00716746">
            <w:pPr>
              <w:pStyle w:val="TableBodyText"/>
            </w:pPr>
            <w:r>
              <w:t xml:space="preserve">85.8 </w:t>
            </w:r>
            <w:r w:rsidR="00B60F3B">
              <w:br/>
            </w:r>
            <w:r>
              <w:t>± 2.2</w:t>
            </w:r>
          </w:p>
        </w:tc>
        <w:tc>
          <w:tcPr>
            <w:tcW w:w="462" w:type="pct"/>
            <w:gridSpan w:val="3"/>
            <w:vAlign w:val="center"/>
          </w:tcPr>
          <w:p w:rsidR="00716746" w:rsidRDefault="00716746" w:rsidP="00716746">
            <w:pPr>
              <w:pStyle w:val="TableBodyText"/>
            </w:pPr>
            <w:r>
              <w:t xml:space="preserve">92.0 </w:t>
            </w:r>
            <w:r w:rsidR="00B60F3B">
              <w:br/>
            </w:r>
            <w:r>
              <w:t>± 1.6</w:t>
            </w:r>
          </w:p>
        </w:tc>
        <w:tc>
          <w:tcPr>
            <w:tcW w:w="530" w:type="pct"/>
            <w:gridSpan w:val="4"/>
            <w:vAlign w:val="center"/>
          </w:tcPr>
          <w:p w:rsidR="00716746" w:rsidRDefault="00716746" w:rsidP="00716746">
            <w:pPr>
              <w:pStyle w:val="TableBodyText"/>
            </w:pPr>
            <w:r>
              <w:t xml:space="preserve">88.2 </w:t>
            </w:r>
            <w:r w:rsidR="00B60F3B">
              <w:br/>
            </w:r>
            <w:r>
              <w:t>± 2.3</w:t>
            </w:r>
          </w:p>
        </w:tc>
        <w:tc>
          <w:tcPr>
            <w:tcW w:w="459" w:type="pct"/>
            <w:gridSpan w:val="2"/>
            <w:vAlign w:val="center"/>
          </w:tcPr>
          <w:p w:rsidR="00716746" w:rsidRDefault="00716746" w:rsidP="00716746">
            <w:pPr>
              <w:pStyle w:val="TableBodyText"/>
            </w:pPr>
            <w:r>
              <w:t xml:space="preserve">87.8 </w:t>
            </w:r>
            <w:r w:rsidR="00B60F3B">
              <w:br/>
            </w:r>
            <w:r>
              <w:t>± 3.3</w:t>
            </w:r>
          </w:p>
        </w:tc>
        <w:tc>
          <w:tcPr>
            <w:tcW w:w="469" w:type="pct"/>
            <w:vAlign w:val="center"/>
          </w:tcPr>
          <w:p w:rsidR="00716746" w:rsidRDefault="00716746" w:rsidP="00716746">
            <w:pPr>
              <w:pStyle w:val="TableBodyText"/>
            </w:pPr>
            <w:r>
              <w:t xml:space="preserve">91.5 </w:t>
            </w:r>
            <w:r w:rsidR="00B60F3B">
              <w:br/>
            </w:r>
            <w:r>
              <w:t>± 2.7</w:t>
            </w:r>
          </w:p>
        </w:tc>
        <w:tc>
          <w:tcPr>
            <w:tcW w:w="456" w:type="pct"/>
            <w:vAlign w:val="center"/>
          </w:tcPr>
          <w:p w:rsidR="00716746" w:rsidRDefault="00716746" w:rsidP="00716746">
            <w:pPr>
              <w:pStyle w:val="TableBodyText"/>
            </w:pPr>
            <w:r>
              <w:t xml:space="preserve">87.4 </w:t>
            </w:r>
            <w:r w:rsidR="00B60F3B">
              <w:br/>
            </w:r>
            <w:r>
              <w:t>± 3.2</w:t>
            </w:r>
          </w:p>
        </w:tc>
        <w:tc>
          <w:tcPr>
            <w:tcW w:w="380" w:type="pct"/>
            <w:vAlign w:val="center"/>
          </w:tcPr>
          <w:p w:rsidR="00716746" w:rsidRDefault="00716746" w:rsidP="00716746">
            <w:pPr>
              <w:pStyle w:val="TableBodyText"/>
            </w:pPr>
            <w:r>
              <w:t xml:space="preserve">87.7 </w:t>
            </w:r>
            <w:r w:rsidR="00B60F3B">
              <w:br/>
            </w:r>
            <w:r>
              <w:t>± 0.8</w:t>
            </w:r>
          </w:p>
        </w:tc>
        <w:tc>
          <w:tcPr>
            <w:tcW w:w="521" w:type="pct"/>
          </w:tcPr>
          <w:p w:rsidR="00716746" w:rsidRPr="0083018C" w:rsidRDefault="00716746" w:rsidP="005B2CB7">
            <w:pPr>
              <w:pStyle w:val="TableBodyText"/>
            </w:pPr>
            <w:r w:rsidRPr="0083018C">
              <w:t>5A.25</w:t>
            </w:r>
          </w:p>
        </w:tc>
      </w:tr>
      <w:tr w:rsidR="00990C8F" w:rsidRPr="000313E1" w:rsidTr="00EB6250">
        <w:trPr>
          <w:trHeight w:val="329"/>
        </w:trPr>
        <w:tc>
          <w:tcPr>
            <w:tcW w:w="5000" w:type="pct"/>
            <w:gridSpan w:val="26"/>
          </w:tcPr>
          <w:p w:rsidR="00990C8F" w:rsidRPr="000313E1" w:rsidRDefault="00990C8F" w:rsidP="005B2CB7">
            <w:pPr>
              <w:pStyle w:val="TableColumnHeading"/>
              <w:spacing w:after="0"/>
              <w:jc w:val="left"/>
            </w:pPr>
            <w:r w:rsidRPr="000313E1">
              <w:t>Student achievement in VET</w:t>
            </w:r>
          </w:p>
          <w:p w:rsidR="00990C8F" w:rsidRPr="000313E1" w:rsidRDefault="00990C8F" w:rsidP="005B2CB7">
            <w:pPr>
              <w:pStyle w:val="TableColumnHeading"/>
              <w:spacing w:before="0" w:after="0"/>
              <w:jc w:val="left"/>
              <w:rPr>
                <w:i w:val="0"/>
                <w:sz w:val="16"/>
                <w:szCs w:val="16"/>
              </w:rPr>
            </w:pPr>
            <w:r w:rsidRPr="000313E1">
              <w:rPr>
                <w:i w:val="0"/>
                <w:sz w:val="16"/>
                <w:szCs w:val="16"/>
              </w:rPr>
              <w:t>Data for this indicator are comparable, subject to caveats (chapter 5)</w:t>
            </w:r>
          </w:p>
          <w:p w:rsidR="00990C8F" w:rsidRPr="000313E1" w:rsidRDefault="00990C8F" w:rsidP="005B2CB7">
            <w:pPr>
              <w:pStyle w:val="TableColumnHeading"/>
              <w:spacing w:before="0"/>
              <w:ind w:left="180"/>
              <w:jc w:val="left"/>
            </w:pPr>
            <w:r>
              <w:rPr>
                <w:i w:val="0"/>
              </w:rPr>
              <w:t xml:space="preserve">Load pass rate (government funded VET) </w:t>
            </w:r>
            <w:r w:rsidRPr="00ED4203">
              <w:rPr>
                <w:i w:val="0"/>
              </w:rPr>
              <w:t>(20</w:t>
            </w:r>
            <w:r w:rsidR="00475DBA">
              <w:rPr>
                <w:i w:val="0"/>
              </w:rPr>
              <w:t>11</w:t>
            </w:r>
            <w:r>
              <w:rPr>
                <w:i w:val="0"/>
              </w:rPr>
              <w:t>)</w:t>
            </w:r>
          </w:p>
        </w:tc>
      </w:tr>
      <w:tr w:rsidR="00716746" w:rsidRPr="0083018C" w:rsidTr="001E5768">
        <w:tc>
          <w:tcPr>
            <w:tcW w:w="12" w:type="pct"/>
            <w:shd w:val="clear" w:color="auto" w:fill="auto"/>
          </w:tcPr>
          <w:p w:rsidR="00716746" w:rsidRPr="0083018C" w:rsidRDefault="00716746" w:rsidP="005B2CB7">
            <w:pPr>
              <w:pStyle w:val="TableBodyText"/>
            </w:pPr>
          </w:p>
        </w:tc>
        <w:tc>
          <w:tcPr>
            <w:tcW w:w="139" w:type="pct"/>
            <w:shd w:val="clear" w:color="auto" w:fill="auto"/>
          </w:tcPr>
          <w:p w:rsidR="00716746" w:rsidRPr="0083018C" w:rsidRDefault="00716746" w:rsidP="005B2CB7">
            <w:pPr>
              <w:pStyle w:val="TableBodyText"/>
            </w:pPr>
            <w:r w:rsidRPr="0083018C">
              <w:t>%</w:t>
            </w:r>
          </w:p>
        </w:tc>
        <w:tc>
          <w:tcPr>
            <w:tcW w:w="564" w:type="pct"/>
            <w:gridSpan w:val="5"/>
            <w:shd w:val="clear" w:color="auto" w:fill="auto"/>
            <w:vAlign w:val="center"/>
          </w:tcPr>
          <w:p w:rsidR="00716746" w:rsidRDefault="00716746" w:rsidP="00716746">
            <w:pPr>
              <w:pStyle w:val="TableBodyText"/>
            </w:pPr>
            <w:r>
              <w:t xml:space="preserve">  78.9</w:t>
            </w:r>
          </w:p>
        </w:tc>
        <w:tc>
          <w:tcPr>
            <w:tcW w:w="455" w:type="pct"/>
            <w:gridSpan w:val="3"/>
            <w:shd w:val="clear" w:color="auto" w:fill="auto"/>
            <w:vAlign w:val="center"/>
          </w:tcPr>
          <w:p w:rsidR="00716746" w:rsidRDefault="00716746" w:rsidP="00716746">
            <w:pPr>
              <w:pStyle w:val="TableBodyText"/>
            </w:pPr>
            <w:r>
              <w:t xml:space="preserve">  83.4</w:t>
            </w:r>
          </w:p>
        </w:tc>
        <w:tc>
          <w:tcPr>
            <w:tcW w:w="553" w:type="pct"/>
            <w:gridSpan w:val="3"/>
            <w:shd w:val="clear" w:color="auto" w:fill="auto"/>
            <w:vAlign w:val="center"/>
          </w:tcPr>
          <w:p w:rsidR="00716746" w:rsidRDefault="00716746" w:rsidP="00716746">
            <w:pPr>
              <w:pStyle w:val="TableBodyText"/>
            </w:pPr>
            <w:r>
              <w:t xml:space="preserve">  88.9</w:t>
            </w:r>
          </w:p>
        </w:tc>
        <w:tc>
          <w:tcPr>
            <w:tcW w:w="462" w:type="pct"/>
            <w:gridSpan w:val="3"/>
            <w:shd w:val="clear" w:color="auto" w:fill="auto"/>
            <w:vAlign w:val="center"/>
          </w:tcPr>
          <w:p w:rsidR="00716746" w:rsidRDefault="00716746" w:rsidP="00716746">
            <w:pPr>
              <w:pStyle w:val="TableBodyText"/>
            </w:pPr>
            <w:r>
              <w:t xml:space="preserve">  80.5</w:t>
            </w:r>
          </w:p>
        </w:tc>
        <w:tc>
          <w:tcPr>
            <w:tcW w:w="530" w:type="pct"/>
            <w:gridSpan w:val="4"/>
            <w:shd w:val="clear" w:color="auto" w:fill="auto"/>
            <w:vAlign w:val="center"/>
          </w:tcPr>
          <w:p w:rsidR="00716746" w:rsidRDefault="00716746" w:rsidP="00716746">
            <w:pPr>
              <w:pStyle w:val="TableBodyText"/>
            </w:pPr>
            <w:r>
              <w:t xml:space="preserve">  86.4</w:t>
            </w:r>
          </w:p>
        </w:tc>
        <w:tc>
          <w:tcPr>
            <w:tcW w:w="459" w:type="pct"/>
            <w:gridSpan w:val="2"/>
            <w:shd w:val="clear" w:color="auto" w:fill="auto"/>
            <w:vAlign w:val="center"/>
          </w:tcPr>
          <w:p w:rsidR="00716746" w:rsidRDefault="00716746" w:rsidP="00716746">
            <w:pPr>
              <w:pStyle w:val="TableBodyText"/>
            </w:pPr>
            <w:r>
              <w:t xml:space="preserve">  81.3</w:t>
            </w:r>
          </w:p>
        </w:tc>
        <w:tc>
          <w:tcPr>
            <w:tcW w:w="469" w:type="pct"/>
            <w:shd w:val="clear" w:color="auto" w:fill="auto"/>
            <w:vAlign w:val="center"/>
          </w:tcPr>
          <w:p w:rsidR="00716746" w:rsidRDefault="00716746" w:rsidP="00716746">
            <w:pPr>
              <w:pStyle w:val="TableBodyText"/>
            </w:pPr>
            <w:r>
              <w:t xml:space="preserve">  81.4</w:t>
            </w:r>
          </w:p>
        </w:tc>
        <w:tc>
          <w:tcPr>
            <w:tcW w:w="456" w:type="pct"/>
            <w:shd w:val="clear" w:color="auto" w:fill="auto"/>
            <w:vAlign w:val="center"/>
          </w:tcPr>
          <w:p w:rsidR="00716746" w:rsidRDefault="00716746" w:rsidP="00716746">
            <w:pPr>
              <w:pStyle w:val="TableBodyText"/>
            </w:pPr>
            <w:r>
              <w:t xml:space="preserve">  77.4</w:t>
            </w:r>
          </w:p>
        </w:tc>
        <w:tc>
          <w:tcPr>
            <w:tcW w:w="380" w:type="pct"/>
            <w:vAlign w:val="center"/>
          </w:tcPr>
          <w:p w:rsidR="00716746" w:rsidRDefault="00716746" w:rsidP="00716746">
            <w:pPr>
              <w:pStyle w:val="TableBodyText"/>
            </w:pPr>
            <w:r>
              <w:t xml:space="preserve">  82.7</w:t>
            </w:r>
          </w:p>
        </w:tc>
        <w:tc>
          <w:tcPr>
            <w:tcW w:w="521" w:type="pct"/>
          </w:tcPr>
          <w:p w:rsidR="00716746" w:rsidRPr="0083018C" w:rsidRDefault="00716746" w:rsidP="00716746">
            <w:pPr>
              <w:pStyle w:val="TableBodyText"/>
            </w:pPr>
            <w:r w:rsidRPr="0083018C">
              <w:t>5A.</w:t>
            </w:r>
            <w:r>
              <w:t>49</w:t>
            </w:r>
          </w:p>
        </w:tc>
      </w:tr>
      <w:tr w:rsidR="009C0856" w:rsidRPr="009C0856" w:rsidTr="00EB6250">
        <w:tc>
          <w:tcPr>
            <w:tcW w:w="5000" w:type="pct"/>
            <w:gridSpan w:val="26"/>
            <w:shd w:val="clear" w:color="auto" w:fill="auto"/>
          </w:tcPr>
          <w:p w:rsidR="009C0856" w:rsidRPr="009C0856" w:rsidRDefault="009C0856" w:rsidP="005B2CB7">
            <w:pPr>
              <w:pStyle w:val="TableBodyText"/>
            </w:pPr>
            <w:r w:rsidRPr="009C0856">
              <w:t>(continued)</w:t>
            </w:r>
          </w:p>
        </w:tc>
      </w:tr>
    </w:tbl>
    <w:p w:rsidR="009C0856" w:rsidRDefault="009C0856"/>
    <w:p w:rsidR="009C0856" w:rsidRDefault="009C0856" w:rsidP="009C0856">
      <w:pPr>
        <w:pStyle w:val="TableTitle"/>
        <w:rPr>
          <w:vertAlign w:val="superscript"/>
        </w:rPr>
      </w:pPr>
      <w:r w:rsidRPr="00A871B3">
        <w:rPr>
          <w:b w:val="0"/>
        </w:rPr>
        <w:lastRenderedPageBreak/>
        <w:t xml:space="preserve">Table </w:t>
      </w:r>
      <w:r w:rsidR="007F4EBC" w:rsidRPr="007F4EBC">
        <w:rPr>
          <w:b w:val="0"/>
        </w:rPr>
        <w:t>B.3</w:t>
      </w:r>
      <w:r w:rsidRPr="00C50A9D">
        <w:rPr>
          <w:b w:val="0"/>
        </w:rPr>
        <w:tab/>
      </w:r>
      <w:r w:rsidRPr="00440B96">
        <w:rPr>
          <w:b w:val="0"/>
        </w:rPr>
        <w:t>(Continued)</w:t>
      </w:r>
    </w:p>
    <w:tbl>
      <w:tblPr>
        <w:tblW w:w="5242" w:type="pct"/>
        <w:tblLayout w:type="fixed"/>
        <w:tblCellMar>
          <w:left w:w="0" w:type="dxa"/>
          <w:right w:w="0" w:type="dxa"/>
        </w:tblCellMar>
        <w:tblLook w:val="0000" w:firstRow="0" w:lastRow="0" w:firstColumn="0" w:lastColumn="0" w:noHBand="0" w:noVBand="0"/>
      </w:tblPr>
      <w:tblGrid>
        <w:gridCol w:w="20"/>
        <w:gridCol w:w="311"/>
        <w:gridCol w:w="41"/>
        <w:gridCol w:w="761"/>
        <w:gridCol w:w="15"/>
        <w:gridCol w:w="979"/>
        <w:gridCol w:w="11"/>
        <w:gridCol w:w="838"/>
        <w:gridCol w:w="9"/>
        <w:gridCol w:w="995"/>
        <w:gridCol w:w="984"/>
        <w:gridCol w:w="7"/>
        <w:gridCol w:w="848"/>
        <w:gridCol w:w="61"/>
        <w:gridCol w:w="807"/>
        <w:gridCol w:w="850"/>
        <w:gridCol w:w="851"/>
        <w:gridCol w:w="826"/>
      </w:tblGrid>
      <w:tr w:rsidR="000847DE" w:rsidRPr="00B817EA" w:rsidTr="00716746">
        <w:tc>
          <w:tcPr>
            <w:tcW w:w="202" w:type="pct"/>
            <w:gridSpan w:val="3"/>
            <w:tcBorders>
              <w:top w:val="single" w:sz="6" w:space="0" w:color="auto"/>
              <w:bottom w:val="single" w:sz="6" w:space="0" w:color="auto"/>
            </w:tcBorders>
            <w:shd w:val="clear" w:color="auto" w:fill="auto"/>
          </w:tcPr>
          <w:p w:rsidR="009C0856" w:rsidRPr="00B817EA" w:rsidRDefault="009C0856" w:rsidP="009C0856">
            <w:pPr>
              <w:pStyle w:val="TableColumnHeading"/>
            </w:pPr>
          </w:p>
        </w:tc>
        <w:tc>
          <w:tcPr>
            <w:tcW w:w="421" w:type="pct"/>
            <w:gridSpan w:val="2"/>
            <w:tcBorders>
              <w:top w:val="single" w:sz="6" w:space="0" w:color="auto"/>
              <w:bottom w:val="single" w:sz="6" w:space="0" w:color="auto"/>
            </w:tcBorders>
            <w:shd w:val="clear" w:color="auto" w:fill="auto"/>
          </w:tcPr>
          <w:p w:rsidR="009C0856" w:rsidRPr="00B817EA" w:rsidRDefault="009C0856" w:rsidP="009C0856">
            <w:pPr>
              <w:pStyle w:val="TableColumnHeading"/>
            </w:pPr>
            <w:r w:rsidRPr="00B817EA">
              <w:t>NSW</w:t>
            </w:r>
          </w:p>
        </w:tc>
        <w:tc>
          <w:tcPr>
            <w:tcW w:w="537" w:type="pct"/>
            <w:gridSpan w:val="2"/>
            <w:tcBorders>
              <w:top w:val="single" w:sz="6" w:space="0" w:color="auto"/>
              <w:bottom w:val="single" w:sz="6" w:space="0" w:color="auto"/>
            </w:tcBorders>
            <w:shd w:val="clear" w:color="auto" w:fill="auto"/>
          </w:tcPr>
          <w:p w:rsidR="009C0856" w:rsidRPr="00B817EA" w:rsidRDefault="009C0856" w:rsidP="009C0856">
            <w:pPr>
              <w:pStyle w:val="TableColumnHeading"/>
            </w:pPr>
            <w:r w:rsidRPr="00B817EA">
              <w:t>Vic</w:t>
            </w:r>
          </w:p>
        </w:tc>
        <w:tc>
          <w:tcPr>
            <w:tcW w:w="460" w:type="pct"/>
            <w:gridSpan w:val="2"/>
            <w:tcBorders>
              <w:top w:val="single" w:sz="6" w:space="0" w:color="auto"/>
              <w:bottom w:val="single" w:sz="6" w:space="0" w:color="auto"/>
            </w:tcBorders>
            <w:shd w:val="clear" w:color="auto" w:fill="auto"/>
          </w:tcPr>
          <w:p w:rsidR="009C0856" w:rsidRPr="00B817EA" w:rsidRDefault="009C0856" w:rsidP="009C0856">
            <w:pPr>
              <w:pStyle w:val="TableColumnHeading"/>
            </w:pPr>
            <w:r w:rsidRPr="00B817EA">
              <w:t>Qld</w:t>
            </w:r>
          </w:p>
        </w:tc>
        <w:tc>
          <w:tcPr>
            <w:tcW w:w="540" w:type="pct"/>
            <w:tcBorders>
              <w:top w:val="single" w:sz="6" w:space="0" w:color="auto"/>
              <w:bottom w:val="single" w:sz="6" w:space="0" w:color="auto"/>
            </w:tcBorders>
            <w:shd w:val="clear" w:color="auto" w:fill="auto"/>
          </w:tcPr>
          <w:p w:rsidR="009C0856" w:rsidRPr="00B817EA" w:rsidRDefault="009C0856" w:rsidP="009C0856">
            <w:pPr>
              <w:pStyle w:val="TableColumnHeading"/>
            </w:pPr>
            <w:r w:rsidRPr="00B817EA">
              <w:t>WA</w:t>
            </w:r>
          </w:p>
        </w:tc>
        <w:tc>
          <w:tcPr>
            <w:tcW w:w="538" w:type="pct"/>
            <w:gridSpan w:val="2"/>
            <w:tcBorders>
              <w:top w:val="single" w:sz="6" w:space="0" w:color="auto"/>
              <w:bottom w:val="single" w:sz="6" w:space="0" w:color="auto"/>
            </w:tcBorders>
            <w:shd w:val="clear" w:color="auto" w:fill="auto"/>
          </w:tcPr>
          <w:p w:rsidR="009C0856" w:rsidRPr="00B817EA" w:rsidRDefault="009C0856" w:rsidP="009C0856">
            <w:pPr>
              <w:pStyle w:val="TableColumnHeading"/>
            </w:pPr>
            <w:r w:rsidRPr="00B817EA">
              <w:t>SA</w:t>
            </w:r>
          </w:p>
        </w:tc>
        <w:tc>
          <w:tcPr>
            <w:tcW w:w="460" w:type="pct"/>
            <w:tcBorders>
              <w:top w:val="single" w:sz="6" w:space="0" w:color="auto"/>
              <w:bottom w:val="single" w:sz="6" w:space="0" w:color="auto"/>
            </w:tcBorders>
            <w:shd w:val="clear" w:color="auto" w:fill="auto"/>
          </w:tcPr>
          <w:p w:rsidR="009C0856" w:rsidRPr="00B817EA" w:rsidRDefault="009C0856" w:rsidP="009C0856">
            <w:pPr>
              <w:pStyle w:val="TableColumnHeading"/>
            </w:pPr>
            <w:proofErr w:type="spellStart"/>
            <w:r w:rsidRPr="00B817EA">
              <w:t>Tas</w:t>
            </w:r>
            <w:proofErr w:type="spellEnd"/>
          </w:p>
        </w:tc>
        <w:tc>
          <w:tcPr>
            <w:tcW w:w="471" w:type="pct"/>
            <w:gridSpan w:val="2"/>
            <w:tcBorders>
              <w:top w:val="single" w:sz="6" w:space="0" w:color="auto"/>
              <w:bottom w:val="single" w:sz="6" w:space="0" w:color="auto"/>
            </w:tcBorders>
            <w:shd w:val="clear" w:color="auto" w:fill="auto"/>
          </w:tcPr>
          <w:p w:rsidR="009C0856" w:rsidRPr="00B817EA" w:rsidRDefault="009C0856" w:rsidP="009C0856">
            <w:pPr>
              <w:pStyle w:val="TableColumnHeading"/>
            </w:pPr>
            <w:r w:rsidRPr="00B817EA">
              <w:t>ACT</w:t>
            </w:r>
          </w:p>
        </w:tc>
        <w:tc>
          <w:tcPr>
            <w:tcW w:w="461" w:type="pct"/>
            <w:tcBorders>
              <w:top w:val="single" w:sz="6" w:space="0" w:color="auto"/>
              <w:bottom w:val="single" w:sz="6" w:space="0" w:color="auto"/>
            </w:tcBorders>
            <w:shd w:val="clear" w:color="auto" w:fill="auto"/>
          </w:tcPr>
          <w:p w:rsidR="009C0856" w:rsidRPr="00B817EA" w:rsidRDefault="009C0856" w:rsidP="009C0856">
            <w:pPr>
              <w:pStyle w:val="TableColumnHeading"/>
            </w:pPr>
            <w:r w:rsidRPr="00B817EA">
              <w:t>NT</w:t>
            </w:r>
          </w:p>
        </w:tc>
        <w:tc>
          <w:tcPr>
            <w:tcW w:w="462" w:type="pct"/>
            <w:tcBorders>
              <w:top w:val="single" w:sz="6" w:space="0" w:color="auto"/>
              <w:bottom w:val="single" w:sz="6" w:space="0" w:color="auto"/>
            </w:tcBorders>
          </w:tcPr>
          <w:p w:rsidR="009C0856" w:rsidRPr="00B817EA" w:rsidRDefault="009C0856" w:rsidP="009C0856">
            <w:pPr>
              <w:pStyle w:val="TableColumnHeading"/>
            </w:pPr>
            <w:proofErr w:type="spellStart"/>
            <w:r w:rsidRPr="00B817EA">
              <w:t>Aust</w:t>
            </w:r>
            <w:proofErr w:type="spellEnd"/>
          </w:p>
        </w:tc>
        <w:tc>
          <w:tcPr>
            <w:tcW w:w="448" w:type="pct"/>
            <w:tcBorders>
              <w:top w:val="single" w:sz="6" w:space="0" w:color="auto"/>
              <w:bottom w:val="single" w:sz="6" w:space="0" w:color="auto"/>
            </w:tcBorders>
          </w:tcPr>
          <w:p w:rsidR="009C0856" w:rsidRPr="00B817EA" w:rsidRDefault="009C0856" w:rsidP="009C0856">
            <w:pPr>
              <w:pStyle w:val="TableColumnHeading"/>
            </w:pPr>
            <w:r w:rsidRPr="00B817EA">
              <w:t>Source</w:t>
            </w:r>
          </w:p>
        </w:tc>
      </w:tr>
      <w:tr w:rsidR="00990C8F" w:rsidRPr="00461DF9" w:rsidTr="000847DE">
        <w:trPr>
          <w:trHeight w:val="329"/>
        </w:trPr>
        <w:tc>
          <w:tcPr>
            <w:tcW w:w="5000" w:type="pct"/>
            <w:gridSpan w:val="18"/>
          </w:tcPr>
          <w:p w:rsidR="00990C8F" w:rsidRPr="00461DF9" w:rsidRDefault="00990C8F" w:rsidP="005B2CB7">
            <w:pPr>
              <w:pStyle w:val="TableColumnHeading"/>
              <w:spacing w:after="0"/>
              <w:jc w:val="left"/>
            </w:pPr>
            <w:r w:rsidRPr="00461DF9">
              <w:t>Student satisfaction in VET</w:t>
            </w:r>
          </w:p>
          <w:p w:rsidR="00990C8F" w:rsidRPr="00461DF9" w:rsidRDefault="00990C8F" w:rsidP="005B2CB7">
            <w:pPr>
              <w:pStyle w:val="TableColumnHeading"/>
              <w:spacing w:before="0" w:after="0"/>
              <w:jc w:val="left"/>
              <w:rPr>
                <w:i w:val="0"/>
                <w:sz w:val="16"/>
                <w:szCs w:val="16"/>
              </w:rPr>
            </w:pPr>
            <w:r w:rsidRPr="00461DF9">
              <w:rPr>
                <w:i w:val="0"/>
                <w:sz w:val="16"/>
                <w:szCs w:val="16"/>
              </w:rPr>
              <w:t>Data for this indicator are comparable, subject to caveat</w:t>
            </w:r>
            <w:r w:rsidR="00BE4620">
              <w:rPr>
                <w:i w:val="0"/>
                <w:sz w:val="16"/>
                <w:szCs w:val="16"/>
              </w:rPr>
              <w:t>s (chapter 5)</w:t>
            </w:r>
          </w:p>
          <w:p w:rsidR="00990C8F" w:rsidRPr="00461DF9" w:rsidRDefault="00990C8F" w:rsidP="00716746">
            <w:pPr>
              <w:pStyle w:val="TableColumnHeading"/>
              <w:spacing w:before="0"/>
              <w:ind w:left="180"/>
              <w:jc w:val="left"/>
            </w:pPr>
            <w:r>
              <w:rPr>
                <w:i w:val="0"/>
              </w:rPr>
              <w:t xml:space="preserve">Proportion of government funded VET graduates who were satisfied with the quality of their completed VET course </w:t>
            </w:r>
            <w:r w:rsidRPr="00ED4203">
              <w:rPr>
                <w:i w:val="0"/>
              </w:rPr>
              <w:t>(20</w:t>
            </w:r>
            <w:r w:rsidR="00475DBA">
              <w:rPr>
                <w:i w:val="0"/>
              </w:rPr>
              <w:t>1</w:t>
            </w:r>
            <w:r w:rsidR="00716746">
              <w:rPr>
                <w:i w:val="0"/>
              </w:rPr>
              <w:t>2</w:t>
            </w:r>
            <w:r>
              <w:rPr>
                <w:i w:val="0"/>
              </w:rPr>
              <w:t>)</w:t>
            </w:r>
          </w:p>
        </w:tc>
      </w:tr>
      <w:tr w:rsidR="00716746" w:rsidRPr="0083018C" w:rsidTr="000847DE">
        <w:tc>
          <w:tcPr>
            <w:tcW w:w="11" w:type="pct"/>
            <w:shd w:val="clear" w:color="auto" w:fill="auto"/>
          </w:tcPr>
          <w:p w:rsidR="00716746" w:rsidRPr="0083018C" w:rsidRDefault="00716746" w:rsidP="005B2CB7">
            <w:pPr>
              <w:pStyle w:val="TableBodyText"/>
            </w:pPr>
          </w:p>
        </w:tc>
        <w:tc>
          <w:tcPr>
            <w:tcW w:w="169" w:type="pct"/>
            <w:shd w:val="clear" w:color="auto" w:fill="auto"/>
          </w:tcPr>
          <w:p w:rsidR="00716746" w:rsidRPr="0083018C" w:rsidRDefault="00716746" w:rsidP="005B2CB7">
            <w:pPr>
              <w:pStyle w:val="TableBodyText"/>
            </w:pPr>
            <w:r w:rsidRPr="0083018C">
              <w:t>%</w:t>
            </w:r>
          </w:p>
        </w:tc>
        <w:tc>
          <w:tcPr>
            <w:tcW w:w="435" w:type="pct"/>
            <w:gridSpan w:val="2"/>
            <w:shd w:val="clear" w:color="auto" w:fill="auto"/>
            <w:vAlign w:val="center"/>
          </w:tcPr>
          <w:p w:rsidR="00716746" w:rsidRDefault="00716746" w:rsidP="00716746">
            <w:pPr>
              <w:pStyle w:val="TableBodyText"/>
            </w:pPr>
            <w:r>
              <w:t xml:space="preserve">89.7 </w:t>
            </w:r>
            <w:r w:rsidR="00B60F3B">
              <w:br/>
            </w:r>
            <w:r>
              <w:t>± 1.2</w:t>
            </w:r>
          </w:p>
        </w:tc>
        <w:tc>
          <w:tcPr>
            <w:tcW w:w="539" w:type="pct"/>
            <w:gridSpan w:val="2"/>
            <w:shd w:val="clear" w:color="auto" w:fill="auto"/>
            <w:vAlign w:val="center"/>
          </w:tcPr>
          <w:p w:rsidR="00716746" w:rsidRDefault="00716746" w:rsidP="00716746">
            <w:pPr>
              <w:pStyle w:val="TableBodyText"/>
            </w:pPr>
            <w:r>
              <w:t xml:space="preserve">87.5 </w:t>
            </w:r>
            <w:r w:rsidR="00B60F3B">
              <w:br/>
            </w:r>
            <w:r>
              <w:t>± 1.9</w:t>
            </w:r>
          </w:p>
        </w:tc>
        <w:tc>
          <w:tcPr>
            <w:tcW w:w="461" w:type="pct"/>
            <w:gridSpan w:val="2"/>
            <w:shd w:val="clear" w:color="auto" w:fill="auto"/>
            <w:vAlign w:val="center"/>
          </w:tcPr>
          <w:p w:rsidR="00716746" w:rsidRDefault="00716746" w:rsidP="00716746">
            <w:pPr>
              <w:pStyle w:val="TableBodyText"/>
            </w:pPr>
            <w:r>
              <w:t xml:space="preserve">89.2 </w:t>
            </w:r>
            <w:r w:rsidR="00B60F3B">
              <w:br/>
            </w:r>
            <w:r>
              <w:t>± 1.8</w:t>
            </w:r>
          </w:p>
        </w:tc>
        <w:tc>
          <w:tcPr>
            <w:tcW w:w="545" w:type="pct"/>
            <w:gridSpan w:val="2"/>
            <w:shd w:val="clear" w:color="auto" w:fill="auto"/>
            <w:vAlign w:val="center"/>
          </w:tcPr>
          <w:p w:rsidR="00716746" w:rsidRDefault="00716746" w:rsidP="00716746">
            <w:pPr>
              <w:pStyle w:val="TableBodyText"/>
            </w:pPr>
            <w:r>
              <w:t xml:space="preserve">91.9 </w:t>
            </w:r>
            <w:r w:rsidR="00B60F3B">
              <w:br/>
            </w:r>
            <w:r>
              <w:t>± 1.3</w:t>
            </w:r>
          </w:p>
        </w:tc>
        <w:tc>
          <w:tcPr>
            <w:tcW w:w="538" w:type="pct"/>
            <w:gridSpan w:val="2"/>
            <w:shd w:val="clear" w:color="auto" w:fill="auto"/>
            <w:vAlign w:val="center"/>
          </w:tcPr>
          <w:p w:rsidR="00716746" w:rsidRDefault="00716746" w:rsidP="00716746">
            <w:pPr>
              <w:pStyle w:val="TableBodyText"/>
            </w:pPr>
            <w:r>
              <w:t xml:space="preserve">90.1 </w:t>
            </w:r>
            <w:r w:rsidR="00B60F3B">
              <w:br/>
            </w:r>
            <w:r>
              <w:t>± 2.0</w:t>
            </w:r>
          </w:p>
        </w:tc>
        <w:tc>
          <w:tcPr>
            <w:tcW w:w="493" w:type="pct"/>
            <w:gridSpan w:val="2"/>
            <w:shd w:val="clear" w:color="auto" w:fill="auto"/>
            <w:vAlign w:val="center"/>
          </w:tcPr>
          <w:p w:rsidR="00716746" w:rsidRDefault="00716746" w:rsidP="00716746">
            <w:pPr>
              <w:pStyle w:val="TableBodyText"/>
            </w:pPr>
            <w:r>
              <w:t xml:space="preserve">91.5 </w:t>
            </w:r>
            <w:r w:rsidR="00B60F3B">
              <w:br/>
            </w:r>
            <w:r>
              <w:t>± 2.7</w:t>
            </w:r>
          </w:p>
        </w:tc>
        <w:tc>
          <w:tcPr>
            <w:tcW w:w="438" w:type="pct"/>
            <w:shd w:val="clear" w:color="auto" w:fill="auto"/>
            <w:vAlign w:val="center"/>
          </w:tcPr>
          <w:p w:rsidR="00716746" w:rsidRDefault="00716746" w:rsidP="00716746">
            <w:pPr>
              <w:pStyle w:val="TableBodyText"/>
            </w:pPr>
            <w:r>
              <w:t xml:space="preserve">84.5 </w:t>
            </w:r>
            <w:r w:rsidR="00B60F3B">
              <w:br/>
            </w:r>
            <w:r>
              <w:t>± 4.3</w:t>
            </w:r>
          </w:p>
        </w:tc>
        <w:tc>
          <w:tcPr>
            <w:tcW w:w="461" w:type="pct"/>
            <w:shd w:val="clear" w:color="auto" w:fill="auto"/>
            <w:vAlign w:val="center"/>
          </w:tcPr>
          <w:p w:rsidR="00716746" w:rsidRDefault="00716746" w:rsidP="00716746">
            <w:pPr>
              <w:pStyle w:val="TableBodyText"/>
            </w:pPr>
            <w:r>
              <w:t xml:space="preserve">84.9 </w:t>
            </w:r>
            <w:r w:rsidR="00B60F3B">
              <w:br/>
            </w:r>
            <w:r>
              <w:t>± 3.9</w:t>
            </w:r>
          </w:p>
        </w:tc>
        <w:tc>
          <w:tcPr>
            <w:tcW w:w="462" w:type="pct"/>
            <w:vAlign w:val="center"/>
          </w:tcPr>
          <w:p w:rsidR="00716746" w:rsidRDefault="00716746" w:rsidP="00716746">
            <w:pPr>
              <w:pStyle w:val="TableBodyText"/>
            </w:pPr>
            <w:r>
              <w:t xml:space="preserve">89.2 </w:t>
            </w:r>
            <w:r w:rsidR="00B60F3B">
              <w:br/>
            </w:r>
            <w:r>
              <w:t>± 0.7</w:t>
            </w:r>
          </w:p>
        </w:tc>
        <w:tc>
          <w:tcPr>
            <w:tcW w:w="448" w:type="pct"/>
          </w:tcPr>
          <w:p w:rsidR="00716746" w:rsidRPr="0083018C" w:rsidRDefault="00716746" w:rsidP="00716746">
            <w:pPr>
              <w:pStyle w:val="TableBodyText"/>
            </w:pPr>
            <w:r>
              <w:t>5A.68</w:t>
            </w:r>
          </w:p>
        </w:tc>
      </w:tr>
      <w:tr w:rsidR="00990C8F" w:rsidRPr="002047A0" w:rsidTr="000847DE">
        <w:trPr>
          <w:trHeight w:val="329"/>
        </w:trPr>
        <w:tc>
          <w:tcPr>
            <w:tcW w:w="5000" w:type="pct"/>
            <w:gridSpan w:val="18"/>
          </w:tcPr>
          <w:p w:rsidR="00990C8F" w:rsidRPr="00630581" w:rsidRDefault="00990C8F" w:rsidP="005B2CB7">
            <w:pPr>
              <w:pStyle w:val="TableColumnHeading"/>
              <w:spacing w:after="0"/>
              <w:jc w:val="left"/>
            </w:pPr>
            <w:r w:rsidRPr="00630581">
              <w:t>Skill profile</w:t>
            </w:r>
          </w:p>
          <w:p w:rsidR="00990C8F" w:rsidRDefault="00990C8F" w:rsidP="005B2CB7">
            <w:pPr>
              <w:pStyle w:val="TableColumnHeading"/>
              <w:spacing w:before="0" w:after="0"/>
              <w:ind w:left="0"/>
              <w:jc w:val="left"/>
            </w:pPr>
            <w:r w:rsidRPr="002047A0">
              <w:rPr>
                <w:i w:val="0"/>
                <w:sz w:val="16"/>
                <w:szCs w:val="16"/>
              </w:rPr>
              <w:t>This indicator has multiple measures and data comparability and completeness vary (chapter 5)</w:t>
            </w:r>
          </w:p>
          <w:p w:rsidR="00990C8F" w:rsidRPr="002047A0" w:rsidRDefault="00990C8F" w:rsidP="00716746">
            <w:pPr>
              <w:pStyle w:val="TableColumnHeading"/>
              <w:spacing w:before="0"/>
              <w:ind w:left="180"/>
              <w:jc w:val="left"/>
            </w:pPr>
            <w:r>
              <w:rPr>
                <w:i w:val="0"/>
              </w:rPr>
              <w:t>Annual change in the number o</w:t>
            </w:r>
            <w:r w:rsidR="00475DBA">
              <w:rPr>
                <w:i w:val="0"/>
              </w:rPr>
              <w:t>f qualifications completed (20</w:t>
            </w:r>
            <w:r w:rsidR="00716746">
              <w:rPr>
                <w:i w:val="0"/>
              </w:rPr>
              <w:t>10</w:t>
            </w:r>
            <w:r w:rsidR="00475DBA">
              <w:rPr>
                <w:i w:val="0"/>
              </w:rPr>
              <w:t xml:space="preserve"> to 201</w:t>
            </w:r>
            <w:r w:rsidR="00716746">
              <w:rPr>
                <w:i w:val="0"/>
              </w:rPr>
              <w:t>1</w:t>
            </w:r>
            <w:r>
              <w:rPr>
                <w:i w:val="0"/>
              </w:rPr>
              <w:t>) by government and non-government funded VET students</w:t>
            </w:r>
          </w:p>
        </w:tc>
      </w:tr>
      <w:tr w:rsidR="00716746" w:rsidRPr="000313E1" w:rsidTr="000847DE">
        <w:tc>
          <w:tcPr>
            <w:tcW w:w="11" w:type="pct"/>
            <w:shd w:val="clear" w:color="auto" w:fill="auto"/>
          </w:tcPr>
          <w:p w:rsidR="00716746" w:rsidRPr="000313E1" w:rsidRDefault="00716746" w:rsidP="005B2CB7">
            <w:pPr>
              <w:pStyle w:val="TableBodyText"/>
            </w:pPr>
          </w:p>
        </w:tc>
        <w:tc>
          <w:tcPr>
            <w:tcW w:w="169" w:type="pct"/>
            <w:shd w:val="clear" w:color="auto" w:fill="auto"/>
          </w:tcPr>
          <w:p w:rsidR="00716746" w:rsidRPr="000313E1" w:rsidRDefault="00716746" w:rsidP="005B2CB7">
            <w:pPr>
              <w:pStyle w:val="TableBodyText"/>
            </w:pPr>
            <w:r w:rsidRPr="000313E1">
              <w:t>%</w:t>
            </w:r>
          </w:p>
        </w:tc>
        <w:tc>
          <w:tcPr>
            <w:tcW w:w="435" w:type="pct"/>
            <w:gridSpan w:val="2"/>
            <w:shd w:val="clear" w:color="auto" w:fill="auto"/>
            <w:vAlign w:val="center"/>
          </w:tcPr>
          <w:p w:rsidR="00716746" w:rsidRDefault="00716746" w:rsidP="00716746">
            <w:pPr>
              <w:pStyle w:val="TableBodyText"/>
            </w:pPr>
            <w:r>
              <w:t xml:space="preserve">  6.1</w:t>
            </w:r>
          </w:p>
        </w:tc>
        <w:tc>
          <w:tcPr>
            <w:tcW w:w="539" w:type="pct"/>
            <w:gridSpan w:val="2"/>
            <w:shd w:val="clear" w:color="auto" w:fill="auto"/>
            <w:vAlign w:val="center"/>
          </w:tcPr>
          <w:p w:rsidR="00716746" w:rsidRDefault="00716746" w:rsidP="00716746">
            <w:pPr>
              <w:pStyle w:val="TableBodyText"/>
            </w:pPr>
            <w:r>
              <w:t xml:space="preserve">  35.6</w:t>
            </w:r>
          </w:p>
        </w:tc>
        <w:tc>
          <w:tcPr>
            <w:tcW w:w="461" w:type="pct"/>
            <w:gridSpan w:val="2"/>
            <w:shd w:val="clear" w:color="auto" w:fill="auto"/>
            <w:vAlign w:val="center"/>
          </w:tcPr>
          <w:p w:rsidR="00716746" w:rsidRDefault="00716746" w:rsidP="00716746">
            <w:pPr>
              <w:pStyle w:val="TableBodyText"/>
            </w:pPr>
            <w:r>
              <w:t xml:space="preserve">  15.9</w:t>
            </w:r>
          </w:p>
        </w:tc>
        <w:tc>
          <w:tcPr>
            <w:tcW w:w="545" w:type="pct"/>
            <w:gridSpan w:val="2"/>
            <w:shd w:val="clear" w:color="auto" w:fill="auto"/>
            <w:vAlign w:val="center"/>
          </w:tcPr>
          <w:p w:rsidR="00716746" w:rsidRDefault="00716746" w:rsidP="00716746">
            <w:pPr>
              <w:pStyle w:val="TableBodyText"/>
            </w:pPr>
            <w:r>
              <w:t xml:space="preserve">  0.7</w:t>
            </w:r>
          </w:p>
        </w:tc>
        <w:tc>
          <w:tcPr>
            <w:tcW w:w="538" w:type="pct"/>
            <w:gridSpan w:val="2"/>
            <w:shd w:val="clear" w:color="auto" w:fill="auto"/>
            <w:vAlign w:val="center"/>
          </w:tcPr>
          <w:p w:rsidR="00716746" w:rsidRDefault="00716746" w:rsidP="00716746">
            <w:pPr>
              <w:pStyle w:val="TableBodyText"/>
            </w:pPr>
            <w:r>
              <w:t xml:space="preserve">  40.6</w:t>
            </w:r>
          </w:p>
        </w:tc>
        <w:tc>
          <w:tcPr>
            <w:tcW w:w="493" w:type="pct"/>
            <w:gridSpan w:val="2"/>
            <w:shd w:val="clear" w:color="auto" w:fill="auto"/>
            <w:vAlign w:val="center"/>
          </w:tcPr>
          <w:p w:rsidR="00716746" w:rsidRDefault="00716746" w:rsidP="00716746">
            <w:pPr>
              <w:pStyle w:val="TableBodyText"/>
            </w:pPr>
            <w:r>
              <w:t xml:space="preserve">  6.5</w:t>
            </w:r>
          </w:p>
        </w:tc>
        <w:tc>
          <w:tcPr>
            <w:tcW w:w="438" w:type="pct"/>
            <w:shd w:val="clear" w:color="auto" w:fill="auto"/>
            <w:vAlign w:val="center"/>
          </w:tcPr>
          <w:p w:rsidR="00716746" w:rsidRDefault="00716746" w:rsidP="00716746">
            <w:pPr>
              <w:pStyle w:val="TableBodyText"/>
            </w:pPr>
            <w:r>
              <w:t xml:space="preserve">  9.0</w:t>
            </w:r>
          </w:p>
        </w:tc>
        <w:tc>
          <w:tcPr>
            <w:tcW w:w="461" w:type="pct"/>
            <w:shd w:val="clear" w:color="auto" w:fill="auto"/>
            <w:vAlign w:val="center"/>
          </w:tcPr>
          <w:p w:rsidR="00716746" w:rsidRDefault="00716746" w:rsidP="00716746">
            <w:pPr>
              <w:pStyle w:val="TableBodyText"/>
            </w:pPr>
            <w:r>
              <w:t xml:space="preserve">  20.6</w:t>
            </w:r>
          </w:p>
        </w:tc>
        <w:tc>
          <w:tcPr>
            <w:tcW w:w="462" w:type="pct"/>
            <w:vAlign w:val="center"/>
          </w:tcPr>
          <w:p w:rsidR="00716746" w:rsidRDefault="00716746" w:rsidP="00716746">
            <w:pPr>
              <w:pStyle w:val="TableBodyText"/>
            </w:pPr>
            <w:r>
              <w:t xml:space="preserve">  17.6</w:t>
            </w:r>
          </w:p>
        </w:tc>
        <w:tc>
          <w:tcPr>
            <w:tcW w:w="448" w:type="pct"/>
          </w:tcPr>
          <w:p w:rsidR="00716746" w:rsidRPr="000313E1" w:rsidRDefault="00716746" w:rsidP="00716746">
            <w:pPr>
              <w:pStyle w:val="TableBodyText"/>
            </w:pPr>
            <w:r>
              <w:t>5A.77</w:t>
            </w:r>
          </w:p>
        </w:tc>
      </w:tr>
      <w:tr w:rsidR="00990C8F" w:rsidRPr="008D4202" w:rsidTr="000847DE">
        <w:trPr>
          <w:trHeight w:val="329"/>
        </w:trPr>
        <w:tc>
          <w:tcPr>
            <w:tcW w:w="5000" w:type="pct"/>
            <w:gridSpan w:val="18"/>
          </w:tcPr>
          <w:p w:rsidR="00990C8F" w:rsidRPr="008D4202" w:rsidRDefault="00716746" w:rsidP="005B2CB7">
            <w:pPr>
              <w:pStyle w:val="TableColumnHeading"/>
              <w:spacing w:after="0"/>
              <w:ind w:right="0"/>
              <w:jc w:val="left"/>
            </w:pPr>
            <w:r>
              <w:t>Change in the combined number of units of competency and modules completed between 2011 and 2012</w:t>
            </w:r>
          </w:p>
          <w:p w:rsidR="0083018C" w:rsidRPr="008D4202" w:rsidRDefault="00990C8F" w:rsidP="005B2CB7">
            <w:pPr>
              <w:pStyle w:val="TableColumnHeading"/>
              <w:spacing w:before="0"/>
              <w:jc w:val="left"/>
              <w:rPr>
                <w:i w:val="0"/>
                <w:sz w:val="16"/>
                <w:szCs w:val="16"/>
              </w:rPr>
            </w:pPr>
            <w:r w:rsidRPr="008D4202">
              <w:rPr>
                <w:i w:val="0"/>
                <w:sz w:val="16"/>
                <w:szCs w:val="16"/>
              </w:rPr>
              <w:t>Data for this indicator are comparable,</w:t>
            </w:r>
            <w:r w:rsidR="00BE4620">
              <w:rPr>
                <w:i w:val="0"/>
                <w:sz w:val="16"/>
                <w:szCs w:val="16"/>
              </w:rPr>
              <w:t xml:space="preserve"> subject to caveats (chapter 5)</w:t>
            </w:r>
          </w:p>
        </w:tc>
      </w:tr>
      <w:tr w:rsidR="00716746" w:rsidRPr="0083018C" w:rsidTr="000847DE">
        <w:tc>
          <w:tcPr>
            <w:tcW w:w="11" w:type="pct"/>
            <w:shd w:val="clear" w:color="auto" w:fill="auto"/>
          </w:tcPr>
          <w:p w:rsidR="00716746" w:rsidRPr="0083018C" w:rsidRDefault="00716746" w:rsidP="005B2CB7">
            <w:pPr>
              <w:pStyle w:val="TableBodyText"/>
            </w:pPr>
          </w:p>
        </w:tc>
        <w:tc>
          <w:tcPr>
            <w:tcW w:w="169" w:type="pct"/>
            <w:shd w:val="clear" w:color="auto" w:fill="auto"/>
          </w:tcPr>
          <w:p w:rsidR="00716746" w:rsidRPr="0083018C" w:rsidRDefault="00716746" w:rsidP="005B2CB7">
            <w:pPr>
              <w:pStyle w:val="TableBodyText"/>
            </w:pPr>
            <w:r w:rsidRPr="0083018C">
              <w:t>%</w:t>
            </w:r>
          </w:p>
        </w:tc>
        <w:tc>
          <w:tcPr>
            <w:tcW w:w="435" w:type="pct"/>
            <w:gridSpan w:val="2"/>
            <w:shd w:val="clear" w:color="auto" w:fill="auto"/>
            <w:vAlign w:val="center"/>
          </w:tcPr>
          <w:p w:rsidR="00716746" w:rsidRDefault="00716746" w:rsidP="001E5768">
            <w:pPr>
              <w:pStyle w:val="TableBodyText"/>
            </w:pPr>
            <w:r>
              <w:t>-  2.9</w:t>
            </w:r>
          </w:p>
        </w:tc>
        <w:tc>
          <w:tcPr>
            <w:tcW w:w="539" w:type="pct"/>
            <w:gridSpan w:val="2"/>
            <w:shd w:val="clear" w:color="auto" w:fill="auto"/>
            <w:vAlign w:val="center"/>
          </w:tcPr>
          <w:p w:rsidR="00716746" w:rsidRDefault="00716746" w:rsidP="001E5768">
            <w:pPr>
              <w:pStyle w:val="TableBodyText"/>
            </w:pPr>
            <w:r>
              <w:t xml:space="preserve">  27.5</w:t>
            </w:r>
          </w:p>
        </w:tc>
        <w:tc>
          <w:tcPr>
            <w:tcW w:w="461" w:type="pct"/>
            <w:gridSpan w:val="2"/>
            <w:shd w:val="clear" w:color="auto" w:fill="auto"/>
            <w:vAlign w:val="center"/>
          </w:tcPr>
          <w:p w:rsidR="00716746" w:rsidRDefault="00716746" w:rsidP="001E5768">
            <w:pPr>
              <w:pStyle w:val="TableBodyText"/>
            </w:pPr>
            <w:r>
              <w:t>-  9.1</w:t>
            </w:r>
          </w:p>
        </w:tc>
        <w:tc>
          <w:tcPr>
            <w:tcW w:w="545" w:type="pct"/>
            <w:gridSpan w:val="2"/>
            <w:shd w:val="clear" w:color="auto" w:fill="auto"/>
            <w:vAlign w:val="center"/>
          </w:tcPr>
          <w:p w:rsidR="00716746" w:rsidRDefault="00716746" w:rsidP="001E5768">
            <w:pPr>
              <w:pStyle w:val="TableBodyText"/>
            </w:pPr>
            <w:r>
              <w:t>-  1.2</w:t>
            </w:r>
          </w:p>
        </w:tc>
        <w:tc>
          <w:tcPr>
            <w:tcW w:w="538" w:type="pct"/>
            <w:gridSpan w:val="2"/>
            <w:shd w:val="clear" w:color="auto" w:fill="auto"/>
            <w:vAlign w:val="center"/>
          </w:tcPr>
          <w:p w:rsidR="00716746" w:rsidRDefault="00716746" w:rsidP="001E5768">
            <w:pPr>
              <w:pStyle w:val="TableBodyText"/>
            </w:pPr>
            <w:r>
              <w:t xml:space="preserve">  24.6</w:t>
            </w:r>
          </w:p>
        </w:tc>
        <w:tc>
          <w:tcPr>
            <w:tcW w:w="493" w:type="pct"/>
            <w:gridSpan w:val="2"/>
            <w:shd w:val="clear" w:color="auto" w:fill="auto"/>
            <w:vAlign w:val="center"/>
          </w:tcPr>
          <w:p w:rsidR="00716746" w:rsidRDefault="00716746" w:rsidP="001E5768">
            <w:pPr>
              <w:pStyle w:val="TableBodyText"/>
            </w:pPr>
            <w:r>
              <w:t xml:space="preserve">  1.7</w:t>
            </w:r>
          </w:p>
        </w:tc>
        <w:tc>
          <w:tcPr>
            <w:tcW w:w="438" w:type="pct"/>
            <w:shd w:val="clear" w:color="auto" w:fill="auto"/>
            <w:vAlign w:val="center"/>
          </w:tcPr>
          <w:p w:rsidR="00716746" w:rsidRDefault="00716746" w:rsidP="001E5768">
            <w:pPr>
              <w:pStyle w:val="TableBodyText"/>
            </w:pPr>
            <w:r>
              <w:t xml:space="preserve">  5.4</w:t>
            </w:r>
          </w:p>
        </w:tc>
        <w:tc>
          <w:tcPr>
            <w:tcW w:w="461" w:type="pct"/>
            <w:shd w:val="clear" w:color="auto" w:fill="auto"/>
            <w:vAlign w:val="center"/>
          </w:tcPr>
          <w:p w:rsidR="00716746" w:rsidRDefault="00716746" w:rsidP="001E5768">
            <w:pPr>
              <w:pStyle w:val="TableBodyText"/>
            </w:pPr>
            <w:r>
              <w:t xml:space="preserve">  2.1</w:t>
            </w:r>
          </w:p>
        </w:tc>
        <w:tc>
          <w:tcPr>
            <w:tcW w:w="462" w:type="pct"/>
            <w:vAlign w:val="center"/>
          </w:tcPr>
          <w:p w:rsidR="00716746" w:rsidRDefault="00716746" w:rsidP="001E5768">
            <w:pPr>
              <w:pStyle w:val="TableBodyText"/>
            </w:pPr>
            <w:r>
              <w:t xml:space="preserve">  8.2</w:t>
            </w:r>
          </w:p>
        </w:tc>
        <w:tc>
          <w:tcPr>
            <w:tcW w:w="448" w:type="pct"/>
          </w:tcPr>
          <w:p w:rsidR="00716746" w:rsidRPr="001E5768" w:rsidRDefault="00716746" w:rsidP="001E5768">
            <w:pPr>
              <w:pStyle w:val="TableBodyText"/>
            </w:pPr>
            <w:r w:rsidRPr="001E5768">
              <w:t>5A.84</w:t>
            </w:r>
          </w:p>
        </w:tc>
      </w:tr>
      <w:tr w:rsidR="00990C8F" w:rsidRPr="008D4202" w:rsidTr="000847DE">
        <w:trPr>
          <w:trHeight w:val="329"/>
        </w:trPr>
        <w:tc>
          <w:tcPr>
            <w:tcW w:w="5000" w:type="pct"/>
            <w:gridSpan w:val="18"/>
          </w:tcPr>
          <w:p w:rsidR="00990C8F" w:rsidRPr="008D4202" w:rsidRDefault="00990C8F" w:rsidP="005B2CB7">
            <w:pPr>
              <w:pStyle w:val="TableColumnHeading"/>
              <w:spacing w:after="0"/>
              <w:jc w:val="left"/>
            </w:pPr>
            <w:r>
              <w:t>P</w:t>
            </w:r>
            <w:r w:rsidRPr="008D4202">
              <w:t>roportion of employers who were engaged with the VET system in the last 12 months, and were satisfied with VET in meeting their skill needs</w:t>
            </w:r>
            <w:r>
              <w:t xml:space="preserve"> </w:t>
            </w:r>
            <w:r w:rsidRPr="00ED4203">
              <w:rPr>
                <w:i w:val="0"/>
              </w:rPr>
              <w:t>(20</w:t>
            </w:r>
            <w:r w:rsidR="00475DBA">
              <w:rPr>
                <w:i w:val="0"/>
              </w:rPr>
              <w:t>11</w:t>
            </w:r>
            <w:r>
              <w:rPr>
                <w:i w:val="0"/>
              </w:rPr>
              <w:t>)</w:t>
            </w:r>
            <w:r w:rsidR="0083018C">
              <w:rPr>
                <w:i w:val="0"/>
              </w:rPr>
              <w:t xml:space="preserve"> — </w:t>
            </w:r>
            <w:r w:rsidR="0083018C" w:rsidRPr="0083018C">
              <w:t>Satisfaction with formal vocational qualifications as a job requirement</w:t>
            </w:r>
          </w:p>
          <w:p w:rsidR="00990C8F" w:rsidRPr="008D4202" w:rsidRDefault="00990C8F" w:rsidP="005B2CB7">
            <w:pPr>
              <w:pStyle w:val="TableColumnHeading"/>
              <w:spacing w:before="0"/>
              <w:jc w:val="left"/>
              <w:rPr>
                <w:i w:val="0"/>
                <w:sz w:val="16"/>
                <w:szCs w:val="16"/>
              </w:rPr>
            </w:pPr>
            <w:r w:rsidRPr="008D4202">
              <w:rPr>
                <w:i w:val="0"/>
                <w:sz w:val="16"/>
                <w:szCs w:val="16"/>
              </w:rPr>
              <w:t>Data for this indicator are comparable, subject to caveats (chapter 5)</w:t>
            </w:r>
          </w:p>
        </w:tc>
      </w:tr>
      <w:tr w:rsidR="00716746" w:rsidRPr="0083018C" w:rsidTr="00716746">
        <w:tc>
          <w:tcPr>
            <w:tcW w:w="11" w:type="pct"/>
            <w:tcBorders>
              <w:bottom w:val="single" w:sz="6" w:space="0" w:color="auto"/>
            </w:tcBorders>
            <w:shd w:val="clear" w:color="auto" w:fill="auto"/>
          </w:tcPr>
          <w:p w:rsidR="00716746" w:rsidRPr="0083018C" w:rsidRDefault="00716746" w:rsidP="005B2CB7">
            <w:pPr>
              <w:pStyle w:val="TableBodyText"/>
            </w:pPr>
          </w:p>
        </w:tc>
        <w:tc>
          <w:tcPr>
            <w:tcW w:w="169" w:type="pct"/>
            <w:tcBorders>
              <w:bottom w:val="single" w:sz="6" w:space="0" w:color="auto"/>
            </w:tcBorders>
            <w:shd w:val="clear" w:color="auto" w:fill="auto"/>
          </w:tcPr>
          <w:p w:rsidR="00716746" w:rsidRPr="0083018C" w:rsidRDefault="00716746" w:rsidP="005B2CB7">
            <w:pPr>
              <w:pStyle w:val="TableBodyText"/>
            </w:pPr>
            <w:r w:rsidRPr="0083018C">
              <w:t>%</w:t>
            </w:r>
          </w:p>
        </w:tc>
        <w:tc>
          <w:tcPr>
            <w:tcW w:w="435" w:type="pct"/>
            <w:gridSpan w:val="2"/>
            <w:tcBorders>
              <w:bottom w:val="single" w:sz="6" w:space="0" w:color="auto"/>
            </w:tcBorders>
            <w:shd w:val="clear" w:color="auto" w:fill="auto"/>
            <w:vAlign w:val="center"/>
          </w:tcPr>
          <w:p w:rsidR="00716746" w:rsidRDefault="00716746" w:rsidP="00716746">
            <w:pPr>
              <w:pStyle w:val="TableBodyText"/>
            </w:pPr>
            <w:r>
              <w:t xml:space="preserve">86.0 </w:t>
            </w:r>
            <w:r w:rsidR="00B60F3B">
              <w:br/>
            </w:r>
            <w:r>
              <w:t>± 3.7</w:t>
            </w:r>
          </w:p>
        </w:tc>
        <w:tc>
          <w:tcPr>
            <w:tcW w:w="539" w:type="pct"/>
            <w:gridSpan w:val="2"/>
            <w:tcBorders>
              <w:bottom w:val="single" w:sz="6" w:space="0" w:color="auto"/>
            </w:tcBorders>
            <w:shd w:val="clear" w:color="auto" w:fill="auto"/>
            <w:vAlign w:val="center"/>
          </w:tcPr>
          <w:p w:rsidR="00716746" w:rsidRDefault="00716746" w:rsidP="00716746">
            <w:pPr>
              <w:pStyle w:val="TableBodyText"/>
            </w:pPr>
            <w:r>
              <w:t xml:space="preserve">84.1 </w:t>
            </w:r>
            <w:r w:rsidR="00B60F3B">
              <w:br/>
            </w:r>
            <w:r>
              <w:t>± 4.5</w:t>
            </w:r>
          </w:p>
        </w:tc>
        <w:tc>
          <w:tcPr>
            <w:tcW w:w="461" w:type="pct"/>
            <w:gridSpan w:val="2"/>
            <w:tcBorders>
              <w:bottom w:val="single" w:sz="6" w:space="0" w:color="auto"/>
            </w:tcBorders>
            <w:shd w:val="clear" w:color="auto" w:fill="auto"/>
            <w:vAlign w:val="center"/>
          </w:tcPr>
          <w:p w:rsidR="00716746" w:rsidRDefault="00716746" w:rsidP="00716746">
            <w:pPr>
              <w:pStyle w:val="TableBodyText"/>
            </w:pPr>
            <w:r>
              <w:t xml:space="preserve">83.9 </w:t>
            </w:r>
            <w:r w:rsidR="00B60F3B">
              <w:br/>
            </w:r>
            <w:r>
              <w:t>± 5.7</w:t>
            </w:r>
          </w:p>
        </w:tc>
        <w:tc>
          <w:tcPr>
            <w:tcW w:w="545" w:type="pct"/>
            <w:gridSpan w:val="2"/>
            <w:tcBorders>
              <w:bottom w:val="single" w:sz="6" w:space="0" w:color="auto"/>
            </w:tcBorders>
            <w:shd w:val="clear" w:color="auto" w:fill="auto"/>
            <w:vAlign w:val="center"/>
          </w:tcPr>
          <w:p w:rsidR="00716746" w:rsidRDefault="00716746" w:rsidP="00716746">
            <w:pPr>
              <w:pStyle w:val="TableBodyText"/>
            </w:pPr>
            <w:r>
              <w:t xml:space="preserve">85.3 </w:t>
            </w:r>
            <w:r w:rsidR="00B60F3B">
              <w:br/>
            </w:r>
            <w:r>
              <w:t>± 6.3</w:t>
            </w:r>
          </w:p>
        </w:tc>
        <w:tc>
          <w:tcPr>
            <w:tcW w:w="534" w:type="pct"/>
            <w:tcBorders>
              <w:bottom w:val="single" w:sz="6" w:space="0" w:color="auto"/>
            </w:tcBorders>
            <w:shd w:val="clear" w:color="auto" w:fill="auto"/>
            <w:vAlign w:val="center"/>
          </w:tcPr>
          <w:p w:rsidR="00716746" w:rsidRDefault="00716746" w:rsidP="00716746">
            <w:pPr>
              <w:pStyle w:val="TableBodyText"/>
            </w:pPr>
            <w:r>
              <w:t xml:space="preserve">84.0 </w:t>
            </w:r>
            <w:r w:rsidR="00B60F3B">
              <w:br/>
            </w:r>
            <w:r>
              <w:t>± 6.4</w:t>
            </w:r>
          </w:p>
        </w:tc>
        <w:tc>
          <w:tcPr>
            <w:tcW w:w="497" w:type="pct"/>
            <w:gridSpan w:val="3"/>
            <w:tcBorders>
              <w:bottom w:val="single" w:sz="6" w:space="0" w:color="auto"/>
            </w:tcBorders>
            <w:shd w:val="clear" w:color="auto" w:fill="auto"/>
            <w:vAlign w:val="center"/>
          </w:tcPr>
          <w:p w:rsidR="00716746" w:rsidRDefault="00716746" w:rsidP="00716746">
            <w:pPr>
              <w:pStyle w:val="TableBodyText"/>
            </w:pPr>
            <w:r>
              <w:t xml:space="preserve">79.0 </w:t>
            </w:r>
            <w:r w:rsidR="00B60F3B">
              <w:br/>
            </w:r>
            <w:r>
              <w:t>± 9.3</w:t>
            </w:r>
          </w:p>
        </w:tc>
        <w:tc>
          <w:tcPr>
            <w:tcW w:w="438" w:type="pct"/>
            <w:tcBorders>
              <w:bottom w:val="single" w:sz="6" w:space="0" w:color="auto"/>
            </w:tcBorders>
            <w:shd w:val="clear" w:color="auto" w:fill="auto"/>
            <w:vAlign w:val="center"/>
          </w:tcPr>
          <w:p w:rsidR="00716746" w:rsidRDefault="00716746" w:rsidP="00716746">
            <w:pPr>
              <w:pStyle w:val="TableBodyText"/>
            </w:pPr>
            <w:r>
              <w:t xml:space="preserve">84.3 </w:t>
            </w:r>
            <w:r w:rsidR="00B60F3B">
              <w:br/>
            </w:r>
            <w:r>
              <w:t>± 6.4</w:t>
            </w:r>
          </w:p>
        </w:tc>
        <w:tc>
          <w:tcPr>
            <w:tcW w:w="461" w:type="pct"/>
            <w:tcBorders>
              <w:bottom w:val="single" w:sz="6" w:space="0" w:color="auto"/>
            </w:tcBorders>
            <w:shd w:val="clear" w:color="auto" w:fill="auto"/>
            <w:vAlign w:val="center"/>
          </w:tcPr>
          <w:p w:rsidR="00716746" w:rsidRDefault="00716746" w:rsidP="00716746">
            <w:pPr>
              <w:pStyle w:val="TableBodyText"/>
            </w:pPr>
            <w:r>
              <w:t xml:space="preserve">85.8 </w:t>
            </w:r>
            <w:r w:rsidR="00B60F3B">
              <w:br/>
            </w:r>
            <w:r>
              <w:t>± 6.9</w:t>
            </w:r>
          </w:p>
        </w:tc>
        <w:tc>
          <w:tcPr>
            <w:tcW w:w="462" w:type="pct"/>
            <w:tcBorders>
              <w:bottom w:val="single" w:sz="6" w:space="0" w:color="auto"/>
            </w:tcBorders>
            <w:shd w:val="clear" w:color="auto" w:fill="auto"/>
            <w:vAlign w:val="center"/>
          </w:tcPr>
          <w:p w:rsidR="00716746" w:rsidRDefault="00716746" w:rsidP="00716746">
            <w:pPr>
              <w:pStyle w:val="TableBodyText"/>
            </w:pPr>
            <w:r>
              <w:t xml:space="preserve">84.8 </w:t>
            </w:r>
            <w:r w:rsidR="00B60F3B">
              <w:br/>
            </w:r>
            <w:r>
              <w:t>± 2.2</w:t>
            </w:r>
          </w:p>
        </w:tc>
        <w:tc>
          <w:tcPr>
            <w:tcW w:w="448" w:type="pct"/>
            <w:tcBorders>
              <w:bottom w:val="single" w:sz="6" w:space="0" w:color="auto"/>
            </w:tcBorders>
          </w:tcPr>
          <w:p w:rsidR="00716746" w:rsidRPr="0083018C" w:rsidRDefault="00716746" w:rsidP="005B2CB7">
            <w:pPr>
              <w:pStyle w:val="TableBodyText"/>
            </w:pPr>
            <w:r>
              <w:t>5A.90</w:t>
            </w:r>
          </w:p>
        </w:tc>
      </w:tr>
    </w:tbl>
    <w:p w:rsidR="00D959D3" w:rsidRPr="00B817EA" w:rsidRDefault="00D959D3" w:rsidP="00D959D3">
      <w:pPr>
        <w:pStyle w:val="Note"/>
      </w:pPr>
      <w:r w:rsidRPr="00CF062B">
        <w:rPr>
          <w:rStyle w:val="NoteLabel"/>
        </w:rPr>
        <w:t>a</w:t>
      </w:r>
      <w:r w:rsidRPr="00B817EA">
        <w:t> Caveats f</w:t>
      </w:r>
      <w:r w:rsidR="0033546B">
        <w:t>or these data are available in c</w:t>
      </w:r>
      <w:r w:rsidRPr="00B817EA">
        <w:t xml:space="preserve">hapter </w:t>
      </w:r>
      <w:r w:rsidR="00943964">
        <w:t>5</w:t>
      </w:r>
      <w:r w:rsidRPr="00B817EA">
        <w:t xml:space="preserve"> and </w:t>
      </w:r>
      <w:r w:rsidR="0033546B">
        <w:t>a</w:t>
      </w:r>
      <w:r w:rsidRPr="00B817EA">
        <w:t xml:space="preserve">ttachment </w:t>
      </w:r>
      <w:r w:rsidR="00943964">
        <w:t>5</w:t>
      </w:r>
      <w:r w:rsidRPr="00B817EA">
        <w:t xml:space="preserve">A. Refer to the indicator interpretation boxes in chapter </w:t>
      </w:r>
      <w:r w:rsidR="00943964">
        <w:t>5</w:t>
      </w:r>
      <w:r w:rsidRPr="00B817EA">
        <w:t xml:space="preserve"> for information to assist with </w:t>
      </w:r>
      <w:r w:rsidR="00CF062B">
        <w:t xml:space="preserve">the </w:t>
      </w:r>
      <w:r w:rsidRPr="00B817EA">
        <w:t>interpret</w:t>
      </w:r>
      <w:r w:rsidR="00CF062B">
        <w:t>ation of</w:t>
      </w:r>
      <w:r w:rsidRPr="00B817EA">
        <w:t xml:space="preserve"> data presented in this table. </w:t>
      </w:r>
      <w:r w:rsidRPr="00CF062B">
        <w:rPr>
          <w:rStyle w:val="NoteLabel"/>
        </w:rPr>
        <w:t>b</w:t>
      </w:r>
      <w:r w:rsidRPr="00B817EA">
        <w:t> </w:t>
      </w:r>
      <w:r w:rsidR="00A871B3">
        <w:t>These</w:t>
      </w:r>
      <w:r w:rsidRPr="00B817EA">
        <w:t xml:space="preserve"> data are derived from detailed data in </w:t>
      </w:r>
      <w:r w:rsidR="0033546B">
        <w:t>c</w:t>
      </w:r>
      <w:r w:rsidRPr="00B817EA">
        <w:t xml:space="preserve">hapter </w:t>
      </w:r>
      <w:r w:rsidR="00943964">
        <w:t>5</w:t>
      </w:r>
      <w:r w:rsidRPr="00B817EA">
        <w:t xml:space="preserve"> and </w:t>
      </w:r>
      <w:r w:rsidR="0033546B">
        <w:t>a</w:t>
      </w:r>
      <w:r w:rsidRPr="00B817EA">
        <w:t xml:space="preserve">ttachment </w:t>
      </w:r>
      <w:r w:rsidR="00943964">
        <w:t>5</w:t>
      </w:r>
      <w:r w:rsidRPr="00B817EA">
        <w:t>A.</w:t>
      </w:r>
      <w:r w:rsidR="00AD0C77">
        <w:t xml:space="preserve"> </w:t>
      </w:r>
      <w:r w:rsidR="00AD0C77">
        <w:rPr>
          <w:rStyle w:val="NoteLabel"/>
        </w:rPr>
        <w:t>c</w:t>
      </w:r>
      <w:r w:rsidR="00AD0C77" w:rsidRPr="00B817EA">
        <w:t> </w:t>
      </w:r>
      <w:r w:rsidR="00AD0C77">
        <w:t xml:space="preserve">Some percentages reported in this table include 95 per cent confidence intervals (for example, 80 per cent </w:t>
      </w:r>
      <w:r w:rsidR="007E7F1E" w:rsidRPr="00393E8A">
        <w:t>± 2.7 per cent).</w:t>
      </w:r>
    </w:p>
    <w:p w:rsidR="00D959D3" w:rsidRDefault="00D959D3" w:rsidP="00D959D3">
      <w:pPr>
        <w:pStyle w:val="Source"/>
      </w:pPr>
      <w:r w:rsidRPr="00B817EA">
        <w:t xml:space="preserve">Source: </w:t>
      </w:r>
      <w:r w:rsidR="00015CB2">
        <w:t>C</w:t>
      </w:r>
      <w:r w:rsidRPr="00B817EA">
        <w:t xml:space="preserve">hapter </w:t>
      </w:r>
      <w:r w:rsidR="00943964">
        <w:t>5</w:t>
      </w:r>
      <w:r w:rsidRPr="00B817EA">
        <w:t xml:space="preserve"> and </w:t>
      </w:r>
      <w:r w:rsidR="0033546B">
        <w:t>a</w:t>
      </w:r>
      <w:r w:rsidRPr="00B817EA">
        <w:t xml:space="preserve">ttachment </w:t>
      </w:r>
      <w:r w:rsidR="00943964">
        <w:t>5</w:t>
      </w:r>
      <w:r w:rsidRPr="00B817EA">
        <w:t>A.</w:t>
      </w:r>
    </w:p>
    <w:p w:rsidR="00FF27ED" w:rsidRPr="00AA7159" w:rsidRDefault="00891AAF" w:rsidP="00AA7159">
      <w:pPr>
        <w:pStyle w:val="Heading2"/>
        <w:rPr>
          <w:rStyle w:val="DraftingNote"/>
          <w:b/>
          <w:color w:val="auto"/>
          <w:sz w:val="32"/>
          <w:u w:val="none"/>
        </w:rPr>
      </w:pPr>
      <w:bookmarkStart w:id="17" w:name="_Toc369871807"/>
      <w:r w:rsidRPr="00BA7C82">
        <w:t>B.</w:t>
      </w:r>
      <w:r w:rsidR="005C0C17">
        <w:rPr>
          <w:noProof/>
        </w:rPr>
        <w:t>3</w:t>
      </w:r>
      <w:r w:rsidR="00AE67DB" w:rsidRPr="00BA7C82">
        <w:tab/>
      </w:r>
      <w:r w:rsidR="00FF27ED" w:rsidRPr="00BA7C82">
        <w:t>Cross-cutting and interface issues</w:t>
      </w:r>
      <w:bookmarkEnd w:id="17"/>
      <w:r w:rsidR="00AA7159">
        <w:t xml:space="preserve"> </w:t>
      </w:r>
    </w:p>
    <w:p w:rsidR="00067C42" w:rsidRPr="00B83948" w:rsidRDefault="00067C42" w:rsidP="00067C42">
      <w:pPr>
        <w:pStyle w:val="BodyText"/>
      </w:pPr>
      <w:r w:rsidRPr="00B83948">
        <w:t>Although this Report addresses three areas of education in separate chapters</w:t>
      </w:r>
      <w:r w:rsidR="008D13D3" w:rsidRPr="00B83948">
        <w:t xml:space="preserve"> (Early childhood, education and care; School education; Vocational Education and Training)</w:t>
      </w:r>
      <w:r w:rsidRPr="00B83948">
        <w:t xml:space="preserve">, it is recognised that there are many linkages between these services across the lifespan. </w:t>
      </w:r>
    </w:p>
    <w:p w:rsidR="00EB6817" w:rsidRPr="00B83948" w:rsidRDefault="005A3418" w:rsidP="00EB6817">
      <w:pPr>
        <w:pStyle w:val="ListBullet"/>
      </w:pPr>
      <w:r w:rsidRPr="00B83948">
        <w:t>R</w:t>
      </w:r>
      <w:r w:rsidR="00480ADA" w:rsidRPr="00B83948">
        <w:t xml:space="preserve">esearch has found that </w:t>
      </w:r>
      <w:r w:rsidR="0018189A" w:rsidRPr="00B83948">
        <w:t>participation</w:t>
      </w:r>
      <w:r w:rsidR="00480ADA" w:rsidRPr="00B83948">
        <w:t xml:space="preserve"> in </w:t>
      </w:r>
      <w:r w:rsidR="0018189A" w:rsidRPr="00B83948">
        <w:t xml:space="preserve">quality early childhood education and care </w:t>
      </w:r>
      <w:r w:rsidR="00480ADA" w:rsidRPr="00B83948">
        <w:t xml:space="preserve">impacts </w:t>
      </w:r>
      <w:r w:rsidR="0018189A" w:rsidRPr="00B83948">
        <w:t>beneficially</w:t>
      </w:r>
      <w:r w:rsidR="00480ADA" w:rsidRPr="00B83948">
        <w:t xml:space="preserve"> upon children’s educ</w:t>
      </w:r>
      <w:r w:rsidR="00D71B3F" w:rsidRPr="00B83948">
        <w:t xml:space="preserve">ational and social development </w:t>
      </w:r>
      <w:r w:rsidR="00480ADA" w:rsidRPr="00B83948">
        <w:t>(</w:t>
      </w:r>
      <w:r w:rsidR="00072352" w:rsidRPr="00B83948">
        <w:t>Ramey</w:t>
      </w:r>
      <w:r w:rsidR="00974B2C" w:rsidRPr="00B83948">
        <w:t xml:space="preserve"> et al.</w:t>
      </w:r>
      <w:r w:rsidR="00072352" w:rsidRPr="00B83948">
        <w:t xml:space="preserve"> 2012</w:t>
      </w:r>
      <w:r w:rsidR="0018189A" w:rsidRPr="00B83948">
        <w:t xml:space="preserve">; </w:t>
      </w:r>
      <w:proofErr w:type="spellStart"/>
      <w:r w:rsidR="00072352" w:rsidRPr="00B83948">
        <w:t>Tayler</w:t>
      </w:r>
      <w:proofErr w:type="spellEnd"/>
      <w:r w:rsidR="00974B2C" w:rsidRPr="00B83948">
        <w:t xml:space="preserve"> et al.</w:t>
      </w:r>
      <w:r w:rsidR="00480ADA" w:rsidRPr="00B83948">
        <w:t xml:space="preserve"> 2013).</w:t>
      </w:r>
      <w:r w:rsidR="0018189A" w:rsidRPr="00B83948">
        <w:t xml:space="preserve"> </w:t>
      </w:r>
      <w:r w:rsidR="00E5659E" w:rsidRPr="00B83948">
        <w:t>For example, Reynolds et al. (20</w:t>
      </w:r>
      <w:r w:rsidR="001E7356">
        <w:t>09</w:t>
      </w:r>
      <w:r w:rsidR="00E5659E" w:rsidRPr="00B83948">
        <w:t xml:space="preserve">) found </w:t>
      </w:r>
      <w:r w:rsidR="00974B2C" w:rsidRPr="00B83948">
        <w:t xml:space="preserve">that </w:t>
      </w:r>
      <w:r w:rsidR="008D13D3" w:rsidRPr="00B83948">
        <w:t>state-funded preschool programs</w:t>
      </w:r>
      <w:r w:rsidR="00E5659E" w:rsidRPr="00B83948">
        <w:t xml:space="preserve"> </w:t>
      </w:r>
      <w:r w:rsidR="008D13D3" w:rsidRPr="00B83948">
        <w:t>positive</w:t>
      </w:r>
      <w:r w:rsidR="00E5659E" w:rsidRPr="00B83948">
        <w:t xml:space="preserve">ly </w:t>
      </w:r>
      <w:r w:rsidR="005A2CE9" w:rsidRPr="00B83948">
        <w:t>influenced</w:t>
      </w:r>
      <w:r w:rsidR="00E5659E" w:rsidRPr="00B83948">
        <w:t xml:space="preserve"> children’s outcomes on </w:t>
      </w:r>
      <w:r w:rsidR="008D13D3" w:rsidRPr="00B83948">
        <w:t>measures of school readiness</w:t>
      </w:r>
      <w:r w:rsidR="00974B2C" w:rsidRPr="00B83948">
        <w:t>.</w:t>
      </w:r>
    </w:p>
    <w:p w:rsidR="005A2CE9" w:rsidRPr="001F2D7B" w:rsidRDefault="005A3418" w:rsidP="005A3418">
      <w:pPr>
        <w:pStyle w:val="ListBullet"/>
      </w:pPr>
      <w:r w:rsidRPr="00B83948">
        <w:t>R</w:t>
      </w:r>
      <w:r w:rsidR="00E5659E" w:rsidRPr="00B83948">
        <w:t xml:space="preserve">esearch has found that engagement in school influences </w:t>
      </w:r>
      <w:r w:rsidR="00974B2C" w:rsidRPr="00B83948">
        <w:t xml:space="preserve">a child’s </w:t>
      </w:r>
      <w:r w:rsidR="00E5659E" w:rsidRPr="00B83948">
        <w:t xml:space="preserve">prospects of educational and occupational success, over and above </w:t>
      </w:r>
      <w:r w:rsidR="00974B2C" w:rsidRPr="00B83948">
        <w:t xml:space="preserve">his or her </w:t>
      </w:r>
      <w:r w:rsidR="00E5659E" w:rsidRPr="00B83948">
        <w:t xml:space="preserve">academic attainment and socioeconomic background. </w:t>
      </w:r>
      <w:r w:rsidR="005A2CE9" w:rsidRPr="00B83948">
        <w:t>Abbott-Chapman et al. (2013) found that t</w:t>
      </w:r>
      <w:r w:rsidR="00E5659E" w:rsidRPr="00B83948">
        <w:t xml:space="preserve">he more children felt connected to their school community and felt </w:t>
      </w:r>
      <w:r w:rsidR="00E5659E" w:rsidRPr="00B83948">
        <w:lastRenderedPageBreak/>
        <w:t xml:space="preserve">engaged, rather than bored, the greater their likelihood of achieving a higher </w:t>
      </w:r>
      <w:r w:rsidR="00E5659E" w:rsidRPr="001F2D7B">
        <w:t xml:space="preserve">educational qualification and going on to a professional career. </w:t>
      </w:r>
    </w:p>
    <w:p w:rsidR="00DF1764" w:rsidRPr="001F2D7B" w:rsidRDefault="00DF1764" w:rsidP="00DF1764">
      <w:pPr>
        <w:pStyle w:val="ListBullet"/>
      </w:pPr>
      <w:r w:rsidRPr="001F2D7B">
        <w:t>Attendance at school is also a critical factor in educational attainment. Hancock et al. (2013) reported that absence from school resulted in poorer academic achievement in numeracy, reading and writing in the current academic year and in future years. The effects of school absence were also found to accumulate over time, hence the need for early intervention to address absenteeism.</w:t>
      </w:r>
    </w:p>
    <w:p w:rsidR="00491C8F" w:rsidRPr="00B83948" w:rsidRDefault="005A3418" w:rsidP="00491C8F">
      <w:pPr>
        <w:pStyle w:val="ListBullet"/>
      </w:pPr>
      <w:r w:rsidRPr="001F2D7B">
        <w:t>R</w:t>
      </w:r>
      <w:r w:rsidR="005A2CE9" w:rsidRPr="001F2D7B">
        <w:t>esearch has</w:t>
      </w:r>
      <w:r w:rsidRPr="001F2D7B">
        <w:t xml:space="preserve"> also</w:t>
      </w:r>
      <w:r w:rsidR="005A2CE9" w:rsidRPr="001F2D7B">
        <w:t xml:space="preserve"> documented the benefits of completing a VET qualification. </w:t>
      </w:r>
      <w:proofErr w:type="spellStart"/>
      <w:r w:rsidR="005A2CE9" w:rsidRPr="001F2D7B">
        <w:t>Karmel</w:t>
      </w:r>
      <w:proofErr w:type="spellEnd"/>
      <w:r w:rsidR="005A2CE9" w:rsidRPr="001F2D7B">
        <w:t xml:space="preserve"> and </w:t>
      </w:r>
      <w:proofErr w:type="spellStart"/>
      <w:r w:rsidR="005A2CE9" w:rsidRPr="001F2D7B">
        <w:t>Fieger</w:t>
      </w:r>
      <w:proofErr w:type="spellEnd"/>
      <w:r w:rsidR="005A2CE9" w:rsidRPr="001F2D7B">
        <w:t xml:space="preserve"> (2012</w:t>
      </w:r>
      <w:r w:rsidR="005A2CE9" w:rsidRPr="00B83948">
        <w:t>) found that completing VET</w:t>
      </w:r>
      <w:r w:rsidR="0027627D" w:rsidRPr="00B83948">
        <w:t xml:space="preserve"> qualifications</w:t>
      </w:r>
      <w:r w:rsidR="00974B2C" w:rsidRPr="00B83948">
        <w:t>, compared to withdrawing before completion,</w:t>
      </w:r>
      <w:r w:rsidR="0027627D" w:rsidRPr="00B83948">
        <w:t xml:space="preserve"> is </w:t>
      </w:r>
      <w:r w:rsidR="00974B2C" w:rsidRPr="00B83948">
        <w:t xml:space="preserve">more </w:t>
      </w:r>
      <w:r w:rsidR="0027627D" w:rsidRPr="00B83948">
        <w:t>beneficial for students’ future employment prospects, occupational status, salary and further study options.</w:t>
      </w:r>
      <w:r w:rsidR="00AA7020" w:rsidRPr="00B83948">
        <w:t xml:space="preserve"> </w:t>
      </w:r>
    </w:p>
    <w:p w:rsidR="005A3418" w:rsidRPr="00B83948" w:rsidRDefault="005A3418" w:rsidP="005A2CE9">
      <w:pPr>
        <w:pStyle w:val="ListBullet"/>
      </w:pPr>
      <w:r w:rsidRPr="00B83948">
        <w:t xml:space="preserve">Completion of school is also a predicator of positive life outcomes. On average, young people who complete Year 12 tend to have more successful transitions from education to work than those who do not. Completion of senior secondary schooling </w:t>
      </w:r>
      <w:r w:rsidR="009936BA" w:rsidRPr="00B83948">
        <w:t>has been shown to provide</w:t>
      </w:r>
      <w:r w:rsidRPr="00B83948">
        <w:t xml:space="preserve"> the best labour market outcomes, relative to other vocational education paths</w:t>
      </w:r>
      <w:r w:rsidR="001D211F" w:rsidRPr="00B83948">
        <w:t xml:space="preserve"> (Ryan 2011)</w:t>
      </w:r>
      <w:r w:rsidRPr="00B83948">
        <w:t xml:space="preserve">. </w:t>
      </w:r>
    </w:p>
    <w:p w:rsidR="00067C42" w:rsidRPr="00B83948" w:rsidRDefault="00067C42" w:rsidP="00067C42">
      <w:pPr>
        <w:pStyle w:val="BodyText"/>
      </w:pPr>
      <w:r w:rsidRPr="00B83948">
        <w:t xml:space="preserve">There are also </w:t>
      </w:r>
      <w:r w:rsidR="00072352" w:rsidRPr="00B83948">
        <w:t>interrelationships</w:t>
      </w:r>
      <w:r w:rsidRPr="00B83948">
        <w:t xml:space="preserve"> between education</w:t>
      </w:r>
      <w:r w:rsidR="00E41D64" w:rsidRPr="00B83948">
        <w:t xml:space="preserve"> and other government services.</w:t>
      </w:r>
    </w:p>
    <w:p w:rsidR="00072352" w:rsidRPr="00B83948" w:rsidRDefault="00E41D64" w:rsidP="00595701">
      <w:pPr>
        <w:pStyle w:val="ListBullet"/>
      </w:pPr>
      <w:r w:rsidRPr="00B83948">
        <w:t>T</w:t>
      </w:r>
      <w:r w:rsidR="00072352" w:rsidRPr="00B83948">
        <w:t xml:space="preserve">he value of investment in early childhood education and care has been confirmed by economic analyses, which show sustained benefits beyond childhood, including government savings in the justice system </w:t>
      </w:r>
      <w:r w:rsidR="005C0D07">
        <w:br/>
      </w:r>
      <w:r w:rsidR="00072352" w:rsidRPr="00B83948">
        <w:t>(Reynold</w:t>
      </w:r>
      <w:r w:rsidR="005C0D07">
        <w:t>s et</w:t>
      </w:r>
      <w:r w:rsidR="00A51A5F">
        <w:t xml:space="preserve"> </w:t>
      </w:r>
      <w:r w:rsidR="00072352" w:rsidRPr="00B83948">
        <w:t>al</w:t>
      </w:r>
      <w:r w:rsidR="005C0D07">
        <w:t>.</w:t>
      </w:r>
      <w:r w:rsidR="00A51A5F">
        <w:t xml:space="preserve"> </w:t>
      </w:r>
      <w:r w:rsidR="00072352" w:rsidRPr="00B83948">
        <w:t>20</w:t>
      </w:r>
      <w:r w:rsidR="001E7356">
        <w:t>09</w:t>
      </w:r>
      <w:r w:rsidR="00072352" w:rsidRPr="00B83948">
        <w:t xml:space="preserve">). </w:t>
      </w:r>
      <w:r w:rsidR="00595701" w:rsidRPr="00B83948">
        <w:t>Similarly, European research has examined the expansion of the UK post</w:t>
      </w:r>
      <w:r w:rsidR="00595701" w:rsidRPr="00B83948">
        <w:noBreakHyphen/>
        <w:t>compulsory education system that occurred in the late 1980s and early 1990s and found that this expansion raised education levels across the whole education distribution. At the same time, youth crime fell, supporting the contention that education has a significant impact on reducing crime rates. The education expansion also had a significant impact on other productivity-related economic variables, including qualification attainment and wages (</w:t>
      </w:r>
      <w:proofErr w:type="spellStart"/>
      <w:r w:rsidR="00595701" w:rsidRPr="00B83948">
        <w:t>Machin</w:t>
      </w:r>
      <w:proofErr w:type="spellEnd"/>
      <w:r w:rsidR="00595701" w:rsidRPr="00B83948">
        <w:t xml:space="preserve"> et al</w:t>
      </w:r>
      <w:r w:rsidR="005C0D07">
        <w:t>. 2012).</w:t>
      </w:r>
    </w:p>
    <w:p w:rsidR="00BB5A0F" w:rsidRPr="00B83948" w:rsidRDefault="00E41D64" w:rsidP="00BB5A0F">
      <w:pPr>
        <w:pStyle w:val="ListBullet"/>
      </w:pPr>
      <w:r w:rsidRPr="00B83948">
        <w:t xml:space="preserve">The health benefits associated with higher levels of education have been documented in population health studies. Cutler and </w:t>
      </w:r>
      <w:proofErr w:type="spellStart"/>
      <w:r w:rsidRPr="00B83948">
        <w:t>Lleras-Muney</w:t>
      </w:r>
      <w:proofErr w:type="spellEnd"/>
      <w:r w:rsidRPr="00B83948">
        <w:t xml:space="preserve"> (2007) </w:t>
      </w:r>
      <w:r w:rsidR="009936BA" w:rsidRPr="00B83948">
        <w:t>document</w:t>
      </w:r>
      <w:r w:rsidRPr="00B83948">
        <w:t xml:space="preserve"> a </w:t>
      </w:r>
      <w:r w:rsidR="00D71B3F" w:rsidRPr="00B83948">
        <w:t>clear association between education and health that cannot be fully explained by income, the labo</w:t>
      </w:r>
      <w:r w:rsidR="00302E11" w:rsidRPr="00B83948">
        <w:t>u</w:t>
      </w:r>
      <w:r w:rsidR="00D71B3F" w:rsidRPr="00B83948">
        <w:t xml:space="preserve">r market, or family background. </w:t>
      </w:r>
      <w:r w:rsidRPr="00B83948">
        <w:t>On average, b</w:t>
      </w:r>
      <w:r w:rsidR="00302E11" w:rsidRPr="00B83948">
        <w:t>etter educated people have lower morbidity rates from the most common acute and chronic diseases</w:t>
      </w:r>
      <w:r w:rsidRPr="00B83948">
        <w:t xml:space="preserve">, and have a longer life expectancy, than people with lower levels of education. Cutler and </w:t>
      </w:r>
      <w:proofErr w:type="spellStart"/>
      <w:r w:rsidRPr="00B83948">
        <w:t>Lleras-Muney</w:t>
      </w:r>
      <w:proofErr w:type="spellEnd"/>
      <w:r w:rsidRPr="00B83948">
        <w:t xml:space="preserve"> (2007) note that t</w:t>
      </w:r>
      <w:r w:rsidR="00302E11" w:rsidRPr="00B83948">
        <w:t xml:space="preserve">he mechanisms by which education influences health are </w:t>
      </w:r>
      <w:r w:rsidRPr="00B83948">
        <w:t xml:space="preserve">likely to be </w:t>
      </w:r>
      <w:r w:rsidR="00302E11" w:rsidRPr="00B83948">
        <w:t>complex</w:t>
      </w:r>
      <w:r w:rsidR="00BB5A0F" w:rsidRPr="00B83948">
        <w:t xml:space="preserve">. However, </w:t>
      </w:r>
      <w:r w:rsidR="009936BA" w:rsidRPr="00B83948">
        <w:t>t</w:t>
      </w:r>
      <w:r w:rsidR="00BB5A0F" w:rsidRPr="00B83948">
        <w:t>here is a direct relationship between education and health</w:t>
      </w:r>
      <w:r w:rsidR="00154F26" w:rsidRPr="00B83948">
        <w:t xml:space="preserve"> </w:t>
      </w:r>
      <w:r w:rsidR="00BB5A0F" w:rsidRPr="00B83948">
        <w:t>—</w:t>
      </w:r>
      <w:r w:rsidR="00154F26" w:rsidRPr="00B83948">
        <w:t xml:space="preserve"> </w:t>
      </w:r>
      <w:r w:rsidR="00BB5A0F" w:rsidRPr="00B83948">
        <w:t xml:space="preserve">better educated individuals have more positive health outcomes. This association remains significant even </w:t>
      </w:r>
      <w:r w:rsidR="00BB5A0F" w:rsidRPr="00B83948">
        <w:lastRenderedPageBreak/>
        <w:t xml:space="preserve">after controlling for </w:t>
      </w:r>
      <w:r w:rsidR="009936BA" w:rsidRPr="00B83948">
        <w:t>other factors</w:t>
      </w:r>
      <w:r w:rsidR="00BB5A0F" w:rsidRPr="00B83948">
        <w:t xml:space="preserve">. </w:t>
      </w:r>
      <w:r w:rsidR="001615D1">
        <w:t>The findings of this research suggest</w:t>
      </w:r>
      <w:r w:rsidR="00BB5A0F" w:rsidRPr="00B83948">
        <w:t xml:space="preserve"> that </w:t>
      </w:r>
      <w:r w:rsidR="003302D8">
        <w:t>improving educational outcomes</w:t>
      </w:r>
      <w:r w:rsidR="00BB5A0F" w:rsidRPr="00B83948">
        <w:t xml:space="preserve"> </w:t>
      </w:r>
      <w:r w:rsidR="003302D8">
        <w:t xml:space="preserve">has </w:t>
      </w:r>
      <w:r w:rsidR="00BB5A0F" w:rsidRPr="00B83948">
        <w:t xml:space="preserve">the potential to substantially improve public health. </w:t>
      </w:r>
    </w:p>
    <w:p w:rsidR="00E62E7B" w:rsidRPr="00B83948" w:rsidRDefault="00350DDC" w:rsidP="00C15E85">
      <w:pPr>
        <w:pStyle w:val="ListBullet"/>
      </w:pPr>
      <w:r w:rsidRPr="00B83948">
        <w:t xml:space="preserve">The capacity for education to reduce the likelihood of social exclusion, and thus reduce reliance on government and community services, has been well documented. </w:t>
      </w:r>
      <w:r w:rsidR="00C758ED" w:rsidRPr="00B83948">
        <w:t xml:space="preserve">Social exclusion comprises a lack of material resources, unemployment, poor health and disability, and limited social connections and interactions (including, for example, volunteering and civic participation). </w:t>
      </w:r>
      <w:proofErr w:type="spellStart"/>
      <w:r w:rsidRPr="00B83948">
        <w:t>Buddelmeyer</w:t>
      </w:r>
      <w:proofErr w:type="spellEnd"/>
      <w:r w:rsidRPr="00B83948">
        <w:t xml:space="preserve"> et al</w:t>
      </w:r>
      <w:r w:rsidR="005C0D07">
        <w:t>.</w:t>
      </w:r>
      <w:r w:rsidRPr="00B83948">
        <w:t xml:space="preserve"> (2012) note that education is a powerful marker of social exclusion. Early school leavers, and people who have </w:t>
      </w:r>
      <w:r w:rsidR="008F4839">
        <w:t>C</w:t>
      </w:r>
      <w:r w:rsidRPr="00B83948">
        <w:t xml:space="preserve">ertificate II as their highest qualification, suffer from social exclusion to a far greater degree than those with </w:t>
      </w:r>
      <w:r w:rsidR="009936BA" w:rsidRPr="00B83948">
        <w:t>higher</w:t>
      </w:r>
      <w:r w:rsidRPr="00B83948">
        <w:t xml:space="preserve"> levels of educational attainment. </w:t>
      </w:r>
    </w:p>
    <w:p w:rsidR="008B55A6" w:rsidRPr="00B83948" w:rsidRDefault="00FF27ED" w:rsidP="008B55A6">
      <w:pPr>
        <w:pStyle w:val="Heading2"/>
      </w:pPr>
      <w:bookmarkStart w:id="18" w:name="_Toc369871808"/>
      <w:r w:rsidRPr="00B83948">
        <w:t>B.4</w:t>
      </w:r>
      <w:r w:rsidRPr="00B83948">
        <w:tab/>
      </w:r>
      <w:r w:rsidR="008B55A6" w:rsidRPr="00B83948">
        <w:t>Future directions</w:t>
      </w:r>
      <w:bookmarkEnd w:id="18"/>
    </w:p>
    <w:p w:rsidR="003B6036" w:rsidRPr="00B83948" w:rsidRDefault="00A0590B" w:rsidP="00C14CA6">
      <w:pPr>
        <w:pStyle w:val="BodyText"/>
      </w:pPr>
      <w:r w:rsidRPr="00B83948">
        <w:t xml:space="preserve">This </w:t>
      </w:r>
      <w:proofErr w:type="spellStart"/>
      <w:r w:rsidR="00F048B0" w:rsidRPr="00B83948">
        <w:t>CCET</w:t>
      </w:r>
      <w:proofErr w:type="spellEnd"/>
      <w:r w:rsidRPr="00B83948">
        <w:t xml:space="preserve"> sector </w:t>
      </w:r>
      <w:r w:rsidR="00A77F79" w:rsidRPr="00B83948">
        <w:t>overview</w:t>
      </w:r>
      <w:r w:rsidRPr="00B83948">
        <w:t xml:space="preserve"> will continue to </w:t>
      </w:r>
      <w:r w:rsidR="002C798C" w:rsidRPr="00B83948">
        <w:t xml:space="preserve">be developed in future </w:t>
      </w:r>
      <w:r w:rsidRPr="00B83948">
        <w:t>reports</w:t>
      </w:r>
      <w:r w:rsidR="003B6036" w:rsidRPr="00B83948">
        <w:t xml:space="preserve">, to reflect developments affecting the sector as a whole. </w:t>
      </w:r>
    </w:p>
    <w:p w:rsidR="00C14CA6" w:rsidRPr="00B83948" w:rsidRDefault="002C798C" w:rsidP="00C14CA6">
      <w:pPr>
        <w:pStyle w:val="BodyText"/>
      </w:pPr>
      <w:r w:rsidRPr="00B83948">
        <w:t xml:space="preserve">The </w:t>
      </w:r>
      <w:r w:rsidR="00A77F79" w:rsidRPr="00B83948">
        <w:t>Early childhood education and care</w:t>
      </w:r>
      <w:r w:rsidR="00C14CA6" w:rsidRPr="00B83948">
        <w:t xml:space="preserve">, </w:t>
      </w:r>
      <w:r w:rsidR="0062329D" w:rsidRPr="00B83948">
        <w:t>S</w:t>
      </w:r>
      <w:r w:rsidR="00C14CA6" w:rsidRPr="00B83948">
        <w:t xml:space="preserve">chool education and </w:t>
      </w:r>
      <w:r w:rsidR="0062329D" w:rsidRPr="00B83948">
        <w:t>Vocational education and training</w:t>
      </w:r>
      <w:r w:rsidRPr="00B83948">
        <w:t xml:space="preserve"> chapters </w:t>
      </w:r>
      <w:r w:rsidR="00C14CA6" w:rsidRPr="00B83948">
        <w:t>contain a service</w:t>
      </w:r>
      <w:r w:rsidR="00C14CA6" w:rsidRPr="00B83948">
        <w:noBreakHyphen/>
        <w:t xml:space="preserve">specific section on future directions in performance reporting. </w:t>
      </w:r>
    </w:p>
    <w:p w:rsidR="008B55A6" w:rsidRPr="00AA7159" w:rsidRDefault="00891AAF" w:rsidP="008B55A6">
      <w:pPr>
        <w:pStyle w:val="Heading2"/>
        <w:rPr>
          <w:rStyle w:val="DraftingNote"/>
        </w:rPr>
      </w:pPr>
      <w:bookmarkStart w:id="19" w:name="_Toc369871809"/>
      <w:r w:rsidRPr="00B83948">
        <w:t>B</w:t>
      </w:r>
      <w:r w:rsidR="00FF27ED" w:rsidRPr="00B83948">
        <w:t>.5</w:t>
      </w:r>
      <w:r w:rsidR="00AE67DB" w:rsidRPr="00B83948">
        <w:tab/>
      </w:r>
      <w:r w:rsidR="008B55A6" w:rsidRPr="00B83948">
        <w:t>List of attachment tables</w:t>
      </w:r>
      <w:bookmarkEnd w:id="19"/>
    </w:p>
    <w:p w:rsidR="008E2561" w:rsidRDefault="008E2561" w:rsidP="00023F4E">
      <w:pPr>
        <w:pStyle w:val="BodyText"/>
        <w:widowControl w:val="0"/>
      </w:pPr>
      <w:r w:rsidRPr="0045479F">
        <w:t xml:space="preserve">Attachment tables are identified in references throughout this </w:t>
      </w:r>
      <w:r>
        <w:t xml:space="preserve">sector </w:t>
      </w:r>
      <w:r w:rsidR="00A77F79">
        <w:t>overview</w:t>
      </w:r>
      <w:r>
        <w:t xml:space="preserve"> </w:t>
      </w:r>
      <w:r w:rsidR="00440B96">
        <w:t>by a</w:t>
      </w:r>
      <w:r w:rsidRPr="0045479F">
        <w:t xml:space="preserve"> ‘</w:t>
      </w:r>
      <w:r>
        <w:t>B</w:t>
      </w:r>
      <w:r w:rsidRPr="0045479F">
        <w:t xml:space="preserve">A’ </w:t>
      </w:r>
      <w:r w:rsidR="000214D6">
        <w:t>pre</w:t>
      </w:r>
      <w:r w:rsidRPr="0045479F">
        <w:t xml:space="preserve">fix (for example, table </w:t>
      </w:r>
      <w:r>
        <w:t>B</w:t>
      </w:r>
      <w:r w:rsidR="002C798C">
        <w:t>A.1</w:t>
      </w:r>
      <w:r w:rsidRPr="0045479F">
        <w:t xml:space="preserve">). Attachment tables are </w:t>
      </w:r>
      <w:r>
        <w:t xml:space="preserve">available </w:t>
      </w:r>
      <w:r w:rsidRPr="0045479F">
        <w:t>on the Review website (</w:t>
      </w:r>
      <w:proofErr w:type="spellStart"/>
      <w:r w:rsidR="00023F4E" w:rsidRPr="00277022">
        <w:t>www.pc.gov.au</w:t>
      </w:r>
      <w:proofErr w:type="spellEnd"/>
      <w:r w:rsidR="00023F4E" w:rsidRPr="00277022">
        <w:t>/</w:t>
      </w:r>
      <w:proofErr w:type="spellStart"/>
      <w:r w:rsidR="00023F4E" w:rsidRPr="00277022">
        <w:t>gsp</w:t>
      </w:r>
      <w:proofErr w:type="spellEnd"/>
      <w:r>
        <w:t>).</w:t>
      </w:r>
    </w:p>
    <w:p w:rsidR="00023F4E" w:rsidRDefault="00023F4E" w:rsidP="00023F4E">
      <w:pPr>
        <w:pStyle w:val="BodyText"/>
        <w:widowControl w:val="0"/>
      </w:pPr>
    </w:p>
    <w:p w:rsidR="00657B66" w:rsidRPr="008E2561" w:rsidRDefault="00657B66" w:rsidP="00023F4E">
      <w:pPr>
        <w:pStyle w:val="BoxSpace"/>
        <w:keepNext w:val="0"/>
        <w:widowControl w:val="0"/>
        <w:spacing w:before="0"/>
        <w:rPr>
          <w:b/>
          <w:vanish/>
          <w:color w:val="FF00FF"/>
          <w:sz w:val="14"/>
        </w:rPr>
      </w:pPr>
    </w:p>
    <w:tbl>
      <w:tblPr>
        <w:tblW w:w="8860" w:type="dxa"/>
        <w:tblLook w:val="0000" w:firstRow="0" w:lastRow="0" w:firstColumn="0" w:lastColumn="0" w:noHBand="0" w:noVBand="0"/>
      </w:tblPr>
      <w:tblGrid>
        <w:gridCol w:w="1668"/>
        <w:gridCol w:w="7192"/>
      </w:tblGrid>
      <w:tr w:rsidR="00023F4E" w:rsidRPr="00657B66" w:rsidTr="00023F4E">
        <w:trPr>
          <w:trHeight w:val="612"/>
        </w:trPr>
        <w:tc>
          <w:tcPr>
            <w:tcW w:w="1668" w:type="dxa"/>
            <w:tcBorders>
              <w:top w:val="nil"/>
              <w:left w:val="nil"/>
              <w:bottom w:val="nil"/>
              <w:right w:val="nil"/>
            </w:tcBorders>
            <w:shd w:val="clear" w:color="auto" w:fill="auto"/>
            <w:noWrap/>
          </w:tcPr>
          <w:p w:rsidR="00023F4E" w:rsidRPr="00AE2910" w:rsidRDefault="00023F4E" w:rsidP="00023F4E">
            <w:pPr>
              <w:pStyle w:val="TableBodyText"/>
              <w:keepNext w:val="0"/>
              <w:keepLines w:val="0"/>
              <w:widowControl w:val="0"/>
              <w:jc w:val="left"/>
            </w:pPr>
            <w:bookmarkStart w:id="20" w:name="_Toc297719552"/>
            <w:r w:rsidRPr="00AE2910">
              <w:t>Table BA.1</w:t>
            </w:r>
          </w:p>
        </w:tc>
        <w:tc>
          <w:tcPr>
            <w:tcW w:w="7192" w:type="dxa"/>
            <w:tcBorders>
              <w:top w:val="nil"/>
              <w:left w:val="nil"/>
              <w:bottom w:val="nil"/>
              <w:right w:val="nil"/>
            </w:tcBorders>
            <w:shd w:val="clear" w:color="auto" w:fill="auto"/>
          </w:tcPr>
          <w:p w:rsidR="00023F4E" w:rsidRPr="00AE2910" w:rsidRDefault="00023F4E" w:rsidP="00023F4E">
            <w:pPr>
              <w:pStyle w:val="TableBodyText"/>
              <w:keepNext w:val="0"/>
              <w:keepLines w:val="0"/>
              <w:widowControl w:val="0"/>
              <w:jc w:val="left"/>
            </w:pPr>
            <w:r w:rsidRPr="00AE2910">
              <w:t xml:space="preserve">Australian, State and Territory government real recurrent expenditure on child care services, (2011-12 dollars)  </w:t>
            </w:r>
          </w:p>
        </w:tc>
      </w:tr>
      <w:tr w:rsidR="00023F4E" w:rsidRPr="00657B66" w:rsidTr="00023F4E">
        <w:trPr>
          <w:trHeight w:val="612"/>
        </w:trPr>
        <w:tc>
          <w:tcPr>
            <w:tcW w:w="1668" w:type="dxa"/>
            <w:tcBorders>
              <w:top w:val="nil"/>
              <w:left w:val="nil"/>
              <w:bottom w:val="nil"/>
              <w:right w:val="nil"/>
            </w:tcBorders>
            <w:shd w:val="clear" w:color="auto" w:fill="auto"/>
            <w:noWrap/>
          </w:tcPr>
          <w:p w:rsidR="00023F4E" w:rsidRPr="00AE2910" w:rsidRDefault="00023F4E" w:rsidP="00023F4E">
            <w:pPr>
              <w:pStyle w:val="TableBodyText"/>
              <w:keepNext w:val="0"/>
              <w:keepLines w:val="0"/>
              <w:widowControl w:val="0"/>
              <w:jc w:val="left"/>
            </w:pPr>
            <w:r w:rsidRPr="00AE2910">
              <w:t>Table BA.2</w:t>
            </w:r>
          </w:p>
        </w:tc>
        <w:tc>
          <w:tcPr>
            <w:tcW w:w="7192" w:type="dxa"/>
            <w:tcBorders>
              <w:top w:val="nil"/>
              <w:left w:val="nil"/>
              <w:bottom w:val="nil"/>
              <w:right w:val="nil"/>
            </w:tcBorders>
            <w:shd w:val="clear" w:color="auto" w:fill="auto"/>
          </w:tcPr>
          <w:p w:rsidR="00023F4E" w:rsidRPr="00AE2910" w:rsidRDefault="00023F4E" w:rsidP="00023F4E">
            <w:pPr>
              <w:pStyle w:val="TableBodyText"/>
              <w:keepNext w:val="0"/>
              <w:keepLines w:val="0"/>
              <w:widowControl w:val="0"/>
              <w:jc w:val="left"/>
            </w:pPr>
            <w:r w:rsidRPr="00AE2910">
              <w:t xml:space="preserve">Australian, State and Territory (including local) government real expenditure on education, (2011-12 dollars)  </w:t>
            </w:r>
          </w:p>
        </w:tc>
      </w:tr>
      <w:tr w:rsidR="00023F4E" w:rsidRPr="00657B66" w:rsidTr="00023F4E">
        <w:trPr>
          <w:trHeight w:val="612"/>
        </w:trPr>
        <w:tc>
          <w:tcPr>
            <w:tcW w:w="1668" w:type="dxa"/>
            <w:tcBorders>
              <w:top w:val="nil"/>
              <w:left w:val="nil"/>
              <w:bottom w:val="nil"/>
              <w:right w:val="nil"/>
            </w:tcBorders>
            <w:shd w:val="clear" w:color="auto" w:fill="auto"/>
            <w:noWrap/>
          </w:tcPr>
          <w:p w:rsidR="00023F4E" w:rsidRPr="00AE2910" w:rsidRDefault="00023F4E" w:rsidP="00023F4E">
            <w:pPr>
              <w:pStyle w:val="TableBodyText"/>
              <w:keepNext w:val="0"/>
              <w:keepLines w:val="0"/>
              <w:widowControl w:val="0"/>
              <w:jc w:val="left"/>
            </w:pPr>
            <w:r w:rsidRPr="00AE2910">
              <w:t>Table BA.3</w:t>
            </w:r>
          </w:p>
        </w:tc>
        <w:tc>
          <w:tcPr>
            <w:tcW w:w="7192" w:type="dxa"/>
            <w:tcBorders>
              <w:top w:val="nil"/>
              <w:left w:val="nil"/>
              <w:bottom w:val="nil"/>
              <w:right w:val="nil"/>
            </w:tcBorders>
            <w:shd w:val="clear" w:color="auto" w:fill="auto"/>
          </w:tcPr>
          <w:p w:rsidR="00023F4E" w:rsidRPr="00AE2910" w:rsidRDefault="00023F4E" w:rsidP="00023F4E">
            <w:pPr>
              <w:pStyle w:val="TableBodyText"/>
              <w:keepNext w:val="0"/>
              <w:keepLines w:val="0"/>
              <w:widowControl w:val="0"/>
              <w:jc w:val="left"/>
            </w:pPr>
            <w:r w:rsidRPr="00AE2910">
              <w:t xml:space="preserve">Total government real expenditure on education, by purpose ($ million) (2011-12 dollars)   </w:t>
            </w:r>
          </w:p>
        </w:tc>
      </w:tr>
      <w:tr w:rsidR="00023F4E" w:rsidRPr="00657B66" w:rsidTr="00023F4E">
        <w:trPr>
          <w:trHeight w:val="612"/>
        </w:trPr>
        <w:tc>
          <w:tcPr>
            <w:tcW w:w="1668" w:type="dxa"/>
            <w:tcBorders>
              <w:top w:val="nil"/>
              <w:left w:val="nil"/>
              <w:bottom w:val="nil"/>
              <w:right w:val="nil"/>
            </w:tcBorders>
            <w:shd w:val="clear" w:color="auto" w:fill="auto"/>
            <w:noWrap/>
          </w:tcPr>
          <w:p w:rsidR="00023F4E" w:rsidRPr="00AE2910" w:rsidRDefault="00023F4E" w:rsidP="00023F4E">
            <w:pPr>
              <w:pStyle w:val="TableBodyText"/>
              <w:keepNext w:val="0"/>
              <w:keepLines w:val="0"/>
              <w:widowControl w:val="0"/>
              <w:jc w:val="left"/>
            </w:pPr>
            <w:r w:rsidRPr="00AE2910">
              <w:t>Table BA.4</w:t>
            </w:r>
          </w:p>
        </w:tc>
        <w:tc>
          <w:tcPr>
            <w:tcW w:w="7192" w:type="dxa"/>
            <w:tcBorders>
              <w:top w:val="nil"/>
              <w:left w:val="nil"/>
              <w:bottom w:val="nil"/>
              <w:right w:val="nil"/>
            </w:tcBorders>
            <w:shd w:val="clear" w:color="auto" w:fill="auto"/>
          </w:tcPr>
          <w:p w:rsidR="00023F4E" w:rsidRPr="00AE2910" w:rsidRDefault="00023F4E" w:rsidP="00023F4E">
            <w:pPr>
              <w:pStyle w:val="TableBodyText"/>
              <w:keepNext w:val="0"/>
              <w:keepLines w:val="0"/>
              <w:widowControl w:val="0"/>
              <w:jc w:val="left"/>
            </w:pPr>
            <w:r w:rsidRPr="00AE2910">
              <w:t xml:space="preserve">State and Territory (including local) government real expenditure (2011-12 dollars) </w:t>
            </w:r>
          </w:p>
        </w:tc>
      </w:tr>
      <w:tr w:rsidR="00023F4E" w:rsidRPr="00657B66" w:rsidTr="00023F4E">
        <w:trPr>
          <w:trHeight w:val="612"/>
        </w:trPr>
        <w:tc>
          <w:tcPr>
            <w:tcW w:w="1668" w:type="dxa"/>
            <w:tcBorders>
              <w:top w:val="nil"/>
              <w:left w:val="nil"/>
              <w:bottom w:val="nil"/>
              <w:right w:val="nil"/>
            </w:tcBorders>
            <w:shd w:val="clear" w:color="auto" w:fill="auto"/>
            <w:noWrap/>
          </w:tcPr>
          <w:p w:rsidR="00023F4E" w:rsidRPr="00AE2910" w:rsidRDefault="00023F4E" w:rsidP="00023F4E">
            <w:pPr>
              <w:pStyle w:val="TableBodyText"/>
              <w:keepNext w:val="0"/>
              <w:keepLines w:val="0"/>
              <w:widowControl w:val="0"/>
              <w:jc w:val="left"/>
            </w:pPr>
            <w:r w:rsidRPr="00AE2910">
              <w:t>Table BA.5</w:t>
            </w:r>
          </w:p>
        </w:tc>
        <w:tc>
          <w:tcPr>
            <w:tcW w:w="7192" w:type="dxa"/>
            <w:tcBorders>
              <w:top w:val="nil"/>
              <w:left w:val="nil"/>
              <w:bottom w:val="nil"/>
              <w:right w:val="nil"/>
            </w:tcBorders>
            <w:shd w:val="clear" w:color="auto" w:fill="auto"/>
          </w:tcPr>
          <w:p w:rsidR="00023F4E" w:rsidRPr="00AE2910" w:rsidRDefault="00023F4E" w:rsidP="00023F4E">
            <w:pPr>
              <w:pStyle w:val="TableBodyText"/>
              <w:keepNext w:val="0"/>
              <w:keepLines w:val="0"/>
              <w:widowControl w:val="0"/>
              <w:jc w:val="left"/>
            </w:pPr>
            <w:r w:rsidRPr="00AE2910">
              <w:t xml:space="preserve">Level of highest non-school qualification, or school year completed for those without a non-school qualification, people aged 15–64 years, by labour force status  </w:t>
            </w:r>
          </w:p>
        </w:tc>
      </w:tr>
      <w:tr w:rsidR="00023F4E" w:rsidRPr="00657B66" w:rsidTr="00023F4E">
        <w:trPr>
          <w:trHeight w:val="357"/>
        </w:trPr>
        <w:tc>
          <w:tcPr>
            <w:tcW w:w="1668" w:type="dxa"/>
            <w:tcBorders>
              <w:top w:val="nil"/>
              <w:left w:val="nil"/>
              <w:bottom w:val="nil"/>
              <w:right w:val="nil"/>
            </w:tcBorders>
            <w:shd w:val="clear" w:color="auto" w:fill="auto"/>
            <w:noWrap/>
          </w:tcPr>
          <w:p w:rsidR="00023F4E" w:rsidRPr="00AE2910" w:rsidRDefault="00023F4E" w:rsidP="00023F4E">
            <w:pPr>
              <w:pStyle w:val="TableBodyText"/>
              <w:keepNext w:val="0"/>
              <w:keepLines w:val="0"/>
              <w:widowControl w:val="0"/>
              <w:jc w:val="left"/>
            </w:pPr>
            <w:r w:rsidRPr="00AE2910">
              <w:lastRenderedPageBreak/>
              <w:t>Table BA.6</w:t>
            </w:r>
          </w:p>
        </w:tc>
        <w:tc>
          <w:tcPr>
            <w:tcW w:w="7192" w:type="dxa"/>
            <w:tcBorders>
              <w:top w:val="nil"/>
              <w:left w:val="nil"/>
              <w:bottom w:val="nil"/>
              <w:right w:val="nil"/>
            </w:tcBorders>
            <w:shd w:val="clear" w:color="auto" w:fill="auto"/>
          </w:tcPr>
          <w:p w:rsidR="00023F4E" w:rsidRPr="00AE2910" w:rsidRDefault="00023F4E" w:rsidP="00023F4E">
            <w:pPr>
              <w:pStyle w:val="TableBodyText"/>
              <w:keepNext w:val="0"/>
              <w:keepLines w:val="0"/>
              <w:widowControl w:val="0"/>
              <w:jc w:val="left"/>
            </w:pPr>
            <w:r w:rsidRPr="00AE2910">
              <w:t xml:space="preserve">Level of highest non-school qualification, or school year completed for those without a non-school qualification, people aged 15–74 years, by occupation, 2012   </w:t>
            </w:r>
          </w:p>
        </w:tc>
      </w:tr>
      <w:tr w:rsidR="00023F4E" w:rsidRPr="00657B66" w:rsidTr="00023F4E">
        <w:trPr>
          <w:trHeight w:val="357"/>
        </w:trPr>
        <w:tc>
          <w:tcPr>
            <w:tcW w:w="1668" w:type="dxa"/>
            <w:tcBorders>
              <w:top w:val="nil"/>
              <w:left w:val="nil"/>
              <w:bottom w:val="nil"/>
              <w:right w:val="nil"/>
            </w:tcBorders>
            <w:shd w:val="clear" w:color="auto" w:fill="auto"/>
            <w:noWrap/>
          </w:tcPr>
          <w:p w:rsidR="00023F4E" w:rsidRPr="00AE2910" w:rsidRDefault="00023F4E" w:rsidP="00023F4E">
            <w:pPr>
              <w:pStyle w:val="TableBodyText"/>
              <w:keepNext w:val="0"/>
              <w:keepLines w:val="0"/>
              <w:widowControl w:val="0"/>
              <w:jc w:val="left"/>
            </w:pPr>
            <w:r w:rsidRPr="00AE2910">
              <w:t>Table BA.7</w:t>
            </w:r>
          </w:p>
        </w:tc>
        <w:tc>
          <w:tcPr>
            <w:tcW w:w="7192" w:type="dxa"/>
            <w:tcBorders>
              <w:top w:val="nil"/>
              <w:left w:val="nil"/>
              <w:bottom w:val="nil"/>
              <w:right w:val="nil"/>
            </w:tcBorders>
            <w:shd w:val="clear" w:color="auto" w:fill="auto"/>
          </w:tcPr>
          <w:p w:rsidR="00023F4E" w:rsidRPr="00AE2910" w:rsidRDefault="00023F4E" w:rsidP="00023F4E">
            <w:pPr>
              <w:pStyle w:val="TableBodyText"/>
              <w:keepNext w:val="0"/>
              <w:keepLines w:val="0"/>
              <w:widowControl w:val="0"/>
              <w:jc w:val="left"/>
            </w:pPr>
            <w:r w:rsidRPr="00AE2910">
              <w:t xml:space="preserve">Children developmentally on track on </w:t>
            </w:r>
            <w:proofErr w:type="spellStart"/>
            <w:r w:rsidRPr="00AE2910">
              <w:t>AEDI</w:t>
            </w:r>
            <w:proofErr w:type="spellEnd"/>
            <w:r w:rsidRPr="00AE2910">
              <w:t xml:space="preserve">, 2012 and 2009 </w:t>
            </w:r>
          </w:p>
        </w:tc>
      </w:tr>
      <w:tr w:rsidR="00023F4E" w:rsidRPr="00657B66" w:rsidTr="00023F4E">
        <w:trPr>
          <w:trHeight w:val="357"/>
        </w:trPr>
        <w:tc>
          <w:tcPr>
            <w:tcW w:w="1668" w:type="dxa"/>
            <w:tcBorders>
              <w:top w:val="nil"/>
              <w:left w:val="nil"/>
              <w:bottom w:val="nil"/>
              <w:right w:val="nil"/>
            </w:tcBorders>
            <w:shd w:val="clear" w:color="auto" w:fill="auto"/>
            <w:noWrap/>
          </w:tcPr>
          <w:p w:rsidR="00023F4E" w:rsidRPr="00AE2910" w:rsidRDefault="00023F4E" w:rsidP="00023F4E">
            <w:pPr>
              <w:pStyle w:val="TableBodyText"/>
              <w:keepNext w:val="0"/>
              <w:keepLines w:val="0"/>
              <w:widowControl w:val="0"/>
              <w:jc w:val="left"/>
            </w:pPr>
            <w:r w:rsidRPr="00AE2910">
              <w:t>Table BA.8</w:t>
            </w:r>
          </w:p>
        </w:tc>
        <w:tc>
          <w:tcPr>
            <w:tcW w:w="7192" w:type="dxa"/>
            <w:tcBorders>
              <w:top w:val="nil"/>
              <w:left w:val="nil"/>
              <w:bottom w:val="nil"/>
              <w:right w:val="nil"/>
            </w:tcBorders>
            <w:shd w:val="clear" w:color="auto" w:fill="auto"/>
          </w:tcPr>
          <w:p w:rsidR="00023F4E" w:rsidRPr="00AE2910" w:rsidRDefault="00023F4E" w:rsidP="00023F4E">
            <w:pPr>
              <w:pStyle w:val="TableBodyText"/>
              <w:keepNext w:val="0"/>
              <w:keepLines w:val="0"/>
              <w:widowControl w:val="0"/>
              <w:jc w:val="left"/>
            </w:pPr>
            <w:r w:rsidRPr="00AE2910">
              <w:t xml:space="preserve">Children engaged in informal reading learning activities, 2011  </w:t>
            </w:r>
          </w:p>
        </w:tc>
      </w:tr>
      <w:tr w:rsidR="00023F4E" w:rsidRPr="00657B66" w:rsidTr="00023F4E">
        <w:trPr>
          <w:trHeight w:val="357"/>
        </w:trPr>
        <w:tc>
          <w:tcPr>
            <w:tcW w:w="1668" w:type="dxa"/>
            <w:tcBorders>
              <w:top w:val="nil"/>
              <w:left w:val="nil"/>
              <w:bottom w:val="nil"/>
              <w:right w:val="nil"/>
            </w:tcBorders>
            <w:shd w:val="clear" w:color="auto" w:fill="auto"/>
            <w:noWrap/>
          </w:tcPr>
          <w:p w:rsidR="00023F4E" w:rsidRPr="00AE2910" w:rsidRDefault="00023F4E" w:rsidP="00023F4E">
            <w:pPr>
              <w:pStyle w:val="TableBodyText"/>
              <w:keepNext w:val="0"/>
              <w:keepLines w:val="0"/>
              <w:widowControl w:val="0"/>
              <w:jc w:val="left"/>
            </w:pPr>
            <w:r w:rsidRPr="00AE2910">
              <w:t>Table BA.9</w:t>
            </w:r>
          </w:p>
        </w:tc>
        <w:tc>
          <w:tcPr>
            <w:tcW w:w="7192" w:type="dxa"/>
            <w:tcBorders>
              <w:top w:val="nil"/>
              <w:left w:val="nil"/>
              <w:bottom w:val="nil"/>
              <w:right w:val="nil"/>
            </w:tcBorders>
            <w:shd w:val="clear" w:color="auto" w:fill="auto"/>
          </w:tcPr>
          <w:p w:rsidR="00023F4E" w:rsidRPr="00AE2910" w:rsidRDefault="00023F4E" w:rsidP="00023F4E">
            <w:pPr>
              <w:pStyle w:val="TableBodyText"/>
              <w:keepNext w:val="0"/>
              <w:keepLines w:val="0"/>
              <w:widowControl w:val="0"/>
              <w:jc w:val="left"/>
            </w:pPr>
            <w:r w:rsidRPr="00AE2910">
              <w:t xml:space="preserve">Participation in education and training, by sector     </w:t>
            </w:r>
          </w:p>
        </w:tc>
      </w:tr>
      <w:tr w:rsidR="00023F4E" w:rsidRPr="00657B66" w:rsidTr="00023F4E">
        <w:trPr>
          <w:trHeight w:val="357"/>
        </w:trPr>
        <w:tc>
          <w:tcPr>
            <w:tcW w:w="1668" w:type="dxa"/>
            <w:tcBorders>
              <w:top w:val="nil"/>
              <w:left w:val="nil"/>
              <w:bottom w:val="nil"/>
              <w:right w:val="nil"/>
            </w:tcBorders>
            <w:shd w:val="clear" w:color="auto" w:fill="auto"/>
            <w:noWrap/>
          </w:tcPr>
          <w:p w:rsidR="00023F4E" w:rsidRPr="00AE2910" w:rsidRDefault="00023F4E" w:rsidP="00023F4E">
            <w:pPr>
              <w:pStyle w:val="TableBodyText"/>
              <w:keepNext w:val="0"/>
              <w:keepLines w:val="0"/>
              <w:widowControl w:val="0"/>
              <w:jc w:val="left"/>
            </w:pPr>
            <w:r w:rsidRPr="00AE2910">
              <w:t>Table BA.10</w:t>
            </w:r>
          </w:p>
        </w:tc>
        <w:tc>
          <w:tcPr>
            <w:tcW w:w="7192" w:type="dxa"/>
            <w:tcBorders>
              <w:top w:val="nil"/>
              <w:left w:val="nil"/>
              <w:bottom w:val="nil"/>
              <w:right w:val="nil"/>
            </w:tcBorders>
            <w:shd w:val="clear" w:color="auto" w:fill="auto"/>
          </w:tcPr>
          <w:p w:rsidR="00023F4E" w:rsidRPr="00AE2910" w:rsidRDefault="00023F4E" w:rsidP="00023F4E">
            <w:pPr>
              <w:pStyle w:val="TableBodyText"/>
              <w:keepNext w:val="0"/>
              <w:keepLines w:val="0"/>
              <w:widowControl w:val="0"/>
              <w:jc w:val="left"/>
            </w:pPr>
            <w:r w:rsidRPr="00AE2910">
              <w:t xml:space="preserve">Participation in education and training, by single year of age, by sector, 2012     </w:t>
            </w:r>
          </w:p>
        </w:tc>
      </w:tr>
      <w:tr w:rsidR="00023F4E" w:rsidRPr="00657B66" w:rsidTr="00023F4E">
        <w:trPr>
          <w:trHeight w:val="357"/>
        </w:trPr>
        <w:tc>
          <w:tcPr>
            <w:tcW w:w="1668" w:type="dxa"/>
            <w:tcBorders>
              <w:top w:val="nil"/>
              <w:left w:val="nil"/>
              <w:bottom w:val="nil"/>
              <w:right w:val="nil"/>
            </w:tcBorders>
            <w:shd w:val="clear" w:color="auto" w:fill="auto"/>
            <w:noWrap/>
          </w:tcPr>
          <w:p w:rsidR="00023F4E" w:rsidRPr="00AE2910" w:rsidRDefault="00023F4E" w:rsidP="00023F4E">
            <w:pPr>
              <w:pStyle w:val="TableBodyText"/>
              <w:keepNext w:val="0"/>
              <w:keepLines w:val="0"/>
              <w:widowControl w:val="0"/>
              <w:jc w:val="left"/>
            </w:pPr>
            <w:r w:rsidRPr="00AE2910">
              <w:t>Table BA.11</w:t>
            </w:r>
          </w:p>
        </w:tc>
        <w:tc>
          <w:tcPr>
            <w:tcW w:w="7192" w:type="dxa"/>
            <w:tcBorders>
              <w:top w:val="nil"/>
              <w:left w:val="nil"/>
              <w:bottom w:val="nil"/>
              <w:right w:val="nil"/>
            </w:tcBorders>
            <w:shd w:val="clear" w:color="auto" w:fill="auto"/>
          </w:tcPr>
          <w:p w:rsidR="00023F4E" w:rsidRPr="00AE2910" w:rsidRDefault="00023F4E" w:rsidP="00023F4E">
            <w:pPr>
              <w:pStyle w:val="TableBodyText"/>
              <w:keepNext w:val="0"/>
              <w:keepLines w:val="0"/>
              <w:widowControl w:val="0"/>
              <w:jc w:val="left"/>
            </w:pPr>
            <w:r w:rsidRPr="00AE2910">
              <w:t xml:space="preserve">Participation in education and training, by age groups, by sector, 2012     </w:t>
            </w:r>
          </w:p>
        </w:tc>
      </w:tr>
      <w:tr w:rsidR="00023F4E" w:rsidRPr="00657B66" w:rsidTr="00023F4E">
        <w:trPr>
          <w:trHeight w:val="357"/>
        </w:trPr>
        <w:tc>
          <w:tcPr>
            <w:tcW w:w="1668" w:type="dxa"/>
            <w:tcBorders>
              <w:top w:val="nil"/>
              <w:left w:val="nil"/>
              <w:bottom w:val="nil"/>
              <w:right w:val="nil"/>
            </w:tcBorders>
            <w:shd w:val="clear" w:color="auto" w:fill="auto"/>
            <w:noWrap/>
          </w:tcPr>
          <w:p w:rsidR="00023F4E" w:rsidRPr="00AE2910" w:rsidRDefault="00023F4E" w:rsidP="00023F4E">
            <w:pPr>
              <w:pStyle w:val="TableBodyText"/>
              <w:keepNext w:val="0"/>
              <w:keepLines w:val="0"/>
              <w:widowControl w:val="0"/>
              <w:jc w:val="left"/>
            </w:pPr>
            <w:r w:rsidRPr="00AE2910">
              <w:t>Table BA.12</w:t>
            </w:r>
          </w:p>
        </w:tc>
        <w:tc>
          <w:tcPr>
            <w:tcW w:w="7192" w:type="dxa"/>
            <w:tcBorders>
              <w:top w:val="nil"/>
              <w:left w:val="nil"/>
              <w:bottom w:val="nil"/>
              <w:right w:val="nil"/>
            </w:tcBorders>
            <w:shd w:val="clear" w:color="auto" w:fill="auto"/>
          </w:tcPr>
          <w:p w:rsidR="00023F4E" w:rsidRPr="00AE2910" w:rsidRDefault="00023F4E" w:rsidP="00023F4E">
            <w:pPr>
              <w:pStyle w:val="TableBodyText"/>
              <w:keepNext w:val="0"/>
              <w:keepLines w:val="0"/>
              <w:widowControl w:val="0"/>
              <w:jc w:val="left"/>
            </w:pPr>
            <w:r w:rsidRPr="00AE2910">
              <w:t xml:space="preserve">Participation in education and training (per cent)    </w:t>
            </w:r>
          </w:p>
        </w:tc>
      </w:tr>
      <w:tr w:rsidR="00023F4E" w:rsidRPr="00657B66" w:rsidTr="00023F4E">
        <w:trPr>
          <w:trHeight w:val="357"/>
        </w:trPr>
        <w:tc>
          <w:tcPr>
            <w:tcW w:w="1668" w:type="dxa"/>
            <w:tcBorders>
              <w:top w:val="nil"/>
              <w:left w:val="nil"/>
              <w:bottom w:val="nil"/>
              <w:right w:val="nil"/>
            </w:tcBorders>
            <w:shd w:val="clear" w:color="auto" w:fill="auto"/>
            <w:noWrap/>
          </w:tcPr>
          <w:p w:rsidR="00023F4E" w:rsidRPr="00AE2910" w:rsidRDefault="00023F4E" w:rsidP="00023F4E">
            <w:pPr>
              <w:pStyle w:val="TableBodyText"/>
              <w:keepNext w:val="0"/>
              <w:keepLines w:val="0"/>
              <w:widowControl w:val="0"/>
              <w:jc w:val="left"/>
            </w:pPr>
            <w:r w:rsidRPr="00AE2910">
              <w:t>Table BA.13</w:t>
            </w:r>
          </w:p>
        </w:tc>
        <w:tc>
          <w:tcPr>
            <w:tcW w:w="7192" w:type="dxa"/>
            <w:tcBorders>
              <w:top w:val="nil"/>
              <w:left w:val="nil"/>
              <w:bottom w:val="nil"/>
              <w:right w:val="nil"/>
            </w:tcBorders>
            <w:shd w:val="clear" w:color="auto" w:fill="auto"/>
          </w:tcPr>
          <w:p w:rsidR="00023F4E" w:rsidRPr="00AE2910" w:rsidRDefault="00023F4E" w:rsidP="00023F4E">
            <w:pPr>
              <w:pStyle w:val="TableBodyText"/>
              <w:keepNext w:val="0"/>
              <w:keepLines w:val="0"/>
              <w:widowControl w:val="0"/>
              <w:jc w:val="left"/>
            </w:pPr>
            <w:r w:rsidRPr="00AE2910">
              <w:t xml:space="preserve">Proportion of 17-24 year old school leavers by level of schooling completed and participation in post school education, training and/or employment   </w:t>
            </w:r>
          </w:p>
        </w:tc>
      </w:tr>
      <w:tr w:rsidR="00023F4E" w:rsidRPr="00657B66" w:rsidTr="00023F4E">
        <w:trPr>
          <w:trHeight w:val="357"/>
        </w:trPr>
        <w:tc>
          <w:tcPr>
            <w:tcW w:w="1668" w:type="dxa"/>
            <w:tcBorders>
              <w:top w:val="nil"/>
              <w:left w:val="nil"/>
              <w:bottom w:val="nil"/>
              <w:right w:val="nil"/>
            </w:tcBorders>
            <w:shd w:val="clear" w:color="auto" w:fill="auto"/>
            <w:noWrap/>
          </w:tcPr>
          <w:p w:rsidR="00023F4E" w:rsidRPr="00AE2910" w:rsidRDefault="00023F4E" w:rsidP="00023F4E">
            <w:pPr>
              <w:pStyle w:val="TableBodyText"/>
              <w:keepNext w:val="0"/>
              <w:keepLines w:val="0"/>
              <w:widowControl w:val="0"/>
              <w:jc w:val="left"/>
            </w:pPr>
            <w:r w:rsidRPr="00AE2910">
              <w:t>Table BA.14</w:t>
            </w:r>
          </w:p>
        </w:tc>
        <w:tc>
          <w:tcPr>
            <w:tcW w:w="7192" w:type="dxa"/>
            <w:tcBorders>
              <w:top w:val="nil"/>
              <w:left w:val="nil"/>
              <w:bottom w:val="nil"/>
              <w:right w:val="nil"/>
            </w:tcBorders>
            <w:shd w:val="clear" w:color="auto" w:fill="auto"/>
          </w:tcPr>
          <w:p w:rsidR="00023F4E" w:rsidRPr="00AE2910" w:rsidRDefault="00023F4E" w:rsidP="00023F4E">
            <w:pPr>
              <w:pStyle w:val="TableBodyText"/>
              <w:keepNext w:val="0"/>
              <w:keepLines w:val="0"/>
              <w:widowControl w:val="0"/>
              <w:jc w:val="left"/>
            </w:pPr>
            <w:r w:rsidRPr="00AE2910">
              <w:t xml:space="preserve">Proportion of persons aged 17-24 years who are fully engaged in post-school education, training or employment, by state and territory      </w:t>
            </w:r>
          </w:p>
        </w:tc>
      </w:tr>
      <w:tr w:rsidR="00023F4E" w:rsidRPr="00657B66" w:rsidTr="00023F4E">
        <w:trPr>
          <w:trHeight w:val="357"/>
        </w:trPr>
        <w:tc>
          <w:tcPr>
            <w:tcW w:w="1668" w:type="dxa"/>
            <w:tcBorders>
              <w:top w:val="nil"/>
              <w:left w:val="nil"/>
              <w:bottom w:val="nil"/>
              <w:right w:val="nil"/>
            </w:tcBorders>
            <w:shd w:val="clear" w:color="auto" w:fill="auto"/>
            <w:noWrap/>
          </w:tcPr>
          <w:p w:rsidR="00023F4E" w:rsidRPr="00AE2910" w:rsidRDefault="00023F4E" w:rsidP="00023F4E">
            <w:pPr>
              <w:pStyle w:val="TableBodyText"/>
              <w:keepNext w:val="0"/>
              <w:keepLines w:val="0"/>
              <w:widowControl w:val="0"/>
              <w:jc w:val="left"/>
            </w:pPr>
            <w:r w:rsidRPr="00AE2910">
              <w:t>Table BA.15</w:t>
            </w:r>
          </w:p>
        </w:tc>
        <w:tc>
          <w:tcPr>
            <w:tcW w:w="7192" w:type="dxa"/>
            <w:tcBorders>
              <w:top w:val="nil"/>
              <w:left w:val="nil"/>
              <w:bottom w:val="nil"/>
              <w:right w:val="nil"/>
            </w:tcBorders>
            <w:shd w:val="clear" w:color="auto" w:fill="auto"/>
          </w:tcPr>
          <w:p w:rsidR="00023F4E" w:rsidRPr="00AE2910" w:rsidRDefault="00023F4E" w:rsidP="00023F4E">
            <w:pPr>
              <w:pStyle w:val="TableBodyText"/>
              <w:keepNext w:val="0"/>
              <w:keepLines w:val="0"/>
              <w:widowControl w:val="0"/>
              <w:jc w:val="left"/>
            </w:pPr>
            <w:r w:rsidRPr="00AE2910">
              <w:t xml:space="preserve">Proportion of young people (17-24 years) who have left school, and are participating in post school education, training or employment, by SES based on ABS </w:t>
            </w:r>
            <w:proofErr w:type="spellStart"/>
            <w:r w:rsidRPr="00AE2910">
              <w:t>SEIFA</w:t>
            </w:r>
            <w:proofErr w:type="spellEnd"/>
            <w:r w:rsidRPr="00AE2910">
              <w:t xml:space="preserve">    </w:t>
            </w:r>
          </w:p>
        </w:tc>
      </w:tr>
      <w:tr w:rsidR="00023F4E" w:rsidRPr="00657B66" w:rsidTr="00023F4E">
        <w:trPr>
          <w:trHeight w:val="357"/>
        </w:trPr>
        <w:tc>
          <w:tcPr>
            <w:tcW w:w="1668" w:type="dxa"/>
            <w:tcBorders>
              <w:top w:val="nil"/>
              <w:left w:val="nil"/>
              <w:bottom w:val="nil"/>
              <w:right w:val="nil"/>
            </w:tcBorders>
            <w:shd w:val="clear" w:color="auto" w:fill="auto"/>
            <w:noWrap/>
          </w:tcPr>
          <w:p w:rsidR="00023F4E" w:rsidRPr="00AE2910" w:rsidRDefault="00023F4E" w:rsidP="00023F4E">
            <w:pPr>
              <w:pStyle w:val="TableBodyText"/>
              <w:keepNext w:val="0"/>
              <w:keepLines w:val="0"/>
              <w:widowControl w:val="0"/>
              <w:jc w:val="left"/>
            </w:pPr>
            <w:r w:rsidRPr="00AE2910">
              <w:t>Table BA.16</w:t>
            </w:r>
          </w:p>
        </w:tc>
        <w:tc>
          <w:tcPr>
            <w:tcW w:w="7192" w:type="dxa"/>
            <w:tcBorders>
              <w:top w:val="nil"/>
              <w:left w:val="nil"/>
              <w:bottom w:val="nil"/>
              <w:right w:val="nil"/>
            </w:tcBorders>
            <w:shd w:val="clear" w:color="auto" w:fill="auto"/>
          </w:tcPr>
          <w:p w:rsidR="00023F4E" w:rsidRPr="00AE2910" w:rsidRDefault="00023F4E" w:rsidP="00023F4E">
            <w:pPr>
              <w:pStyle w:val="TableBodyText"/>
              <w:keepNext w:val="0"/>
              <w:keepLines w:val="0"/>
              <w:widowControl w:val="0"/>
              <w:jc w:val="left"/>
            </w:pPr>
            <w:r w:rsidRPr="00AE2910">
              <w:t xml:space="preserve">Proportion of persons aged 17-24 years who are fully engaged in post-school education, training or employment, by state and territory and </w:t>
            </w:r>
            <w:proofErr w:type="spellStart"/>
            <w:r w:rsidRPr="00AE2910">
              <w:t>SEIFA</w:t>
            </w:r>
            <w:proofErr w:type="spellEnd"/>
            <w:r w:rsidRPr="00AE2910">
              <w:t xml:space="preserve"> </w:t>
            </w:r>
            <w:proofErr w:type="spellStart"/>
            <w:r w:rsidRPr="00AE2910">
              <w:t>IRSD</w:t>
            </w:r>
            <w:proofErr w:type="spellEnd"/>
            <w:r w:rsidRPr="00AE2910">
              <w:t xml:space="preserve">        </w:t>
            </w:r>
          </w:p>
        </w:tc>
      </w:tr>
      <w:tr w:rsidR="00023F4E" w:rsidRPr="00657B66" w:rsidTr="00023F4E">
        <w:trPr>
          <w:trHeight w:val="357"/>
        </w:trPr>
        <w:tc>
          <w:tcPr>
            <w:tcW w:w="1668" w:type="dxa"/>
            <w:tcBorders>
              <w:top w:val="nil"/>
              <w:left w:val="nil"/>
              <w:bottom w:val="nil"/>
              <w:right w:val="nil"/>
            </w:tcBorders>
            <w:shd w:val="clear" w:color="auto" w:fill="auto"/>
            <w:noWrap/>
          </w:tcPr>
          <w:p w:rsidR="00023F4E" w:rsidRPr="00AE2910" w:rsidRDefault="00023F4E" w:rsidP="00023F4E">
            <w:pPr>
              <w:pStyle w:val="TableBodyText"/>
              <w:keepNext w:val="0"/>
              <w:keepLines w:val="0"/>
              <w:widowControl w:val="0"/>
              <w:jc w:val="left"/>
            </w:pPr>
            <w:r w:rsidRPr="00AE2910">
              <w:t>Table BA.17</w:t>
            </w:r>
          </w:p>
        </w:tc>
        <w:tc>
          <w:tcPr>
            <w:tcW w:w="7192" w:type="dxa"/>
            <w:tcBorders>
              <w:top w:val="nil"/>
              <w:left w:val="nil"/>
              <w:bottom w:val="nil"/>
              <w:right w:val="nil"/>
            </w:tcBorders>
            <w:shd w:val="clear" w:color="auto" w:fill="auto"/>
          </w:tcPr>
          <w:p w:rsidR="00023F4E" w:rsidRPr="00AE2910" w:rsidRDefault="00023F4E" w:rsidP="00023F4E">
            <w:pPr>
              <w:pStyle w:val="TableBodyText"/>
              <w:keepNext w:val="0"/>
              <w:keepLines w:val="0"/>
              <w:widowControl w:val="0"/>
              <w:jc w:val="left"/>
            </w:pPr>
            <w:r w:rsidRPr="00AE2910">
              <w:t xml:space="preserve">Applications to enrol in an educational institution, people aged 15–19 years  </w:t>
            </w:r>
          </w:p>
        </w:tc>
      </w:tr>
      <w:tr w:rsidR="00023F4E" w:rsidRPr="00657B66" w:rsidTr="00023F4E">
        <w:trPr>
          <w:trHeight w:val="357"/>
        </w:trPr>
        <w:tc>
          <w:tcPr>
            <w:tcW w:w="1668" w:type="dxa"/>
            <w:tcBorders>
              <w:top w:val="nil"/>
              <w:left w:val="nil"/>
              <w:bottom w:val="nil"/>
              <w:right w:val="nil"/>
            </w:tcBorders>
            <w:shd w:val="clear" w:color="auto" w:fill="auto"/>
            <w:noWrap/>
          </w:tcPr>
          <w:p w:rsidR="00023F4E" w:rsidRPr="00AE2910" w:rsidRDefault="00023F4E" w:rsidP="00023F4E">
            <w:pPr>
              <w:pStyle w:val="TableBodyText"/>
              <w:keepNext w:val="0"/>
              <w:keepLines w:val="0"/>
              <w:widowControl w:val="0"/>
              <w:jc w:val="left"/>
            </w:pPr>
            <w:r w:rsidRPr="00AE2910">
              <w:t>Table BA.18</w:t>
            </w:r>
          </w:p>
        </w:tc>
        <w:tc>
          <w:tcPr>
            <w:tcW w:w="7192" w:type="dxa"/>
            <w:tcBorders>
              <w:top w:val="nil"/>
              <w:left w:val="nil"/>
              <w:bottom w:val="nil"/>
              <w:right w:val="nil"/>
            </w:tcBorders>
            <w:shd w:val="clear" w:color="auto" w:fill="auto"/>
          </w:tcPr>
          <w:p w:rsidR="00023F4E" w:rsidRPr="00AE2910" w:rsidRDefault="00023F4E" w:rsidP="00023F4E">
            <w:pPr>
              <w:pStyle w:val="TableBodyText"/>
              <w:keepNext w:val="0"/>
              <w:keepLines w:val="0"/>
              <w:widowControl w:val="0"/>
              <w:jc w:val="left"/>
            </w:pPr>
            <w:r w:rsidRPr="00AE2910">
              <w:t xml:space="preserve">Applications to enrol in an educational institution, people aged 20–24 years </w:t>
            </w:r>
          </w:p>
        </w:tc>
      </w:tr>
      <w:tr w:rsidR="00023F4E" w:rsidRPr="00657B66" w:rsidTr="00023F4E">
        <w:trPr>
          <w:trHeight w:val="357"/>
        </w:trPr>
        <w:tc>
          <w:tcPr>
            <w:tcW w:w="1668" w:type="dxa"/>
            <w:tcBorders>
              <w:top w:val="nil"/>
              <w:left w:val="nil"/>
              <w:bottom w:val="nil"/>
              <w:right w:val="nil"/>
            </w:tcBorders>
            <w:shd w:val="clear" w:color="auto" w:fill="auto"/>
            <w:noWrap/>
          </w:tcPr>
          <w:p w:rsidR="00023F4E" w:rsidRPr="00AE2910" w:rsidRDefault="00023F4E" w:rsidP="00023F4E">
            <w:pPr>
              <w:pStyle w:val="TableBodyText"/>
              <w:keepNext w:val="0"/>
              <w:keepLines w:val="0"/>
              <w:widowControl w:val="0"/>
              <w:jc w:val="left"/>
            </w:pPr>
            <w:r w:rsidRPr="00AE2910">
              <w:t>Table BA.19</w:t>
            </w:r>
          </w:p>
        </w:tc>
        <w:tc>
          <w:tcPr>
            <w:tcW w:w="7192" w:type="dxa"/>
            <w:tcBorders>
              <w:top w:val="nil"/>
              <w:left w:val="nil"/>
              <w:bottom w:val="nil"/>
              <w:right w:val="nil"/>
            </w:tcBorders>
            <w:shd w:val="clear" w:color="auto" w:fill="auto"/>
          </w:tcPr>
          <w:p w:rsidR="00023F4E" w:rsidRPr="00AE2910" w:rsidRDefault="00023F4E" w:rsidP="00023F4E">
            <w:pPr>
              <w:pStyle w:val="TableBodyText"/>
              <w:keepNext w:val="0"/>
              <w:keepLines w:val="0"/>
              <w:widowControl w:val="0"/>
              <w:jc w:val="left"/>
            </w:pPr>
            <w:r w:rsidRPr="00AE2910">
              <w:t xml:space="preserve">Applications to enrol in an educational institution, people aged 15–64 years </w:t>
            </w:r>
          </w:p>
        </w:tc>
      </w:tr>
      <w:tr w:rsidR="00023F4E" w:rsidRPr="00657B66" w:rsidTr="00023F4E">
        <w:trPr>
          <w:trHeight w:val="357"/>
        </w:trPr>
        <w:tc>
          <w:tcPr>
            <w:tcW w:w="1668" w:type="dxa"/>
            <w:tcBorders>
              <w:top w:val="nil"/>
              <w:left w:val="nil"/>
              <w:bottom w:val="nil"/>
              <w:right w:val="nil"/>
            </w:tcBorders>
            <w:shd w:val="clear" w:color="auto" w:fill="auto"/>
            <w:noWrap/>
          </w:tcPr>
          <w:p w:rsidR="00023F4E" w:rsidRPr="00AE2910" w:rsidRDefault="00023F4E" w:rsidP="00023F4E">
            <w:pPr>
              <w:pStyle w:val="TableBodyText"/>
              <w:keepNext w:val="0"/>
              <w:keepLines w:val="0"/>
              <w:widowControl w:val="0"/>
              <w:jc w:val="left"/>
            </w:pPr>
            <w:r w:rsidRPr="00AE2910">
              <w:t>Table BA.20</w:t>
            </w:r>
          </w:p>
        </w:tc>
        <w:tc>
          <w:tcPr>
            <w:tcW w:w="7192" w:type="dxa"/>
            <w:tcBorders>
              <w:top w:val="nil"/>
              <w:left w:val="nil"/>
              <w:bottom w:val="nil"/>
              <w:right w:val="nil"/>
            </w:tcBorders>
            <w:shd w:val="clear" w:color="auto" w:fill="auto"/>
          </w:tcPr>
          <w:p w:rsidR="00023F4E" w:rsidRPr="00AE2910" w:rsidRDefault="00023F4E" w:rsidP="00023F4E">
            <w:pPr>
              <w:pStyle w:val="TableBodyText"/>
              <w:keepNext w:val="0"/>
              <w:keepLines w:val="0"/>
              <w:widowControl w:val="0"/>
              <w:jc w:val="left"/>
            </w:pPr>
            <w:r w:rsidRPr="00AE2910">
              <w:t xml:space="preserve">School leaver destination (15–19 year olds)      </w:t>
            </w:r>
          </w:p>
        </w:tc>
      </w:tr>
      <w:tr w:rsidR="00023F4E" w:rsidRPr="00657B66" w:rsidTr="00023F4E">
        <w:trPr>
          <w:trHeight w:val="357"/>
        </w:trPr>
        <w:tc>
          <w:tcPr>
            <w:tcW w:w="1668" w:type="dxa"/>
            <w:tcBorders>
              <w:top w:val="nil"/>
              <w:left w:val="nil"/>
              <w:bottom w:val="nil"/>
              <w:right w:val="nil"/>
            </w:tcBorders>
            <w:shd w:val="clear" w:color="auto" w:fill="auto"/>
            <w:noWrap/>
          </w:tcPr>
          <w:p w:rsidR="00023F4E" w:rsidRPr="00AE2910" w:rsidRDefault="00023F4E" w:rsidP="00023F4E">
            <w:pPr>
              <w:pStyle w:val="TableBodyText"/>
              <w:keepNext w:val="0"/>
              <w:keepLines w:val="0"/>
              <w:widowControl w:val="0"/>
              <w:jc w:val="left"/>
            </w:pPr>
            <w:r w:rsidRPr="00AE2910">
              <w:t>Table BA.21</w:t>
            </w:r>
          </w:p>
        </w:tc>
        <w:tc>
          <w:tcPr>
            <w:tcW w:w="7192" w:type="dxa"/>
            <w:tcBorders>
              <w:top w:val="nil"/>
              <w:left w:val="nil"/>
              <w:bottom w:val="nil"/>
              <w:right w:val="nil"/>
            </w:tcBorders>
            <w:shd w:val="clear" w:color="auto" w:fill="auto"/>
          </w:tcPr>
          <w:p w:rsidR="00023F4E" w:rsidRPr="00AE2910" w:rsidRDefault="00023F4E" w:rsidP="00023F4E">
            <w:pPr>
              <w:pStyle w:val="TableBodyText"/>
              <w:keepNext w:val="0"/>
              <w:keepLines w:val="0"/>
              <w:widowControl w:val="0"/>
              <w:jc w:val="left"/>
            </w:pPr>
            <w:r w:rsidRPr="00AE2910">
              <w:t xml:space="preserve">School leaver destination (15–19 year olds)      </w:t>
            </w:r>
          </w:p>
        </w:tc>
      </w:tr>
      <w:tr w:rsidR="00023F4E" w:rsidRPr="00657B66" w:rsidTr="00023F4E">
        <w:trPr>
          <w:trHeight w:val="357"/>
        </w:trPr>
        <w:tc>
          <w:tcPr>
            <w:tcW w:w="1668" w:type="dxa"/>
            <w:tcBorders>
              <w:top w:val="nil"/>
              <w:left w:val="nil"/>
              <w:bottom w:val="nil"/>
              <w:right w:val="nil"/>
            </w:tcBorders>
            <w:shd w:val="clear" w:color="auto" w:fill="auto"/>
            <w:noWrap/>
          </w:tcPr>
          <w:p w:rsidR="00023F4E" w:rsidRPr="00AE2910" w:rsidRDefault="00023F4E" w:rsidP="00023F4E">
            <w:pPr>
              <w:pStyle w:val="TableBodyText"/>
              <w:keepNext w:val="0"/>
              <w:keepLines w:val="0"/>
              <w:widowControl w:val="0"/>
              <w:jc w:val="left"/>
            </w:pPr>
            <w:r w:rsidRPr="00AE2910">
              <w:t>Table BA.22</w:t>
            </w:r>
          </w:p>
        </w:tc>
        <w:tc>
          <w:tcPr>
            <w:tcW w:w="7192" w:type="dxa"/>
            <w:tcBorders>
              <w:top w:val="nil"/>
              <w:left w:val="nil"/>
              <w:bottom w:val="nil"/>
              <w:right w:val="nil"/>
            </w:tcBorders>
            <w:shd w:val="clear" w:color="auto" w:fill="auto"/>
          </w:tcPr>
          <w:p w:rsidR="00023F4E" w:rsidRPr="00AE2910" w:rsidRDefault="00023F4E" w:rsidP="00023F4E">
            <w:pPr>
              <w:pStyle w:val="TableBodyText"/>
              <w:keepNext w:val="0"/>
              <w:keepLines w:val="0"/>
              <w:widowControl w:val="0"/>
              <w:jc w:val="left"/>
            </w:pPr>
            <w:r w:rsidRPr="00AE2910">
              <w:t xml:space="preserve">School leaver destination (15–24 year olds)      </w:t>
            </w:r>
          </w:p>
        </w:tc>
      </w:tr>
      <w:tr w:rsidR="00023F4E" w:rsidRPr="00657B66" w:rsidTr="00023F4E">
        <w:trPr>
          <w:trHeight w:val="357"/>
        </w:trPr>
        <w:tc>
          <w:tcPr>
            <w:tcW w:w="1668" w:type="dxa"/>
            <w:tcBorders>
              <w:top w:val="nil"/>
              <w:left w:val="nil"/>
              <w:bottom w:val="nil"/>
              <w:right w:val="nil"/>
            </w:tcBorders>
            <w:shd w:val="clear" w:color="auto" w:fill="auto"/>
            <w:noWrap/>
          </w:tcPr>
          <w:p w:rsidR="00023F4E" w:rsidRPr="00AE2910" w:rsidRDefault="00023F4E" w:rsidP="00023F4E">
            <w:pPr>
              <w:pStyle w:val="TableBodyText"/>
              <w:keepNext w:val="0"/>
              <w:keepLines w:val="0"/>
              <w:widowControl w:val="0"/>
              <w:jc w:val="left"/>
            </w:pPr>
            <w:r w:rsidRPr="00AE2910">
              <w:t>Table BA.23</w:t>
            </w:r>
          </w:p>
        </w:tc>
        <w:tc>
          <w:tcPr>
            <w:tcW w:w="7192" w:type="dxa"/>
            <w:tcBorders>
              <w:top w:val="nil"/>
              <w:left w:val="nil"/>
              <w:bottom w:val="nil"/>
              <w:right w:val="nil"/>
            </w:tcBorders>
            <w:shd w:val="clear" w:color="auto" w:fill="auto"/>
          </w:tcPr>
          <w:p w:rsidR="00023F4E" w:rsidRPr="00AE2910" w:rsidRDefault="00023F4E" w:rsidP="00023F4E">
            <w:pPr>
              <w:pStyle w:val="TableBodyText"/>
              <w:keepNext w:val="0"/>
              <w:keepLines w:val="0"/>
              <w:widowControl w:val="0"/>
              <w:jc w:val="left"/>
            </w:pPr>
            <w:r w:rsidRPr="00AE2910">
              <w:t xml:space="preserve">Higher education participation by selected groups (per cent)  </w:t>
            </w:r>
          </w:p>
        </w:tc>
      </w:tr>
      <w:tr w:rsidR="00463513" w:rsidRPr="00657B66" w:rsidTr="00023F4E">
        <w:trPr>
          <w:trHeight w:val="357"/>
        </w:trPr>
        <w:tc>
          <w:tcPr>
            <w:tcW w:w="1668" w:type="dxa"/>
            <w:tcBorders>
              <w:top w:val="nil"/>
              <w:left w:val="nil"/>
              <w:bottom w:val="nil"/>
              <w:right w:val="nil"/>
            </w:tcBorders>
            <w:shd w:val="clear" w:color="auto" w:fill="auto"/>
            <w:noWrap/>
          </w:tcPr>
          <w:p w:rsidR="00463513" w:rsidRPr="00AE2910" w:rsidRDefault="00463513" w:rsidP="00E336BA">
            <w:pPr>
              <w:pStyle w:val="TableBodyText"/>
              <w:keepNext w:val="0"/>
              <w:keepLines w:val="0"/>
              <w:widowControl w:val="0"/>
              <w:spacing w:line="240" w:lineRule="auto"/>
              <w:jc w:val="left"/>
            </w:pPr>
            <w:r w:rsidRPr="00AE2910">
              <w:t>Table BA.24</w:t>
            </w:r>
          </w:p>
        </w:tc>
        <w:tc>
          <w:tcPr>
            <w:tcW w:w="7192" w:type="dxa"/>
            <w:tcBorders>
              <w:top w:val="nil"/>
              <w:left w:val="nil"/>
              <w:bottom w:val="nil"/>
              <w:right w:val="nil"/>
            </w:tcBorders>
            <w:shd w:val="clear" w:color="auto" w:fill="auto"/>
          </w:tcPr>
          <w:p w:rsidR="00463513" w:rsidRPr="00AE2910" w:rsidRDefault="00463513" w:rsidP="00E336BA">
            <w:pPr>
              <w:pStyle w:val="TableBodyText"/>
              <w:keepNext w:val="0"/>
              <w:keepLines w:val="0"/>
              <w:widowControl w:val="0"/>
              <w:spacing w:after="0" w:line="240" w:lineRule="auto"/>
              <w:jc w:val="left"/>
            </w:pPr>
            <w:r w:rsidRPr="00AE2910">
              <w:t xml:space="preserve">Full time participation in employment, education or training (per cent)    </w:t>
            </w:r>
          </w:p>
        </w:tc>
      </w:tr>
      <w:tr w:rsidR="00023F4E" w:rsidRPr="00657B66" w:rsidTr="00023F4E">
        <w:trPr>
          <w:trHeight w:val="357"/>
        </w:trPr>
        <w:tc>
          <w:tcPr>
            <w:tcW w:w="1668" w:type="dxa"/>
            <w:tcBorders>
              <w:top w:val="nil"/>
              <w:left w:val="nil"/>
              <w:bottom w:val="nil"/>
              <w:right w:val="nil"/>
            </w:tcBorders>
            <w:shd w:val="clear" w:color="auto" w:fill="auto"/>
            <w:noWrap/>
          </w:tcPr>
          <w:p w:rsidR="00023F4E" w:rsidRPr="00AE2910" w:rsidRDefault="00023F4E" w:rsidP="00023F4E">
            <w:pPr>
              <w:pStyle w:val="TableBodyText"/>
              <w:keepNext w:val="0"/>
              <w:keepLines w:val="0"/>
              <w:widowControl w:val="0"/>
              <w:jc w:val="left"/>
            </w:pPr>
            <w:r w:rsidRPr="00AE2910">
              <w:t>Table BA.25</w:t>
            </w:r>
          </w:p>
        </w:tc>
        <w:tc>
          <w:tcPr>
            <w:tcW w:w="7192" w:type="dxa"/>
            <w:tcBorders>
              <w:top w:val="nil"/>
              <w:left w:val="nil"/>
              <w:bottom w:val="nil"/>
              <w:right w:val="nil"/>
            </w:tcBorders>
            <w:shd w:val="clear" w:color="auto" w:fill="auto"/>
          </w:tcPr>
          <w:p w:rsidR="00023F4E" w:rsidRPr="00AE2910" w:rsidRDefault="00023F4E" w:rsidP="00023F4E">
            <w:pPr>
              <w:pStyle w:val="TableBodyText"/>
              <w:keepNext w:val="0"/>
              <w:keepLines w:val="0"/>
              <w:widowControl w:val="0"/>
              <w:jc w:val="left"/>
            </w:pPr>
            <w:r w:rsidRPr="00AE2910">
              <w:t xml:space="preserve">Full time participation in employment, education or training at or above certificate III (per cent)     </w:t>
            </w:r>
          </w:p>
        </w:tc>
      </w:tr>
      <w:tr w:rsidR="00023F4E" w:rsidRPr="00657B66" w:rsidTr="00023F4E">
        <w:trPr>
          <w:trHeight w:val="612"/>
        </w:trPr>
        <w:tc>
          <w:tcPr>
            <w:tcW w:w="1668" w:type="dxa"/>
            <w:tcBorders>
              <w:top w:val="nil"/>
              <w:left w:val="nil"/>
              <w:bottom w:val="nil"/>
              <w:right w:val="nil"/>
            </w:tcBorders>
            <w:shd w:val="clear" w:color="auto" w:fill="auto"/>
            <w:noWrap/>
          </w:tcPr>
          <w:p w:rsidR="00023F4E" w:rsidRPr="00AE2910" w:rsidRDefault="00023F4E" w:rsidP="00023F4E">
            <w:pPr>
              <w:pStyle w:val="TableBodyText"/>
              <w:keepNext w:val="0"/>
              <w:keepLines w:val="0"/>
              <w:widowControl w:val="0"/>
              <w:jc w:val="left"/>
            </w:pPr>
            <w:r w:rsidRPr="00AE2910">
              <w:t>Table BA.26</w:t>
            </w:r>
          </w:p>
        </w:tc>
        <w:tc>
          <w:tcPr>
            <w:tcW w:w="7192" w:type="dxa"/>
            <w:tcBorders>
              <w:top w:val="nil"/>
              <w:left w:val="nil"/>
              <w:bottom w:val="nil"/>
              <w:right w:val="nil"/>
            </w:tcBorders>
            <w:shd w:val="clear" w:color="auto" w:fill="auto"/>
          </w:tcPr>
          <w:p w:rsidR="00023F4E" w:rsidRPr="00AE2910" w:rsidRDefault="00023F4E" w:rsidP="00023F4E">
            <w:pPr>
              <w:pStyle w:val="TableBodyText"/>
              <w:keepNext w:val="0"/>
              <w:keepLines w:val="0"/>
              <w:widowControl w:val="0"/>
              <w:jc w:val="left"/>
            </w:pPr>
            <w:r w:rsidRPr="00AE2910">
              <w:t xml:space="preserve">"Full time participation in employment, education or training, by Indigenous status (17-24 year olds) </w:t>
            </w:r>
            <w:r>
              <w:t>(per cent)</w:t>
            </w:r>
          </w:p>
        </w:tc>
      </w:tr>
      <w:tr w:rsidR="00023F4E" w:rsidRPr="00657B66" w:rsidTr="00023F4E">
        <w:trPr>
          <w:trHeight w:val="612"/>
        </w:trPr>
        <w:tc>
          <w:tcPr>
            <w:tcW w:w="1668" w:type="dxa"/>
            <w:tcBorders>
              <w:top w:val="nil"/>
              <w:left w:val="nil"/>
              <w:bottom w:val="nil"/>
              <w:right w:val="nil"/>
            </w:tcBorders>
            <w:shd w:val="clear" w:color="auto" w:fill="auto"/>
            <w:noWrap/>
          </w:tcPr>
          <w:p w:rsidR="00023F4E" w:rsidRPr="00AE2910" w:rsidRDefault="00023F4E" w:rsidP="00023F4E">
            <w:pPr>
              <w:pStyle w:val="TableBodyText"/>
              <w:keepNext w:val="0"/>
              <w:keepLines w:val="0"/>
              <w:widowControl w:val="0"/>
              <w:jc w:val="left"/>
            </w:pPr>
            <w:r w:rsidRPr="00AE2910">
              <w:t>Table BA.27</w:t>
            </w:r>
          </w:p>
        </w:tc>
        <w:tc>
          <w:tcPr>
            <w:tcW w:w="7192" w:type="dxa"/>
            <w:tcBorders>
              <w:top w:val="nil"/>
              <w:left w:val="nil"/>
              <w:bottom w:val="nil"/>
              <w:right w:val="nil"/>
            </w:tcBorders>
            <w:shd w:val="clear" w:color="auto" w:fill="auto"/>
          </w:tcPr>
          <w:p w:rsidR="00023F4E" w:rsidRPr="00AE2910" w:rsidRDefault="00023F4E" w:rsidP="00023F4E">
            <w:pPr>
              <w:pStyle w:val="TableBodyText"/>
              <w:keepNext w:val="0"/>
              <w:keepLines w:val="0"/>
              <w:widowControl w:val="0"/>
              <w:jc w:val="left"/>
            </w:pPr>
            <w:r w:rsidRPr="00AE2910">
              <w:t xml:space="preserve">"Full time participation in employment, education or training, by SES based on ABS </w:t>
            </w:r>
            <w:proofErr w:type="spellStart"/>
            <w:r w:rsidRPr="00AE2910">
              <w:t>SEIFA</w:t>
            </w:r>
            <w:proofErr w:type="spellEnd"/>
            <w:r w:rsidRPr="00AE2910">
              <w:t xml:space="preserve"> </w:t>
            </w:r>
            <w:proofErr w:type="spellStart"/>
            <w:r w:rsidRPr="00AE2910">
              <w:t>IRSD</w:t>
            </w:r>
            <w:proofErr w:type="spellEnd"/>
            <w:r w:rsidRPr="00AE2910">
              <w:t xml:space="preserve"> </w:t>
            </w:r>
            <w:r>
              <w:t>(per cent)</w:t>
            </w:r>
          </w:p>
        </w:tc>
      </w:tr>
      <w:tr w:rsidR="00023F4E" w:rsidRPr="00657B66" w:rsidTr="00023F4E">
        <w:trPr>
          <w:trHeight w:val="612"/>
        </w:trPr>
        <w:tc>
          <w:tcPr>
            <w:tcW w:w="1668" w:type="dxa"/>
            <w:tcBorders>
              <w:top w:val="nil"/>
              <w:left w:val="nil"/>
              <w:bottom w:val="nil"/>
              <w:right w:val="nil"/>
            </w:tcBorders>
            <w:shd w:val="clear" w:color="auto" w:fill="auto"/>
            <w:noWrap/>
          </w:tcPr>
          <w:p w:rsidR="00023F4E" w:rsidRPr="00AE2910" w:rsidRDefault="00023F4E" w:rsidP="00023F4E">
            <w:pPr>
              <w:pStyle w:val="TableBodyText"/>
              <w:keepNext w:val="0"/>
              <w:keepLines w:val="0"/>
              <w:widowControl w:val="0"/>
              <w:jc w:val="left"/>
            </w:pPr>
            <w:r w:rsidRPr="00AE2910">
              <w:t>Table BA.28</w:t>
            </w:r>
          </w:p>
        </w:tc>
        <w:tc>
          <w:tcPr>
            <w:tcW w:w="7192" w:type="dxa"/>
            <w:tcBorders>
              <w:top w:val="nil"/>
              <w:left w:val="nil"/>
              <w:bottom w:val="nil"/>
              <w:right w:val="nil"/>
            </w:tcBorders>
            <w:shd w:val="clear" w:color="auto" w:fill="auto"/>
          </w:tcPr>
          <w:p w:rsidR="00023F4E" w:rsidRPr="00AE2910" w:rsidRDefault="00023F4E" w:rsidP="00023F4E">
            <w:pPr>
              <w:pStyle w:val="TableBodyText"/>
              <w:keepNext w:val="0"/>
              <w:keepLines w:val="0"/>
              <w:widowControl w:val="0"/>
              <w:jc w:val="left"/>
            </w:pPr>
            <w:r w:rsidRPr="00AE2910">
              <w:t xml:space="preserve">Full time participation in employment, education or training at certificate level III or above, by SES based on ABS </w:t>
            </w:r>
            <w:proofErr w:type="spellStart"/>
            <w:r w:rsidRPr="00AE2910">
              <w:t>SEIFA</w:t>
            </w:r>
            <w:proofErr w:type="spellEnd"/>
            <w:r w:rsidRPr="00AE2910">
              <w:t xml:space="preserve"> </w:t>
            </w:r>
            <w:proofErr w:type="spellStart"/>
            <w:r w:rsidRPr="00AE2910">
              <w:t>IRSD</w:t>
            </w:r>
            <w:proofErr w:type="spellEnd"/>
            <w:r w:rsidRPr="00AE2910">
              <w:t xml:space="preserve"> (per cent)       </w:t>
            </w:r>
          </w:p>
        </w:tc>
      </w:tr>
      <w:tr w:rsidR="00023F4E" w:rsidRPr="00657B66" w:rsidTr="00023F4E">
        <w:trPr>
          <w:trHeight w:val="612"/>
        </w:trPr>
        <w:tc>
          <w:tcPr>
            <w:tcW w:w="1668" w:type="dxa"/>
            <w:tcBorders>
              <w:top w:val="nil"/>
              <w:left w:val="nil"/>
              <w:bottom w:val="nil"/>
              <w:right w:val="nil"/>
            </w:tcBorders>
            <w:shd w:val="clear" w:color="auto" w:fill="auto"/>
            <w:noWrap/>
          </w:tcPr>
          <w:p w:rsidR="00023F4E" w:rsidRPr="00AE2910" w:rsidRDefault="00023F4E" w:rsidP="00023F4E">
            <w:pPr>
              <w:pStyle w:val="TableBodyText"/>
              <w:keepNext w:val="0"/>
              <w:keepLines w:val="0"/>
              <w:widowControl w:val="0"/>
              <w:jc w:val="left"/>
            </w:pPr>
            <w:r w:rsidRPr="00AE2910">
              <w:t>Table BA.29</w:t>
            </w:r>
          </w:p>
        </w:tc>
        <w:tc>
          <w:tcPr>
            <w:tcW w:w="7192" w:type="dxa"/>
            <w:tcBorders>
              <w:top w:val="nil"/>
              <w:left w:val="nil"/>
              <w:bottom w:val="nil"/>
              <w:right w:val="nil"/>
            </w:tcBorders>
            <w:shd w:val="clear" w:color="auto" w:fill="auto"/>
          </w:tcPr>
          <w:p w:rsidR="00023F4E" w:rsidRPr="00AE2910" w:rsidRDefault="00023F4E" w:rsidP="00023F4E">
            <w:pPr>
              <w:pStyle w:val="TableBodyText"/>
              <w:keepNext w:val="0"/>
              <w:keepLines w:val="0"/>
              <w:widowControl w:val="0"/>
              <w:jc w:val="left"/>
            </w:pPr>
            <w:r w:rsidRPr="00AE2910">
              <w:t xml:space="preserve">Level of highest non-school qualification completed, people aged 15–64 years    </w:t>
            </w:r>
          </w:p>
        </w:tc>
      </w:tr>
      <w:tr w:rsidR="00023F4E" w:rsidRPr="00657B66" w:rsidTr="00023F4E">
        <w:trPr>
          <w:trHeight w:val="612"/>
        </w:trPr>
        <w:tc>
          <w:tcPr>
            <w:tcW w:w="1668" w:type="dxa"/>
            <w:tcBorders>
              <w:top w:val="nil"/>
              <w:left w:val="nil"/>
              <w:bottom w:val="nil"/>
              <w:right w:val="nil"/>
            </w:tcBorders>
            <w:shd w:val="clear" w:color="auto" w:fill="auto"/>
            <w:noWrap/>
          </w:tcPr>
          <w:p w:rsidR="00023F4E" w:rsidRPr="00AE2910" w:rsidRDefault="00023F4E" w:rsidP="00023F4E">
            <w:pPr>
              <w:pStyle w:val="TableBodyText"/>
              <w:keepNext w:val="0"/>
              <w:keepLines w:val="0"/>
              <w:widowControl w:val="0"/>
              <w:jc w:val="left"/>
            </w:pPr>
            <w:r w:rsidRPr="00AE2910">
              <w:t>Table BA.30</w:t>
            </w:r>
          </w:p>
        </w:tc>
        <w:tc>
          <w:tcPr>
            <w:tcW w:w="7192" w:type="dxa"/>
            <w:tcBorders>
              <w:top w:val="nil"/>
              <w:left w:val="nil"/>
              <w:bottom w:val="nil"/>
              <w:right w:val="nil"/>
            </w:tcBorders>
            <w:shd w:val="clear" w:color="auto" w:fill="auto"/>
          </w:tcPr>
          <w:p w:rsidR="00023F4E" w:rsidRPr="00AE2910" w:rsidRDefault="00023F4E" w:rsidP="00023F4E">
            <w:pPr>
              <w:pStyle w:val="TableBodyText"/>
              <w:keepNext w:val="0"/>
              <w:keepLines w:val="0"/>
              <w:widowControl w:val="0"/>
              <w:jc w:val="left"/>
            </w:pPr>
            <w:r w:rsidRPr="00AE2910">
              <w:t xml:space="preserve">Proportion of 20–64 year old population with a non-school qualification or who are currently studying for a non-school qualification </w:t>
            </w:r>
          </w:p>
        </w:tc>
      </w:tr>
      <w:tr w:rsidR="00023F4E" w:rsidRPr="00657B66" w:rsidTr="00023F4E">
        <w:trPr>
          <w:trHeight w:val="577"/>
        </w:trPr>
        <w:tc>
          <w:tcPr>
            <w:tcW w:w="1668" w:type="dxa"/>
            <w:tcBorders>
              <w:top w:val="nil"/>
              <w:left w:val="nil"/>
              <w:bottom w:val="nil"/>
              <w:right w:val="nil"/>
            </w:tcBorders>
            <w:shd w:val="clear" w:color="auto" w:fill="auto"/>
            <w:noWrap/>
          </w:tcPr>
          <w:p w:rsidR="00023F4E" w:rsidRPr="00AE2910" w:rsidRDefault="00023F4E" w:rsidP="00023F4E">
            <w:pPr>
              <w:pStyle w:val="TableBodyText"/>
              <w:keepNext w:val="0"/>
              <w:keepLines w:val="0"/>
              <w:widowControl w:val="0"/>
              <w:jc w:val="left"/>
            </w:pPr>
            <w:r w:rsidRPr="00AE2910">
              <w:t>Table BA.31</w:t>
            </w:r>
          </w:p>
        </w:tc>
        <w:tc>
          <w:tcPr>
            <w:tcW w:w="7192" w:type="dxa"/>
            <w:tcBorders>
              <w:top w:val="nil"/>
              <w:left w:val="nil"/>
              <w:bottom w:val="nil"/>
              <w:right w:val="nil"/>
            </w:tcBorders>
            <w:shd w:val="clear" w:color="auto" w:fill="auto"/>
          </w:tcPr>
          <w:p w:rsidR="00023F4E" w:rsidRPr="00AE2910" w:rsidRDefault="00023F4E" w:rsidP="00023F4E">
            <w:pPr>
              <w:pStyle w:val="TableBodyText"/>
              <w:keepNext w:val="0"/>
              <w:keepLines w:val="0"/>
              <w:widowControl w:val="0"/>
              <w:jc w:val="left"/>
            </w:pPr>
            <w:r w:rsidRPr="00AE2910">
              <w:t xml:space="preserve">Proportion of 20–64 year old population with a non-school qualification or who are currently studying for a non-school qualification    </w:t>
            </w:r>
          </w:p>
        </w:tc>
      </w:tr>
      <w:tr w:rsidR="00023F4E" w:rsidRPr="00657B66" w:rsidTr="00023F4E">
        <w:trPr>
          <w:trHeight w:val="357"/>
        </w:trPr>
        <w:tc>
          <w:tcPr>
            <w:tcW w:w="1668" w:type="dxa"/>
            <w:tcBorders>
              <w:top w:val="nil"/>
              <w:left w:val="nil"/>
              <w:bottom w:val="nil"/>
              <w:right w:val="nil"/>
            </w:tcBorders>
            <w:shd w:val="clear" w:color="auto" w:fill="auto"/>
            <w:noWrap/>
          </w:tcPr>
          <w:p w:rsidR="00023F4E" w:rsidRPr="00AE2910" w:rsidRDefault="00023F4E" w:rsidP="00023F4E">
            <w:pPr>
              <w:pStyle w:val="TableBodyText"/>
              <w:keepNext w:val="0"/>
              <w:keepLines w:val="0"/>
              <w:widowControl w:val="0"/>
              <w:jc w:val="left"/>
            </w:pPr>
            <w:r w:rsidRPr="00AE2910">
              <w:t>Table BA.32</w:t>
            </w:r>
          </w:p>
        </w:tc>
        <w:tc>
          <w:tcPr>
            <w:tcW w:w="7192" w:type="dxa"/>
            <w:tcBorders>
              <w:top w:val="nil"/>
              <w:left w:val="nil"/>
              <w:bottom w:val="nil"/>
              <w:right w:val="nil"/>
            </w:tcBorders>
            <w:shd w:val="clear" w:color="auto" w:fill="auto"/>
          </w:tcPr>
          <w:p w:rsidR="00023F4E" w:rsidRPr="00AE2910" w:rsidRDefault="00023F4E" w:rsidP="00023F4E">
            <w:pPr>
              <w:pStyle w:val="TableBodyText"/>
              <w:keepNext w:val="0"/>
              <w:keepLines w:val="0"/>
              <w:widowControl w:val="0"/>
              <w:jc w:val="left"/>
            </w:pPr>
            <w:r w:rsidRPr="00AE2910">
              <w:t xml:space="preserve">People who have completed year 12 or equivalent or gained a qualification at certificate level II or above, by selected age groups (per cent)    </w:t>
            </w:r>
          </w:p>
        </w:tc>
      </w:tr>
      <w:tr w:rsidR="00023F4E" w:rsidRPr="00657B66" w:rsidTr="00023F4E">
        <w:trPr>
          <w:trHeight w:val="297"/>
        </w:trPr>
        <w:tc>
          <w:tcPr>
            <w:tcW w:w="1668" w:type="dxa"/>
            <w:tcBorders>
              <w:top w:val="nil"/>
              <w:left w:val="nil"/>
              <w:bottom w:val="nil"/>
              <w:right w:val="nil"/>
            </w:tcBorders>
            <w:shd w:val="clear" w:color="auto" w:fill="auto"/>
            <w:noWrap/>
          </w:tcPr>
          <w:p w:rsidR="00023F4E" w:rsidRPr="00AE2910" w:rsidRDefault="00023F4E" w:rsidP="00023F4E">
            <w:pPr>
              <w:pStyle w:val="TableBodyText"/>
              <w:keepNext w:val="0"/>
              <w:keepLines w:val="0"/>
              <w:widowControl w:val="0"/>
              <w:jc w:val="left"/>
            </w:pPr>
            <w:r w:rsidRPr="00AE2910">
              <w:t>Table BA.33</w:t>
            </w:r>
          </w:p>
        </w:tc>
        <w:tc>
          <w:tcPr>
            <w:tcW w:w="7192" w:type="dxa"/>
            <w:tcBorders>
              <w:top w:val="nil"/>
              <w:left w:val="nil"/>
              <w:bottom w:val="nil"/>
              <w:right w:val="nil"/>
            </w:tcBorders>
            <w:shd w:val="clear" w:color="auto" w:fill="auto"/>
          </w:tcPr>
          <w:p w:rsidR="00023F4E" w:rsidRPr="00AE2910" w:rsidRDefault="00023F4E" w:rsidP="00023F4E">
            <w:pPr>
              <w:pStyle w:val="TableBodyText"/>
              <w:keepNext w:val="0"/>
              <w:keepLines w:val="0"/>
              <w:widowControl w:val="0"/>
              <w:jc w:val="left"/>
            </w:pPr>
            <w:r w:rsidRPr="00AE2910">
              <w:t xml:space="preserve">People aged 20-24 years who have completed year 12 or equivalent or gained a qualification at certificate level II or above (per cent)    </w:t>
            </w:r>
          </w:p>
        </w:tc>
      </w:tr>
      <w:tr w:rsidR="00023F4E" w:rsidRPr="00657B66" w:rsidTr="00023F4E">
        <w:trPr>
          <w:trHeight w:val="612"/>
        </w:trPr>
        <w:tc>
          <w:tcPr>
            <w:tcW w:w="1668" w:type="dxa"/>
            <w:tcBorders>
              <w:top w:val="nil"/>
              <w:left w:val="nil"/>
              <w:bottom w:val="nil"/>
              <w:right w:val="nil"/>
            </w:tcBorders>
            <w:shd w:val="clear" w:color="auto" w:fill="auto"/>
            <w:noWrap/>
          </w:tcPr>
          <w:p w:rsidR="00023F4E" w:rsidRPr="00AE2910" w:rsidRDefault="00023F4E" w:rsidP="00023F4E">
            <w:pPr>
              <w:pStyle w:val="TableBodyText"/>
              <w:keepNext w:val="0"/>
              <w:keepLines w:val="0"/>
              <w:widowControl w:val="0"/>
              <w:jc w:val="left"/>
            </w:pPr>
            <w:r w:rsidRPr="00AE2910">
              <w:lastRenderedPageBreak/>
              <w:t>Table BA.34</w:t>
            </w:r>
          </w:p>
        </w:tc>
        <w:tc>
          <w:tcPr>
            <w:tcW w:w="7192" w:type="dxa"/>
            <w:tcBorders>
              <w:top w:val="nil"/>
              <w:left w:val="nil"/>
              <w:bottom w:val="nil"/>
              <w:right w:val="nil"/>
            </w:tcBorders>
            <w:shd w:val="clear" w:color="auto" w:fill="auto"/>
          </w:tcPr>
          <w:p w:rsidR="00023F4E" w:rsidRPr="00AE2910" w:rsidRDefault="00023F4E" w:rsidP="00023F4E">
            <w:pPr>
              <w:pStyle w:val="TableBodyText"/>
              <w:keepNext w:val="0"/>
              <w:keepLines w:val="0"/>
              <w:widowControl w:val="0"/>
              <w:jc w:val="left"/>
            </w:pPr>
            <w:r w:rsidRPr="00AE2910">
              <w:t xml:space="preserve">People aged 20-24 years who have completed year 12 or equivalent or gained a qualification at certificate level II or above, by Indigenous status (per cent)      </w:t>
            </w:r>
          </w:p>
        </w:tc>
      </w:tr>
      <w:tr w:rsidR="00023F4E" w:rsidRPr="00657B66" w:rsidTr="00023F4E">
        <w:trPr>
          <w:trHeight w:val="612"/>
        </w:trPr>
        <w:tc>
          <w:tcPr>
            <w:tcW w:w="1668" w:type="dxa"/>
            <w:tcBorders>
              <w:top w:val="nil"/>
              <w:left w:val="nil"/>
              <w:bottom w:val="nil"/>
              <w:right w:val="nil"/>
            </w:tcBorders>
            <w:shd w:val="clear" w:color="auto" w:fill="auto"/>
            <w:noWrap/>
          </w:tcPr>
          <w:p w:rsidR="00023F4E" w:rsidRPr="00AE2910" w:rsidRDefault="00023F4E" w:rsidP="00023F4E">
            <w:pPr>
              <w:pStyle w:val="TableBodyText"/>
              <w:keepNext w:val="0"/>
              <w:keepLines w:val="0"/>
              <w:widowControl w:val="0"/>
              <w:jc w:val="left"/>
            </w:pPr>
            <w:r w:rsidRPr="00AE2910">
              <w:t>Table BA.35</w:t>
            </w:r>
          </w:p>
        </w:tc>
        <w:tc>
          <w:tcPr>
            <w:tcW w:w="7192" w:type="dxa"/>
            <w:tcBorders>
              <w:top w:val="nil"/>
              <w:left w:val="nil"/>
              <w:bottom w:val="nil"/>
              <w:right w:val="nil"/>
            </w:tcBorders>
            <w:shd w:val="clear" w:color="auto" w:fill="auto"/>
          </w:tcPr>
          <w:p w:rsidR="00023F4E" w:rsidRPr="00AE2910" w:rsidRDefault="00023F4E" w:rsidP="00023F4E">
            <w:pPr>
              <w:pStyle w:val="TableBodyText"/>
              <w:keepNext w:val="0"/>
              <w:keepLines w:val="0"/>
              <w:widowControl w:val="0"/>
              <w:jc w:val="left"/>
            </w:pPr>
            <w:r w:rsidRPr="00AE2910">
              <w:t xml:space="preserve">Proportion of population having attained at least a year 12 or equivalent or certificate II or above, by SES based on </w:t>
            </w:r>
            <w:proofErr w:type="spellStart"/>
            <w:r w:rsidRPr="00AE2910">
              <w:t>SEIFA</w:t>
            </w:r>
            <w:proofErr w:type="spellEnd"/>
            <w:r w:rsidRPr="00AE2910">
              <w:t xml:space="preserve"> </w:t>
            </w:r>
            <w:proofErr w:type="spellStart"/>
            <w:r w:rsidRPr="00AE2910">
              <w:t>IRSD</w:t>
            </w:r>
            <w:proofErr w:type="spellEnd"/>
            <w:r w:rsidRPr="00AE2910">
              <w:t xml:space="preserve"> (per cent)     </w:t>
            </w:r>
          </w:p>
        </w:tc>
      </w:tr>
      <w:tr w:rsidR="00023F4E" w:rsidRPr="00657B66" w:rsidTr="00023F4E">
        <w:trPr>
          <w:trHeight w:val="612"/>
        </w:trPr>
        <w:tc>
          <w:tcPr>
            <w:tcW w:w="1668" w:type="dxa"/>
            <w:tcBorders>
              <w:top w:val="nil"/>
              <w:left w:val="nil"/>
              <w:bottom w:val="nil"/>
              <w:right w:val="nil"/>
            </w:tcBorders>
            <w:shd w:val="clear" w:color="auto" w:fill="auto"/>
            <w:noWrap/>
          </w:tcPr>
          <w:p w:rsidR="00023F4E" w:rsidRPr="00AE2910" w:rsidRDefault="00023F4E" w:rsidP="00023F4E">
            <w:pPr>
              <w:pStyle w:val="TableBodyText"/>
              <w:keepNext w:val="0"/>
              <w:keepLines w:val="0"/>
              <w:widowControl w:val="0"/>
              <w:jc w:val="left"/>
            </w:pPr>
            <w:r w:rsidRPr="00AE2910">
              <w:t>Table BA.36</w:t>
            </w:r>
          </w:p>
        </w:tc>
        <w:tc>
          <w:tcPr>
            <w:tcW w:w="7192" w:type="dxa"/>
            <w:tcBorders>
              <w:top w:val="nil"/>
              <w:left w:val="nil"/>
              <w:bottom w:val="nil"/>
              <w:right w:val="nil"/>
            </w:tcBorders>
            <w:shd w:val="clear" w:color="auto" w:fill="auto"/>
          </w:tcPr>
          <w:p w:rsidR="00023F4E" w:rsidRPr="00AE2910" w:rsidRDefault="00023F4E" w:rsidP="00023F4E">
            <w:pPr>
              <w:pStyle w:val="TableBodyText"/>
              <w:keepNext w:val="0"/>
              <w:keepLines w:val="0"/>
              <w:widowControl w:val="0"/>
              <w:jc w:val="left"/>
            </w:pPr>
            <w:r w:rsidRPr="00AE2910">
              <w:t xml:space="preserve">Proportion of people age 20-24 years having attained at least a year 12 or equivalent or certificate II or above, by SES based on </w:t>
            </w:r>
            <w:proofErr w:type="spellStart"/>
            <w:r w:rsidRPr="00AE2910">
              <w:t>SEIFA</w:t>
            </w:r>
            <w:proofErr w:type="spellEnd"/>
            <w:r w:rsidRPr="00AE2910">
              <w:t xml:space="preserve"> </w:t>
            </w:r>
            <w:proofErr w:type="spellStart"/>
            <w:r w:rsidRPr="00AE2910">
              <w:t>IRSD</w:t>
            </w:r>
            <w:proofErr w:type="spellEnd"/>
            <w:r w:rsidRPr="00AE2910">
              <w:t xml:space="preserve"> (per cent)      </w:t>
            </w:r>
          </w:p>
        </w:tc>
      </w:tr>
      <w:tr w:rsidR="00023F4E" w:rsidRPr="00657B66" w:rsidTr="00023F4E">
        <w:trPr>
          <w:trHeight w:val="612"/>
        </w:trPr>
        <w:tc>
          <w:tcPr>
            <w:tcW w:w="1668" w:type="dxa"/>
            <w:tcBorders>
              <w:top w:val="nil"/>
              <w:left w:val="nil"/>
              <w:bottom w:val="nil"/>
              <w:right w:val="nil"/>
            </w:tcBorders>
            <w:shd w:val="clear" w:color="auto" w:fill="auto"/>
            <w:noWrap/>
          </w:tcPr>
          <w:p w:rsidR="00023F4E" w:rsidRPr="00AE2910" w:rsidRDefault="00023F4E" w:rsidP="00023F4E">
            <w:pPr>
              <w:pStyle w:val="TableBodyText"/>
              <w:keepNext w:val="0"/>
              <w:keepLines w:val="0"/>
              <w:widowControl w:val="0"/>
              <w:jc w:val="left"/>
            </w:pPr>
            <w:r w:rsidRPr="00AE2910">
              <w:t>Table BA.37</w:t>
            </w:r>
          </w:p>
        </w:tc>
        <w:tc>
          <w:tcPr>
            <w:tcW w:w="7192" w:type="dxa"/>
            <w:tcBorders>
              <w:top w:val="nil"/>
              <w:left w:val="nil"/>
              <w:bottom w:val="nil"/>
              <w:right w:val="nil"/>
            </w:tcBorders>
            <w:shd w:val="clear" w:color="auto" w:fill="auto"/>
          </w:tcPr>
          <w:p w:rsidR="00023F4E" w:rsidRPr="00AE2910" w:rsidRDefault="00023F4E" w:rsidP="00023F4E">
            <w:pPr>
              <w:pStyle w:val="TableBodyText"/>
              <w:keepNext w:val="0"/>
              <w:keepLines w:val="0"/>
              <w:widowControl w:val="0"/>
              <w:jc w:val="left"/>
            </w:pPr>
            <w:r w:rsidRPr="00AE2910">
              <w:t xml:space="preserve">Proportion of the 20–24 year old population having attained at least a year 12 or equivalent or </w:t>
            </w:r>
            <w:proofErr w:type="spellStart"/>
            <w:r w:rsidRPr="00AE2910">
              <w:t>AQF</w:t>
            </w:r>
            <w:proofErr w:type="spellEnd"/>
            <w:r w:rsidRPr="00AE2910">
              <w:t xml:space="preserve"> Certificate III or above  </w:t>
            </w:r>
          </w:p>
        </w:tc>
      </w:tr>
      <w:tr w:rsidR="00023F4E" w:rsidRPr="00657B66" w:rsidTr="00023F4E">
        <w:trPr>
          <w:trHeight w:val="612"/>
        </w:trPr>
        <w:tc>
          <w:tcPr>
            <w:tcW w:w="1668" w:type="dxa"/>
            <w:tcBorders>
              <w:top w:val="nil"/>
              <w:left w:val="nil"/>
              <w:bottom w:val="nil"/>
              <w:right w:val="nil"/>
            </w:tcBorders>
            <w:shd w:val="clear" w:color="auto" w:fill="auto"/>
            <w:noWrap/>
          </w:tcPr>
          <w:p w:rsidR="00023F4E" w:rsidRPr="00AE2910" w:rsidRDefault="00023F4E" w:rsidP="00023F4E">
            <w:pPr>
              <w:pStyle w:val="TableBodyText"/>
              <w:keepNext w:val="0"/>
              <w:keepLines w:val="0"/>
              <w:widowControl w:val="0"/>
              <w:jc w:val="left"/>
            </w:pPr>
            <w:r w:rsidRPr="00AE2910">
              <w:t>Table BA.38</w:t>
            </w:r>
          </w:p>
        </w:tc>
        <w:tc>
          <w:tcPr>
            <w:tcW w:w="7192" w:type="dxa"/>
            <w:tcBorders>
              <w:top w:val="nil"/>
              <w:left w:val="nil"/>
              <w:bottom w:val="nil"/>
              <w:right w:val="nil"/>
            </w:tcBorders>
            <w:shd w:val="clear" w:color="auto" w:fill="auto"/>
          </w:tcPr>
          <w:p w:rsidR="00023F4E" w:rsidRPr="00AE2910" w:rsidRDefault="00023F4E" w:rsidP="00023F4E">
            <w:pPr>
              <w:pStyle w:val="TableBodyText"/>
              <w:keepNext w:val="0"/>
              <w:keepLines w:val="0"/>
              <w:widowControl w:val="0"/>
              <w:jc w:val="left"/>
            </w:pPr>
            <w:r w:rsidRPr="00AE2910">
              <w:t xml:space="preserve">Proportion of the 20–24 year old population having attained at least a year 12 or equivalent or </w:t>
            </w:r>
            <w:proofErr w:type="spellStart"/>
            <w:r w:rsidRPr="00AE2910">
              <w:t>AQF</w:t>
            </w:r>
            <w:proofErr w:type="spellEnd"/>
            <w:r w:rsidRPr="00AE2910">
              <w:t xml:space="preserve"> Certificate III or above    </w:t>
            </w:r>
          </w:p>
        </w:tc>
      </w:tr>
      <w:tr w:rsidR="00023F4E" w:rsidRPr="00657B66" w:rsidTr="00023F4E">
        <w:trPr>
          <w:trHeight w:val="612"/>
        </w:trPr>
        <w:tc>
          <w:tcPr>
            <w:tcW w:w="1668" w:type="dxa"/>
            <w:tcBorders>
              <w:top w:val="nil"/>
              <w:left w:val="nil"/>
              <w:bottom w:val="nil"/>
              <w:right w:val="nil"/>
            </w:tcBorders>
            <w:shd w:val="clear" w:color="auto" w:fill="auto"/>
            <w:noWrap/>
          </w:tcPr>
          <w:p w:rsidR="00023F4E" w:rsidRPr="00AE2910" w:rsidRDefault="00023F4E" w:rsidP="00023F4E">
            <w:pPr>
              <w:pStyle w:val="TableBodyText"/>
              <w:keepNext w:val="0"/>
              <w:keepLines w:val="0"/>
              <w:widowControl w:val="0"/>
              <w:jc w:val="left"/>
            </w:pPr>
            <w:r w:rsidRPr="00AE2910">
              <w:t>Table BA.39</w:t>
            </w:r>
          </w:p>
        </w:tc>
        <w:tc>
          <w:tcPr>
            <w:tcW w:w="7192" w:type="dxa"/>
            <w:tcBorders>
              <w:top w:val="nil"/>
              <w:left w:val="nil"/>
              <w:bottom w:val="nil"/>
              <w:right w:val="nil"/>
            </w:tcBorders>
            <w:shd w:val="clear" w:color="auto" w:fill="auto"/>
          </w:tcPr>
          <w:p w:rsidR="00023F4E" w:rsidRPr="00AE2910" w:rsidRDefault="00023F4E" w:rsidP="00023F4E">
            <w:pPr>
              <w:pStyle w:val="TableBodyText"/>
              <w:keepNext w:val="0"/>
              <w:keepLines w:val="0"/>
              <w:widowControl w:val="0"/>
              <w:jc w:val="left"/>
            </w:pPr>
            <w:r w:rsidRPr="00AE2910">
              <w:t xml:space="preserve">Proportion of 15–64 year old population who have qualifications at or above certificate III (per cent)   </w:t>
            </w:r>
          </w:p>
        </w:tc>
      </w:tr>
      <w:tr w:rsidR="00023F4E" w:rsidRPr="00657B66" w:rsidTr="00023F4E">
        <w:trPr>
          <w:trHeight w:val="612"/>
        </w:trPr>
        <w:tc>
          <w:tcPr>
            <w:tcW w:w="1668" w:type="dxa"/>
            <w:tcBorders>
              <w:top w:val="nil"/>
              <w:left w:val="nil"/>
              <w:bottom w:val="nil"/>
              <w:right w:val="nil"/>
            </w:tcBorders>
            <w:shd w:val="clear" w:color="auto" w:fill="auto"/>
            <w:noWrap/>
          </w:tcPr>
          <w:p w:rsidR="00023F4E" w:rsidRPr="00AE2910" w:rsidRDefault="00023F4E" w:rsidP="00023F4E">
            <w:pPr>
              <w:pStyle w:val="TableBodyText"/>
              <w:keepNext w:val="0"/>
              <w:keepLines w:val="0"/>
              <w:widowControl w:val="0"/>
              <w:jc w:val="left"/>
            </w:pPr>
            <w:r w:rsidRPr="00AE2910">
              <w:t>Table BA.40</w:t>
            </w:r>
          </w:p>
        </w:tc>
        <w:tc>
          <w:tcPr>
            <w:tcW w:w="7192" w:type="dxa"/>
            <w:tcBorders>
              <w:top w:val="nil"/>
              <w:left w:val="nil"/>
              <w:bottom w:val="nil"/>
              <w:right w:val="nil"/>
            </w:tcBorders>
            <w:shd w:val="clear" w:color="auto" w:fill="auto"/>
          </w:tcPr>
          <w:p w:rsidR="00023F4E" w:rsidRPr="00AE2910" w:rsidRDefault="00023F4E" w:rsidP="00023F4E">
            <w:pPr>
              <w:pStyle w:val="TableBodyText"/>
              <w:keepNext w:val="0"/>
              <w:keepLines w:val="0"/>
              <w:widowControl w:val="0"/>
              <w:jc w:val="left"/>
            </w:pPr>
            <w:r w:rsidRPr="00AE2910">
              <w:t xml:space="preserve">Proportion of 20–64 year old population who have qualifications at or above certificate III (per cent)    </w:t>
            </w:r>
          </w:p>
        </w:tc>
      </w:tr>
      <w:tr w:rsidR="00023F4E" w:rsidRPr="00657B66" w:rsidTr="00023F4E">
        <w:trPr>
          <w:trHeight w:val="612"/>
        </w:trPr>
        <w:tc>
          <w:tcPr>
            <w:tcW w:w="1668" w:type="dxa"/>
            <w:tcBorders>
              <w:top w:val="nil"/>
              <w:left w:val="nil"/>
              <w:bottom w:val="nil"/>
              <w:right w:val="nil"/>
            </w:tcBorders>
            <w:shd w:val="clear" w:color="auto" w:fill="auto"/>
            <w:noWrap/>
          </w:tcPr>
          <w:p w:rsidR="00023F4E" w:rsidRPr="00AE2910" w:rsidRDefault="00023F4E" w:rsidP="00023F4E">
            <w:pPr>
              <w:pStyle w:val="TableBodyText"/>
              <w:keepNext w:val="0"/>
              <w:keepLines w:val="0"/>
              <w:widowControl w:val="0"/>
              <w:jc w:val="left"/>
            </w:pPr>
            <w:r w:rsidRPr="00AE2910">
              <w:t>Table BA.41</w:t>
            </w:r>
          </w:p>
        </w:tc>
        <w:tc>
          <w:tcPr>
            <w:tcW w:w="7192" w:type="dxa"/>
            <w:tcBorders>
              <w:top w:val="nil"/>
              <w:left w:val="nil"/>
              <w:bottom w:val="nil"/>
              <w:right w:val="nil"/>
            </w:tcBorders>
            <w:shd w:val="clear" w:color="auto" w:fill="auto"/>
          </w:tcPr>
          <w:p w:rsidR="00023F4E" w:rsidRPr="00AE2910" w:rsidRDefault="00023F4E" w:rsidP="00023F4E">
            <w:pPr>
              <w:pStyle w:val="TableBodyText"/>
              <w:keepNext w:val="0"/>
              <w:keepLines w:val="0"/>
              <w:widowControl w:val="0"/>
              <w:jc w:val="left"/>
            </w:pPr>
            <w:r w:rsidRPr="00AE2910">
              <w:t xml:space="preserve">Proportion of 20–64 year old population who have qualifications at or above certificate III, by Indigenous status (per cent)    </w:t>
            </w:r>
          </w:p>
        </w:tc>
      </w:tr>
      <w:tr w:rsidR="00023F4E" w:rsidRPr="00657B66" w:rsidTr="00023F4E">
        <w:trPr>
          <w:trHeight w:val="612"/>
        </w:trPr>
        <w:tc>
          <w:tcPr>
            <w:tcW w:w="1668" w:type="dxa"/>
            <w:tcBorders>
              <w:top w:val="nil"/>
              <w:left w:val="nil"/>
              <w:bottom w:val="nil"/>
              <w:right w:val="nil"/>
            </w:tcBorders>
            <w:shd w:val="clear" w:color="auto" w:fill="auto"/>
            <w:noWrap/>
          </w:tcPr>
          <w:p w:rsidR="00023F4E" w:rsidRPr="00AE2910" w:rsidRDefault="00023F4E" w:rsidP="00023F4E">
            <w:pPr>
              <w:pStyle w:val="TableBodyText"/>
              <w:keepNext w:val="0"/>
              <w:keepLines w:val="0"/>
              <w:widowControl w:val="0"/>
              <w:jc w:val="left"/>
            </w:pPr>
            <w:r w:rsidRPr="00AE2910">
              <w:t>Table BA.42</w:t>
            </w:r>
          </w:p>
        </w:tc>
        <w:tc>
          <w:tcPr>
            <w:tcW w:w="7192" w:type="dxa"/>
            <w:tcBorders>
              <w:top w:val="nil"/>
              <w:left w:val="nil"/>
              <w:bottom w:val="nil"/>
              <w:right w:val="nil"/>
            </w:tcBorders>
            <w:shd w:val="clear" w:color="auto" w:fill="auto"/>
          </w:tcPr>
          <w:p w:rsidR="00023F4E" w:rsidRPr="00AE2910" w:rsidRDefault="00023F4E" w:rsidP="00023F4E">
            <w:pPr>
              <w:pStyle w:val="TableBodyText"/>
              <w:keepNext w:val="0"/>
              <w:keepLines w:val="0"/>
              <w:widowControl w:val="0"/>
              <w:jc w:val="left"/>
            </w:pPr>
            <w:r w:rsidRPr="00AE2910">
              <w:t xml:space="preserve">Proportion of 20–64 year old population who have qualifications at or above certificate III (per cent) (by SES based on </w:t>
            </w:r>
            <w:proofErr w:type="spellStart"/>
            <w:r w:rsidRPr="00AE2910">
              <w:t>SEIFA</w:t>
            </w:r>
            <w:proofErr w:type="spellEnd"/>
            <w:r w:rsidRPr="00AE2910">
              <w:t xml:space="preserve"> </w:t>
            </w:r>
            <w:proofErr w:type="spellStart"/>
            <w:r w:rsidRPr="00AE2910">
              <w:t>IRSD</w:t>
            </w:r>
            <w:proofErr w:type="spellEnd"/>
            <w:r w:rsidRPr="00AE2910">
              <w:t xml:space="preserve">)    </w:t>
            </w:r>
          </w:p>
        </w:tc>
      </w:tr>
      <w:tr w:rsidR="00023F4E" w:rsidRPr="00657B66" w:rsidTr="00023F4E">
        <w:trPr>
          <w:trHeight w:val="612"/>
        </w:trPr>
        <w:tc>
          <w:tcPr>
            <w:tcW w:w="1668" w:type="dxa"/>
            <w:tcBorders>
              <w:top w:val="nil"/>
              <w:left w:val="nil"/>
              <w:bottom w:val="nil"/>
              <w:right w:val="nil"/>
            </w:tcBorders>
            <w:shd w:val="clear" w:color="auto" w:fill="auto"/>
            <w:noWrap/>
          </w:tcPr>
          <w:p w:rsidR="00023F4E" w:rsidRPr="00AE2910" w:rsidRDefault="00023F4E" w:rsidP="00023F4E">
            <w:pPr>
              <w:pStyle w:val="TableBodyText"/>
              <w:keepNext w:val="0"/>
              <w:keepLines w:val="0"/>
              <w:widowControl w:val="0"/>
              <w:jc w:val="left"/>
            </w:pPr>
            <w:r w:rsidRPr="00AE2910">
              <w:t>Table BA.43</w:t>
            </w:r>
          </w:p>
        </w:tc>
        <w:tc>
          <w:tcPr>
            <w:tcW w:w="7192" w:type="dxa"/>
            <w:tcBorders>
              <w:top w:val="nil"/>
              <w:left w:val="nil"/>
              <w:bottom w:val="nil"/>
              <w:right w:val="nil"/>
            </w:tcBorders>
            <w:shd w:val="clear" w:color="auto" w:fill="auto"/>
          </w:tcPr>
          <w:p w:rsidR="00023F4E" w:rsidRPr="00AE2910" w:rsidRDefault="00023F4E" w:rsidP="00023F4E">
            <w:pPr>
              <w:pStyle w:val="TableBodyText"/>
              <w:keepNext w:val="0"/>
              <w:keepLines w:val="0"/>
              <w:widowControl w:val="0"/>
              <w:jc w:val="left"/>
            </w:pPr>
            <w:r w:rsidRPr="00AE2910">
              <w:t xml:space="preserve">Proportion of 20–64 year old population who have qualifications at or above certificate III (per cent) (by SES based on </w:t>
            </w:r>
            <w:proofErr w:type="spellStart"/>
            <w:r w:rsidRPr="00AE2910">
              <w:t>SEIFA</w:t>
            </w:r>
            <w:proofErr w:type="spellEnd"/>
            <w:r w:rsidRPr="00AE2910">
              <w:t xml:space="preserve"> </w:t>
            </w:r>
            <w:proofErr w:type="spellStart"/>
            <w:r w:rsidRPr="00AE2910">
              <w:t>IRSD</w:t>
            </w:r>
            <w:proofErr w:type="spellEnd"/>
            <w:r w:rsidRPr="00AE2910">
              <w:t xml:space="preserve">)      </w:t>
            </w:r>
          </w:p>
        </w:tc>
      </w:tr>
      <w:tr w:rsidR="00023F4E" w:rsidRPr="00657B66" w:rsidTr="00023F4E">
        <w:trPr>
          <w:trHeight w:val="612"/>
        </w:trPr>
        <w:tc>
          <w:tcPr>
            <w:tcW w:w="1668" w:type="dxa"/>
            <w:tcBorders>
              <w:top w:val="nil"/>
              <w:left w:val="nil"/>
              <w:bottom w:val="nil"/>
              <w:right w:val="nil"/>
            </w:tcBorders>
            <w:shd w:val="clear" w:color="auto" w:fill="auto"/>
            <w:noWrap/>
          </w:tcPr>
          <w:p w:rsidR="00023F4E" w:rsidRPr="00AE2910" w:rsidRDefault="00023F4E" w:rsidP="00023F4E">
            <w:pPr>
              <w:pStyle w:val="TableBodyText"/>
              <w:keepNext w:val="0"/>
              <w:keepLines w:val="0"/>
              <w:widowControl w:val="0"/>
              <w:jc w:val="left"/>
            </w:pPr>
            <w:r w:rsidRPr="00AE2910">
              <w:t>Table BA.44</w:t>
            </w:r>
          </w:p>
        </w:tc>
        <w:tc>
          <w:tcPr>
            <w:tcW w:w="7192" w:type="dxa"/>
            <w:tcBorders>
              <w:top w:val="nil"/>
              <w:left w:val="nil"/>
              <w:bottom w:val="nil"/>
              <w:right w:val="nil"/>
            </w:tcBorders>
            <w:shd w:val="clear" w:color="auto" w:fill="auto"/>
          </w:tcPr>
          <w:p w:rsidR="00023F4E" w:rsidRPr="00AE2910" w:rsidRDefault="00023F4E" w:rsidP="00023F4E">
            <w:pPr>
              <w:pStyle w:val="TableBodyText"/>
              <w:keepNext w:val="0"/>
              <w:keepLines w:val="0"/>
              <w:widowControl w:val="0"/>
              <w:jc w:val="left"/>
            </w:pPr>
            <w:r w:rsidRPr="00AE2910">
              <w:t xml:space="preserve">Proportion of 25–29 year olds who have gained a post-secondary qualification at certificate III or above (per cent)  </w:t>
            </w:r>
          </w:p>
        </w:tc>
      </w:tr>
      <w:tr w:rsidR="00023F4E" w:rsidRPr="00657B66" w:rsidTr="00023F4E">
        <w:trPr>
          <w:trHeight w:val="612"/>
        </w:trPr>
        <w:tc>
          <w:tcPr>
            <w:tcW w:w="1668" w:type="dxa"/>
            <w:tcBorders>
              <w:top w:val="nil"/>
              <w:left w:val="nil"/>
              <w:bottom w:val="nil"/>
              <w:right w:val="nil"/>
            </w:tcBorders>
            <w:shd w:val="clear" w:color="auto" w:fill="auto"/>
            <w:noWrap/>
          </w:tcPr>
          <w:p w:rsidR="00023F4E" w:rsidRPr="00AE2910" w:rsidRDefault="00023F4E" w:rsidP="00023F4E">
            <w:pPr>
              <w:pStyle w:val="TableBodyText"/>
              <w:keepNext w:val="0"/>
              <w:keepLines w:val="0"/>
              <w:widowControl w:val="0"/>
              <w:jc w:val="left"/>
            </w:pPr>
            <w:r w:rsidRPr="00AE2910">
              <w:t>Table BA.45</w:t>
            </w:r>
          </w:p>
        </w:tc>
        <w:tc>
          <w:tcPr>
            <w:tcW w:w="7192" w:type="dxa"/>
            <w:tcBorders>
              <w:top w:val="nil"/>
              <w:left w:val="nil"/>
              <w:bottom w:val="nil"/>
              <w:right w:val="nil"/>
            </w:tcBorders>
            <w:shd w:val="clear" w:color="auto" w:fill="auto"/>
          </w:tcPr>
          <w:p w:rsidR="00023F4E" w:rsidRPr="00AE2910" w:rsidRDefault="00023F4E" w:rsidP="00023F4E">
            <w:pPr>
              <w:pStyle w:val="TableBodyText"/>
              <w:keepNext w:val="0"/>
              <w:keepLines w:val="0"/>
              <w:widowControl w:val="0"/>
              <w:jc w:val="left"/>
            </w:pPr>
            <w:r w:rsidRPr="00AE2910">
              <w:t xml:space="preserve">Proportion of 20–64 year old population with or working towards post school qualification in certificate III, IV, diploma and advanced diploma, by Indigenous status (per cent)     </w:t>
            </w:r>
          </w:p>
        </w:tc>
      </w:tr>
      <w:tr w:rsidR="00023F4E" w:rsidRPr="001F2D7B" w:rsidTr="00023F4E">
        <w:trPr>
          <w:trHeight w:val="612"/>
        </w:trPr>
        <w:tc>
          <w:tcPr>
            <w:tcW w:w="1668" w:type="dxa"/>
            <w:tcBorders>
              <w:top w:val="nil"/>
              <w:left w:val="nil"/>
              <w:bottom w:val="nil"/>
              <w:right w:val="nil"/>
            </w:tcBorders>
            <w:shd w:val="clear" w:color="auto" w:fill="auto"/>
            <w:noWrap/>
          </w:tcPr>
          <w:p w:rsidR="00023F4E" w:rsidRPr="001F2D7B" w:rsidRDefault="00023F4E" w:rsidP="00023F4E">
            <w:pPr>
              <w:pStyle w:val="TableBodyText"/>
              <w:keepNext w:val="0"/>
              <w:keepLines w:val="0"/>
              <w:widowControl w:val="0"/>
              <w:jc w:val="left"/>
            </w:pPr>
            <w:r w:rsidRPr="001F2D7B">
              <w:t>Table BA.46</w:t>
            </w:r>
          </w:p>
        </w:tc>
        <w:tc>
          <w:tcPr>
            <w:tcW w:w="7192" w:type="dxa"/>
            <w:tcBorders>
              <w:top w:val="nil"/>
              <w:left w:val="nil"/>
              <w:bottom w:val="nil"/>
              <w:right w:val="nil"/>
            </w:tcBorders>
            <w:shd w:val="clear" w:color="auto" w:fill="auto"/>
          </w:tcPr>
          <w:p w:rsidR="00023F4E" w:rsidRPr="001F2D7B" w:rsidRDefault="00023F4E" w:rsidP="001F2D7B">
            <w:pPr>
              <w:pStyle w:val="TableBodyText"/>
              <w:keepNext w:val="0"/>
              <w:keepLines w:val="0"/>
              <w:widowControl w:val="0"/>
              <w:jc w:val="left"/>
            </w:pPr>
            <w:r w:rsidRPr="001F2D7B">
              <w:t xml:space="preserve">Proportion of 20–64 year olds across all </w:t>
            </w:r>
            <w:proofErr w:type="spellStart"/>
            <w:r w:rsidRPr="001F2D7B">
              <w:t>PIAAC</w:t>
            </w:r>
            <w:proofErr w:type="spellEnd"/>
            <w:r w:rsidR="001F2D7B">
              <w:t xml:space="preserve"> literacy skill levels, 2011-12</w:t>
            </w:r>
          </w:p>
        </w:tc>
      </w:tr>
      <w:tr w:rsidR="00023F4E" w:rsidRPr="001F2D7B" w:rsidTr="00023F4E">
        <w:trPr>
          <w:trHeight w:val="612"/>
        </w:trPr>
        <w:tc>
          <w:tcPr>
            <w:tcW w:w="1668" w:type="dxa"/>
            <w:tcBorders>
              <w:top w:val="nil"/>
              <w:left w:val="nil"/>
              <w:bottom w:val="nil"/>
              <w:right w:val="nil"/>
            </w:tcBorders>
            <w:shd w:val="clear" w:color="auto" w:fill="auto"/>
            <w:noWrap/>
          </w:tcPr>
          <w:p w:rsidR="00023F4E" w:rsidRPr="001F2D7B" w:rsidRDefault="00023F4E" w:rsidP="00023F4E">
            <w:pPr>
              <w:pStyle w:val="TableBodyText"/>
              <w:jc w:val="left"/>
            </w:pPr>
            <w:r w:rsidRPr="001F2D7B">
              <w:t>Table BA.47</w:t>
            </w:r>
          </w:p>
        </w:tc>
        <w:tc>
          <w:tcPr>
            <w:tcW w:w="7192" w:type="dxa"/>
            <w:tcBorders>
              <w:top w:val="nil"/>
              <w:left w:val="nil"/>
              <w:bottom w:val="nil"/>
              <w:right w:val="nil"/>
            </w:tcBorders>
            <w:shd w:val="clear" w:color="auto" w:fill="auto"/>
          </w:tcPr>
          <w:p w:rsidR="00023F4E" w:rsidRPr="001F2D7B" w:rsidRDefault="00023F4E" w:rsidP="001F2D7B">
            <w:pPr>
              <w:pStyle w:val="TableBodyText"/>
              <w:jc w:val="left"/>
            </w:pPr>
            <w:r w:rsidRPr="001F2D7B">
              <w:t xml:space="preserve">Proportion of 20–64 year olds across all </w:t>
            </w:r>
            <w:proofErr w:type="spellStart"/>
            <w:r w:rsidRPr="001F2D7B">
              <w:t>PI</w:t>
            </w:r>
            <w:r w:rsidR="001F2D7B">
              <w:t>AAC</w:t>
            </w:r>
            <w:proofErr w:type="spellEnd"/>
            <w:r w:rsidR="001F2D7B">
              <w:t xml:space="preserve"> numeracy skill levels, 2011</w:t>
            </w:r>
            <w:r w:rsidR="001F2D7B">
              <w:noBreakHyphen/>
              <w:t>12</w:t>
            </w:r>
            <w:r w:rsidRPr="001F2D7B">
              <w:t xml:space="preserve"> </w:t>
            </w:r>
          </w:p>
        </w:tc>
      </w:tr>
      <w:tr w:rsidR="00023F4E" w:rsidRPr="001F2D7B" w:rsidTr="00023F4E">
        <w:trPr>
          <w:trHeight w:val="612"/>
        </w:trPr>
        <w:tc>
          <w:tcPr>
            <w:tcW w:w="1668" w:type="dxa"/>
            <w:tcBorders>
              <w:top w:val="nil"/>
              <w:left w:val="nil"/>
              <w:bottom w:val="nil"/>
              <w:right w:val="nil"/>
            </w:tcBorders>
            <w:shd w:val="clear" w:color="auto" w:fill="auto"/>
            <w:noWrap/>
          </w:tcPr>
          <w:p w:rsidR="00023F4E" w:rsidRPr="001F2D7B" w:rsidRDefault="00023F4E" w:rsidP="00023F4E">
            <w:pPr>
              <w:pStyle w:val="TableBodyText"/>
              <w:jc w:val="left"/>
            </w:pPr>
            <w:r w:rsidRPr="001F2D7B">
              <w:t>Table BA.48</w:t>
            </w:r>
          </w:p>
        </w:tc>
        <w:tc>
          <w:tcPr>
            <w:tcW w:w="7192" w:type="dxa"/>
            <w:tcBorders>
              <w:top w:val="nil"/>
              <w:left w:val="nil"/>
              <w:bottom w:val="nil"/>
              <w:right w:val="nil"/>
            </w:tcBorders>
            <w:shd w:val="clear" w:color="auto" w:fill="auto"/>
          </w:tcPr>
          <w:p w:rsidR="00023F4E" w:rsidRPr="001F2D7B" w:rsidRDefault="00023F4E" w:rsidP="00023F4E">
            <w:pPr>
              <w:pStyle w:val="TableBodyText"/>
              <w:jc w:val="left"/>
            </w:pPr>
            <w:r w:rsidRPr="001F2D7B">
              <w:t xml:space="preserve">Proportion of 20–64 year olds across all </w:t>
            </w:r>
            <w:proofErr w:type="spellStart"/>
            <w:r w:rsidRPr="001F2D7B">
              <w:t>PIAAC</w:t>
            </w:r>
            <w:proofErr w:type="spellEnd"/>
            <w:r w:rsidRPr="001F2D7B">
              <w:t xml:space="preserve"> skill levels for the domain Problem Solving in Technology-rich environments (</w:t>
            </w:r>
            <w:proofErr w:type="spellStart"/>
            <w:r w:rsidRPr="001F2D7B">
              <w:t>PSTRE</w:t>
            </w:r>
            <w:proofErr w:type="spellEnd"/>
            <w:r w:rsidRPr="001F2D7B">
              <w:t xml:space="preserve">), 2011-12 </w:t>
            </w:r>
          </w:p>
        </w:tc>
      </w:tr>
    </w:tbl>
    <w:p w:rsidR="008B55A6" w:rsidRPr="00075141" w:rsidRDefault="00891AAF" w:rsidP="00142AFA">
      <w:pPr>
        <w:pStyle w:val="Heading2"/>
        <w:rPr>
          <w:rStyle w:val="DraftingNote"/>
        </w:rPr>
      </w:pPr>
      <w:bookmarkStart w:id="21" w:name="_Toc369871810"/>
      <w:r w:rsidRPr="001F2D7B">
        <w:t>B</w:t>
      </w:r>
      <w:r w:rsidR="00FF27ED" w:rsidRPr="001F2D7B">
        <w:t>.6</w:t>
      </w:r>
      <w:r w:rsidR="00AE67DB" w:rsidRPr="001F2D7B">
        <w:tab/>
      </w:r>
      <w:r w:rsidR="008B55A6" w:rsidRPr="001F2D7B">
        <w:t>References</w:t>
      </w:r>
      <w:bookmarkEnd w:id="20"/>
      <w:bookmarkEnd w:id="21"/>
      <w:r w:rsidR="00075141" w:rsidRPr="00A51A5F">
        <w:t xml:space="preserve"> </w:t>
      </w:r>
    </w:p>
    <w:p w:rsidR="00AA7159" w:rsidRPr="00AA7159" w:rsidRDefault="00AA7159" w:rsidP="00AA7159">
      <w:pPr>
        <w:pStyle w:val="Reference"/>
        <w:rPr>
          <w:highlight w:val="yellow"/>
        </w:rPr>
      </w:pPr>
      <w:r w:rsidRPr="00664FBD">
        <w:t xml:space="preserve">Abbott-Chapman, J., Martin, K., </w:t>
      </w:r>
      <w:proofErr w:type="spellStart"/>
      <w:r w:rsidRPr="00664FBD">
        <w:t>Ol</w:t>
      </w:r>
      <w:r w:rsidR="00EE7717">
        <w:t>lington</w:t>
      </w:r>
      <w:proofErr w:type="spellEnd"/>
      <w:r w:rsidR="00EE7717">
        <w:t xml:space="preserve">, N. Venn, A. Dwyer, T. and </w:t>
      </w:r>
      <w:r w:rsidRPr="00664FBD">
        <w:t>Gall, S. 2013</w:t>
      </w:r>
      <w:r w:rsidR="00664FBD">
        <w:t>, ‘T</w:t>
      </w:r>
      <w:r w:rsidRPr="00664FBD">
        <w:t>he longitudinal association of childhood school engagement with adult educational and occupational achievement: findings from an Australian national study</w:t>
      </w:r>
      <w:r w:rsidR="00664FBD">
        <w:t>’</w:t>
      </w:r>
      <w:r w:rsidRPr="00664FBD">
        <w:t xml:space="preserve">, </w:t>
      </w:r>
      <w:r w:rsidR="00A51A5F" w:rsidRPr="00664FBD">
        <w:rPr>
          <w:i/>
        </w:rPr>
        <w:t>British Educational Research Journal</w:t>
      </w:r>
      <w:r w:rsidR="00C615B2">
        <w:rPr>
          <w:i/>
        </w:rPr>
        <w:t>,</w:t>
      </w:r>
      <w:r w:rsidR="000324BD">
        <w:rPr>
          <w:i/>
        </w:rPr>
        <w:t xml:space="preserve"> </w:t>
      </w:r>
      <w:proofErr w:type="spellStart"/>
      <w:r w:rsidR="0013217E">
        <w:t>www.</w:t>
      </w:r>
      <w:r w:rsidR="00C615B2" w:rsidRPr="00C615B2">
        <w:t>onlinelibrary.wiley.com</w:t>
      </w:r>
      <w:proofErr w:type="spellEnd"/>
      <w:r w:rsidR="00C615B2" w:rsidRPr="00C615B2">
        <w:t>/</w:t>
      </w:r>
      <w:proofErr w:type="spellStart"/>
      <w:r w:rsidR="00C615B2" w:rsidRPr="00C615B2">
        <w:t>doi</w:t>
      </w:r>
      <w:proofErr w:type="spellEnd"/>
      <w:r w:rsidR="00C615B2">
        <w:br/>
      </w:r>
      <w:r w:rsidR="000324BD" w:rsidRPr="000324BD">
        <w:t xml:space="preserve">/10.1002/berj.3031/abstract </w:t>
      </w:r>
      <w:r w:rsidR="000324BD" w:rsidRPr="00F47881">
        <w:t xml:space="preserve">(accessed </w:t>
      </w:r>
      <w:r w:rsidR="000324BD">
        <w:t xml:space="preserve">18 October </w:t>
      </w:r>
      <w:r w:rsidR="000324BD" w:rsidRPr="00F47881">
        <w:t>201</w:t>
      </w:r>
      <w:r w:rsidR="000324BD">
        <w:t>3</w:t>
      </w:r>
      <w:r w:rsidR="000324BD" w:rsidRPr="00F47881">
        <w:t>).</w:t>
      </w:r>
    </w:p>
    <w:p w:rsidR="00AA7159" w:rsidRDefault="00AA7159" w:rsidP="00AA7159">
      <w:pPr>
        <w:pStyle w:val="Reference"/>
        <w:jc w:val="left"/>
      </w:pPr>
      <w:r w:rsidRPr="00F47881">
        <w:t>Abbott-Chapman, J</w:t>
      </w:r>
      <w:r w:rsidR="00EE7717">
        <w:t>.</w:t>
      </w:r>
      <w:r w:rsidRPr="00F47881">
        <w:t xml:space="preserve"> 2011, </w:t>
      </w:r>
      <w:r w:rsidRPr="00F47881">
        <w:rPr>
          <w:i/>
        </w:rPr>
        <w:t xml:space="preserve">Making the most of the mosaic: facilitating post-school transitions to higher education of disadvantaged students, </w:t>
      </w:r>
      <w:r w:rsidRPr="00F47881">
        <w:t>The Australian Association for Research in Education</w:t>
      </w:r>
      <w:r w:rsidR="007D0F96">
        <w:t xml:space="preserve">, vol. </w:t>
      </w:r>
      <w:r w:rsidRPr="00F47881">
        <w:t>38</w:t>
      </w:r>
      <w:r w:rsidR="007D0F96">
        <w:t>, pp. 5</w:t>
      </w:r>
      <w:r w:rsidRPr="00F47881">
        <w:t>7-71.</w:t>
      </w:r>
    </w:p>
    <w:p w:rsidR="00356B03" w:rsidRPr="00F47881" w:rsidRDefault="00C14CA6" w:rsidP="00C14CA6">
      <w:pPr>
        <w:pStyle w:val="Reference"/>
        <w:jc w:val="left"/>
      </w:pPr>
      <w:r w:rsidRPr="00F47881">
        <w:lastRenderedPageBreak/>
        <w:t>ABS (Australian Bureau of Statistics)</w:t>
      </w:r>
      <w:r w:rsidR="00437EE5" w:rsidRPr="00F47881">
        <w:t xml:space="preserve">, </w:t>
      </w:r>
      <w:r w:rsidR="00356B03" w:rsidRPr="00F47881">
        <w:t>201</w:t>
      </w:r>
      <w:r w:rsidR="00CE6EFA">
        <w:t>3</w:t>
      </w:r>
      <w:r w:rsidR="0027418A" w:rsidRPr="00F47881">
        <w:t xml:space="preserve">, </w:t>
      </w:r>
      <w:r w:rsidR="0027418A" w:rsidRPr="00F47881">
        <w:rPr>
          <w:i/>
        </w:rPr>
        <w:t>Australian National Accounts: National Income, Expenditure and Product, Jun</w:t>
      </w:r>
      <w:r w:rsidR="00440B96" w:rsidRPr="00F47881">
        <w:rPr>
          <w:i/>
        </w:rPr>
        <w:t>e</w:t>
      </w:r>
      <w:r w:rsidR="0027418A" w:rsidRPr="00F47881">
        <w:rPr>
          <w:i/>
        </w:rPr>
        <w:t xml:space="preserve"> 201</w:t>
      </w:r>
      <w:r w:rsidR="00CE6EFA">
        <w:rPr>
          <w:i/>
        </w:rPr>
        <w:t>3</w:t>
      </w:r>
      <w:r w:rsidR="0027418A" w:rsidRPr="00F47881">
        <w:t>, Cat. no. 5206.0, Canberra.</w:t>
      </w:r>
    </w:p>
    <w:p w:rsidR="00437EE5" w:rsidRPr="00F47881" w:rsidRDefault="00356B03" w:rsidP="00C14CA6">
      <w:pPr>
        <w:pStyle w:val="Reference"/>
        <w:jc w:val="left"/>
      </w:pPr>
      <w:r w:rsidRPr="00F47881">
        <w:t xml:space="preserve">—— 2010, </w:t>
      </w:r>
      <w:r w:rsidR="00437EE5" w:rsidRPr="00F47881">
        <w:rPr>
          <w:i/>
        </w:rPr>
        <w:t xml:space="preserve">Research paper: Measuring Economic Returns to Post-School Education in Australia, </w:t>
      </w:r>
      <w:r w:rsidR="00437EE5" w:rsidRPr="00F47881">
        <w:t>Cat. no. 1351.0.55.032, Canberra.</w:t>
      </w:r>
    </w:p>
    <w:p w:rsidR="00C14CA6" w:rsidRPr="00F47881" w:rsidRDefault="00C14CA6" w:rsidP="00C14CA6">
      <w:pPr>
        <w:pStyle w:val="Reference"/>
      </w:pPr>
      <w:r w:rsidRPr="00F47881">
        <w:t xml:space="preserve">—— 2008a, </w:t>
      </w:r>
      <w:r w:rsidRPr="00F47881">
        <w:rPr>
          <w:i/>
        </w:rPr>
        <w:t>Labour Force, Australia, August 2008</w:t>
      </w:r>
      <w:r w:rsidRPr="00F47881">
        <w:t>, Cat. no. 6291.0.55.003, Canberra.</w:t>
      </w:r>
    </w:p>
    <w:p w:rsidR="00C14CA6" w:rsidRPr="00F47881" w:rsidRDefault="00C14CA6" w:rsidP="00C14CA6">
      <w:pPr>
        <w:pStyle w:val="Reference"/>
      </w:pPr>
      <w:r w:rsidRPr="00F47881">
        <w:t xml:space="preserve">—— 2008b, </w:t>
      </w:r>
      <w:r w:rsidRPr="00F47881">
        <w:rPr>
          <w:i/>
        </w:rPr>
        <w:t>Adult Literacy and Life Skills Survey 2006</w:t>
      </w:r>
      <w:r w:rsidRPr="00F47881">
        <w:t>, Cat. no. 4228.0, Canberra.</w:t>
      </w:r>
    </w:p>
    <w:p w:rsidR="00C14CA6" w:rsidRPr="00F47881" w:rsidRDefault="00C14CA6" w:rsidP="00C14CA6">
      <w:pPr>
        <w:pStyle w:val="Reference"/>
      </w:pPr>
      <w:r w:rsidRPr="00F47881">
        <w:t xml:space="preserve">ACER (Australian Council for Educational Research) 2000, </w:t>
      </w:r>
      <w:r w:rsidRPr="00F47881">
        <w:rPr>
          <w:i/>
        </w:rPr>
        <w:t>Early school leaving and ‘non</w:t>
      </w:r>
      <w:r w:rsidRPr="00F47881">
        <w:rPr>
          <w:i/>
        </w:rPr>
        <w:noBreakHyphen/>
        <w:t>completion in Australia</w:t>
      </w:r>
      <w:r w:rsidRPr="00F47881">
        <w:t xml:space="preserve">, </w:t>
      </w:r>
      <w:proofErr w:type="spellStart"/>
      <w:r w:rsidRPr="00F47881">
        <w:t>LSAY</w:t>
      </w:r>
      <w:proofErr w:type="spellEnd"/>
      <w:r w:rsidRPr="00F47881">
        <w:t xml:space="preserve"> Briefing Number 2, October 2000, Melbourne.</w:t>
      </w:r>
    </w:p>
    <w:p w:rsidR="00C14CA6" w:rsidRPr="00F47881" w:rsidRDefault="00B4235F" w:rsidP="00C14CA6">
      <w:pPr>
        <w:pStyle w:val="Reference"/>
      </w:pPr>
      <w:r w:rsidRPr="00F47881">
        <w:t>—— 2005</w:t>
      </w:r>
      <w:r w:rsidR="00C14CA6" w:rsidRPr="00F47881">
        <w:t xml:space="preserve">, </w:t>
      </w:r>
      <w:r w:rsidR="00C14CA6" w:rsidRPr="00F47881">
        <w:rPr>
          <w:i/>
        </w:rPr>
        <w:t>Leaving school in Australia: Early career and labour market outcomes</w:t>
      </w:r>
      <w:r w:rsidR="00C14CA6" w:rsidRPr="00F47881">
        <w:t xml:space="preserve">, </w:t>
      </w:r>
      <w:proofErr w:type="spellStart"/>
      <w:r w:rsidR="00C14CA6" w:rsidRPr="00F47881">
        <w:t>LSAY</w:t>
      </w:r>
      <w:proofErr w:type="spellEnd"/>
      <w:r w:rsidR="00C14CA6" w:rsidRPr="00F47881">
        <w:t xml:space="preserve"> Briefing Number 9, July 2005, Melbourne.</w:t>
      </w:r>
    </w:p>
    <w:p w:rsidR="008A2C09" w:rsidRPr="00F47881" w:rsidRDefault="008A2C09" w:rsidP="00C14CA6">
      <w:pPr>
        <w:pStyle w:val="Reference"/>
      </w:pPr>
      <w:proofErr w:type="spellStart"/>
      <w:r w:rsidRPr="00F47881">
        <w:t>AIHW</w:t>
      </w:r>
      <w:proofErr w:type="spellEnd"/>
      <w:r w:rsidRPr="00F47881">
        <w:t xml:space="preserve"> (Australian Institute of Health and Welfare) 2011, </w:t>
      </w:r>
      <w:r w:rsidRPr="00F47881">
        <w:rPr>
          <w:i/>
        </w:rPr>
        <w:t xml:space="preserve">National outcome measures for early childhood development — development of an indicator based reporting framework, </w:t>
      </w:r>
      <w:r w:rsidRPr="00F47881">
        <w:t xml:space="preserve">Cat. no. </w:t>
      </w:r>
      <w:proofErr w:type="spellStart"/>
      <w:r w:rsidRPr="00F47881">
        <w:t>PHE</w:t>
      </w:r>
      <w:proofErr w:type="spellEnd"/>
      <w:r w:rsidRPr="00F47881">
        <w:t xml:space="preserve"> 134, Canberra.</w:t>
      </w:r>
    </w:p>
    <w:p w:rsidR="00A479A8" w:rsidRPr="00F47881" w:rsidRDefault="00A479A8" w:rsidP="00A479A8">
      <w:pPr>
        <w:pStyle w:val="Reference"/>
        <w:jc w:val="left"/>
      </w:pPr>
      <w:r w:rsidRPr="00F47881">
        <w:t xml:space="preserve">—— 2010, </w:t>
      </w:r>
      <w:r w:rsidRPr="00F47881">
        <w:rPr>
          <w:i/>
        </w:rPr>
        <w:t>School attendance and retention of Indigenous Australian students</w:t>
      </w:r>
      <w:r w:rsidRPr="00F47881">
        <w:t xml:space="preserve">, Issues paper no.1 produced for the Closing the Gap Clearinghouse, Cat. no. </w:t>
      </w:r>
      <w:proofErr w:type="spellStart"/>
      <w:r w:rsidRPr="00F47881">
        <w:t>IHW</w:t>
      </w:r>
      <w:proofErr w:type="spellEnd"/>
      <w:r w:rsidRPr="00F47881">
        <w:t xml:space="preserve"> 33 ISBN 978-1-74249-060-1, Canberra. </w:t>
      </w:r>
      <w:r w:rsidR="00BE4620" w:rsidRPr="00F47881">
        <w:t>www.aihw.gov.au/closingthegap/documents/issues_papers/ctg-ip01.pdf</w:t>
      </w:r>
      <w:r w:rsidRPr="00F47881">
        <w:t xml:space="preserve"> (accessed 17 August 2011).</w:t>
      </w:r>
    </w:p>
    <w:p w:rsidR="00831D28" w:rsidRPr="00F47881" w:rsidRDefault="008A2C09" w:rsidP="00C14CA6">
      <w:pPr>
        <w:pStyle w:val="Reference"/>
      </w:pPr>
      <w:r w:rsidRPr="00F47881">
        <w:t xml:space="preserve">—— </w:t>
      </w:r>
      <w:r w:rsidR="00471CDF" w:rsidRPr="00F47881">
        <w:t>2009</w:t>
      </w:r>
      <w:r w:rsidRPr="00F47881">
        <w:t>,</w:t>
      </w:r>
      <w:r w:rsidR="00471CDF" w:rsidRPr="00F47881">
        <w:t xml:space="preserve"> </w:t>
      </w:r>
      <w:r w:rsidR="00471CDF" w:rsidRPr="00F47881">
        <w:rPr>
          <w:i/>
        </w:rPr>
        <w:t>A picture of Australia’s children 2009</w:t>
      </w:r>
      <w:r w:rsidR="00471CDF" w:rsidRPr="00F47881">
        <w:t xml:space="preserve">, Cat. no. </w:t>
      </w:r>
      <w:proofErr w:type="spellStart"/>
      <w:r w:rsidR="00471CDF" w:rsidRPr="00F47881">
        <w:t>PHE</w:t>
      </w:r>
      <w:proofErr w:type="spellEnd"/>
      <w:r w:rsidR="00471CDF" w:rsidRPr="00F47881">
        <w:t xml:space="preserve"> 112, Canberra.</w:t>
      </w:r>
    </w:p>
    <w:p w:rsidR="00831D28" w:rsidRDefault="00831D28" w:rsidP="00C14CA6">
      <w:pPr>
        <w:pStyle w:val="Reference"/>
      </w:pPr>
      <w:proofErr w:type="spellStart"/>
      <w:r w:rsidRPr="00F47881">
        <w:t>AGD</w:t>
      </w:r>
      <w:proofErr w:type="spellEnd"/>
      <w:r w:rsidRPr="00F47881">
        <w:t xml:space="preserve"> (Attorney-General’s Department) 2010, </w:t>
      </w:r>
      <w:r w:rsidRPr="00F47881">
        <w:rPr>
          <w:i/>
        </w:rPr>
        <w:t>Australia to 2050: future challenges</w:t>
      </w:r>
      <w:r w:rsidR="000E3A48" w:rsidRPr="00F47881">
        <w:rPr>
          <w:i/>
        </w:rPr>
        <w:t xml:space="preserve">, the 2010 </w:t>
      </w:r>
      <w:r w:rsidR="00D15368" w:rsidRPr="00F47881">
        <w:rPr>
          <w:i/>
        </w:rPr>
        <w:t>I</w:t>
      </w:r>
      <w:r w:rsidR="000E3A48" w:rsidRPr="00F47881">
        <w:rPr>
          <w:i/>
        </w:rPr>
        <w:t xml:space="preserve">ntergenerational </w:t>
      </w:r>
      <w:r w:rsidR="00D15368" w:rsidRPr="00F47881">
        <w:rPr>
          <w:i/>
        </w:rPr>
        <w:t>R</w:t>
      </w:r>
      <w:r w:rsidR="000E3A48" w:rsidRPr="00F47881">
        <w:rPr>
          <w:i/>
        </w:rPr>
        <w:t>eport Overview</w:t>
      </w:r>
      <w:r w:rsidR="000E3A48" w:rsidRPr="00F47881">
        <w:t>, Canberra.</w:t>
      </w:r>
    </w:p>
    <w:p w:rsidR="00AA7159" w:rsidRPr="00AE4CC3" w:rsidRDefault="00AA7159" w:rsidP="00AA7159">
      <w:pPr>
        <w:pStyle w:val="Reference"/>
      </w:pPr>
      <w:proofErr w:type="spellStart"/>
      <w:r w:rsidRPr="00EC15B7">
        <w:t>Buddelmeyer</w:t>
      </w:r>
      <w:proofErr w:type="spellEnd"/>
      <w:r w:rsidRPr="00EC15B7">
        <w:t>,</w:t>
      </w:r>
      <w:r w:rsidR="00EC15B7" w:rsidRPr="00EC15B7">
        <w:t xml:space="preserve"> H.,</w:t>
      </w:r>
      <w:r w:rsidRPr="00EC15B7">
        <w:t xml:space="preserve"> </w:t>
      </w:r>
      <w:r w:rsidRPr="00AE4CC3">
        <w:t>Leung,</w:t>
      </w:r>
      <w:r w:rsidR="00EC15B7" w:rsidRPr="00AE4CC3">
        <w:t xml:space="preserve"> F. and</w:t>
      </w:r>
      <w:r w:rsidRPr="00AE4CC3">
        <w:t xml:space="preserve"> </w:t>
      </w:r>
      <w:proofErr w:type="spellStart"/>
      <w:r w:rsidRPr="00AE4CC3">
        <w:t>Scutella</w:t>
      </w:r>
      <w:proofErr w:type="spellEnd"/>
      <w:r w:rsidR="00EC15B7" w:rsidRPr="00AE4CC3">
        <w:t xml:space="preserve">, R. </w:t>
      </w:r>
      <w:r w:rsidRPr="00AE4CC3">
        <w:t>2012</w:t>
      </w:r>
      <w:r w:rsidR="00EC15B7" w:rsidRPr="00AE4CC3">
        <w:t xml:space="preserve">, </w:t>
      </w:r>
      <w:r w:rsidRPr="00AE4CC3">
        <w:rPr>
          <w:i/>
        </w:rPr>
        <w:t>Educating</w:t>
      </w:r>
      <w:r w:rsidR="00EC15B7" w:rsidRPr="00AE4CC3">
        <w:rPr>
          <w:i/>
        </w:rPr>
        <w:t xml:space="preserve"> oneself out of social exclusion</w:t>
      </w:r>
      <w:r w:rsidR="00EC15B7" w:rsidRPr="00AE4CC3">
        <w:t xml:space="preserve">, </w:t>
      </w:r>
      <w:proofErr w:type="spellStart"/>
      <w:r w:rsidR="00EC15B7" w:rsidRPr="00AE4CC3">
        <w:t>NCVER</w:t>
      </w:r>
      <w:proofErr w:type="spellEnd"/>
      <w:r w:rsidR="00EC15B7" w:rsidRPr="00AE4CC3">
        <w:t>, Adelaide.</w:t>
      </w:r>
    </w:p>
    <w:p w:rsidR="002533BD" w:rsidRPr="00AE4CC3" w:rsidRDefault="00C14CA6" w:rsidP="00C14CA6">
      <w:pPr>
        <w:pStyle w:val="Reference"/>
        <w:rPr>
          <w:i/>
        </w:rPr>
      </w:pPr>
      <w:proofErr w:type="spellStart"/>
      <w:r w:rsidRPr="00AE4CC3">
        <w:t>COAG</w:t>
      </w:r>
      <w:proofErr w:type="spellEnd"/>
      <w:r w:rsidRPr="00AE4CC3">
        <w:t xml:space="preserve"> (Council of Australian Governments) </w:t>
      </w:r>
      <w:r w:rsidR="002533BD" w:rsidRPr="00AE4CC3">
        <w:t xml:space="preserve">2008a, </w:t>
      </w:r>
      <w:r w:rsidR="002533BD" w:rsidRPr="00AE4CC3">
        <w:rPr>
          <w:i/>
        </w:rPr>
        <w:t>National Education Agreement</w:t>
      </w:r>
      <w:r w:rsidR="00AE4CC3" w:rsidRPr="00AE4CC3">
        <w:rPr>
          <w:i/>
        </w:rPr>
        <w:t xml:space="preserve">. </w:t>
      </w:r>
      <w:r w:rsidR="00AE4CC3" w:rsidRPr="00AE4CC3">
        <w:t>http://www.federalfinancialrelations.gov.au/content/npa/education</w:t>
      </w:r>
      <w:r w:rsidR="00AE4CC3" w:rsidRPr="00AE4CC3">
        <w:br/>
        <w:t>/national-</w:t>
      </w:r>
      <w:proofErr w:type="spellStart"/>
      <w:r w:rsidR="00AE4CC3" w:rsidRPr="00AE4CC3">
        <w:t>agreement.pdf</w:t>
      </w:r>
      <w:proofErr w:type="spellEnd"/>
      <w:r w:rsidR="00AE4CC3" w:rsidRPr="00AE4CC3">
        <w:t xml:space="preserve"> (accessed 1 October 2013).</w:t>
      </w:r>
    </w:p>
    <w:p w:rsidR="002533BD" w:rsidRPr="00ED5BBD" w:rsidRDefault="002533BD" w:rsidP="00C14CA6">
      <w:pPr>
        <w:pStyle w:val="Reference"/>
      </w:pPr>
      <w:r w:rsidRPr="00AE4CC3">
        <w:t>——2008b, N</w:t>
      </w:r>
      <w:r w:rsidR="00AE4CC3" w:rsidRPr="00AE4CC3">
        <w:t xml:space="preserve">ational </w:t>
      </w:r>
      <w:r w:rsidRPr="00AE4CC3">
        <w:t>A</w:t>
      </w:r>
      <w:r w:rsidR="00AE4CC3" w:rsidRPr="00AE4CC3">
        <w:t xml:space="preserve">greement for </w:t>
      </w:r>
      <w:r w:rsidRPr="00AE4CC3">
        <w:t>S</w:t>
      </w:r>
      <w:r w:rsidR="00AE4CC3" w:rsidRPr="00AE4CC3">
        <w:t xml:space="preserve">kills and </w:t>
      </w:r>
      <w:r w:rsidRPr="00AE4CC3">
        <w:t>W</w:t>
      </w:r>
      <w:r w:rsidR="00AE4CC3" w:rsidRPr="00AE4CC3">
        <w:t xml:space="preserve">orkforce </w:t>
      </w:r>
      <w:r w:rsidRPr="00AE4CC3">
        <w:t>D</w:t>
      </w:r>
      <w:r w:rsidR="00AE4CC3" w:rsidRPr="00AE4CC3">
        <w:t>evelopment. http://www.federalfinancialrelations.gov.au/content/npa/skills/skills-reform/national_</w:t>
      </w:r>
      <w:r w:rsidR="00AE4CC3" w:rsidRPr="00ED5BBD">
        <w:t>agreement.pdf (accessed 1 October 2013).</w:t>
      </w:r>
    </w:p>
    <w:p w:rsidR="00C14CA6" w:rsidRPr="00ED5BBD" w:rsidRDefault="002533BD" w:rsidP="00C14CA6">
      <w:pPr>
        <w:pStyle w:val="Reference"/>
      </w:pPr>
      <w:r w:rsidRPr="00ED5BBD">
        <w:t>——</w:t>
      </w:r>
      <w:r w:rsidR="00C14CA6" w:rsidRPr="00ED5BBD">
        <w:t>2008</w:t>
      </w:r>
      <w:r w:rsidRPr="00ED5BBD">
        <w:t>c</w:t>
      </w:r>
      <w:r w:rsidR="00C14CA6" w:rsidRPr="00ED5BBD">
        <w:t xml:space="preserve">, </w:t>
      </w:r>
      <w:r w:rsidR="00C14CA6" w:rsidRPr="00ED5BBD">
        <w:rPr>
          <w:i/>
        </w:rPr>
        <w:t>Productivity Agenda Working Group — Education, Skills, Training and Early Childhood Development: outcomes, progress measures and policy directions 12 March 2008</w:t>
      </w:r>
      <w:r w:rsidR="00C14CA6" w:rsidRPr="00ED5BBD">
        <w:t xml:space="preserve">, Canberra, </w:t>
      </w:r>
      <w:r w:rsidR="0013217E">
        <w:lastRenderedPageBreak/>
        <w:t>www.</w:t>
      </w:r>
      <w:r w:rsidR="00C14CA6" w:rsidRPr="00ED5BBD">
        <w:t>mediacentre.dewr.gov.au/NR/rdonlyres/85499B3A-E77F-4A55-9735-F8CD853EB072/0/Comminque.pdf (accessed 1</w:t>
      </w:r>
      <w:r w:rsidR="005B7370" w:rsidRPr="00ED5BBD">
        <w:t>7</w:t>
      </w:r>
      <w:r w:rsidR="00C14CA6" w:rsidRPr="00ED5BBD">
        <w:t xml:space="preserve"> </w:t>
      </w:r>
      <w:r w:rsidR="005B7370" w:rsidRPr="00ED5BBD">
        <w:t xml:space="preserve">August </w:t>
      </w:r>
      <w:r w:rsidR="00C14CA6" w:rsidRPr="00ED5BBD">
        <w:t>201</w:t>
      </w:r>
      <w:r w:rsidR="005B7370" w:rsidRPr="00ED5BBD">
        <w:t>1</w:t>
      </w:r>
      <w:r w:rsidR="00C14CA6" w:rsidRPr="00ED5BBD">
        <w:t>).</w:t>
      </w:r>
    </w:p>
    <w:p w:rsidR="003B122B" w:rsidRPr="00ED5BBD" w:rsidRDefault="003B122B" w:rsidP="00B4338F">
      <w:pPr>
        <w:pStyle w:val="Reference"/>
        <w:jc w:val="left"/>
      </w:pPr>
      <w:r w:rsidRPr="00ED5BBD">
        <w:t>——2008</w:t>
      </w:r>
      <w:r w:rsidR="002533BD" w:rsidRPr="00ED5BBD">
        <w:t>d</w:t>
      </w:r>
      <w:r w:rsidRPr="00ED5BBD">
        <w:t xml:space="preserve">, </w:t>
      </w:r>
      <w:r w:rsidRPr="00ED5BBD">
        <w:rPr>
          <w:i/>
        </w:rPr>
        <w:t>National Partnership Agreement on Low Socio-economic status school communities</w:t>
      </w:r>
      <w:r w:rsidRPr="00ED5BBD">
        <w:t xml:space="preserve">, </w:t>
      </w:r>
      <w:r w:rsidR="00B4338F" w:rsidRPr="00ED5BBD">
        <w:t xml:space="preserve">December 2008, Canberra, </w:t>
      </w:r>
      <w:r w:rsidR="00BE4620" w:rsidRPr="00ED5BBD">
        <w:t>www.coag.gov.au/intergov_agreements/federal_financial_relations/docs/national_partnership/national_partnership_for_low_socio-economic_school_communities.pdf</w:t>
      </w:r>
      <w:r w:rsidR="00B4338F" w:rsidRPr="00ED5BBD">
        <w:t xml:space="preserve"> (accessed 17 August 2011).</w:t>
      </w:r>
    </w:p>
    <w:p w:rsidR="00913409" w:rsidRPr="002533BD" w:rsidRDefault="00913409" w:rsidP="00723EBD">
      <w:pPr>
        <w:pStyle w:val="Reference"/>
      </w:pPr>
      <w:r w:rsidRPr="002533BD">
        <w:t xml:space="preserve">——2009, </w:t>
      </w:r>
      <w:r w:rsidRPr="002533BD">
        <w:rPr>
          <w:i/>
        </w:rPr>
        <w:t>Investing in the Early Years — A National Early Childhood Development Strategy</w:t>
      </w:r>
      <w:r w:rsidRPr="002533BD">
        <w:t xml:space="preserve">. </w:t>
      </w:r>
      <w:r w:rsidRPr="002533BD">
        <w:rPr>
          <w:i/>
        </w:rPr>
        <w:t>An initiative of the Council of Australian Governments,</w:t>
      </w:r>
      <w:r w:rsidRPr="002533BD">
        <w:t xml:space="preserve"> 2 July 2009, </w:t>
      </w:r>
      <w:proofErr w:type="spellStart"/>
      <w:r w:rsidR="00BE4620" w:rsidRPr="002533BD">
        <w:t>www.coag.gov.au</w:t>
      </w:r>
      <w:proofErr w:type="spellEnd"/>
      <w:r w:rsidR="00BE4620" w:rsidRPr="002533BD">
        <w:t>/</w:t>
      </w:r>
      <w:proofErr w:type="spellStart"/>
      <w:r w:rsidR="00BE4620" w:rsidRPr="002533BD">
        <w:t>coag_meeting</w:t>
      </w:r>
      <w:proofErr w:type="spellEnd"/>
      <w:r w:rsidR="00BE4620" w:rsidRPr="002533BD">
        <w:t>_</w:t>
      </w:r>
      <w:r w:rsidR="001D4399">
        <w:br/>
      </w:r>
      <w:r w:rsidR="00BE4620" w:rsidRPr="002533BD">
        <w:t>outcomes/2009-07-02/docs/</w:t>
      </w:r>
      <w:proofErr w:type="spellStart"/>
      <w:r w:rsidR="00BE4620" w:rsidRPr="002533BD">
        <w:t>national_ECD_strategy.pdf</w:t>
      </w:r>
      <w:proofErr w:type="spellEnd"/>
      <w:r w:rsidRPr="002533BD">
        <w:t xml:space="preserve"> (accessed </w:t>
      </w:r>
      <w:r w:rsidR="001D4399">
        <w:br/>
      </w:r>
      <w:r w:rsidRPr="002533BD">
        <w:t>3 October 2011).</w:t>
      </w:r>
    </w:p>
    <w:p w:rsidR="00AA7159" w:rsidRPr="00734300" w:rsidRDefault="00AA7159" w:rsidP="00AA7159">
      <w:pPr>
        <w:pStyle w:val="Reference"/>
      </w:pPr>
      <w:r w:rsidRPr="00734300">
        <w:t xml:space="preserve">Cutler, D. and </w:t>
      </w:r>
      <w:proofErr w:type="spellStart"/>
      <w:r w:rsidRPr="00734300">
        <w:t>Lleras-Muney</w:t>
      </w:r>
      <w:proofErr w:type="spellEnd"/>
      <w:r w:rsidRPr="00734300">
        <w:t>, A. 2007</w:t>
      </w:r>
      <w:r w:rsidR="00956E7B" w:rsidRPr="00734300">
        <w:t>,</w:t>
      </w:r>
      <w:r w:rsidRPr="00734300">
        <w:t xml:space="preserve"> </w:t>
      </w:r>
      <w:r w:rsidRPr="00734300">
        <w:rPr>
          <w:i/>
        </w:rPr>
        <w:t>Education and Health</w:t>
      </w:r>
      <w:r w:rsidRPr="00734300">
        <w:t>, Policy Brief no. 9, National Poverty Centre</w:t>
      </w:r>
      <w:r w:rsidR="00734300" w:rsidRPr="00734300">
        <w:t>, University of Michigan</w:t>
      </w:r>
      <w:r w:rsidRPr="00734300">
        <w:t xml:space="preserve">. </w:t>
      </w:r>
    </w:p>
    <w:p w:rsidR="004A59DC" w:rsidRPr="00F47881" w:rsidRDefault="004A59DC" w:rsidP="005B7370">
      <w:pPr>
        <w:pStyle w:val="Reference"/>
        <w:jc w:val="left"/>
      </w:pPr>
      <w:proofErr w:type="spellStart"/>
      <w:r w:rsidRPr="00F47881">
        <w:t>DEECD</w:t>
      </w:r>
      <w:proofErr w:type="spellEnd"/>
      <w:r w:rsidRPr="00F47881">
        <w:t xml:space="preserve"> (Department of Early Childhood Development) 2010, </w:t>
      </w:r>
      <w:r w:rsidRPr="00F47881">
        <w:rPr>
          <w:i/>
        </w:rPr>
        <w:t xml:space="preserve">Understanding the needs of students from low </w:t>
      </w:r>
      <w:proofErr w:type="spellStart"/>
      <w:r w:rsidRPr="00F47881">
        <w:rPr>
          <w:i/>
        </w:rPr>
        <w:t>socio-economic</w:t>
      </w:r>
      <w:proofErr w:type="spellEnd"/>
      <w:r w:rsidRPr="00F47881">
        <w:rPr>
          <w:i/>
        </w:rPr>
        <w:t xml:space="preserve"> backgrounds</w:t>
      </w:r>
      <w:r w:rsidRPr="00F47881">
        <w:t xml:space="preserve"> </w:t>
      </w:r>
      <w:r w:rsidR="00BE4620" w:rsidRPr="00F47881">
        <w:t>www.education.vic.gov.au/management/schooloperations/equity/disadvantage.htm</w:t>
      </w:r>
      <w:r w:rsidRPr="00F47881">
        <w:t xml:space="preserve"> (accessed 17 August</w:t>
      </w:r>
      <w:r w:rsidR="003E281F" w:rsidRPr="00F47881">
        <w:t xml:space="preserve"> 2011).</w:t>
      </w:r>
      <w:r w:rsidRPr="00F47881">
        <w:t xml:space="preserve"> </w:t>
      </w:r>
    </w:p>
    <w:p w:rsidR="00392923" w:rsidRPr="00F47881" w:rsidRDefault="00392923" w:rsidP="00392923">
      <w:pPr>
        <w:pStyle w:val="Reference"/>
        <w:jc w:val="left"/>
      </w:pPr>
      <w:proofErr w:type="spellStart"/>
      <w:r w:rsidRPr="00F47881">
        <w:t>DEEWR</w:t>
      </w:r>
      <w:proofErr w:type="spellEnd"/>
      <w:r w:rsidRPr="00F47881">
        <w:t xml:space="preserve"> (Department of Education, Employment and Workplace Relations) 2011 </w:t>
      </w:r>
      <w:r w:rsidRPr="00F47881">
        <w:rPr>
          <w:i/>
        </w:rPr>
        <w:t>Higher education overview</w:t>
      </w:r>
      <w:r w:rsidRPr="00F47881">
        <w:t xml:space="preserve">, </w:t>
      </w:r>
      <w:proofErr w:type="spellStart"/>
      <w:r w:rsidRPr="00F47881">
        <w:t>www.deewr.gov.au</w:t>
      </w:r>
      <w:proofErr w:type="spellEnd"/>
      <w:r w:rsidRPr="00F47881">
        <w:t>/</w:t>
      </w:r>
      <w:proofErr w:type="spellStart"/>
      <w:r w:rsidRPr="00F47881">
        <w:t>HigherEducation</w:t>
      </w:r>
      <w:proofErr w:type="spellEnd"/>
      <w:r w:rsidRPr="00F47881">
        <w:t>/Pages/</w:t>
      </w:r>
      <w:proofErr w:type="spellStart"/>
      <w:r w:rsidRPr="00F47881">
        <w:t>Overview.aspx</w:t>
      </w:r>
      <w:proofErr w:type="spellEnd"/>
      <w:r w:rsidRPr="00F47881">
        <w:t xml:space="preserve"> (accessed 17 August 2011).</w:t>
      </w:r>
    </w:p>
    <w:p w:rsidR="00114E9F" w:rsidRPr="001F2D7B" w:rsidRDefault="00114E9F" w:rsidP="00114E9F">
      <w:pPr>
        <w:pStyle w:val="Reference"/>
        <w:jc w:val="left"/>
      </w:pPr>
      <w:r w:rsidRPr="00F47881">
        <w:t xml:space="preserve">——2010, </w:t>
      </w:r>
      <w:r w:rsidRPr="001F2D7B">
        <w:rPr>
          <w:i/>
        </w:rPr>
        <w:t>Regional Participation: The role of socioeconomic status and access</w:t>
      </w:r>
      <w:r w:rsidRPr="001F2D7B">
        <w:t>, Canberra.</w:t>
      </w:r>
    </w:p>
    <w:p w:rsidR="00723EBD" w:rsidRPr="00F47881" w:rsidRDefault="00063DF0" w:rsidP="002D7706">
      <w:pPr>
        <w:pStyle w:val="Reference"/>
      </w:pPr>
      <w:proofErr w:type="spellStart"/>
      <w:r w:rsidRPr="001F2D7B">
        <w:t>D</w:t>
      </w:r>
      <w:r w:rsidR="0028554C" w:rsidRPr="001F2D7B">
        <w:t>oI</w:t>
      </w:r>
      <w:proofErr w:type="spellEnd"/>
      <w:r w:rsidR="00C14CA6" w:rsidRPr="001F2D7B">
        <w:t xml:space="preserve"> (Department </w:t>
      </w:r>
      <w:r w:rsidRPr="001F2D7B">
        <w:t>of Industry</w:t>
      </w:r>
      <w:r w:rsidR="00C14CA6" w:rsidRPr="001F2D7B">
        <w:t xml:space="preserve">) </w:t>
      </w:r>
      <w:r w:rsidR="0040315D" w:rsidRPr="001F2D7B">
        <w:t>201</w:t>
      </w:r>
      <w:r w:rsidR="00815F68" w:rsidRPr="001F2D7B">
        <w:t>3</w:t>
      </w:r>
      <w:r w:rsidR="00B52E43" w:rsidRPr="001F2D7B">
        <w:t>,</w:t>
      </w:r>
      <w:r w:rsidR="005B7370" w:rsidRPr="001F2D7B">
        <w:t xml:space="preserve"> </w:t>
      </w:r>
      <w:r w:rsidR="00815F68" w:rsidRPr="001F2D7B">
        <w:rPr>
          <w:i/>
        </w:rPr>
        <w:t xml:space="preserve">Summary of the 2012 full year higher education student statistics </w:t>
      </w:r>
      <w:proofErr w:type="spellStart"/>
      <w:r w:rsidR="0028554C" w:rsidRPr="001F2D7B">
        <w:t>www.innovation.gov.au</w:t>
      </w:r>
      <w:proofErr w:type="spellEnd"/>
      <w:r w:rsidR="0028554C" w:rsidRPr="001F2D7B">
        <w:t>/</w:t>
      </w:r>
      <w:proofErr w:type="spellStart"/>
      <w:r w:rsidR="0028554C" w:rsidRPr="001F2D7B">
        <w:t>highereducation</w:t>
      </w:r>
      <w:proofErr w:type="spellEnd"/>
      <w:r w:rsidR="0028554C" w:rsidRPr="001F2D7B">
        <w:t>/Higher</w:t>
      </w:r>
      <w:r w:rsidR="0028554C" w:rsidRPr="001F2D7B">
        <w:br/>
      </w:r>
      <w:r w:rsidR="00815F68" w:rsidRPr="001F2D7B">
        <w:t>EducationStatistics/StatisticsPublications</w:t>
      </w:r>
      <w:r w:rsidR="00815F68" w:rsidRPr="00815F68">
        <w:t xml:space="preserve">/Pages/Students12FullYear.aspx </w:t>
      </w:r>
      <w:r w:rsidR="005B7370" w:rsidRPr="00F47881">
        <w:t xml:space="preserve">(accessed </w:t>
      </w:r>
      <w:r w:rsidR="00815F68">
        <w:t>17 October 2013</w:t>
      </w:r>
      <w:r w:rsidR="005B7370" w:rsidRPr="00F47881">
        <w:t>).</w:t>
      </w:r>
    </w:p>
    <w:p w:rsidR="00C14CA6" w:rsidRDefault="00C14CA6" w:rsidP="00C14CA6">
      <w:pPr>
        <w:pStyle w:val="Reference"/>
      </w:pPr>
      <w:proofErr w:type="spellStart"/>
      <w:r w:rsidRPr="00F47881">
        <w:t>FYA</w:t>
      </w:r>
      <w:proofErr w:type="spellEnd"/>
      <w:r w:rsidRPr="00F47881">
        <w:t xml:space="preserve"> (Foundation for Young Australians) 2008, </w:t>
      </w:r>
      <w:r w:rsidRPr="00F47881">
        <w:rPr>
          <w:i/>
        </w:rPr>
        <w:t>How Young People are Faring ’08,</w:t>
      </w:r>
      <w:r w:rsidRPr="00F47881">
        <w:t xml:space="preserve"> </w:t>
      </w:r>
      <w:proofErr w:type="spellStart"/>
      <w:r w:rsidRPr="00F47881">
        <w:t>www.fya.org.au</w:t>
      </w:r>
      <w:proofErr w:type="spellEnd"/>
      <w:r w:rsidRPr="00F47881">
        <w:t>/</w:t>
      </w:r>
      <w:r w:rsidRPr="00F47881">
        <w:rPr>
          <w:rStyle w:val="Hyperlink"/>
          <w:color w:val="auto"/>
        </w:rPr>
        <w:t xml:space="preserve"> </w:t>
      </w:r>
      <w:r w:rsidRPr="00F47881">
        <w:t>(accessed 1</w:t>
      </w:r>
      <w:r w:rsidR="005B7370" w:rsidRPr="00F47881">
        <w:t>7</w:t>
      </w:r>
      <w:r w:rsidRPr="00F47881">
        <w:t xml:space="preserve"> </w:t>
      </w:r>
      <w:r w:rsidR="005B7370" w:rsidRPr="00F47881">
        <w:t>August 2011</w:t>
      </w:r>
      <w:r w:rsidRPr="00F47881">
        <w:t>).</w:t>
      </w:r>
    </w:p>
    <w:p w:rsidR="007251B8" w:rsidRPr="00F47881" w:rsidRDefault="007251B8" w:rsidP="00C14CA6">
      <w:pPr>
        <w:pStyle w:val="Reference"/>
      </w:pPr>
      <w:r w:rsidRPr="005C0AF2">
        <w:t>Hancock, K. J., Shepherd, C. C. J., Lawrence, D.</w:t>
      </w:r>
      <w:r w:rsidR="008A4981" w:rsidRPr="005C0AF2">
        <w:t xml:space="preserve"> and </w:t>
      </w:r>
      <w:proofErr w:type="spellStart"/>
      <w:r w:rsidR="008A4981" w:rsidRPr="005C0AF2">
        <w:t>Z</w:t>
      </w:r>
      <w:r w:rsidRPr="005C0AF2">
        <w:t>ubrick</w:t>
      </w:r>
      <w:proofErr w:type="spellEnd"/>
      <w:r w:rsidRPr="005C0AF2">
        <w:t>, S. R. 2013</w:t>
      </w:r>
      <w:r w:rsidR="008A4981" w:rsidRPr="005C0AF2">
        <w:t>,</w:t>
      </w:r>
      <w:r w:rsidRPr="005C0AF2">
        <w:t xml:space="preserve"> </w:t>
      </w:r>
      <w:r w:rsidRPr="005C0AF2">
        <w:rPr>
          <w:i/>
        </w:rPr>
        <w:t>Student attendance and educational outcomes: Every day counts.</w:t>
      </w:r>
      <w:r w:rsidRPr="005C0AF2">
        <w:t xml:space="preserve"> Report for the Department of Education, Employment and Workplace Relations, Canberra.</w:t>
      </w:r>
    </w:p>
    <w:p w:rsidR="007C5D9C" w:rsidRPr="007C5D9C" w:rsidRDefault="007C5D9C" w:rsidP="00114E9F">
      <w:pPr>
        <w:pStyle w:val="Reference"/>
      </w:pPr>
      <w:proofErr w:type="spellStart"/>
      <w:r>
        <w:t>Jackiewicz</w:t>
      </w:r>
      <w:proofErr w:type="spellEnd"/>
      <w:r>
        <w:t xml:space="preserve">, S., </w:t>
      </w:r>
      <w:proofErr w:type="spellStart"/>
      <w:r>
        <w:t>Saggers</w:t>
      </w:r>
      <w:proofErr w:type="spellEnd"/>
      <w:r>
        <w:t xml:space="preserve">, S. and Frances, K. 2011, Equity of access: Requirements of Indigenous families and communities to ensure equitable access to government-approved childcare settings in Australia, </w:t>
      </w:r>
      <w:r>
        <w:rPr>
          <w:i/>
        </w:rPr>
        <w:t>Australasian Journal of Early Childhood</w:t>
      </w:r>
      <w:r>
        <w:t>, vol. 36, no. 3, pp. 100-108.</w:t>
      </w:r>
    </w:p>
    <w:p w:rsidR="00AA7159" w:rsidRPr="005C0AF2" w:rsidRDefault="00AA7159" w:rsidP="00AA7159">
      <w:pPr>
        <w:pStyle w:val="Reference"/>
      </w:pPr>
      <w:proofErr w:type="spellStart"/>
      <w:r w:rsidRPr="005C0AF2">
        <w:lastRenderedPageBreak/>
        <w:t>Karmel</w:t>
      </w:r>
      <w:proofErr w:type="spellEnd"/>
      <w:r w:rsidRPr="005C0AF2">
        <w:t xml:space="preserve">, T. and </w:t>
      </w:r>
      <w:proofErr w:type="spellStart"/>
      <w:r w:rsidRPr="005C0AF2">
        <w:t>Fieger</w:t>
      </w:r>
      <w:proofErr w:type="spellEnd"/>
      <w:r w:rsidRPr="005C0AF2">
        <w:t>, P. 2012</w:t>
      </w:r>
      <w:r w:rsidR="005C0AF2" w:rsidRPr="005C0AF2">
        <w:t>,</w:t>
      </w:r>
      <w:r w:rsidRPr="005C0AF2">
        <w:t xml:space="preserve"> </w:t>
      </w:r>
      <w:r w:rsidRPr="005C0AF2">
        <w:rPr>
          <w:i/>
        </w:rPr>
        <w:t>The value of completing a VET qualification</w:t>
      </w:r>
      <w:r w:rsidR="005C0AF2" w:rsidRPr="005C0AF2">
        <w:rPr>
          <w:i/>
        </w:rPr>
        <w:t xml:space="preserve">, </w:t>
      </w:r>
      <w:r w:rsidR="005C0AF2" w:rsidRPr="005C0AF2">
        <w:t xml:space="preserve"> </w:t>
      </w:r>
      <w:proofErr w:type="spellStart"/>
      <w:r w:rsidR="005C0AF2" w:rsidRPr="005C0AF2">
        <w:t>NCVER</w:t>
      </w:r>
      <w:proofErr w:type="spellEnd"/>
      <w:r w:rsidR="005C0AF2" w:rsidRPr="005C0AF2">
        <w:t>, Adelaide.</w:t>
      </w:r>
    </w:p>
    <w:p w:rsidR="006D0656" w:rsidRPr="005C0AF2" w:rsidRDefault="006D0656" w:rsidP="00AA7159">
      <w:pPr>
        <w:pStyle w:val="Reference"/>
      </w:pPr>
      <w:proofErr w:type="spellStart"/>
      <w:r w:rsidRPr="005C0AF2">
        <w:t>Machin</w:t>
      </w:r>
      <w:proofErr w:type="spellEnd"/>
      <w:r w:rsidRPr="005C0AF2">
        <w:t>, S., Olivier, M</w:t>
      </w:r>
      <w:r w:rsidR="005C0AF2" w:rsidRPr="005C0AF2">
        <w:t>.</w:t>
      </w:r>
      <w:r w:rsidRPr="005C0AF2">
        <w:t xml:space="preserve"> and </w:t>
      </w:r>
      <w:proofErr w:type="spellStart"/>
      <w:r w:rsidRPr="005C0AF2">
        <w:t>Suncica</w:t>
      </w:r>
      <w:proofErr w:type="spellEnd"/>
      <w:r w:rsidRPr="005C0AF2">
        <w:t>, V. 2012</w:t>
      </w:r>
      <w:r w:rsidR="005C0AF2" w:rsidRPr="005C0AF2">
        <w:t>,</w:t>
      </w:r>
      <w:r w:rsidRPr="005C0AF2">
        <w:t xml:space="preserve"> </w:t>
      </w:r>
      <w:r w:rsidR="005C0AF2" w:rsidRPr="005C0AF2">
        <w:t>‘</w:t>
      </w:r>
      <w:r w:rsidRPr="005C0AF2">
        <w:t>Youth crime and education expansion</w:t>
      </w:r>
      <w:r w:rsidR="005C0AF2" w:rsidRPr="005C0AF2">
        <w:t>’</w:t>
      </w:r>
      <w:r w:rsidRPr="005C0AF2">
        <w:t xml:space="preserve">, </w:t>
      </w:r>
      <w:r w:rsidRPr="005C0AF2">
        <w:rPr>
          <w:i/>
        </w:rPr>
        <w:t>German Economic Review</w:t>
      </w:r>
      <w:r w:rsidRPr="005C0AF2">
        <w:t xml:space="preserve">, </w:t>
      </w:r>
      <w:r w:rsidR="005C0AF2" w:rsidRPr="005C0AF2">
        <w:t xml:space="preserve">vol. </w:t>
      </w:r>
      <w:r w:rsidRPr="005C0AF2">
        <w:t>13</w:t>
      </w:r>
      <w:r w:rsidR="005C0AF2" w:rsidRPr="005C0AF2">
        <w:t xml:space="preserve">, no. </w:t>
      </w:r>
      <w:r w:rsidRPr="005C0AF2">
        <w:t>4, pp. 366-384.</w:t>
      </w:r>
    </w:p>
    <w:p w:rsidR="003D2E27" w:rsidRPr="00F47881" w:rsidRDefault="00D15368" w:rsidP="00961153">
      <w:pPr>
        <w:pStyle w:val="Reference"/>
      </w:pPr>
      <w:proofErr w:type="spellStart"/>
      <w:r w:rsidRPr="00F47881">
        <w:t>McTurk</w:t>
      </w:r>
      <w:proofErr w:type="spellEnd"/>
      <w:r w:rsidRPr="00F47881">
        <w:t xml:space="preserve">, </w:t>
      </w:r>
      <w:r w:rsidR="00961153" w:rsidRPr="00F47881">
        <w:t xml:space="preserve">N., Tess, L., Robinson, G., </w:t>
      </w:r>
      <w:proofErr w:type="spellStart"/>
      <w:r w:rsidR="00961153" w:rsidRPr="00F47881">
        <w:t>Nutton</w:t>
      </w:r>
      <w:proofErr w:type="spellEnd"/>
      <w:r w:rsidR="00961153" w:rsidRPr="00F47881">
        <w:t>, G.</w:t>
      </w:r>
      <w:r w:rsidR="00D608E7" w:rsidRPr="00F47881">
        <w:t xml:space="preserve"> and </w:t>
      </w:r>
      <w:proofErr w:type="spellStart"/>
      <w:r w:rsidR="00961153" w:rsidRPr="00F47881">
        <w:t>Carapetis</w:t>
      </w:r>
      <w:proofErr w:type="spellEnd"/>
      <w:r w:rsidR="00D608E7" w:rsidRPr="00F47881">
        <w:t xml:space="preserve"> J. R. </w:t>
      </w:r>
      <w:r w:rsidR="003D2E27" w:rsidRPr="00F47881">
        <w:t xml:space="preserve">2011, </w:t>
      </w:r>
      <w:r w:rsidR="007D0F96">
        <w:t>‘</w:t>
      </w:r>
      <w:r w:rsidR="003D2E27" w:rsidRPr="007D0F96">
        <w:t>Defining and assessing the school readiness of Indigenous Australian children</w:t>
      </w:r>
      <w:r w:rsidR="007D0F96">
        <w:t>’</w:t>
      </w:r>
      <w:r w:rsidR="003D2E27" w:rsidRPr="00F47881">
        <w:rPr>
          <w:i/>
        </w:rPr>
        <w:t xml:space="preserve">, </w:t>
      </w:r>
      <w:r w:rsidR="003D2E27" w:rsidRPr="007D0F96">
        <w:rPr>
          <w:i/>
        </w:rPr>
        <w:t>Australasian Journal of Early Childhood</w:t>
      </w:r>
      <w:r w:rsidR="003D2E27" w:rsidRPr="00F47881">
        <w:t xml:space="preserve">, </w:t>
      </w:r>
      <w:r w:rsidR="005C0AF2">
        <w:t xml:space="preserve">vol. </w:t>
      </w:r>
      <w:r w:rsidR="003D2E27" w:rsidRPr="00F47881">
        <w:t>36</w:t>
      </w:r>
      <w:r w:rsidR="005C0AF2">
        <w:t xml:space="preserve">, no. </w:t>
      </w:r>
      <w:r w:rsidR="003D2E27" w:rsidRPr="00F47881">
        <w:t>1</w:t>
      </w:r>
      <w:r w:rsidR="005C0AF2">
        <w:t>, pp.</w:t>
      </w:r>
      <w:r w:rsidR="003D2E27" w:rsidRPr="00F47881">
        <w:t xml:space="preserve"> 69-76.</w:t>
      </w:r>
    </w:p>
    <w:p w:rsidR="008B2FBF" w:rsidRPr="00F47881" w:rsidRDefault="008B2FBF" w:rsidP="008B2FBF">
      <w:pPr>
        <w:pStyle w:val="Reference"/>
      </w:pPr>
      <w:r w:rsidRPr="00F47881">
        <w:t>Murray, J, 2009</w:t>
      </w:r>
      <w:r w:rsidRPr="00F47881">
        <w:rPr>
          <w:i/>
        </w:rPr>
        <w:t xml:space="preserve"> </w:t>
      </w:r>
      <w:r w:rsidR="007D0F96">
        <w:rPr>
          <w:i/>
        </w:rPr>
        <w:t>‘</w:t>
      </w:r>
      <w:r w:rsidRPr="007D0F96">
        <w:t>The wider social benefits of higher education: What do we know about them?</w:t>
      </w:r>
      <w:r w:rsidR="007D0F96">
        <w:t>’</w:t>
      </w:r>
      <w:r w:rsidRPr="007D0F96">
        <w:t>,</w:t>
      </w:r>
      <w:r w:rsidRPr="00F47881">
        <w:t xml:space="preserve"> </w:t>
      </w:r>
      <w:r w:rsidRPr="007D0F96">
        <w:rPr>
          <w:i/>
        </w:rPr>
        <w:t>Australian Journal of Education</w:t>
      </w:r>
      <w:r w:rsidRPr="00F47881">
        <w:t xml:space="preserve">, </w:t>
      </w:r>
      <w:r w:rsidR="005C0AF2">
        <w:t xml:space="preserve">vol. </w:t>
      </w:r>
      <w:r w:rsidRPr="00F47881">
        <w:t>53</w:t>
      </w:r>
      <w:r w:rsidR="005C0AF2">
        <w:t xml:space="preserve">, no. </w:t>
      </w:r>
      <w:r w:rsidRPr="00F47881">
        <w:t xml:space="preserve">3, </w:t>
      </w:r>
      <w:r w:rsidR="005C0AF2">
        <w:t xml:space="preserve">pp. </w:t>
      </w:r>
      <w:r w:rsidRPr="00F47881">
        <w:t xml:space="preserve">230-244. </w:t>
      </w:r>
    </w:p>
    <w:p w:rsidR="00211716" w:rsidRPr="00F47881" w:rsidRDefault="00C14CA6" w:rsidP="00C14CA6">
      <w:pPr>
        <w:pStyle w:val="Reference"/>
      </w:pPr>
      <w:proofErr w:type="spellStart"/>
      <w:r w:rsidRPr="00F47881">
        <w:t>NCVER</w:t>
      </w:r>
      <w:proofErr w:type="spellEnd"/>
      <w:r w:rsidRPr="00F47881">
        <w:t xml:space="preserve"> (National Centre for Vocational Education Research)</w:t>
      </w:r>
      <w:r w:rsidR="00896D17" w:rsidRPr="00F47881">
        <w:t xml:space="preserve"> 201</w:t>
      </w:r>
      <w:r w:rsidR="00992559" w:rsidRPr="00F47881">
        <w:t>2</w:t>
      </w:r>
      <w:r w:rsidR="00211716" w:rsidRPr="00F47881">
        <w:t xml:space="preserve">, </w:t>
      </w:r>
      <w:r w:rsidR="00211716" w:rsidRPr="00F47881">
        <w:rPr>
          <w:i/>
        </w:rPr>
        <w:t>Tertiary Education and Training in Australia,</w:t>
      </w:r>
      <w:r w:rsidR="00896D17" w:rsidRPr="00F47881">
        <w:rPr>
          <w:i/>
        </w:rPr>
        <w:t xml:space="preserve"> 20</w:t>
      </w:r>
      <w:r w:rsidR="0091196A" w:rsidRPr="00F47881">
        <w:rPr>
          <w:i/>
        </w:rPr>
        <w:t>10</w:t>
      </w:r>
      <w:r w:rsidR="00211716" w:rsidRPr="00F47881">
        <w:rPr>
          <w:i/>
        </w:rPr>
        <w:t xml:space="preserve"> </w:t>
      </w:r>
      <w:r w:rsidR="00211716" w:rsidRPr="00F47881">
        <w:t>Adelaide.</w:t>
      </w:r>
    </w:p>
    <w:p w:rsidR="00336057" w:rsidRPr="00F47881" w:rsidRDefault="00336057" w:rsidP="00336057">
      <w:pPr>
        <w:pStyle w:val="Reference"/>
      </w:pPr>
      <w:r w:rsidRPr="00F47881">
        <w:t xml:space="preserve">——2011, </w:t>
      </w:r>
      <w:r w:rsidRPr="00F47881">
        <w:rPr>
          <w:i/>
        </w:rPr>
        <w:t xml:space="preserve">Tertiary Education and Training in Australia, 2009 </w:t>
      </w:r>
      <w:r w:rsidRPr="00F47881">
        <w:t>Adelaide.</w:t>
      </w:r>
    </w:p>
    <w:p w:rsidR="003D2E27" w:rsidRPr="00F47881" w:rsidRDefault="003D2E27" w:rsidP="00B578E5">
      <w:pPr>
        <w:pStyle w:val="Reference"/>
        <w:jc w:val="left"/>
      </w:pPr>
      <w:r w:rsidRPr="00F47881">
        <w:t xml:space="preserve">NSW </w:t>
      </w:r>
      <w:proofErr w:type="spellStart"/>
      <w:r w:rsidRPr="00F47881">
        <w:t>DoCS</w:t>
      </w:r>
      <w:proofErr w:type="spellEnd"/>
      <w:r w:rsidRPr="00F47881">
        <w:t xml:space="preserve"> (NSW Department of Community Services) 2003, </w:t>
      </w:r>
      <w:r w:rsidRPr="00F47881">
        <w:rPr>
          <w:i/>
        </w:rPr>
        <w:t xml:space="preserve">School readiness, </w:t>
      </w:r>
      <w:r w:rsidRPr="00F47881">
        <w:t>Discussion</w:t>
      </w:r>
      <w:r w:rsidRPr="00F47881">
        <w:rPr>
          <w:i/>
        </w:rPr>
        <w:t xml:space="preserve"> </w:t>
      </w:r>
      <w:r w:rsidRPr="00F47881">
        <w:t xml:space="preserve">paper 1 </w:t>
      </w:r>
      <w:proofErr w:type="spellStart"/>
      <w:r w:rsidR="00BE4620" w:rsidRPr="00F47881">
        <w:t>www.community.nsw.gov.au</w:t>
      </w:r>
      <w:proofErr w:type="spellEnd"/>
      <w:r w:rsidR="00BE4620" w:rsidRPr="00F47881">
        <w:t>/</w:t>
      </w:r>
      <w:proofErr w:type="spellStart"/>
      <w:r w:rsidR="00BE4620" w:rsidRPr="00F47881">
        <w:t>docswr</w:t>
      </w:r>
      <w:proofErr w:type="spellEnd"/>
      <w:r w:rsidR="00BE4620" w:rsidRPr="00F47881">
        <w:t>/_assets/main/</w:t>
      </w:r>
      <w:r w:rsidR="0013217E">
        <w:br/>
      </w:r>
      <w:r w:rsidR="00BE4620" w:rsidRPr="00F47881">
        <w:t>documents/</w:t>
      </w:r>
      <w:proofErr w:type="spellStart"/>
      <w:r w:rsidR="00BE4620" w:rsidRPr="00F47881">
        <w:t>school_readiness.pdf</w:t>
      </w:r>
      <w:proofErr w:type="spellEnd"/>
      <w:r w:rsidRPr="00F47881">
        <w:t xml:space="preserve"> (accessed 17 August</w:t>
      </w:r>
      <w:r w:rsidR="003E281F" w:rsidRPr="00F47881">
        <w:t xml:space="preserve"> 2011</w:t>
      </w:r>
      <w:r w:rsidRPr="00F47881">
        <w:t>).</w:t>
      </w:r>
    </w:p>
    <w:p w:rsidR="00E11063" w:rsidRPr="00F47881" w:rsidRDefault="00C14CA6" w:rsidP="00C14CA6">
      <w:pPr>
        <w:pStyle w:val="Reference"/>
        <w:rPr>
          <w:i/>
        </w:rPr>
      </w:pPr>
      <w:r w:rsidRPr="00F47881">
        <w:t xml:space="preserve">OECD (Organisation for Economic Co-operation and Development) </w:t>
      </w:r>
      <w:r w:rsidR="00E11063" w:rsidRPr="00F47881">
        <w:t xml:space="preserve">2008a </w:t>
      </w:r>
      <w:r w:rsidR="00E11063" w:rsidRPr="00F47881">
        <w:rPr>
          <w:i/>
        </w:rPr>
        <w:t>Economic Surveys: Australia</w:t>
      </w:r>
      <w:r w:rsidR="00937004" w:rsidRPr="00F47881">
        <w:rPr>
          <w:i/>
        </w:rPr>
        <w:t xml:space="preserve">, </w:t>
      </w:r>
      <w:r w:rsidR="00937004" w:rsidRPr="00F47881">
        <w:t>France.</w:t>
      </w:r>
    </w:p>
    <w:p w:rsidR="00C14CA6" w:rsidRDefault="00D15368" w:rsidP="00C14CA6">
      <w:pPr>
        <w:pStyle w:val="Reference"/>
      </w:pPr>
      <w:r w:rsidRPr="00F47881">
        <w:t xml:space="preserve">—— </w:t>
      </w:r>
      <w:r w:rsidR="00C14CA6" w:rsidRPr="00F47881">
        <w:t>2008</w:t>
      </w:r>
      <w:r w:rsidR="00E11063" w:rsidRPr="00F47881">
        <w:t>b</w:t>
      </w:r>
      <w:r w:rsidR="00C14CA6" w:rsidRPr="00F47881">
        <w:t xml:space="preserve">, </w:t>
      </w:r>
      <w:r w:rsidR="00C14CA6" w:rsidRPr="00F47881">
        <w:rPr>
          <w:i/>
        </w:rPr>
        <w:t>Education at a Glance: OECD indicators 2008</w:t>
      </w:r>
      <w:r w:rsidR="00C14CA6" w:rsidRPr="00F47881">
        <w:t>, France.</w:t>
      </w:r>
    </w:p>
    <w:p w:rsidR="00192163" w:rsidRPr="00F47881" w:rsidRDefault="00192163" w:rsidP="00192163">
      <w:pPr>
        <w:pStyle w:val="Reference"/>
      </w:pPr>
      <w:r w:rsidRPr="005C0AF2">
        <w:t xml:space="preserve">—— 2013, </w:t>
      </w:r>
      <w:r w:rsidRPr="005C0AF2">
        <w:rPr>
          <w:i/>
        </w:rPr>
        <w:t>Education at a Glance: OECD indicators 2013</w:t>
      </w:r>
      <w:r w:rsidRPr="005C0AF2">
        <w:t>, France.</w:t>
      </w:r>
    </w:p>
    <w:p w:rsidR="00E50C86" w:rsidRPr="003F4EC8" w:rsidRDefault="00E50C86" w:rsidP="00C14CA6">
      <w:pPr>
        <w:pStyle w:val="Reference"/>
      </w:pPr>
      <w:bookmarkStart w:id="22" w:name="OLE_LINK20"/>
      <w:r>
        <w:t>PC (</w:t>
      </w:r>
      <w:r w:rsidR="00C14CA6" w:rsidRPr="00F33D94">
        <w:t>P</w:t>
      </w:r>
      <w:r w:rsidR="00C14CA6">
        <w:t xml:space="preserve">roductivity </w:t>
      </w:r>
      <w:r w:rsidR="00C14CA6" w:rsidRPr="00F33D94">
        <w:t>Commission</w:t>
      </w:r>
      <w:r>
        <w:t>)</w:t>
      </w:r>
      <w:r w:rsidR="00C14CA6" w:rsidRPr="00F33D94">
        <w:t xml:space="preserve"> </w:t>
      </w:r>
      <w:r>
        <w:t xml:space="preserve">2011, </w:t>
      </w:r>
      <w:r w:rsidR="003F4EC8">
        <w:rPr>
          <w:i/>
        </w:rPr>
        <w:t xml:space="preserve">Vocational Education and Training Workforce, </w:t>
      </w:r>
      <w:r w:rsidR="003F4EC8">
        <w:t xml:space="preserve">Research Report, Canberra. </w:t>
      </w:r>
    </w:p>
    <w:p w:rsidR="001949EF" w:rsidRPr="001949EF" w:rsidRDefault="00E50C86" w:rsidP="00C14CA6">
      <w:pPr>
        <w:pStyle w:val="Reference"/>
      </w:pPr>
      <w:r w:rsidRPr="00F33D94">
        <w:t>——</w:t>
      </w:r>
      <w:r w:rsidR="001949EF">
        <w:t xml:space="preserve"> 2010, </w:t>
      </w:r>
      <w:r w:rsidR="001949EF">
        <w:rPr>
          <w:i/>
        </w:rPr>
        <w:t xml:space="preserve">The Effects of Education and Health on Wages and Productivity, </w:t>
      </w:r>
      <w:r w:rsidR="001949EF">
        <w:t>Productivity Commission Staff Working Paper, Melbourne, March.</w:t>
      </w:r>
    </w:p>
    <w:p w:rsidR="003B122B" w:rsidRDefault="00D15368" w:rsidP="005F0AEC">
      <w:pPr>
        <w:pStyle w:val="Reference"/>
      </w:pPr>
      <w:r>
        <w:t>Perr</w:t>
      </w:r>
      <w:r w:rsidR="007D0F96">
        <w:t xml:space="preserve">y, L. and </w:t>
      </w:r>
      <w:proofErr w:type="spellStart"/>
      <w:r w:rsidR="003B122B">
        <w:t>McConney</w:t>
      </w:r>
      <w:proofErr w:type="spellEnd"/>
      <w:r w:rsidR="003B122B">
        <w:t>, A</w:t>
      </w:r>
      <w:r w:rsidR="007D0F96">
        <w:t>.</w:t>
      </w:r>
      <w:r w:rsidR="003B122B">
        <w:t xml:space="preserve"> 2010, </w:t>
      </w:r>
      <w:r w:rsidR="007D0F96">
        <w:t>‘</w:t>
      </w:r>
      <w:r w:rsidR="003B122B" w:rsidRPr="007D0F96">
        <w:t xml:space="preserve">School </w:t>
      </w:r>
      <w:proofErr w:type="spellStart"/>
      <w:r w:rsidR="003B122B" w:rsidRPr="007D0F96">
        <w:t>socio-economic</w:t>
      </w:r>
      <w:proofErr w:type="spellEnd"/>
      <w:r w:rsidR="003B122B" w:rsidRPr="007D0F96">
        <w:t xml:space="preserve"> composition and student outcomes in Australia: Implications for educational policy</w:t>
      </w:r>
      <w:r w:rsidR="007D0F96">
        <w:t>’</w:t>
      </w:r>
      <w:r w:rsidR="003B122B">
        <w:t xml:space="preserve">, </w:t>
      </w:r>
      <w:r w:rsidR="003B122B" w:rsidRPr="007D0F96">
        <w:rPr>
          <w:i/>
        </w:rPr>
        <w:t>Australian Journal of Education</w:t>
      </w:r>
      <w:r w:rsidR="003B122B">
        <w:t xml:space="preserve">, </w:t>
      </w:r>
      <w:r w:rsidR="005C0AF2">
        <w:t xml:space="preserve">vol. </w:t>
      </w:r>
      <w:r w:rsidR="003B122B">
        <w:t>54</w:t>
      </w:r>
      <w:r w:rsidR="005C0AF2">
        <w:t xml:space="preserve">, no. </w:t>
      </w:r>
      <w:r w:rsidR="003B122B">
        <w:t>1</w:t>
      </w:r>
      <w:r w:rsidR="005C0AF2">
        <w:t>, pp.</w:t>
      </w:r>
      <w:r w:rsidR="003B122B">
        <w:t xml:space="preserve"> 72-85.</w:t>
      </w:r>
    </w:p>
    <w:p w:rsidR="00AA7159" w:rsidRDefault="00AA7159" w:rsidP="00AA7159">
      <w:pPr>
        <w:pStyle w:val="Reference"/>
      </w:pPr>
      <w:r w:rsidRPr="005C0AF2">
        <w:t>Ramey, C. T., Sparling, J. J.</w:t>
      </w:r>
      <w:r w:rsidR="005C0AF2" w:rsidRPr="005C0AF2">
        <w:t xml:space="preserve"> and</w:t>
      </w:r>
      <w:r w:rsidRPr="005C0AF2">
        <w:t xml:space="preserve"> Ramey, S. L. 2012</w:t>
      </w:r>
      <w:r w:rsidR="005C0AF2" w:rsidRPr="005C0AF2">
        <w:t>,</w:t>
      </w:r>
      <w:r w:rsidRPr="005C0AF2">
        <w:t xml:space="preserve"> </w:t>
      </w:r>
      <w:r w:rsidRPr="005C0AF2">
        <w:rPr>
          <w:i/>
        </w:rPr>
        <w:t>Abecedarian: The ideas, the approach, and the findings</w:t>
      </w:r>
      <w:r w:rsidR="005C0AF2" w:rsidRPr="005C0AF2">
        <w:rPr>
          <w:i/>
        </w:rPr>
        <w:t>,</w:t>
      </w:r>
      <w:r w:rsidRPr="005C0AF2">
        <w:t xml:space="preserve"> Los Altos</w:t>
      </w:r>
      <w:r w:rsidR="005C0AF2">
        <w:t xml:space="preserve">, CA: </w:t>
      </w:r>
      <w:proofErr w:type="spellStart"/>
      <w:r w:rsidR="005C0AF2">
        <w:t>Sociometrics</w:t>
      </w:r>
      <w:proofErr w:type="spellEnd"/>
      <w:r w:rsidR="005C0AF2">
        <w:t xml:space="preserve"> Corporation.</w:t>
      </w:r>
    </w:p>
    <w:p w:rsidR="00EE7717" w:rsidRPr="001D4399" w:rsidRDefault="00EE7717" w:rsidP="00EE7717">
      <w:pPr>
        <w:pStyle w:val="Reference"/>
        <w:rPr>
          <w:i/>
        </w:rPr>
      </w:pPr>
      <w:r w:rsidRPr="001D4399">
        <w:t xml:space="preserve">Reynolds, A. J., Temple, J. A., and White, B. A. 2009, </w:t>
      </w:r>
      <w:r w:rsidRPr="001D4399">
        <w:rPr>
          <w:i/>
        </w:rPr>
        <w:t>Cost-Effective Early Childhood Development Programs: A Synthesis of Evidence in the First Decade of Life</w:t>
      </w:r>
      <w:r w:rsidRPr="001D4399">
        <w:t>, Encyclopaedia of Education.</w:t>
      </w:r>
    </w:p>
    <w:p w:rsidR="00AA7159" w:rsidRPr="007D0F96" w:rsidRDefault="00AA7159" w:rsidP="00AA7159">
      <w:pPr>
        <w:pStyle w:val="Reference"/>
      </w:pPr>
      <w:r w:rsidRPr="007D0F96">
        <w:t>Ryan</w:t>
      </w:r>
      <w:r w:rsidR="007D0F96" w:rsidRPr="007D0F96">
        <w:t>, C.</w:t>
      </w:r>
      <w:r w:rsidRPr="007D0F96">
        <w:t xml:space="preserve"> 2011, </w:t>
      </w:r>
      <w:r w:rsidRPr="007D0F96">
        <w:rPr>
          <w:i/>
        </w:rPr>
        <w:t>Year 12 completion and youth transitions</w:t>
      </w:r>
      <w:r w:rsidRPr="007D0F96">
        <w:t xml:space="preserve">, </w:t>
      </w:r>
      <w:proofErr w:type="spellStart"/>
      <w:r w:rsidR="007D0F96" w:rsidRPr="007D0F96">
        <w:t>NCVER</w:t>
      </w:r>
      <w:proofErr w:type="spellEnd"/>
      <w:r w:rsidR="007D0F96" w:rsidRPr="007D0F96">
        <w:t>, Adelaide.</w:t>
      </w:r>
    </w:p>
    <w:p w:rsidR="00AC6F00" w:rsidRPr="001D4399" w:rsidRDefault="00C14CA6" w:rsidP="005F0AEC">
      <w:pPr>
        <w:pStyle w:val="Reference"/>
      </w:pPr>
      <w:proofErr w:type="spellStart"/>
      <w:r w:rsidRPr="00F33D94">
        <w:t>SCRGSP</w:t>
      </w:r>
      <w:bookmarkEnd w:id="22"/>
      <w:proofErr w:type="spellEnd"/>
      <w:r w:rsidRPr="00F33D94">
        <w:t xml:space="preserve"> (Steering Committee for the Review of Government Service Provision) 2009, </w:t>
      </w:r>
      <w:r w:rsidRPr="001D4399">
        <w:rPr>
          <w:i/>
        </w:rPr>
        <w:t>Overcoming Indigenous Disadvantage: Key Indicators 2009</w:t>
      </w:r>
      <w:r w:rsidRPr="001D4399">
        <w:t>, Productivity Commission, Canberra.</w:t>
      </w:r>
    </w:p>
    <w:p w:rsidR="00AA7159" w:rsidRPr="001D4399" w:rsidRDefault="0049517D" w:rsidP="00BA7C82">
      <w:pPr>
        <w:pStyle w:val="Reference"/>
      </w:pPr>
      <w:proofErr w:type="spellStart"/>
      <w:r w:rsidRPr="001D4399">
        <w:lastRenderedPageBreak/>
        <w:t>Tayler</w:t>
      </w:r>
      <w:proofErr w:type="spellEnd"/>
      <w:r w:rsidRPr="001D4399">
        <w:t>, C</w:t>
      </w:r>
      <w:r w:rsidR="005C0AF2" w:rsidRPr="001D4399">
        <w:t>.,</w:t>
      </w:r>
      <w:r w:rsidRPr="001D4399">
        <w:t xml:space="preserve"> </w:t>
      </w:r>
      <w:proofErr w:type="spellStart"/>
      <w:r w:rsidRPr="001D4399">
        <w:t>Ishimine</w:t>
      </w:r>
      <w:proofErr w:type="spellEnd"/>
      <w:r w:rsidRPr="001D4399">
        <w:t>, K</w:t>
      </w:r>
      <w:r w:rsidR="005C0AF2" w:rsidRPr="001D4399">
        <w:t>.,</w:t>
      </w:r>
      <w:r w:rsidRPr="001D4399">
        <w:t xml:space="preserve"> </w:t>
      </w:r>
      <w:proofErr w:type="spellStart"/>
      <w:r w:rsidRPr="001D4399">
        <w:t>Cloney</w:t>
      </w:r>
      <w:proofErr w:type="spellEnd"/>
      <w:r w:rsidRPr="001D4399">
        <w:t>, D</w:t>
      </w:r>
      <w:r w:rsidR="005C0AF2" w:rsidRPr="001D4399">
        <w:t>.,</w:t>
      </w:r>
      <w:r w:rsidRPr="001D4399">
        <w:t xml:space="preserve"> Cleveland, G</w:t>
      </w:r>
      <w:r w:rsidR="005C0AF2" w:rsidRPr="001D4399">
        <w:t>. and</w:t>
      </w:r>
      <w:r w:rsidRPr="001D4399">
        <w:t xml:space="preserve"> Thorpe, K. 2013</w:t>
      </w:r>
      <w:r w:rsidR="005C0AF2" w:rsidRPr="001D4399">
        <w:t>,</w:t>
      </w:r>
      <w:r w:rsidRPr="001D4399">
        <w:t xml:space="preserve"> </w:t>
      </w:r>
      <w:r w:rsidR="00BA7C82" w:rsidRPr="001D4399">
        <w:t xml:space="preserve">The </w:t>
      </w:r>
      <w:r w:rsidR="005C0AF2" w:rsidRPr="001D4399">
        <w:t>q</w:t>
      </w:r>
      <w:r w:rsidR="00BA7C82" w:rsidRPr="001D4399">
        <w:t xml:space="preserve">uality of </w:t>
      </w:r>
      <w:r w:rsidR="005C0AF2" w:rsidRPr="001D4399">
        <w:t>e</w:t>
      </w:r>
      <w:r w:rsidR="00BA7C82" w:rsidRPr="001D4399">
        <w:t xml:space="preserve">arly </w:t>
      </w:r>
      <w:r w:rsidR="005C0AF2" w:rsidRPr="001D4399">
        <w:t>c</w:t>
      </w:r>
      <w:r w:rsidR="00BA7C82" w:rsidRPr="001D4399">
        <w:t xml:space="preserve">hildhood </w:t>
      </w:r>
      <w:r w:rsidR="005C0AF2" w:rsidRPr="001D4399">
        <w:t>e</w:t>
      </w:r>
      <w:r w:rsidR="00BA7C82" w:rsidRPr="001D4399">
        <w:t xml:space="preserve">ducation and </w:t>
      </w:r>
      <w:r w:rsidR="005C0AF2" w:rsidRPr="001D4399">
        <w:t>c</w:t>
      </w:r>
      <w:r w:rsidR="00BA7C82" w:rsidRPr="001D4399">
        <w:t xml:space="preserve">are </w:t>
      </w:r>
      <w:r w:rsidR="005C0AF2" w:rsidRPr="001D4399">
        <w:t>s</w:t>
      </w:r>
      <w:r w:rsidR="00BA7C82" w:rsidRPr="001D4399">
        <w:t>ervices in Australia</w:t>
      </w:r>
      <w:r w:rsidRPr="001D4399">
        <w:t xml:space="preserve">, </w:t>
      </w:r>
      <w:r w:rsidR="00BA7C82" w:rsidRPr="001D4399">
        <w:rPr>
          <w:i/>
        </w:rPr>
        <w:t>Australasian Journal of Early Childhood</w:t>
      </w:r>
      <w:r w:rsidR="00BA7C82" w:rsidRPr="001D4399">
        <w:t xml:space="preserve">, </w:t>
      </w:r>
      <w:r w:rsidRPr="001D4399">
        <w:t>v</w:t>
      </w:r>
      <w:r w:rsidR="00BA7C82" w:rsidRPr="001D4399">
        <w:t xml:space="preserve">ol. 38, </w:t>
      </w:r>
      <w:r w:rsidRPr="001D4399">
        <w:t xml:space="preserve">no. 2, pp. </w:t>
      </w:r>
      <w:r w:rsidR="001D4399" w:rsidRPr="001D4399">
        <w:t>13-21</w:t>
      </w:r>
      <w:r w:rsidRPr="001D4399">
        <w:t>.</w:t>
      </w:r>
    </w:p>
    <w:sectPr w:rsidR="00AA7159" w:rsidRPr="001D4399" w:rsidSect="00BE4620">
      <w:headerReference w:type="even" r:id="rId43"/>
      <w:headerReference w:type="default" r:id="rId44"/>
      <w:footerReference w:type="even" r:id="rId45"/>
      <w:footerReference w:type="default" r:id="rId46"/>
      <w:pgSz w:w="11907" w:h="16840" w:code="9"/>
      <w:pgMar w:top="1985" w:right="1304" w:bottom="1418" w:left="1814" w:header="1701" w:footer="567" w:gutter="0"/>
      <w:pgNumType w:start="1"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1EF4" w:rsidRDefault="00261EF4">
      <w:r>
        <w:separator/>
      </w:r>
    </w:p>
  </w:endnote>
  <w:endnote w:type="continuationSeparator" w:id="0">
    <w:p w:rsidR="00261EF4" w:rsidRDefault="00261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261EF4" w:rsidRPr="00E9688D">
      <w:trPr>
        <w:trHeight w:hRule="exact" w:val="740"/>
      </w:trPr>
      <w:tc>
        <w:tcPr>
          <w:tcW w:w="510" w:type="dxa"/>
          <w:tcBorders>
            <w:top w:val="single" w:sz="6" w:space="0" w:color="auto"/>
          </w:tcBorders>
        </w:tcPr>
        <w:p w:rsidR="00261EF4" w:rsidRPr="005A6B95" w:rsidRDefault="00261EF4">
          <w:pPr>
            <w:pStyle w:val="Footer"/>
            <w:tabs>
              <w:tab w:val="left" w:pos="0"/>
            </w:tabs>
            <w:ind w:right="0"/>
            <w:rPr>
              <w:rStyle w:val="PageNumber"/>
            </w:rPr>
          </w:pPr>
          <w:r>
            <w:rPr>
              <w:rStyle w:val="PageNumber"/>
            </w:rPr>
            <w:t>B.</w:t>
          </w:r>
          <w:r>
            <w:rPr>
              <w:rStyle w:val="PageNumber"/>
            </w:rPr>
            <w:fldChar w:fldCharType="begin"/>
          </w:r>
          <w:r>
            <w:rPr>
              <w:rStyle w:val="PageNumber"/>
            </w:rPr>
            <w:instrText xml:space="preserve"> COMMENTS  \* MERGEFORMAT </w:instrText>
          </w:r>
          <w:r>
            <w:rPr>
              <w:rStyle w:val="PageNumber"/>
            </w:rPr>
            <w:fldChar w:fldCharType="end"/>
          </w:r>
          <w:r w:rsidRPr="005A6B95">
            <w:rPr>
              <w:rStyle w:val="PageNumber"/>
            </w:rPr>
            <w:fldChar w:fldCharType="begin"/>
          </w:r>
          <w:r w:rsidRPr="005A6B95">
            <w:rPr>
              <w:rStyle w:val="PageNumber"/>
            </w:rPr>
            <w:instrText xml:space="preserve">PAGE  </w:instrText>
          </w:r>
          <w:r w:rsidRPr="005A6B95">
            <w:rPr>
              <w:rStyle w:val="PageNumber"/>
            </w:rPr>
            <w:fldChar w:fldCharType="separate"/>
          </w:r>
          <w:r w:rsidR="00157792">
            <w:rPr>
              <w:rStyle w:val="PageNumber"/>
              <w:noProof/>
            </w:rPr>
            <w:t>2</w:t>
          </w:r>
          <w:r w:rsidRPr="005A6B95">
            <w:rPr>
              <w:rStyle w:val="PageNumber"/>
            </w:rPr>
            <w:fldChar w:fldCharType="end"/>
          </w:r>
        </w:p>
      </w:tc>
      <w:tc>
        <w:tcPr>
          <w:tcW w:w="1644" w:type="dxa"/>
          <w:tcBorders>
            <w:top w:val="single" w:sz="6" w:space="0" w:color="auto"/>
          </w:tcBorders>
        </w:tcPr>
        <w:p w:rsidR="00261EF4" w:rsidRPr="005A6B95" w:rsidRDefault="006A7CCA" w:rsidP="000F3145">
          <w:pPr>
            <w:pStyle w:val="Footer"/>
          </w:pPr>
          <w:fldSimple w:instr=" SUBJECT  \* MERGEFORMAT ">
            <w:r w:rsidR="004C77E8">
              <w:t>REPORT ON GOVERNMENT SERVICES 2014</w:t>
            </w:r>
          </w:fldSimple>
        </w:p>
      </w:tc>
      <w:tc>
        <w:tcPr>
          <w:tcW w:w="6634" w:type="dxa"/>
        </w:tcPr>
        <w:p w:rsidR="00261EF4" w:rsidRPr="00E9688D" w:rsidRDefault="00261EF4" w:rsidP="001E74B2">
          <w:pPr>
            <w:pStyle w:val="Footer"/>
            <w:rPr>
              <w:color w:val="0000FF"/>
            </w:rPr>
          </w:pPr>
        </w:p>
      </w:tc>
    </w:tr>
  </w:tbl>
  <w:p w:rsidR="00261EF4" w:rsidRPr="00E9688D" w:rsidRDefault="00261EF4">
    <w:pPr>
      <w:pStyle w:val="FooterEnd"/>
      <w:rPr>
        <w:color w:val="0000FF"/>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096"/>
      <w:gridCol w:w="2182"/>
      <w:gridCol w:w="511"/>
    </w:tblGrid>
    <w:tr w:rsidR="00261EF4" w:rsidRPr="005A6B95" w:rsidTr="000D6F2E">
      <w:trPr>
        <w:trHeight w:hRule="exact" w:val="740"/>
      </w:trPr>
      <w:tc>
        <w:tcPr>
          <w:tcW w:w="6096" w:type="dxa"/>
        </w:tcPr>
        <w:p w:rsidR="00261EF4" w:rsidRPr="00F22459" w:rsidRDefault="00261EF4" w:rsidP="00CD33DD">
          <w:pPr>
            <w:pStyle w:val="Footer"/>
            <w:ind w:right="360"/>
            <w:rPr>
              <w:sz w:val="20"/>
            </w:rPr>
          </w:pPr>
          <w:bookmarkStart w:id="23" w:name="_AppendixByChapter"/>
          <w:bookmarkEnd w:id="23"/>
        </w:p>
      </w:tc>
      <w:tc>
        <w:tcPr>
          <w:tcW w:w="2182" w:type="dxa"/>
          <w:tcBorders>
            <w:top w:val="single" w:sz="6" w:space="0" w:color="auto"/>
          </w:tcBorders>
        </w:tcPr>
        <w:p w:rsidR="00261EF4" w:rsidRPr="005A6B95" w:rsidRDefault="00261EF4" w:rsidP="00891AAF">
          <w:pPr>
            <w:pStyle w:val="Footer"/>
          </w:pPr>
          <w:r>
            <w:t>CHILD CARE, EDUCATION AnD TRAINING SECTOR OVERVIEW</w:t>
          </w:r>
        </w:p>
      </w:tc>
      <w:tc>
        <w:tcPr>
          <w:tcW w:w="511" w:type="dxa"/>
          <w:tcBorders>
            <w:top w:val="single" w:sz="6" w:space="0" w:color="auto"/>
          </w:tcBorders>
        </w:tcPr>
        <w:p w:rsidR="00261EF4" w:rsidRPr="005A6B95" w:rsidRDefault="00261EF4">
          <w:pPr>
            <w:pStyle w:val="Footer"/>
            <w:jc w:val="right"/>
          </w:pPr>
          <w:r>
            <w:rPr>
              <w:rStyle w:val="PageNumber"/>
            </w:rPr>
            <w:t>B.</w:t>
          </w:r>
          <w:r w:rsidRPr="005A6B95">
            <w:rPr>
              <w:rStyle w:val="PageNumber"/>
            </w:rPr>
            <w:fldChar w:fldCharType="begin"/>
          </w:r>
          <w:r w:rsidRPr="005A6B95">
            <w:rPr>
              <w:rStyle w:val="PageNumber"/>
            </w:rPr>
            <w:instrText xml:space="preserve"> COMMENTS  \* MERGEFORMAT </w:instrText>
          </w:r>
          <w:r w:rsidRPr="005A6B95">
            <w:rPr>
              <w:rStyle w:val="PageNumber"/>
            </w:rPr>
            <w:fldChar w:fldCharType="end"/>
          </w:r>
          <w:bookmarkStart w:id="24" w:name="OLE_LINK1"/>
          <w:r w:rsidRPr="005A6B95">
            <w:rPr>
              <w:rStyle w:val="PageNumber"/>
            </w:rPr>
            <w:fldChar w:fldCharType="begin"/>
          </w:r>
          <w:r w:rsidRPr="005A6B95">
            <w:rPr>
              <w:rStyle w:val="PageNumber"/>
            </w:rPr>
            <w:instrText xml:space="preserve">PAGE  </w:instrText>
          </w:r>
          <w:r w:rsidRPr="005A6B95">
            <w:rPr>
              <w:rStyle w:val="PageNumber"/>
            </w:rPr>
            <w:fldChar w:fldCharType="separate"/>
          </w:r>
          <w:r w:rsidR="00157792">
            <w:rPr>
              <w:rStyle w:val="PageNumber"/>
              <w:noProof/>
            </w:rPr>
            <w:t>1</w:t>
          </w:r>
          <w:r w:rsidRPr="005A6B95">
            <w:rPr>
              <w:rStyle w:val="PageNumber"/>
            </w:rPr>
            <w:fldChar w:fldCharType="end"/>
          </w:r>
        </w:p>
      </w:tc>
    </w:tr>
  </w:tbl>
  <w:p w:rsidR="00261EF4" w:rsidRPr="00E9688D" w:rsidRDefault="00261EF4">
    <w:pPr>
      <w:pStyle w:val="FooterEnd"/>
      <w:rPr>
        <w:color w:val="0000FF"/>
      </w:rPr>
    </w:pPr>
    <w:bookmarkStart w:id="25" w:name="OLE_LINK18"/>
    <w:bookmarkEnd w:id="24"/>
    <w:bookmarkEnd w:id="25"/>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1EF4" w:rsidRDefault="00261EF4">
      <w:r>
        <w:separator/>
      </w:r>
    </w:p>
  </w:footnote>
  <w:footnote w:type="continuationSeparator" w:id="0">
    <w:p w:rsidR="00261EF4" w:rsidRDefault="00261EF4">
      <w:r>
        <w:continuationSeparator/>
      </w:r>
    </w:p>
  </w:footnote>
  <w:footnote w:id="1">
    <w:p w:rsidR="00261EF4" w:rsidRDefault="00261EF4" w:rsidP="009B1E0C">
      <w:pPr>
        <w:pStyle w:val="FootnoteText"/>
      </w:pPr>
      <w:r>
        <w:rPr>
          <w:rStyle w:val="FootnoteReference"/>
        </w:rPr>
        <w:footnoteRef/>
      </w:r>
      <w:r>
        <w:t xml:space="preserve"> Data are not available for the majority of jurisdictions for primary contact staff employed by State and Territory government funded and/or managed child care. Available data are provided in the attachment tables to the Early childhood education and care chapter (chapter 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843"/>
      <w:gridCol w:w="6946"/>
    </w:tblGrid>
    <w:tr w:rsidR="00261EF4" w:rsidRPr="00E9688D" w:rsidTr="00223670">
      <w:tc>
        <w:tcPr>
          <w:tcW w:w="1843" w:type="dxa"/>
          <w:tcBorders>
            <w:top w:val="single" w:sz="24" w:space="0" w:color="auto"/>
          </w:tcBorders>
        </w:tcPr>
        <w:p w:rsidR="00261EF4" w:rsidRDefault="00261EF4">
          <w:pPr>
            <w:pStyle w:val="HeaderEven"/>
          </w:pPr>
        </w:p>
      </w:tc>
      <w:tc>
        <w:tcPr>
          <w:tcW w:w="6946" w:type="dxa"/>
          <w:tcBorders>
            <w:top w:val="single" w:sz="6" w:space="0" w:color="auto"/>
          </w:tcBorders>
        </w:tcPr>
        <w:p w:rsidR="00261EF4" w:rsidRPr="00830675" w:rsidRDefault="00261EF4" w:rsidP="00DD0517">
          <w:pPr>
            <w:pStyle w:val="HeaderEven"/>
            <w:jc w:val="right"/>
            <w:rPr>
              <w:sz w:val="24"/>
              <w:szCs w:val="24"/>
            </w:rPr>
          </w:pPr>
        </w:p>
      </w:tc>
    </w:tr>
  </w:tbl>
  <w:p w:rsidR="00261EF4" w:rsidRPr="00E9688D" w:rsidRDefault="00261EF4">
    <w:pPr>
      <w:pStyle w:val="HeaderEnd"/>
      <w:rPr>
        <w:color w:val="0000FF"/>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804"/>
      <w:gridCol w:w="1985"/>
    </w:tblGrid>
    <w:tr w:rsidR="00261EF4" w:rsidRPr="00CD33DD" w:rsidTr="00223670">
      <w:tc>
        <w:tcPr>
          <w:tcW w:w="6804" w:type="dxa"/>
          <w:tcBorders>
            <w:top w:val="single" w:sz="6" w:space="0" w:color="auto"/>
          </w:tcBorders>
        </w:tcPr>
        <w:p w:rsidR="00261EF4" w:rsidRPr="006E2A6B" w:rsidRDefault="00261EF4" w:rsidP="00467C57">
          <w:pPr>
            <w:pStyle w:val="HeaderOdd"/>
            <w:tabs>
              <w:tab w:val="clear" w:pos="4394"/>
              <w:tab w:val="clear" w:pos="8789"/>
              <w:tab w:val="left" w:pos="1245"/>
            </w:tabs>
            <w:rPr>
              <w:sz w:val="24"/>
              <w:szCs w:val="24"/>
            </w:rPr>
          </w:pPr>
        </w:p>
      </w:tc>
      <w:tc>
        <w:tcPr>
          <w:tcW w:w="1985" w:type="dxa"/>
          <w:tcBorders>
            <w:top w:val="single" w:sz="24" w:space="0" w:color="auto"/>
          </w:tcBorders>
        </w:tcPr>
        <w:p w:rsidR="00261EF4" w:rsidRPr="00CD33DD" w:rsidRDefault="00261EF4">
          <w:pPr>
            <w:pStyle w:val="HeaderOdd"/>
          </w:pPr>
        </w:p>
      </w:tc>
    </w:tr>
  </w:tbl>
  <w:p w:rsidR="00261EF4" w:rsidRPr="00E9688D" w:rsidRDefault="00261EF4">
    <w:pPr>
      <w:pStyle w:val="HeaderEnd"/>
      <w:rPr>
        <w:color w:val="0000FF"/>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84D7C3D"/>
    <w:multiLevelType w:val="singleLevel"/>
    <w:tmpl w:val="D3A85F8C"/>
    <w:lvl w:ilvl="0">
      <w:start w:val="1"/>
      <w:numFmt w:val="bullet"/>
      <w:pStyle w:val="formattedparas"/>
      <w:lvlText w:val=""/>
      <w:lvlJc w:val="left"/>
      <w:pPr>
        <w:tabs>
          <w:tab w:val="num" w:pos="360"/>
        </w:tabs>
        <w:ind w:left="360" w:hanging="360"/>
      </w:pPr>
      <w:rPr>
        <w:rFonts w:ascii="Symbol" w:hAnsi="Symbol" w:hint="default"/>
      </w:rPr>
    </w:lvl>
  </w:abstractNum>
  <w:abstractNum w:abstractNumId="4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5">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7"/>
  </w:num>
  <w:num w:numId="2">
    <w:abstractNumId w:val="9"/>
  </w:num>
  <w:num w:numId="3">
    <w:abstractNumId w:val="10"/>
  </w:num>
  <w:num w:numId="4">
    <w:abstractNumId w:val="16"/>
  </w:num>
  <w:num w:numId="5">
    <w:abstractNumId w:val="25"/>
  </w:num>
  <w:num w:numId="6">
    <w:abstractNumId w:val="20"/>
  </w:num>
  <w:num w:numId="7">
    <w:abstractNumId w:val="43"/>
  </w:num>
  <w:num w:numId="8">
    <w:abstractNumId w:val="44"/>
  </w:num>
  <w:num w:numId="9">
    <w:abstractNumId w:val="17"/>
  </w:num>
  <w:num w:numId="10">
    <w:abstractNumId w:val="26"/>
  </w:num>
  <w:num w:numId="11">
    <w:abstractNumId w:val="28"/>
  </w:num>
  <w:num w:numId="12">
    <w:abstractNumId w:val="7"/>
  </w:num>
  <w:num w:numId="13">
    <w:abstractNumId w:val="15"/>
  </w:num>
  <w:num w:numId="14">
    <w:abstractNumId w:val="14"/>
  </w:num>
  <w:num w:numId="15">
    <w:abstractNumId w:val="42"/>
  </w:num>
  <w:num w:numId="16">
    <w:abstractNumId w:val="19"/>
  </w:num>
  <w:num w:numId="17">
    <w:abstractNumId w:val="22"/>
  </w:num>
  <w:num w:numId="18">
    <w:abstractNumId w:val="30"/>
  </w:num>
  <w:num w:numId="19">
    <w:abstractNumId w:val="5"/>
  </w:num>
  <w:num w:numId="20">
    <w:abstractNumId w:val="3"/>
  </w:num>
  <w:num w:numId="21">
    <w:abstractNumId w:val="2"/>
  </w:num>
  <w:num w:numId="22">
    <w:abstractNumId w:val="4"/>
  </w:num>
  <w:num w:numId="23">
    <w:abstractNumId w:val="1"/>
  </w:num>
  <w:num w:numId="24">
    <w:abstractNumId w:val="0"/>
  </w:num>
  <w:num w:numId="25">
    <w:abstractNumId w:val="12"/>
  </w:num>
  <w:num w:numId="26">
    <w:abstractNumId w:val="34"/>
  </w:num>
  <w:num w:numId="27">
    <w:abstractNumId w:val="36"/>
  </w:num>
  <w:num w:numId="28">
    <w:abstractNumId w:val="24"/>
  </w:num>
  <w:num w:numId="29">
    <w:abstractNumId w:val="27"/>
  </w:num>
  <w:num w:numId="30">
    <w:abstractNumId w:val="29"/>
  </w:num>
  <w:num w:numId="31">
    <w:abstractNumId w:val="41"/>
  </w:num>
  <w:num w:numId="32">
    <w:abstractNumId w:val="33"/>
  </w:num>
  <w:num w:numId="33">
    <w:abstractNumId w:val="38"/>
  </w:num>
  <w:num w:numId="34">
    <w:abstractNumId w:val="39"/>
  </w:num>
  <w:num w:numId="35">
    <w:abstractNumId w:val="31"/>
  </w:num>
  <w:num w:numId="36">
    <w:abstractNumId w:val="21"/>
  </w:num>
  <w:num w:numId="37">
    <w:abstractNumId w:val="45"/>
  </w:num>
  <w:num w:numId="38">
    <w:abstractNumId w:val="8"/>
  </w:num>
  <w:num w:numId="39">
    <w:abstractNumId w:val="18"/>
  </w:num>
  <w:num w:numId="40">
    <w:abstractNumId w:val="40"/>
  </w:num>
  <w:num w:numId="41">
    <w:abstractNumId w:val="32"/>
  </w:num>
  <w:num w:numId="42">
    <w:abstractNumId w:val="13"/>
  </w:num>
  <w:num w:numId="43">
    <w:abstractNumId w:val="35"/>
  </w:num>
  <w:num w:numId="44">
    <w:abstractNumId w:val="23"/>
  </w:num>
  <w:num w:numId="45">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6">
    <w:abstractNumId w:val="11"/>
  </w:num>
  <w:num w:numId="47">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activeWritingStyle w:appName="MSWord" w:lang="en-AU" w:vendorID="64" w:dllVersion="131078" w:nlCheck="1" w:checkStyle="1"/>
  <w:activeWritingStyle w:appName="MSWord" w:lang="en-US" w:vendorID="64" w:dllVersion="131078" w:nlCheck="1" w:checkStyle="1"/>
  <w:activeWritingStyle w:appName="MSWord" w:lang="en-AU" w:vendorID="8" w:dllVersion="513" w:checkStyle="1"/>
  <w:proofState w:spelling="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340"/>
  <w:evenAndOddHeaders/>
  <w:displayHorizontalDrawingGridEvery w:val="0"/>
  <w:displayVerticalDrawingGridEvery w:val="0"/>
  <w:doNotUseMarginsForDrawingGridOrigin/>
  <w:noPunctuationKerning/>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EvenFooter" w:val="0"/>
    <w:docVar w:name="_HasChapterNumber" w:val="1"/>
    <w:docVar w:name="_NumberByChapter" w:val="0"/>
    <w:docVar w:name="_Separator" w:val="."/>
    <w:docVar w:name="AppendixNumber" w:val="B"/>
    <w:docVar w:name="DocType" w:val="0"/>
    <w:docVar w:name="FindingOptions" w:val="1"/>
    <w:docVar w:name="LongChapterTitle" w:val="Chapter"/>
    <w:docVar w:name="LongReportTitle" w:val="Report title"/>
    <w:docVar w:name="RecOptions" w:val="111"/>
    <w:docVar w:name="ShortChapterTitle" w:val="ECET SECTOR SUMMARY"/>
    <w:docVar w:name="ShortReportTitle" w:val="REPORT ON GOVERNMENT SERVICES 2014"/>
    <w:docVar w:name="SideNote" w:val="1"/>
    <w:docVar w:name="UseShortChapter" w:val="0"/>
    <w:docVar w:name="UseShortReport" w:val="0"/>
  </w:docVars>
  <w:rsids>
    <w:rsidRoot w:val="00193FB7"/>
    <w:rsid w:val="00000B4B"/>
    <w:rsid w:val="00000F7B"/>
    <w:rsid w:val="0000225C"/>
    <w:rsid w:val="000026EF"/>
    <w:rsid w:val="000028BC"/>
    <w:rsid w:val="000028F8"/>
    <w:rsid w:val="00002E45"/>
    <w:rsid w:val="00002EE5"/>
    <w:rsid w:val="000035B8"/>
    <w:rsid w:val="00004206"/>
    <w:rsid w:val="000043BD"/>
    <w:rsid w:val="000048AF"/>
    <w:rsid w:val="000057A1"/>
    <w:rsid w:val="00005A0A"/>
    <w:rsid w:val="00005DC2"/>
    <w:rsid w:val="00006D38"/>
    <w:rsid w:val="00006D4C"/>
    <w:rsid w:val="00006F55"/>
    <w:rsid w:val="0000731E"/>
    <w:rsid w:val="000076A1"/>
    <w:rsid w:val="00007AB6"/>
    <w:rsid w:val="000103EB"/>
    <w:rsid w:val="0001078E"/>
    <w:rsid w:val="000108B7"/>
    <w:rsid w:val="00010D3C"/>
    <w:rsid w:val="00011377"/>
    <w:rsid w:val="00012D1B"/>
    <w:rsid w:val="00012F52"/>
    <w:rsid w:val="000138EF"/>
    <w:rsid w:val="00013A86"/>
    <w:rsid w:val="00013E92"/>
    <w:rsid w:val="000145AD"/>
    <w:rsid w:val="000158D4"/>
    <w:rsid w:val="00015CB2"/>
    <w:rsid w:val="000162C5"/>
    <w:rsid w:val="000164C7"/>
    <w:rsid w:val="000165C0"/>
    <w:rsid w:val="00016DE9"/>
    <w:rsid w:val="00016EAA"/>
    <w:rsid w:val="00017381"/>
    <w:rsid w:val="0001749F"/>
    <w:rsid w:val="0002095F"/>
    <w:rsid w:val="00020AAB"/>
    <w:rsid w:val="000214D6"/>
    <w:rsid w:val="000218B9"/>
    <w:rsid w:val="00021BC1"/>
    <w:rsid w:val="00021EDF"/>
    <w:rsid w:val="000221F0"/>
    <w:rsid w:val="0002373F"/>
    <w:rsid w:val="00023F4E"/>
    <w:rsid w:val="0002432F"/>
    <w:rsid w:val="000243A9"/>
    <w:rsid w:val="000253DB"/>
    <w:rsid w:val="00025649"/>
    <w:rsid w:val="00025E80"/>
    <w:rsid w:val="000264E9"/>
    <w:rsid w:val="00026547"/>
    <w:rsid w:val="00026C58"/>
    <w:rsid w:val="00026EC3"/>
    <w:rsid w:val="000272A3"/>
    <w:rsid w:val="00030228"/>
    <w:rsid w:val="00031287"/>
    <w:rsid w:val="000314D3"/>
    <w:rsid w:val="000324BD"/>
    <w:rsid w:val="0003267A"/>
    <w:rsid w:val="00032B0F"/>
    <w:rsid w:val="00032BEA"/>
    <w:rsid w:val="00032D11"/>
    <w:rsid w:val="00032E89"/>
    <w:rsid w:val="00033048"/>
    <w:rsid w:val="000337DB"/>
    <w:rsid w:val="000339BF"/>
    <w:rsid w:val="00034878"/>
    <w:rsid w:val="00034E7F"/>
    <w:rsid w:val="00035A88"/>
    <w:rsid w:val="00036450"/>
    <w:rsid w:val="00036BE1"/>
    <w:rsid w:val="00036E39"/>
    <w:rsid w:val="000371E4"/>
    <w:rsid w:val="000402A1"/>
    <w:rsid w:val="00040FFC"/>
    <w:rsid w:val="00041A9A"/>
    <w:rsid w:val="0004274D"/>
    <w:rsid w:val="00042FE2"/>
    <w:rsid w:val="000434B0"/>
    <w:rsid w:val="00043DE7"/>
    <w:rsid w:val="00044505"/>
    <w:rsid w:val="0004577C"/>
    <w:rsid w:val="000460BC"/>
    <w:rsid w:val="000460FE"/>
    <w:rsid w:val="000465E6"/>
    <w:rsid w:val="00046E3F"/>
    <w:rsid w:val="000475E2"/>
    <w:rsid w:val="0004770D"/>
    <w:rsid w:val="00047A8B"/>
    <w:rsid w:val="00047BF0"/>
    <w:rsid w:val="00053157"/>
    <w:rsid w:val="00053CAE"/>
    <w:rsid w:val="00053EFA"/>
    <w:rsid w:val="00053F2B"/>
    <w:rsid w:val="0005489F"/>
    <w:rsid w:val="00054B2A"/>
    <w:rsid w:val="00054DC3"/>
    <w:rsid w:val="00054F00"/>
    <w:rsid w:val="00055193"/>
    <w:rsid w:val="00055319"/>
    <w:rsid w:val="00055B74"/>
    <w:rsid w:val="00055D19"/>
    <w:rsid w:val="0005642F"/>
    <w:rsid w:val="0005665A"/>
    <w:rsid w:val="00056B8C"/>
    <w:rsid w:val="00056D6B"/>
    <w:rsid w:val="00057018"/>
    <w:rsid w:val="00057607"/>
    <w:rsid w:val="0005779E"/>
    <w:rsid w:val="00057CAA"/>
    <w:rsid w:val="00061124"/>
    <w:rsid w:val="00061391"/>
    <w:rsid w:val="00061554"/>
    <w:rsid w:val="00061BEC"/>
    <w:rsid w:val="00061BFB"/>
    <w:rsid w:val="00061ECD"/>
    <w:rsid w:val="0006275C"/>
    <w:rsid w:val="000634FC"/>
    <w:rsid w:val="00063587"/>
    <w:rsid w:val="0006381F"/>
    <w:rsid w:val="00063DF0"/>
    <w:rsid w:val="0006503F"/>
    <w:rsid w:val="00065A55"/>
    <w:rsid w:val="00065A95"/>
    <w:rsid w:val="00065D8C"/>
    <w:rsid w:val="00066835"/>
    <w:rsid w:val="000669EE"/>
    <w:rsid w:val="00066ED7"/>
    <w:rsid w:val="000677E0"/>
    <w:rsid w:val="00067B4B"/>
    <w:rsid w:val="00067C42"/>
    <w:rsid w:val="000700D5"/>
    <w:rsid w:val="00070727"/>
    <w:rsid w:val="00070A9D"/>
    <w:rsid w:val="00071358"/>
    <w:rsid w:val="00072352"/>
    <w:rsid w:val="00072E87"/>
    <w:rsid w:val="00073451"/>
    <w:rsid w:val="00073E38"/>
    <w:rsid w:val="00074300"/>
    <w:rsid w:val="0007485F"/>
    <w:rsid w:val="00074B4E"/>
    <w:rsid w:val="00075141"/>
    <w:rsid w:val="00075299"/>
    <w:rsid w:val="000756FE"/>
    <w:rsid w:val="0007591F"/>
    <w:rsid w:val="00075A4E"/>
    <w:rsid w:val="000761BC"/>
    <w:rsid w:val="0007669C"/>
    <w:rsid w:val="00076FA0"/>
    <w:rsid w:val="0007720D"/>
    <w:rsid w:val="0008005A"/>
    <w:rsid w:val="00080710"/>
    <w:rsid w:val="00080AA9"/>
    <w:rsid w:val="00080B11"/>
    <w:rsid w:val="00080DF0"/>
    <w:rsid w:val="000811F6"/>
    <w:rsid w:val="00081244"/>
    <w:rsid w:val="0008191B"/>
    <w:rsid w:val="00082006"/>
    <w:rsid w:val="000823DA"/>
    <w:rsid w:val="000825E9"/>
    <w:rsid w:val="00082FDE"/>
    <w:rsid w:val="0008306B"/>
    <w:rsid w:val="00083A05"/>
    <w:rsid w:val="00083ED9"/>
    <w:rsid w:val="000845A8"/>
    <w:rsid w:val="000847DE"/>
    <w:rsid w:val="000848B0"/>
    <w:rsid w:val="00085912"/>
    <w:rsid w:val="00085F97"/>
    <w:rsid w:val="00086036"/>
    <w:rsid w:val="00086380"/>
    <w:rsid w:val="000866DE"/>
    <w:rsid w:val="00087175"/>
    <w:rsid w:val="000871D0"/>
    <w:rsid w:val="00087577"/>
    <w:rsid w:val="000877C4"/>
    <w:rsid w:val="00087F44"/>
    <w:rsid w:val="000907E5"/>
    <w:rsid w:val="00091B08"/>
    <w:rsid w:val="00091C52"/>
    <w:rsid w:val="00092B91"/>
    <w:rsid w:val="00092E74"/>
    <w:rsid w:val="00093E01"/>
    <w:rsid w:val="0009450C"/>
    <w:rsid w:val="0009450E"/>
    <w:rsid w:val="0009490F"/>
    <w:rsid w:val="00094973"/>
    <w:rsid w:val="0009512C"/>
    <w:rsid w:val="000959B3"/>
    <w:rsid w:val="00095F44"/>
    <w:rsid w:val="0009649C"/>
    <w:rsid w:val="000969D6"/>
    <w:rsid w:val="00097182"/>
    <w:rsid w:val="00097712"/>
    <w:rsid w:val="000978CF"/>
    <w:rsid w:val="00097D9C"/>
    <w:rsid w:val="000A09A5"/>
    <w:rsid w:val="000A1592"/>
    <w:rsid w:val="000A15BA"/>
    <w:rsid w:val="000A1F1C"/>
    <w:rsid w:val="000A2D14"/>
    <w:rsid w:val="000A2EE9"/>
    <w:rsid w:val="000A314F"/>
    <w:rsid w:val="000A3379"/>
    <w:rsid w:val="000A358B"/>
    <w:rsid w:val="000A3B1D"/>
    <w:rsid w:val="000A3C6C"/>
    <w:rsid w:val="000A4092"/>
    <w:rsid w:val="000A420E"/>
    <w:rsid w:val="000A4AAC"/>
    <w:rsid w:val="000A5275"/>
    <w:rsid w:val="000A58AB"/>
    <w:rsid w:val="000A58BE"/>
    <w:rsid w:val="000A593E"/>
    <w:rsid w:val="000A6F01"/>
    <w:rsid w:val="000A6F48"/>
    <w:rsid w:val="000A6FF4"/>
    <w:rsid w:val="000A7065"/>
    <w:rsid w:val="000A7208"/>
    <w:rsid w:val="000A764B"/>
    <w:rsid w:val="000A784F"/>
    <w:rsid w:val="000B04C8"/>
    <w:rsid w:val="000B0786"/>
    <w:rsid w:val="000B0B7D"/>
    <w:rsid w:val="000B0CC9"/>
    <w:rsid w:val="000B1460"/>
    <w:rsid w:val="000B1BF6"/>
    <w:rsid w:val="000B1D08"/>
    <w:rsid w:val="000B213B"/>
    <w:rsid w:val="000B22D4"/>
    <w:rsid w:val="000B23CF"/>
    <w:rsid w:val="000B24FD"/>
    <w:rsid w:val="000B2D0D"/>
    <w:rsid w:val="000B2F91"/>
    <w:rsid w:val="000B2FE8"/>
    <w:rsid w:val="000B3300"/>
    <w:rsid w:val="000B33D2"/>
    <w:rsid w:val="000B3C20"/>
    <w:rsid w:val="000B45C2"/>
    <w:rsid w:val="000B4C34"/>
    <w:rsid w:val="000B52B9"/>
    <w:rsid w:val="000B5395"/>
    <w:rsid w:val="000B5D0A"/>
    <w:rsid w:val="000B6051"/>
    <w:rsid w:val="000B62E4"/>
    <w:rsid w:val="000B63D7"/>
    <w:rsid w:val="000B6E18"/>
    <w:rsid w:val="000B6FB6"/>
    <w:rsid w:val="000B7975"/>
    <w:rsid w:val="000C000B"/>
    <w:rsid w:val="000C053D"/>
    <w:rsid w:val="000C05AB"/>
    <w:rsid w:val="000C1858"/>
    <w:rsid w:val="000C1A27"/>
    <w:rsid w:val="000C300D"/>
    <w:rsid w:val="000C34E8"/>
    <w:rsid w:val="000C350F"/>
    <w:rsid w:val="000C3759"/>
    <w:rsid w:val="000C3A04"/>
    <w:rsid w:val="000C401E"/>
    <w:rsid w:val="000C4390"/>
    <w:rsid w:val="000C4463"/>
    <w:rsid w:val="000C5EB7"/>
    <w:rsid w:val="000C5EEE"/>
    <w:rsid w:val="000C64ED"/>
    <w:rsid w:val="000C651E"/>
    <w:rsid w:val="000C6949"/>
    <w:rsid w:val="000C6DCB"/>
    <w:rsid w:val="000C6E0B"/>
    <w:rsid w:val="000C7A3D"/>
    <w:rsid w:val="000C7BFC"/>
    <w:rsid w:val="000D04A9"/>
    <w:rsid w:val="000D0A28"/>
    <w:rsid w:val="000D1D10"/>
    <w:rsid w:val="000D213C"/>
    <w:rsid w:val="000D2326"/>
    <w:rsid w:val="000D2B0C"/>
    <w:rsid w:val="000D2B66"/>
    <w:rsid w:val="000D2B91"/>
    <w:rsid w:val="000D2C2F"/>
    <w:rsid w:val="000D3385"/>
    <w:rsid w:val="000D3D20"/>
    <w:rsid w:val="000D47E3"/>
    <w:rsid w:val="000D4BFA"/>
    <w:rsid w:val="000D5208"/>
    <w:rsid w:val="000D5304"/>
    <w:rsid w:val="000D5D55"/>
    <w:rsid w:val="000D5DDF"/>
    <w:rsid w:val="000D6F2E"/>
    <w:rsid w:val="000D7555"/>
    <w:rsid w:val="000D759B"/>
    <w:rsid w:val="000D7E71"/>
    <w:rsid w:val="000E0757"/>
    <w:rsid w:val="000E1BAD"/>
    <w:rsid w:val="000E20A9"/>
    <w:rsid w:val="000E20FF"/>
    <w:rsid w:val="000E2520"/>
    <w:rsid w:val="000E2A69"/>
    <w:rsid w:val="000E2B0E"/>
    <w:rsid w:val="000E2BDD"/>
    <w:rsid w:val="000E3539"/>
    <w:rsid w:val="000E3A48"/>
    <w:rsid w:val="000E494A"/>
    <w:rsid w:val="000E5533"/>
    <w:rsid w:val="000E5CBC"/>
    <w:rsid w:val="000E5F6D"/>
    <w:rsid w:val="000E73C8"/>
    <w:rsid w:val="000F1E41"/>
    <w:rsid w:val="000F1FD9"/>
    <w:rsid w:val="000F2227"/>
    <w:rsid w:val="000F23DB"/>
    <w:rsid w:val="000F3145"/>
    <w:rsid w:val="000F4A5B"/>
    <w:rsid w:val="000F4D0F"/>
    <w:rsid w:val="000F53C5"/>
    <w:rsid w:val="000F5A26"/>
    <w:rsid w:val="000F668B"/>
    <w:rsid w:val="000F6D0C"/>
    <w:rsid w:val="000F7334"/>
    <w:rsid w:val="000F7E22"/>
    <w:rsid w:val="00100BA4"/>
    <w:rsid w:val="00100CDF"/>
    <w:rsid w:val="0010135E"/>
    <w:rsid w:val="00101E3D"/>
    <w:rsid w:val="00101F1E"/>
    <w:rsid w:val="00101F23"/>
    <w:rsid w:val="00102031"/>
    <w:rsid w:val="00102B35"/>
    <w:rsid w:val="00102C30"/>
    <w:rsid w:val="00102E93"/>
    <w:rsid w:val="0010307E"/>
    <w:rsid w:val="00103290"/>
    <w:rsid w:val="0010383A"/>
    <w:rsid w:val="00103989"/>
    <w:rsid w:val="00103E0A"/>
    <w:rsid w:val="00104044"/>
    <w:rsid w:val="0010493F"/>
    <w:rsid w:val="00105924"/>
    <w:rsid w:val="00105BF2"/>
    <w:rsid w:val="001064CD"/>
    <w:rsid w:val="001064E2"/>
    <w:rsid w:val="00106780"/>
    <w:rsid w:val="001069DE"/>
    <w:rsid w:val="00106C04"/>
    <w:rsid w:val="00106DC5"/>
    <w:rsid w:val="00107670"/>
    <w:rsid w:val="00107AC8"/>
    <w:rsid w:val="00107D4F"/>
    <w:rsid w:val="00110327"/>
    <w:rsid w:val="0011040D"/>
    <w:rsid w:val="001107EE"/>
    <w:rsid w:val="00111261"/>
    <w:rsid w:val="0011144A"/>
    <w:rsid w:val="001115B9"/>
    <w:rsid w:val="001117D4"/>
    <w:rsid w:val="00111E40"/>
    <w:rsid w:val="00111FB1"/>
    <w:rsid w:val="00112217"/>
    <w:rsid w:val="001129C9"/>
    <w:rsid w:val="00112D9E"/>
    <w:rsid w:val="00112EDC"/>
    <w:rsid w:val="00113078"/>
    <w:rsid w:val="001130FF"/>
    <w:rsid w:val="00113AB2"/>
    <w:rsid w:val="00114052"/>
    <w:rsid w:val="00114337"/>
    <w:rsid w:val="00114836"/>
    <w:rsid w:val="00114E9F"/>
    <w:rsid w:val="00115AD5"/>
    <w:rsid w:val="00115AE8"/>
    <w:rsid w:val="00115C74"/>
    <w:rsid w:val="00115F17"/>
    <w:rsid w:val="00116996"/>
    <w:rsid w:val="00116A7F"/>
    <w:rsid w:val="0011752E"/>
    <w:rsid w:val="00117773"/>
    <w:rsid w:val="001205F1"/>
    <w:rsid w:val="00121181"/>
    <w:rsid w:val="00121D0C"/>
    <w:rsid w:val="0012214C"/>
    <w:rsid w:val="00122238"/>
    <w:rsid w:val="00122D26"/>
    <w:rsid w:val="001237E5"/>
    <w:rsid w:val="001238A3"/>
    <w:rsid w:val="00123B2E"/>
    <w:rsid w:val="00123D6B"/>
    <w:rsid w:val="00123E05"/>
    <w:rsid w:val="00123E6E"/>
    <w:rsid w:val="00124178"/>
    <w:rsid w:val="00124898"/>
    <w:rsid w:val="001254E4"/>
    <w:rsid w:val="0012599D"/>
    <w:rsid w:val="00125CE0"/>
    <w:rsid w:val="00125CEA"/>
    <w:rsid w:val="00126089"/>
    <w:rsid w:val="001263C5"/>
    <w:rsid w:val="00126FF4"/>
    <w:rsid w:val="001271C5"/>
    <w:rsid w:val="001273D6"/>
    <w:rsid w:val="0012765F"/>
    <w:rsid w:val="001279A1"/>
    <w:rsid w:val="00127D62"/>
    <w:rsid w:val="00130113"/>
    <w:rsid w:val="00130761"/>
    <w:rsid w:val="001308A6"/>
    <w:rsid w:val="001308E5"/>
    <w:rsid w:val="00131073"/>
    <w:rsid w:val="00131CB1"/>
    <w:rsid w:val="0013217E"/>
    <w:rsid w:val="001323EC"/>
    <w:rsid w:val="001324A5"/>
    <w:rsid w:val="00132E9F"/>
    <w:rsid w:val="00133751"/>
    <w:rsid w:val="00133B0A"/>
    <w:rsid w:val="00134A2B"/>
    <w:rsid w:val="00134BFA"/>
    <w:rsid w:val="001354A4"/>
    <w:rsid w:val="00135B38"/>
    <w:rsid w:val="00136042"/>
    <w:rsid w:val="00136346"/>
    <w:rsid w:val="001365A1"/>
    <w:rsid w:val="001367E4"/>
    <w:rsid w:val="00136ECB"/>
    <w:rsid w:val="00137171"/>
    <w:rsid w:val="001400C4"/>
    <w:rsid w:val="00140883"/>
    <w:rsid w:val="00141509"/>
    <w:rsid w:val="00141C3F"/>
    <w:rsid w:val="001428EC"/>
    <w:rsid w:val="00142947"/>
    <w:rsid w:val="00142AFA"/>
    <w:rsid w:val="00142C83"/>
    <w:rsid w:val="001430B0"/>
    <w:rsid w:val="00143255"/>
    <w:rsid w:val="0014350B"/>
    <w:rsid w:val="001439E0"/>
    <w:rsid w:val="00143D8C"/>
    <w:rsid w:val="00144065"/>
    <w:rsid w:val="001442EA"/>
    <w:rsid w:val="00144866"/>
    <w:rsid w:val="00144A3E"/>
    <w:rsid w:val="00144C7E"/>
    <w:rsid w:val="00146551"/>
    <w:rsid w:val="00146BD2"/>
    <w:rsid w:val="0014731E"/>
    <w:rsid w:val="00147D18"/>
    <w:rsid w:val="001513F5"/>
    <w:rsid w:val="0015151B"/>
    <w:rsid w:val="00151628"/>
    <w:rsid w:val="00151789"/>
    <w:rsid w:val="00152081"/>
    <w:rsid w:val="00152788"/>
    <w:rsid w:val="0015319B"/>
    <w:rsid w:val="001532AE"/>
    <w:rsid w:val="0015344E"/>
    <w:rsid w:val="00153558"/>
    <w:rsid w:val="001538C9"/>
    <w:rsid w:val="001539B7"/>
    <w:rsid w:val="00153ABE"/>
    <w:rsid w:val="00153C46"/>
    <w:rsid w:val="0015496E"/>
    <w:rsid w:val="00154F26"/>
    <w:rsid w:val="001556DB"/>
    <w:rsid w:val="00155BB3"/>
    <w:rsid w:val="00156121"/>
    <w:rsid w:val="00156222"/>
    <w:rsid w:val="00156503"/>
    <w:rsid w:val="00156D01"/>
    <w:rsid w:val="00156D63"/>
    <w:rsid w:val="00157792"/>
    <w:rsid w:val="001607DB"/>
    <w:rsid w:val="00160B02"/>
    <w:rsid w:val="00161104"/>
    <w:rsid w:val="00161368"/>
    <w:rsid w:val="001615D1"/>
    <w:rsid w:val="0016191F"/>
    <w:rsid w:val="00161A92"/>
    <w:rsid w:val="001622A5"/>
    <w:rsid w:val="00162986"/>
    <w:rsid w:val="001631EC"/>
    <w:rsid w:val="0016400A"/>
    <w:rsid w:val="001640A3"/>
    <w:rsid w:val="001645DA"/>
    <w:rsid w:val="00164831"/>
    <w:rsid w:val="00164DC5"/>
    <w:rsid w:val="001658B4"/>
    <w:rsid w:val="001666EA"/>
    <w:rsid w:val="001668A6"/>
    <w:rsid w:val="00167314"/>
    <w:rsid w:val="00170458"/>
    <w:rsid w:val="001707DD"/>
    <w:rsid w:val="001708F0"/>
    <w:rsid w:val="001714D5"/>
    <w:rsid w:val="001715B5"/>
    <w:rsid w:val="00171A36"/>
    <w:rsid w:val="00171E4C"/>
    <w:rsid w:val="0017206F"/>
    <w:rsid w:val="00172B32"/>
    <w:rsid w:val="00173B6F"/>
    <w:rsid w:val="0017498B"/>
    <w:rsid w:val="00175D20"/>
    <w:rsid w:val="001764C7"/>
    <w:rsid w:val="001766D1"/>
    <w:rsid w:val="0017682E"/>
    <w:rsid w:val="00176902"/>
    <w:rsid w:val="001771BD"/>
    <w:rsid w:val="0017729C"/>
    <w:rsid w:val="00177D00"/>
    <w:rsid w:val="001802C6"/>
    <w:rsid w:val="00180CFD"/>
    <w:rsid w:val="00180EFF"/>
    <w:rsid w:val="001811CA"/>
    <w:rsid w:val="0018146A"/>
    <w:rsid w:val="0018189A"/>
    <w:rsid w:val="00181B2A"/>
    <w:rsid w:val="0018259F"/>
    <w:rsid w:val="00182B04"/>
    <w:rsid w:val="00182BF5"/>
    <w:rsid w:val="00182E38"/>
    <w:rsid w:val="001833EF"/>
    <w:rsid w:val="001838A5"/>
    <w:rsid w:val="001842A6"/>
    <w:rsid w:val="00184346"/>
    <w:rsid w:val="0018438A"/>
    <w:rsid w:val="00185038"/>
    <w:rsid w:val="001853B0"/>
    <w:rsid w:val="00185AB2"/>
    <w:rsid w:val="00185D84"/>
    <w:rsid w:val="0018639B"/>
    <w:rsid w:val="001863AF"/>
    <w:rsid w:val="00186BE8"/>
    <w:rsid w:val="00186CD8"/>
    <w:rsid w:val="0018768F"/>
    <w:rsid w:val="00187EE9"/>
    <w:rsid w:val="0019005D"/>
    <w:rsid w:val="00190382"/>
    <w:rsid w:val="00190B58"/>
    <w:rsid w:val="00190D60"/>
    <w:rsid w:val="00192163"/>
    <w:rsid w:val="001927A4"/>
    <w:rsid w:val="00192EED"/>
    <w:rsid w:val="00193669"/>
    <w:rsid w:val="00193870"/>
    <w:rsid w:val="00193FB7"/>
    <w:rsid w:val="00194983"/>
    <w:rsid w:val="001949EF"/>
    <w:rsid w:val="00195F94"/>
    <w:rsid w:val="0019632A"/>
    <w:rsid w:val="0019635E"/>
    <w:rsid w:val="001968E8"/>
    <w:rsid w:val="00196BF0"/>
    <w:rsid w:val="00197C1B"/>
    <w:rsid w:val="001A01CB"/>
    <w:rsid w:val="001A05DE"/>
    <w:rsid w:val="001A0610"/>
    <w:rsid w:val="001A07A9"/>
    <w:rsid w:val="001A0913"/>
    <w:rsid w:val="001A19CE"/>
    <w:rsid w:val="001A22F2"/>
    <w:rsid w:val="001A231A"/>
    <w:rsid w:val="001A2622"/>
    <w:rsid w:val="001A263A"/>
    <w:rsid w:val="001A27C6"/>
    <w:rsid w:val="001A2A8D"/>
    <w:rsid w:val="001A2FEE"/>
    <w:rsid w:val="001A3643"/>
    <w:rsid w:val="001A39AA"/>
    <w:rsid w:val="001A3A7C"/>
    <w:rsid w:val="001A3C91"/>
    <w:rsid w:val="001A3D9C"/>
    <w:rsid w:val="001A3F48"/>
    <w:rsid w:val="001A42F3"/>
    <w:rsid w:val="001A4470"/>
    <w:rsid w:val="001A460E"/>
    <w:rsid w:val="001A5359"/>
    <w:rsid w:val="001A5F10"/>
    <w:rsid w:val="001A6051"/>
    <w:rsid w:val="001A6115"/>
    <w:rsid w:val="001A66AD"/>
    <w:rsid w:val="001A7090"/>
    <w:rsid w:val="001A70EE"/>
    <w:rsid w:val="001A7120"/>
    <w:rsid w:val="001A76BE"/>
    <w:rsid w:val="001B0119"/>
    <w:rsid w:val="001B0579"/>
    <w:rsid w:val="001B12A1"/>
    <w:rsid w:val="001B12D7"/>
    <w:rsid w:val="001B1C54"/>
    <w:rsid w:val="001B1CD7"/>
    <w:rsid w:val="001B1E5D"/>
    <w:rsid w:val="001B29AF"/>
    <w:rsid w:val="001B2B44"/>
    <w:rsid w:val="001B2BAC"/>
    <w:rsid w:val="001B31B2"/>
    <w:rsid w:val="001B3C24"/>
    <w:rsid w:val="001B3D37"/>
    <w:rsid w:val="001B4413"/>
    <w:rsid w:val="001B4F5A"/>
    <w:rsid w:val="001B56AD"/>
    <w:rsid w:val="001B5883"/>
    <w:rsid w:val="001B6132"/>
    <w:rsid w:val="001B711C"/>
    <w:rsid w:val="001B7320"/>
    <w:rsid w:val="001B73B7"/>
    <w:rsid w:val="001B7BFD"/>
    <w:rsid w:val="001C00EF"/>
    <w:rsid w:val="001C0475"/>
    <w:rsid w:val="001C04D5"/>
    <w:rsid w:val="001C055E"/>
    <w:rsid w:val="001C0C5A"/>
    <w:rsid w:val="001C0D21"/>
    <w:rsid w:val="001C101D"/>
    <w:rsid w:val="001C1248"/>
    <w:rsid w:val="001C13D8"/>
    <w:rsid w:val="001C14A8"/>
    <w:rsid w:val="001C1549"/>
    <w:rsid w:val="001C1589"/>
    <w:rsid w:val="001C178A"/>
    <w:rsid w:val="001C260D"/>
    <w:rsid w:val="001C2694"/>
    <w:rsid w:val="001C2D54"/>
    <w:rsid w:val="001C2D75"/>
    <w:rsid w:val="001C3176"/>
    <w:rsid w:val="001C37E8"/>
    <w:rsid w:val="001C42C3"/>
    <w:rsid w:val="001C45DD"/>
    <w:rsid w:val="001C539C"/>
    <w:rsid w:val="001C5932"/>
    <w:rsid w:val="001C5B16"/>
    <w:rsid w:val="001C5E6D"/>
    <w:rsid w:val="001C6588"/>
    <w:rsid w:val="001C7133"/>
    <w:rsid w:val="001C7DC6"/>
    <w:rsid w:val="001D01D2"/>
    <w:rsid w:val="001D02C0"/>
    <w:rsid w:val="001D0F2E"/>
    <w:rsid w:val="001D211F"/>
    <w:rsid w:val="001D2486"/>
    <w:rsid w:val="001D2730"/>
    <w:rsid w:val="001D281F"/>
    <w:rsid w:val="001D2BDE"/>
    <w:rsid w:val="001D4399"/>
    <w:rsid w:val="001D491B"/>
    <w:rsid w:val="001D52DB"/>
    <w:rsid w:val="001D5485"/>
    <w:rsid w:val="001D608D"/>
    <w:rsid w:val="001D61EC"/>
    <w:rsid w:val="001D63BE"/>
    <w:rsid w:val="001D68C8"/>
    <w:rsid w:val="001D6B9D"/>
    <w:rsid w:val="001D6C7A"/>
    <w:rsid w:val="001D6C89"/>
    <w:rsid w:val="001D6C96"/>
    <w:rsid w:val="001D6EA8"/>
    <w:rsid w:val="001D7F24"/>
    <w:rsid w:val="001E0096"/>
    <w:rsid w:val="001E02DA"/>
    <w:rsid w:val="001E04E2"/>
    <w:rsid w:val="001E0A7A"/>
    <w:rsid w:val="001E0AB7"/>
    <w:rsid w:val="001E0FA7"/>
    <w:rsid w:val="001E123A"/>
    <w:rsid w:val="001E1722"/>
    <w:rsid w:val="001E19C8"/>
    <w:rsid w:val="001E1F1D"/>
    <w:rsid w:val="001E2152"/>
    <w:rsid w:val="001E2E20"/>
    <w:rsid w:val="001E304E"/>
    <w:rsid w:val="001E35AA"/>
    <w:rsid w:val="001E3AFA"/>
    <w:rsid w:val="001E3C31"/>
    <w:rsid w:val="001E4473"/>
    <w:rsid w:val="001E49EF"/>
    <w:rsid w:val="001E4FD1"/>
    <w:rsid w:val="001E5715"/>
    <w:rsid w:val="001E5768"/>
    <w:rsid w:val="001E6021"/>
    <w:rsid w:val="001E6375"/>
    <w:rsid w:val="001E64CE"/>
    <w:rsid w:val="001E6FF7"/>
    <w:rsid w:val="001E728F"/>
    <w:rsid w:val="001E7344"/>
    <w:rsid w:val="001E7356"/>
    <w:rsid w:val="001E74B2"/>
    <w:rsid w:val="001F02B2"/>
    <w:rsid w:val="001F0406"/>
    <w:rsid w:val="001F0484"/>
    <w:rsid w:val="001F04A4"/>
    <w:rsid w:val="001F1D75"/>
    <w:rsid w:val="001F204D"/>
    <w:rsid w:val="001F2D7B"/>
    <w:rsid w:val="001F2DAE"/>
    <w:rsid w:val="001F36ED"/>
    <w:rsid w:val="001F37D9"/>
    <w:rsid w:val="001F415D"/>
    <w:rsid w:val="001F4601"/>
    <w:rsid w:val="001F4CDA"/>
    <w:rsid w:val="001F5419"/>
    <w:rsid w:val="001F5480"/>
    <w:rsid w:val="001F572D"/>
    <w:rsid w:val="001F5F06"/>
    <w:rsid w:val="001F60E5"/>
    <w:rsid w:val="001F622E"/>
    <w:rsid w:val="001F6693"/>
    <w:rsid w:val="001F7E72"/>
    <w:rsid w:val="002001C6"/>
    <w:rsid w:val="00200A18"/>
    <w:rsid w:val="002011A9"/>
    <w:rsid w:val="0020144A"/>
    <w:rsid w:val="00201C93"/>
    <w:rsid w:val="00202092"/>
    <w:rsid w:val="00202C5D"/>
    <w:rsid w:val="00202D41"/>
    <w:rsid w:val="00204881"/>
    <w:rsid w:val="00204DD6"/>
    <w:rsid w:val="0020511C"/>
    <w:rsid w:val="002054C5"/>
    <w:rsid w:val="00205558"/>
    <w:rsid w:val="0020619D"/>
    <w:rsid w:val="00206AA1"/>
    <w:rsid w:val="00207704"/>
    <w:rsid w:val="00207ABE"/>
    <w:rsid w:val="00207EF2"/>
    <w:rsid w:val="00210533"/>
    <w:rsid w:val="00210918"/>
    <w:rsid w:val="00210AAB"/>
    <w:rsid w:val="00210C83"/>
    <w:rsid w:val="002110C2"/>
    <w:rsid w:val="002114B2"/>
    <w:rsid w:val="00211551"/>
    <w:rsid w:val="00211716"/>
    <w:rsid w:val="00211D26"/>
    <w:rsid w:val="002124F7"/>
    <w:rsid w:val="0021374A"/>
    <w:rsid w:val="00213912"/>
    <w:rsid w:val="00215A88"/>
    <w:rsid w:val="002164DC"/>
    <w:rsid w:val="002169AE"/>
    <w:rsid w:val="00216F2A"/>
    <w:rsid w:val="00217047"/>
    <w:rsid w:val="002203A8"/>
    <w:rsid w:val="0022070C"/>
    <w:rsid w:val="00220869"/>
    <w:rsid w:val="00220874"/>
    <w:rsid w:val="00220A4C"/>
    <w:rsid w:val="00220D76"/>
    <w:rsid w:val="002210E2"/>
    <w:rsid w:val="0022130F"/>
    <w:rsid w:val="00221523"/>
    <w:rsid w:val="00221905"/>
    <w:rsid w:val="00221A78"/>
    <w:rsid w:val="00222B34"/>
    <w:rsid w:val="00222BE9"/>
    <w:rsid w:val="00223019"/>
    <w:rsid w:val="0022343C"/>
    <w:rsid w:val="002235C8"/>
    <w:rsid w:val="00223670"/>
    <w:rsid w:val="002238A1"/>
    <w:rsid w:val="00223B08"/>
    <w:rsid w:val="00223D02"/>
    <w:rsid w:val="00223ED7"/>
    <w:rsid w:val="00224096"/>
    <w:rsid w:val="002245D9"/>
    <w:rsid w:val="002245E2"/>
    <w:rsid w:val="00224B2E"/>
    <w:rsid w:val="00224EAB"/>
    <w:rsid w:val="002250A1"/>
    <w:rsid w:val="00225481"/>
    <w:rsid w:val="00225487"/>
    <w:rsid w:val="002257F4"/>
    <w:rsid w:val="00225A1C"/>
    <w:rsid w:val="00225A2B"/>
    <w:rsid w:val="00225EEE"/>
    <w:rsid w:val="0022613F"/>
    <w:rsid w:val="00227074"/>
    <w:rsid w:val="00227E82"/>
    <w:rsid w:val="00227FD4"/>
    <w:rsid w:val="00230158"/>
    <w:rsid w:val="002309B6"/>
    <w:rsid w:val="00231B1C"/>
    <w:rsid w:val="00232012"/>
    <w:rsid w:val="002325C5"/>
    <w:rsid w:val="002327D6"/>
    <w:rsid w:val="00232C3F"/>
    <w:rsid w:val="00232CE2"/>
    <w:rsid w:val="00232DE5"/>
    <w:rsid w:val="002333D4"/>
    <w:rsid w:val="00233780"/>
    <w:rsid w:val="00234225"/>
    <w:rsid w:val="00234556"/>
    <w:rsid w:val="00234893"/>
    <w:rsid w:val="00234F85"/>
    <w:rsid w:val="00235116"/>
    <w:rsid w:val="0023581A"/>
    <w:rsid w:val="00235EA0"/>
    <w:rsid w:val="002361E3"/>
    <w:rsid w:val="00236205"/>
    <w:rsid w:val="00236C9F"/>
    <w:rsid w:val="00236D24"/>
    <w:rsid w:val="00236E72"/>
    <w:rsid w:val="0023705A"/>
    <w:rsid w:val="002370D0"/>
    <w:rsid w:val="0023732E"/>
    <w:rsid w:val="002375A1"/>
    <w:rsid w:val="00237E60"/>
    <w:rsid w:val="00237F2E"/>
    <w:rsid w:val="002400D0"/>
    <w:rsid w:val="0024064C"/>
    <w:rsid w:val="00240873"/>
    <w:rsid w:val="00240C35"/>
    <w:rsid w:val="00240FF6"/>
    <w:rsid w:val="00241111"/>
    <w:rsid w:val="00241205"/>
    <w:rsid w:val="0024268B"/>
    <w:rsid w:val="00243C6D"/>
    <w:rsid w:val="002440C5"/>
    <w:rsid w:val="0024437B"/>
    <w:rsid w:val="0024525B"/>
    <w:rsid w:val="00245906"/>
    <w:rsid w:val="002459A4"/>
    <w:rsid w:val="00245A09"/>
    <w:rsid w:val="00245A69"/>
    <w:rsid w:val="0024618C"/>
    <w:rsid w:val="00246F8C"/>
    <w:rsid w:val="0024712E"/>
    <w:rsid w:val="0024721F"/>
    <w:rsid w:val="002473E7"/>
    <w:rsid w:val="002474B4"/>
    <w:rsid w:val="00247757"/>
    <w:rsid w:val="00247E3B"/>
    <w:rsid w:val="0025022E"/>
    <w:rsid w:val="0025030D"/>
    <w:rsid w:val="00250452"/>
    <w:rsid w:val="002516C1"/>
    <w:rsid w:val="002516E8"/>
    <w:rsid w:val="00251A87"/>
    <w:rsid w:val="00251E8A"/>
    <w:rsid w:val="002520C0"/>
    <w:rsid w:val="002520F4"/>
    <w:rsid w:val="00252F93"/>
    <w:rsid w:val="002533BD"/>
    <w:rsid w:val="0025342B"/>
    <w:rsid w:val="00253A47"/>
    <w:rsid w:val="00253AB9"/>
    <w:rsid w:val="00253DEB"/>
    <w:rsid w:val="00253FF1"/>
    <w:rsid w:val="002549BE"/>
    <w:rsid w:val="0025516F"/>
    <w:rsid w:val="002553B1"/>
    <w:rsid w:val="002553CC"/>
    <w:rsid w:val="00255F3E"/>
    <w:rsid w:val="002560BF"/>
    <w:rsid w:val="00256365"/>
    <w:rsid w:val="0025676B"/>
    <w:rsid w:val="00256A8A"/>
    <w:rsid w:val="00256EBE"/>
    <w:rsid w:val="00256F2C"/>
    <w:rsid w:val="002572A5"/>
    <w:rsid w:val="002577CA"/>
    <w:rsid w:val="00260A82"/>
    <w:rsid w:val="00260A9A"/>
    <w:rsid w:val="00261A18"/>
    <w:rsid w:val="00261D0B"/>
    <w:rsid w:val="00261EF4"/>
    <w:rsid w:val="00262223"/>
    <w:rsid w:val="00262508"/>
    <w:rsid w:val="002625E0"/>
    <w:rsid w:val="00262887"/>
    <w:rsid w:val="002629AC"/>
    <w:rsid w:val="00263403"/>
    <w:rsid w:val="0026365C"/>
    <w:rsid w:val="002637A6"/>
    <w:rsid w:val="00263ED4"/>
    <w:rsid w:val="0026426B"/>
    <w:rsid w:val="0026475C"/>
    <w:rsid w:val="00264E04"/>
    <w:rsid w:val="002655AA"/>
    <w:rsid w:val="002657CC"/>
    <w:rsid w:val="00265BB2"/>
    <w:rsid w:val="00265F84"/>
    <w:rsid w:val="002662AC"/>
    <w:rsid w:val="00266966"/>
    <w:rsid w:val="00266DF6"/>
    <w:rsid w:val="002672B9"/>
    <w:rsid w:val="00267449"/>
    <w:rsid w:val="002700DE"/>
    <w:rsid w:val="002706DF"/>
    <w:rsid w:val="00271B38"/>
    <w:rsid w:val="00271F5F"/>
    <w:rsid w:val="00272747"/>
    <w:rsid w:val="00272DE1"/>
    <w:rsid w:val="002732DF"/>
    <w:rsid w:val="00273ED7"/>
    <w:rsid w:val="0027411A"/>
    <w:rsid w:val="0027412E"/>
    <w:rsid w:val="0027418A"/>
    <w:rsid w:val="00274CB4"/>
    <w:rsid w:val="00274E2B"/>
    <w:rsid w:val="0027525D"/>
    <w:rsid w:val="002756DA"/>
    <w:rsid w:val="00275AB4"/>
    <w:rsid w:val="0027627D"/>
    <w:rsid w:val="00276AD7"/>
    <w:rsid w:val="00276EC7"/>
    <w:rsid w:val="00276F42"/>
    <w:rsid w:val="00277022"/>
    <w:rsid w:val="0028062E"/>
    <w:rsid w:val="00280D59"/>
    <w:rsid w:val="00281147"/>
    <w:rsid w:val="00281321"/>
    <w:rsid w:val="00281342"/>
    <w:rsid w:val="0028154F"/>
    <w:rsid w:val="00281729"/>
    <w:rsid w:val="002817E4"/>
    <w:rsid w:val="00281CD8"/>
    <w:rsid w:val="00281E24"/>
    <w:rsid w:val="00281FFA"/>
    <w:rsid w:val="002820AA"/>
    <w:rsid w:val="0028218B"/>
    <w:rsid w:val="0028279F"/>
    <w:rsid w:val="00283C0B"/>
    <w:rsid w:val="00284083"/>
    <w:rsid w:val="00284151"/>
    <w:rsid w:val="00284C0D"/>
    <w:rsid w:val="0028554C"/>
    <w:rsid w:val="002859E3"/>
    <w:rsid w:val="002867A6"/>
    <w:rsid w:val="00286D41"/>
    <w:rsid w:val="00290627"/>
    <w:rsid w:val="00290C08"/>
    <w:rsid w:val="00290C1D"/>
    <w:rsid w:val="00290CCC"/>
    <w:rsid w:val="002911FD"/>
    <w:rsid w:val="00291733"/>
    <w:rsid w:val="002917F0"/>
    <w:rsid w:val="0029202E"/>
    <w:rsid w:val="00292640"/>
    <w:rsid w:val="0029281A"/>
    <w:rsid w:val="00292E25"/>
    <w:rsid w:val="00293037"/>
    <w:rsid w:val="0029318D"/>
    <w:rsid w:val="00293660"/>
    <w:rsid w:val="00293CF5"/>
    <w:rsid w:val="00293F11"/>
    <w:rsid w:val="00294532"/>
    <w:rsid w:val="00294C89"/>
    <w:rsid w:val="002953CF"/>
    <w:rsid w:val="0029552E"/>
    <w:rsid w:val="002957C3"/>
    <w:rsid w:val="0029593B"/>
    <w:rsid w:val="00295B4F"/>
    <w:rsid w:val="00295BCE"/>
    <w:rsid w:val="00296264"/>
    <w:rsid w:val="002962D2"/>
    <w:rsid w:val="0029658A"/>
    <w:rsid w:val="0029677E"/>
    <w:rsid w:val="0029692A"/>
    <w:rsid w:val="002969DE"/>
    <w:rsid w:val="00296CF7"/>
    <w:rsid w:val="00297174"/>
    <w:rsid w:val="00297E50"/>
    <w:rsid w:val="002A1B60"/>
    <w:rsid w:val="002A2282"/>
    <w:rsid w:val="002A3990"/>
    <w:rsid w:val="002A3ABC"/>
    <w:rsid w:val="002A3CCE"/>
    <w:rsid w:val="002A3E50"/>
    <w:rsid w:val="002A4143"/>
    <w:rsid w:val="002A4728"/>
    <w:rsid w:val="002A4757"/>
    <w:rsid w:val="002A4870"/>
    <w:rsid w:val="002A4E98"/>
    <w:rsid w:val="002A51A0"/>
    <w:rsid w:val="002A51F8"/>
    <w:rsid w:val="002A5781"/>
    <w:rsid w:val="002A5AB2"/>
    <w:rsid w:val="002A61E6"/>
    <w:rsid w:val="002A68D6"/>
    <w:rsid w:val="002A6AEC"/>
    <w:rsid w:val="002A6DAA"/>
    <w:rsid w:val="002A6E78"/>
    <w:rsid w:val="002A6EBB"/>
    <w:rsid w:val="002A7150"/>
    <w:rsid w:val="002A7898"/>
    <w:rsid w:val="002A7AC8"/>
    <w:rsid w:val="002A7C85"/>
    <w:rsid w:val="002B04DD"/>
    <w:rsid w:val="002B07F0"/>
    <w:rsid w:val="002B0858"/>
    <w:rsid w:val="002B08D6"/>
    <w:rsid w:val="002B0AFE"/>
    <w:rsid w:val="002B0D39"/>
    <w:rsid w:val="002B11EC"/>
    <w:rsid w:val="002B154C"/>
    <w:rsid w:val="002B1953"/>
    <w:rsid w:val="002B1A89"/>
    <w:rsid w:val="002B2024"/>
    <w:rsid w:val="002B2A1A"/>
    <w:rsid w:val="002B2B73"/>
    <w:rsid w:val="002B3BBD"/>
    <w:rsid w:val="002B3E11"/>
    <w:rsid w:val="002B54E3"/>
    <w:rsid w:val="002B59DF"/>
    <w:rsid w:val="002B5CAA"/>
    <w:rsid w:val="002B5F1E"/>
    <w:rsid w:val="002B63C2"/>
    <w:rsid w:val="002B6959"/>
    <w:rsid w:val="002B6ECC"/>
    <w:rsid w:val="002B6F29"/>
    <w:rsid w:val="002B75FE"/>
    <w:rsid w:val="002B76B0"/>
    <w:rsid w:val="002B7F33"/>
    <w:rsid w:val="002C04F4"/>
    <w:rsid w:val="002C16B9"/>
    <w:rsid w:val="002C22A2"/>
    <w:rsid w:val="002C2310"/>
    <w:rsid w:val="002C25D4"/>
    <w:rsid w:val="002C2799"/>
    <w:rsid w:val="002C2D6F"/>
    <w:rsid w:val="002C3457"/>
    <w:rsid w:val="002C3683"/>
    <w:rsid w:val="002C38CE"/>
    <w:rsid w:val="002C3ADD"/>
    <w:rsid w:val="002C52CB"/>
    <w:rsid w:val="002C54ED"/>
    <w:rsid w:val="002C56B5"/>
    <w:rsid w:val="002C581A"/>
    <w:rsid w:val="002C5CA1"/>
    <w:rsid w:val="002C6926"/>
    <w:rsid w:val="002C6B78"/>
    <w:rsid w:val="002C6ECC"/>
    <w:rsid w:val="002C71BC"/>
    <w:rsid w:val="002C7339"/>
    <w:rsid w:val="002C7751"/>
    <w:rsid w:val="002C7779"/>
    <w:rsid w:val="002C798C"/>
    <w:rsid w:val="002C7A16"/>
    <w:rsid w:val="002D0590"/>
    <w:rsid w:val="002D106F"/>
    <w:rsid w:val="002D1106"/>
    <w:rsid w:val="002D2924"/>
    <w:rsid w:val="002D336E"/>
    <w:rsid w:val="002D371E"/>
    <w:rsid w:val="002D38C2"/>
    <w:rsid w:val="002D4120"/>
    <w:rsid w:val="002D453E"/>
    <w:rsid w:val="002D4CEF"/>
    <w:rsid w:val="002D5060"/>
    <w:rsid w:val="002D506A"/>
    <w:rsid w:val="002D5208"/>
    <w:rsid w:val="002D5257"/>
    <w:rsid w:val="002D58CB"/>
    <w:rsid w:val="002D58DF"/>
    <w:rsid w:val="002D6512"/>
    <w:rsid w:val="002D69A7"/>
    <w:rsid w:val="002D73F4"/>
    <w:rsid w:val="002D7706"/>
    <w:rsid w:val="002D7D94"/>
    <w:rsid w:val="002E0E1C"/>
    <w:rsid w:val="002E117C"/>
    <w:rsid w:val="002E1374"/>
    <w:rsid w:val="002E1438"/>
    <w:rsid w:val="002E19A8"/>
    <w:rsid w:val="002E1B79"/>
    <w:rsid w:val="002E1E9E"/>
    <w:rsid w:val="002E2694"/>
    <w:rsid w:val="002E2E20"/>
    <w:rsid w:val="002E2E57"/>
    <w:rsid w:val="002E34E5"/>
    <w:rsid w:val="002E39AE"/>
    <w:rsid w:val="002E413F"/>
    <w:rsid w:val="002E43BA"/>
    <w:rsid w:val="002E466A"/>
    <w:rsid w:val="002E46FD"/>
    <w:rsid w:val="002E48AC"/>
    <w:rsid w:val="002E4BE6"/>
    <w:rsid w:val="002E4DFD"/>
    <w:rsid w:val="002E6718"/>
    <w:rsid w:val="002E6E02"/>
    <w:rsid w:val="002E78B2"/>
    <w:rsid w:val="002E7AD7"/>
    <w:rsid w:val="002E7DFB"/>
    <w:rsid w:val="002E7F4B"/>
    <w:rsid w:val="002E7FDC"/>
    <w:rsid w:val="002F003B"/>
    <w:rsid w:val="002F023C"/>
    <w:rsid w:val="002F072F"/>
    <w:rsid w:val="002F0799"/>
    <w:rsid w:val="002F0824"/>
    <w:rsid w:val="002F1620"/>
    <w:rsid w:val="002F18ED"/>
    <w:rsid w:val="002F18F6"/>
    <w:rsid w:val="002F3B02"/>
    <w:rsid w:val="002F45FA"/>
    <w:rsid w:val="002F4F29"/>
    <w:rsid w:val="002F5C97"/>
    <w:rsid w:val="002F5D58"/>
    <w:rsid w:val="002F6346"/>
    <w:rsid w:val="002F6D86"/>
    <w:rsid w:val="002F71B7"/>
    <w:rsid w:val="002F7539"/>
    <w:rsid w:val="002F78BA"/>
    <w:rsid w:val="002F7A27"/>
    <w:rsid w:val="002F7A45"/>
    <w:rsid w:val="002F7BFD"/>
    <w:rsid w:val="002F7EF7"/>
    <w:rsid w:val="0030063F"/>
    <w:rsid w:val="00300895"/>
    <w:rsid w:val="00300DCF"/>
    <w:rsid w:val="00300EDA"/>
    <w:rsid w:val="003026AC"/>
    <w:rsid w:val="00302E11"/>
    <w:rsid w:val="003030C6"/>
    <w:rsid w:val="003031BC"/>
    <w:rsid w:val="00303270"/>
    <w:rsid w:val="0030375E"/>
    <w:rsid w:val="00303D13"/>
    <w:rsid w:val="00304143"/>
    <w:rsid w:val="00305114"/>
    <w:rsid w:val="00305330"/>
    <w:rsid w:val="00305E25"/>
    <w:rsid w:val="003064EA"/>
    <w:rsid w:val="00306A09"/>
    <w:rsid w:val="00306DF7"/>
    <w:rsid w:val="003076D1"/>
    <w:rsid w:val="00307930"/>
    <w:rsid w:val="00310602"/>
    <w:rsid w:val="00310732"/>
    <w:rsid w:val="00310806"/>
    <w:rsid w:val="0031136B"/>
    <w:rsid w:val="003118A5"/>
    <w:rsid w:val="00311B44"/>
    <w:rsid w:val="00312553"/>
    <w:rsid w:val="003127E1"/>
    <w:rsid w:val="00314564"/>
    <w:rsid w:val="00314C60"/>
    <w:rsid w:val="00315ACC"/>
    <w:rsid w:val="00315BF5"/>
    <w:rsid w:val="00315CC9"/>
    <w:rsid w:val="0031648C"/>
    <w:rsid w:val="00316928"/>
    <w:rsid w:val="00317908"/>
    <w:rsid w:val="00317B45"/>
    <w:rsid w:val="0032048A"/>
    <w:rsid w:val="0032075B"/>
    <w:rsid w:val="00320841"/>
    <w:rsid w:val="00320D5A"/>
    <w:rsid w:val="00321BFE"/>
    <w:rsid w:val="00322260"/>
    <w:rsid w:val="003223FC"/>
    <w:rsid w:val="00322DE9"/>
    <w:rsid w:val="003232D8"/>
    <w:rsid w:val="00323690"/>
    <w:rsid w:val="0032386A"/>
    <w:rsid w:val="00323901"/>
    <w:rsid w:val="00323A2C"/>
    <w:rsid w:val="00324453"/>
    <w:rsid w:val="00324887"/>
    <w:rsid w:val="003248BE"/>
    <w:rsid w:val="00324D39"/>
    <w:rsid w:val="00325111"/>
    <w:rsid w:val="0032530F"/>
    <w:rsid w:val="00325466"/>
    <w:rsid w:val="00325A6B"/>
    <w:rsid w:val="00325C90"/>
    <w:rsid w:val="00327447"/>
    <w:rsid w:val="00327572"/>
    <w:rsid w:val="00327604"/>
    <w:rsid w:val="00327852"/>
    <w:rsid w:val="00327867"/>
    <w:rsid w:val="00327B80"/>
    <w:rsid w:val="00327C90"/>
    <w:rsid w:val="00327D8D"/>
    <w:rsid w:val="003302D8"/>
    <w:rsid w:val="0033060D"/>
    <w:rsid w:val="003309CF"/>
    <w:rsid w:val="00330A99"/>
    <w:rsid w:val="0033104C"/>
    <w:rsid w:val="003316C6"/>
    <w:rsid w:val="00331DF4"/>
    <w:rsid w:val="00332321"/>
    <w:rsid w:val="003323DF"/>
    <w:rsid w:val="00332652"/>
    <w:rsid w:val="00332D6A"/>
    <w:rsid w:val="00334765"/>
    <w:rsid w:val="00334960"/>
    <w:rsid w:val="00335257"/>
    <w:rsid w:val="0033546B"/>
    <w:rsid w:val="003359F2"/>
    <w:rsid w:val="00335A0F"/>
    <w:rsid w:val="00335E0D"/>
    <w:rsid w:val="00336057"/>
    <w:rsid w:val="00336503"/>
    <w:rsid w:val="00336909"/>
    <w:rsid w:val="00336B64"/>
    <w:rsid w:val="0033753B"/>
    <w:rsid w:val="00337D49"/>
    <w:rsid w:val="00340079"/>
    <w:rsid w:val="00340381"/>
    <w:rsid w:val="00340849"/>
    <w:rsid w:val="00340DF3"/>
    <w:rsid w:val="00340E11"/>
    <w:rsid w:val="00342777"/>
    <w:rsid w:val="00342D8B"/>
    <w:rsid w:val="00343AFB"/>
    <w:rsid w:val="00344640"/>
    <w:rsid w:val="003446C0"/>
    <w:rsid w:val="00344DF4"/>
    <w:rsid w:val="00344F6C"/>
    <w:rsid w:val="003460B4"/>
    <w:rsid w:val="00346724"/>
    <w:rsid w:val="00346C28"/>
    <w:rsid w:val="00346D3B"/>
    <w:rsid w:val="003470CA"/>
    <w:rsid w:val="0034732F"/>
    <w:rsid w:val="00347366"/>
    <w:rsid w:val="00350B78"/>
    <w:rsid w:val="00350C28"/>
    <w:rsid w:val="00350D70"/>
    <w:rsid w:val="00350DDC"/>
    <w:rsid w:val="003513A8"/>
    <w:rsid w:val="003513B3"/>
    <w:rsid w:val="00351453"/>
    <w:rsid w:val="00352211"/>
    <w:rsid w:val="003522D2"/>
    <w:rsid w:val="003543DD"/>
    <w:rsid w:val="00354AF8"/>
    <w:rsid w:val="00354E7B"/>
    <w:rsid w:val="00355311"/>
    <w:rsid w:val="00356525"/>
    <w:rsid w:val="00356A10"/>
    <w:rsid w:val="00356B03"/>
    <w:rsid w:val="00356F0E"/>
    <w:rsid w:val="003571C0"/>
    <w:rsid w:val="003574F3"/>
    <w:rsid w:val="00357AB9"/>
    <w:rsid w:val="003608FD"/>
    <w:rsid w:val="00361016"/>
    <w:rsid w:val="0036108D"/>
    <w:rsid w:val="00361784"/>
    <w:rsid w:val="00361986"/>
    <w:rsid w:val="00361D70"/>
    <w:rsid w:val="00361EFF"/>
    <w:rsid w:val="003623FC"/>
    <w:rsid w:val="00362572"/>
    <w:rsid w:val="00363518"/>
    <w:rsid w:val="00364016"/>
    <w:rsid w:val="00364A60"/>
    <w:rsid w:val="00364B66"/>
    <w:rsid w:val="00364C18"/>
    <w:rsid w:val="003652F4"/>
    <w:rsid w:val="0036615C"/>
    <w:rsid w:val="0036661F"/>
    <w:rsid w:val="00366896"/>
    <w:rsid w:val="003668B8"/>
    <w:rsid w:val="00367169"/>
    <w:rsid w:val="00367189"/>
    <w:rsid w:val="00367260"/>
    <w:rsid w:val="00367360"/>
    <w:rsid w:val="003706CC"/>
    <w:rsid w:val="00370911"/>
    <w:rsid w:val="00370A87"/>
    <w:rsid w:val="00371807"/>
    <w:rsid w:val="00371988"/>
    <w:rsid w:val="003725D3"/>
    <w:rsid w:val="003737AF"/>
    <w:rsid w:val="00373B4D"/>
    <w:rsid w:val="00374749"/>
    <w:rsid w:val="00374AF8"/>
    <w:rsid w:val="003757FB"/>
    <w:rsid w:val="0037590F"/>
    <w:rsid w:val="003759A8"/>
    <w:rsid w:val="00375E7B"/>
    <w:rsid w:val="003763EA"/>
    <w:rsid w:val="003765E9"/>
    <w:rsid w:val="00376824"/>
    <w:rsid w:val="00376BB2"/>
    <w:rsid w:val="00376EB6"/>
    <w:rsid w:val="00376FDB"/>
    <w:rsid w:val="003778D9"/>
    <w:rsid w:val="00377CF0"/>
    <w:rsid w:val="003802DC"/>
    <w:rsid w:val="00380B81"/>
    <w:rsid w:val="00380DE7"/>
    <w:rsid w:val="00380E0E"/>
    <w:rsid w:val="00380F47"/>
    <w:rsid w:val="00381586"/>
    <w:rsid w:val="0038185D"/>
    <w:rsid w:val="003819DF"/>
    <w:rsid w:val="00381B3C"/>
    <w:rsid w:val="00381EBA"/>
    <w:rsid w:val="0038249A"/>
    <w:rsid w:val="00382B91"/>
    <w:rsid w:val="00382D9B"/>
    <w:rsid w:val="0038389F"/>
    <w:rsid w:val="00383A8A"/>
    <w:rsid w:val="00383FE2"/>
    <w:rsid w:val="0038412D"/>
    <w:rsid w:val="00384DB0"/>
    <w:rsid w:val="0038582B"/>
    <w:rsid w:val="00385A05"/>
    <w:rsid w:val="00385B75"/>
    <w:rsid w:val="0038659E"/>
    <w:rsid w:val="0038669D"/>
    <w:rsid w:val="003867DF"/>
    <w:rsid w:val="0038686B"/>
    <w:rsid w:val="0038703A"/>
    <w:rsid w:val="003879D4"/>
    <w:rsid w:val="00387A3F"/>
    <w:rsid w:val="00387CE0"/>
    <w:rsid w:val="0039020F"/>
    <w:rsid w:val="00390B6F"/>
    <w:rsid w:val="00390D5F"/>
    <w:rsid w:val="0039172D"/>
    <w:rsid w:val="00392923"/>
    <w:rsid w:val="00392B6A"/>
    <w:rsid w:val="00392D75"/>
    <w:rsid w:val="00392DAB"/>
    <w:rsid w:val="003933FE"/>
    <w:rsid w:val="003936A8"/>
    <w:rsid w:val="00393C62"/>
    <w:rsid w:val="00393F52"/>
    <w:rsid w:val="00394011"/>
    <w:rsid w:val="003944F4"/>
    <w:rsid w:val="00394C61"/>
    <w:rsid w:val="00395295"/>
    <w:rsid w:val="0039597C"/>
    <w:rsid w:val="00395CE3"/>
    <w:rsid w:val="00397694"/>
    <w:rsid w:val="003977EB"/>
    <w:rsid w:val="00397992"/>
    <w:rsid w:val="00397EC5"/>
    <w:rsid w:val="003A0237"/>
    <w:rsid w:val="003A0E72"/>
    <w:rsid w:val="003A0EA6"/>
    <w:rsid w:val="003A28CF"/>
    <w:rsid w:val="003A2EB1"/>
    <w:rsid w:val="003A2F65"/>
    <w:rsid w:val="003A3278"/>
    <w:rsid w:val="003A3602"/>
    <w:rsid w:val="003A42EE"/>
    <w:rsid w:val="003A4D64"/>
    <w:rsid w:val="003A5859"/>
    <w:rsid w:val="003A5F67"/>
    <w:rsid w:val="003A657E"/>
    <w:rsid w:val="003A684D"/>
    <w:rsid w:val="003A687E"/>
    <w:rsid w:val="003A715B"/>
    <w:rsid w:val="003B08D9"/>
    <w:rsid w:val="003B0A49"/>
    <w:rsid w:val="003B0CBF"/>
    <w:rsid w:val="003B0DEC"/>
    <w:rsid w:val="003B122B"/>
    <w:rsid w:val="003B1288"/>
    <w:rsid w:val="003B17A1"/>
    <w:rsid w:val="003B203A"/>
    <w:rsid w:val="003B20EA"/>
    <w:rsid w:val="003B28DA"/>
    <w:rsid w:val="003B2DAA"/>
    <w:rsid w:val="003B34E8"/>
    <w:rsid w:val="003B376A"/>
    <w:rsid w:val="003B38B7"/>
    <w:rsid w:val="003B435B"/>
    <w:rsid w:val="003B4A70"/>
    <w:rsid w:val="003B5E06"/>
    <w:rsid w:val="003B5EEA"/>
    <w:rsid w:val="003B6036"/>
    <w:rsid w:val="003B6515"/>
    <w:rsid w:val="003B7AC4"/>
    <w:rsid w:val="003B7EB8"/>
    <w:rsid w:val="003C00EF"/>
    <w:rsid w:val="003C0B8B"/>
    <w:rsid w:val="003C0FE6"/>
    <w:rsid w:val="003C145E"/>
    <w:rsid w:val="003C15F3"/>
    <w:rsid w:val="003C2469"/>
    <w:rsid w:val="003C25B6"/>
    <w:rsid w:val="003C2BD5"/>
    <w:rsid w:val="003C30D4"/>
    <w:rsid w:val="003C33E3"/>
    <w:rsid w:val="003C3A2F"/>
    <w:rsid w:val="003C3EBD"/>
    <w:rsid w:val="003C4C98"/>
    <w:rsid w:val="003C5140"/>
    <w:rsid w:val="003C53DD"/>
    <w:rsid w:val="003C58A0"/>
    <w:rsid w:val="003C594D"/>
    <w:rsid w:val="003C59E6"/>
    <w:rsid w:val="003C5C96"/>
    <w:rsid w:val="003C63D3"/>
    <w:rsid w:val="003C68A3"/>
    <w:rsid w:val="003C6983"/>
    <w:rsid w:val="003C6BC8"/>
    <w:rsid w:val="003C7EF1"/>
    <w:rsid w:val="003D00C2"/>
    <w:rsid w:val="003D0C8C"/>
    <w:rsid w:val="003D0D5F"/>
    <w:rsid w:val="003D1BC1"/>
    <w:rsid w:val="003D2A7E"/>
    <w:rsid w:val="003D2E27"/>
    <w:rsid w:val="003D3E84"/>
    <w:rsid w:val="003D3F90"/>
    <w:rsid w:val="003D59B0"/>
    <w:rsid w:val="003D6318"/>
    <w:rsid w:val="003D69FB"/>
    <w:rsid w:val="003D6F32"/>
    <w:rsid w:val="003D707A"/>
    <w:rsid w:val="003D761A"/>
    <w:rsid w:val="003D769B"/>
    <w:rsid w:val="003D7D2F"/>
    <w:rsid w:val="003D7EC0"/>
    <w:rsid w:val="003E00D0"/>
    <w:rsid w:val="003E0A49"/>
    <w:rsid w:val="003E0A78"/>
    <w:rsid w:val="003E0B52"/>
    <w:rsid w:val="003E0B85"/>
    <w:rsid w:val="003E141C"/>
    <w:rsid w:val="003E1820"/>
    <w:rsid w:val="003E1BD0"/>
    <w:rsid w:val="003E1F60"/>
    <w:rsid w:val="003E27F1"/>
    <w:rsid w:val="003E281F"/>
    <w:rsid w:val="003E2E4F"/>
    <w:rsid w:val="003E4CEC"/>
    <w:rsid w:val="003E5692"/>
    <w:rsid w:val="003E5718"/>
    <w:rsid w:val="003E65E7"/>
    <w:rsid w:val="003E6BBB"/>
    <w:rsid w:val="003E6E7F"/>
    <w:rsid w:val="003E7268"/>
    <w:rsid w:val="003E781E"/>
    <w:rsid w:val="003F001C"/>
    <w:rsid w:val="003F0368"/>
    <w:rsid w:val="003F10FD"/>
    <w:rsid w:val="003F11B9"/>
    <w:rsid w:val="003F1200"/>
    <w:rsid w:val="003F1CAC"/>
    <w:rsid w:val="003F25A4"/>
    <w:rsid w:val="003F27F8"/>
    <w:rsid w:val="003F2E19"/>
    <w:rsid w:val="003F2EA9"/>
    <w:rsid w:val="003F3F35"/>
    <w:rsid w:val="003F43B1"/>
    <w:rsid w:val="003F494A"/>
    <w:rsid w:val="003F4B04"/>
    <w:rsid w:val="003F4DD3"/>
    <w:rsid w:val="003F4EC8"/>
    <w:rsid w:val="003F6398"/>
    <w:rsid w:val="003F6AA7"/>
    <w:rsid w:val="003F6C13"/>
    <w:rsid w:val="003F7129"/>
    <w:rsid w:val="003F74DD"/>
    <w:rsid w:val="00400285"/>
    <w:rsid w:val="00400480"/>
    <w:rsid w:val="00400C92"/>
    <w:rsid w:val="004016B3"/>
    <w:rsid w:val="00401B9D"/>
    <w:rsid w:val="004028F9"/>
    <w:rsid w:val="0040315D"/>
    <w:rsid w:val="00403258"/>
    <w:rsid w:val="0040328B"/>
    <w:rsid w:val="00403A45"/>
    <w:rsid w:val="00404125"/>
    <w:rsid w:val="0040413B"/>
    <w:rsid w:val="0040415A"/>
    <w:rsid w:val="00404DD4"/>
    <w:rsid w:val="00404E97"/>
    <w:rsid w:val="00405C69"/>
    <w:rsid w:val="004060A1"/>
    <w:rsid w:val="0040621C"/>
    <w:rsid w:val="00407C24"/>
    <w:rsid w:val="00407D01"/>
    <w:rsid w:val="00407D03"/>
    <w:rsid w:val="004106D7"/>
    <w:rsid w:val="00410AC7"/>
    <w:rsid w:val="00410E94"/>
    <w:rsid w:val="004115C6"/>
    <w:rsid w:val="00411C3E"/>
    <w:rsid w:val="00411E81"/>
    <w:rsid w:val="00411FA7"/>
    <w:rsid w:val="0041225E"/>
    <w:rsid w:val="00412FEB"/>
    <w:rsid w:val="00413495"/>
    <w:rsid w:val="0041359E"/>
    <w:rsid w:val="00413601"/>
    <w:rsid w:val="00413910"/>
    <w:rsid w:val="00413D18"/>
    <w:rsid w:val="00413E4E"/>
    <w:rsid w:val="0041422C"/>
    <w:rsid w:val="00414587"/>
    <w:rsid w:val="00414B20"/>
    <w:rsid w:val="00414F96"/>
    <w:rsid w:val="00414FD7"/>
    <w:rsid w:val="00416077"/>
    <w:rsid w:val="004160D5"/>
    <w:rsid w:val="004167EB"/>
    <w:rsid w:val="00416A90"/>
    <w:rsid w:val="00416E99"/>
    <w:rsid w:val="00417177"/>
    <w:rsid w:val="00417959"/>
    <w:rsid w:val="00417AB3"/>
    <w:rsid w:val="00417BFA"/>
    <w:rsid w:val="00417F87"/>
    <w:rsid w:val="004201D7"/>
    <w:rsid w:val="0042029C"/>
    <w:rsid w:val="00420B15"/>
    <w:rsid w:val="00421062"/>
    <w:rsid w:val="004211A5"/>
    <w:rsid w:val="00421520"/>
    <w:rsid w:val="004215BC"/>
    <w:rsid w:val="004220D1"/>
    <w:rsid w:val="004221C1"/>
    <w:rsid w:val="0042251D"/>
    <w:rsid w:val="00422756"/>
    <w:rsid w:val="00422A9C"/>
    <w:rsid w:val="00422BEA"/>
    <w:rsid w:val="00422E88"/>
    <w:rsid w:val="00424A02"/>
    <w:rsid w:val="00424E16"/>
    <w:rsid w:val="004251BE"/>
    <w:rsid w:val="004259D3"/>
    <w:rsid w:val="00425CE5"/>
    <w:rsid w:val="004268B1"/>
    <w:rsid w:val="00427B75"/>
    <w:rsid w:val="00427E86"/>
    <w:rsid w:val="0043009C"/>
    <w:rsid w:val="0043029E"/>
    <w:rsid w:val="004306AD"/>
    <w:rsid w:val="00430BDA"/>
    <w:rsid w:val="00430F46"/>
    <w:rsid w:val="00431442"/>
    <w:rsid w:val="004323C7"/>
    <w:rsid w:val="004326A5"/>
    <w:rsid w:val="00434106"/>
    <w:rsid w:val="0043449E"/>
    <w:rsid w:val="00434537"/>
    <w:rsid w:val="00437223"/>
    <w:rsid w:val="0043799F"/>
    <w:rsid w:val="00437EE5"/>
    <w:rsid w:val="00440150"/>
    <w:rsid w:val="00440B96"/>
    <w:rsid w:val="00440C16"/>
    <w:rsid w:val="00440C9F"/>
    <w:rsid w:val="0044102B"/>
    <w:rsid w:val="004413BC"/>
    <w:rsid w:val="004419C7"/>
    <w:rsid w:val="00441AE6"/>
    <w:rsid w:val="00441C44"/>
    <w:rsid w:val="00441DF6"/>
    <w:rsid w:val="00441EE2"/>
    <w:rsid w:val="004426AD"/>
    <w:rsid w:val="00442FDC"/>
    <w:rsid w:val="004438BD"/>
    <w:rsid w:val="004439A1"/>
    <w:rsid w:val="00443F49"/>
    <w:rsid w:val="00443FA8"/>
    <w:rsid w:val="00444220"/>
    <w:rsid w:val="0044460F"/>
    <w:rsid w:val="00444CDC"/>
    <w:rsid w:val="004450BB"/>
    <w:rsid w:val="0044513E"/>
    <w:rsid w:val="004453A9"/>
    <w:rsid w:val="00446480"/>
    <w:rsid w:val="00446949"/>
    <w:rsid w:val="00446E64"/>
    <w:rsid w:val="004502E0"/>
    <w:rsid w:val="00450471"/>
    <w:rsid w:val="0045090F"/>
    <w:rsid w:val="004515AC"/>
    <w:rsid w:val="0045188F"/>
    <w:rsid w:val="00452118"/>
    <w:rsid w:val="0045218D"/>
    <w:rsid w:val="00452439"/>
    <w:rsid w:val="00452EC5"/>
    <w:rsid w:val="00452EF4"/>
    <w:rsid w:val="004535AA"/>
    <w:rsid w:val="0045442F"/>
    <w:rsid w:val="00455727"/>
    <w:rsid w:val="00455CF3"/>
    <w:rsid w:val="00456684"/>
    <w:rsid w:val="00457663"/>
    <w:rsid w:val="00457E64"/>
    <w:rsid w:val="00460351"/>
    <w:rsid w:val="0046061F"/>
    <w:rsid w:val="00461E97"/>
    <w:rsid w:val="00462422"/>
    <w:rsid w:val="004627C4"/>
    <w:rsid w:val="00462DF5"/>
    <w:rsid w:val="00463109"/>
    <w:rsid w:val="00463513"/>
    <w:rsid w:val="00463CF6"/>
    <w:rsid w:val="00463D6C"/>
    <w:rsid w:val="00464072"/>
    <w:rsid w:val="00464172"/>
    <w:rsid w:val="00464C24"/>
    <w:rsid w:val="004650D0"/>
    <w:rsid w:val="00465558"/>
    <w:rsid w:val="0046598A"/>
    <w:rsid w:val="00465A90"/>
    <w:rsid w:val="00465E0C"/>
    <w:rsid w:val="004662F7"/>
    <w:rsid w:val="00466792"/>
    <w:rsid w:val="00466B43"/>
    <w:rsid w:val="0046715D"/>
    <w:rsid w:val="0046719B"/>
    <w:rsid w:val="00467317"/>
    <w:rsid w:val="00467C57"/>
    <w:rsid w:val="00467F35"/>
    <w:rsid w:val="0047015E"/>
    <w:rsid w:val="00470B74"/>
    <w:rsid w:val="00470F47"/>
    <w:rsid w:val="00471238"/>
    <w:rsid w:val="004715A5"/>
    <w:rsid w:val="00471788"/>
    <w:rsid w:val="00471CDF"/>
    <w:rsid w:val="00472AAE"/>
    <w:rsid w:val="00472C76"/>
    <w:rsid w:val="004739E1"/>
    <w:rsid w:val="004739E9"/>
    <w:rsid w:val="00474204"/>
    <w:rsid w:val="00475552"/>
    <w:rsid w:val="004757B4"/>
    <w:rsid w:val="00475A22"/>
    <w:rsid w:val="00475B42"/>
    <w:rsid w:val="00475DBA"/>
    <w:rsid w:val="0047677D"/>
    <w:rsid w:val="00476834"/>
    <w:rsid w:val="00476B90"/>
    <w:rsid w:val="00476E60"/>
    <w:rsid w:val="004776B9"/>
    <w:rsid w:val="004801B5"/>
    <w:rsid w:val="00480ADA"/>
    <w:rsid w:val="004811D2"/>
    <w:rsid w:val="00481342"/>
    <w:rsid w:val="004814EF"/>
    <w:rsid w:val="00481E93"/>
    <w:rsid w:val="00481F62"/>
    <w:rsid w:val="00482624"/>
    <w:rsid w:val="00482B66"/>
    <w:rsid w:val="00482D39"/>
    <w:rsid w:val="004833BD"/>
    <w:rsid w:val="0048394B"/>
    <w:rsid w:val="00483C96"/>
    <w:rsid w:val="0048450E"/>
    <w:rsid w:val="0048470F"/>
    <w:rsid w:val="00484763"/>
    <w:rsid w:val="00484821"/>
    <w:rsid w:val="00484A48"/>
    <w:rsid w:val="00484C4A"/>
    <w:rsid w:val="00484E95"/>
    <w:rsid w:val="00485406"/>
    <w:rsid w:val="00485DDA"/>
    <w:rsid w:val="004863BC"/>
    <w:rsid w:val="00486E68"/>
    <w:rsid w:val="00487139"/>
    <w:rsid w:val="004872E8"/>
    <w:rsid w:val="00490172"/>
    <w:rsid w:val="00490570"/>
    <w:rsid w:val="0049067B"/>
    <w:rsid w:val="00490B2F"/>
    <w:rsid w:val="00491C8F"/>
    <w:rsid w:val="0049219E"/>
    <w:rsid w:val="00492B3F"/>
    <w:rsid w:val="00493003"/>
    <w:rsid w:val="00493DBB"/>
    <w:rsid w:val="00493F5B"/>
    <w:rsid w:val="00494AEA"/>
    <w:rsid w:val="0049517D"/>
    <w:rsid w:val="004952BC"/>
    <w:rsid w:val="004952EC"/>
    <w:rsid w:val="0049586D"/>
    <w:rsid w:val="00495D40"/>
    <w:rsid w:val="00495F87"/>
    <w:rsid w:val="004962EC"/>
    <w:rsid w:val="00496BBA"/>
    <w:rsid w:val="0049752E"/>
    <w:rsid w:val="004976E2"/>
    <w:rsid w:val="0049774A"/>
    <w:rsid w:val="00497CED"/>
    <w:rsid w:val="00497FB3"/>
    <w:rsid w:val="004A0A14"/>
    <w:rsid w:val="004A0F91"/>
    <w:rsid w:val="004A181D"/>
    <w:rsid w:val="004A1877"/>
    <w:rsid w:val="004A1A4B"/>
    <w:rsid w:val="004A1AB7"/>
    <w:rsid w:val="004A1B02"/>
    <w:rsid w:val="004A1CB8"/>
    <w:rsid w:val="004A256B"/>
    <w:rsid w:val="004A2FE0"/>
    <w:rsid w:val="004A31F8"/>
    <w:rsid w:val="004A3281"/>
    <w:rsid w:val="004A3B6C"/>
    <w:rsid w:val="004A4089"/>
    <w:rsid w:val="004A40FB"/>
    <w:rsid w:val="004A47BF"/>
    <w:rsid w:val="004A4CE0"/>
    <w:rsid w:val="004A4E9C"/>
    <w:rsid w:val="004A59DC"/>
    <w:rsid w:val="004A6B5D"/>
    <w:rsid w:val="004A713E"/>
    <w:rsid w:val="004A78E2"/>
    <w:rsid w:val="004A7A77"/>
    <w:rsid w:val="004A7E00"/>
    <w:rsid w:val="004B04B9"/>
    <w:rsid w:val="004B1652"/>
    <w:rsid w:val="004B17DC"/>
    <w:rsid w:val="004B1BEA"/>
    <w:rsid w:val="004B20F0"/>
    <w:rsid w:val="004B22F1"/>
    <w:rsid w:val="004B2E06"/>
    <w:rsid w:val="004B3442"/>
    <w:rsid w:val="004B3B40"/>
    <w:rsid w:val="004B422D"/>
    <w:rsid w:val="004B45D9"/>
    <w:rsid w:val="004B47C7"/>
    <w:rsid w:val="004B4987"/>
    <w:rsid w:val="004B49A7"/>
    <w:rsid w:val="004B4A9C"/>
    <w:rsid w:val="004B55EF"/>
    <w:rsid w:val="004B57C9"/>
    <w:rsid w:val="004B598F"/>
    <w:rsid w:val="004B5BED"/>
    <w:rsid w:val="004B5CBA"/>
    <w:rsid w:val="004B5F4B"/>
    <w:rsid w:val="004B5F7A"/>
    <w:rsid w:val="004B6243"/>
    <w:rsid w:val="004B6317"/>
    <w:rsid w:val="004B64AF"/>
    <w:rsid w:val="004B64F0"/>
    <w:rsid w:val="004B6507"/>
    <w:rsid w:val="004B7319"/>
    <w:rsid w:val="004B73B7"/>
    <w:rsid w:val="004B73BE"/>
    <w:rsid w:val="004B74D4"/>
    <w:rsid w:val="004B7622"/>
    <w:rsid w:val="004C04F4"/>
    <w:rsid w:val="004C0DAB"/>
    <w:rsid w:val="004C0F79"/>
    <w:rsid w:val="004C1B3D"/>
    <w:rsid w:val="004C1BF4"/>
    <w:rsid w:val="004C1F74"/>
    <w:rsid w:val="004C1FC3"/>
    <w:rsid w:val="004C26D9"/>
    <w:rsid w:val="004C3A97"/>
    <w:rsid w:val="004C408F"/>
    <w:rsid w:val="004C43F5"/>
    <w:rsid w:val="004C444C"/>
    <w:rsid w:val="004C4AB9"/>
    <w:rsid w:val="004C56CF"/>
    <w:rsid w:val="004C5795"/>
    <w:rsid w:val="004C5826"/>
    <w:rsid w:val="004C58E9"/>
    <w:rsid w:val="004C599D"/>
    <w:rsid w:val="004C5D40"/>
    <w:rsid w:val="004C5DBF"/>
    <w:rsid w:val="004C6115"/>
    <w:rsid w:val="004C6DC3"/>
    <w:rsid w:val="004C7098"/>
    <w:rsid w:val="004C751D"/>
    <w:rsid w:val="004C77D1"/>
    <w:rsid w:val="004C77E8"/>
    <w:rsid w:val="004D02A3"/>
    <w:rsid w:val="004D092F"/>
    <w:rsid w:val="004D0A1B"/>
    <w:rsid w:val="004D0E9A"/>
    <w:rsid w:val="004D149A"/>
    <w:rsid w:val="004D164B"/>
    <w:rsid w:val="004D1D1E"/>
    <w:rsid w:val="004D2853"/>
    <w:rsid w:val="004D3163"/>
    <w:rsid w:val="004D37EC"/>
    <w:rsid w:val="004D3BAD"/>
    <w:rsid w:val="004D4A61"/>
    <w:rsid w:val="004D51D4"/>
    <w:rsid w:val="004D59B4"/>
    <w:rsid w:val="004D6667"/>
    <w:rsid w:val="004D67DA"/>
    <w:rsid w:val="004D6DFA"/>
    <w:rsid w:val="004D7FA2"/>
    <w:rsid w:val="004D7FBB"/>
    <w:rsid w:val="004E0113"/>
    <w:rsid w:val="004E0715"/>
    <w:rsid w:val="004E08B0"/>
    <w:rsid w:val="004E0C14"/>
    <w:rsid w:val="004E1105"/>
    <w:rsid w:val="004E1379"/>
    <w:rsid w:val="004E15CA"/>
    <w:rsid w:val="004E205F"/>
    <w:rsid w:val="004E20B5"/>
    <w:rsid w:val="004E25BD"/>
    <w:rsid w:val="004E26E7"/>
    <w:rsid w:val="004E2757"/>
    <w:rsid w:val="004E2792"/>
    <w:rsid w:val="004E2D03"/>
    <w:rsid w:val="004E3047"/>
    <w:rsid w:val="004E325D"/>
    <w:rsid w:val="004E3907"/>
    <w:rsid w:val="004E3978"/>
    <w:rsid w:val="004E3B47"/>
    <w:rsid w:val="004E3B4D"/>
    <w:rsid w:val="004E3C2E"/>
    <w:rsid w:val="004E3DF9"/>
    <w:rsid w:val="004E4A6E"/>
    <w:rsid w:val="004E4B83"/>
    <w:rsid w:val="004E4D82"/>
    <w:rsid w:val="004E5276"/>
    <w:rsid w:val="004E5569"/>
    <w:rsid w:val="004E5A56"/>
    <w:rsid w:val="004E5F8D"/>
    <w:rsid w:val="004E609C"/>
    <w:rsid w:val="004E61B8"/>
    <w:rsid w:val="004E6F92"/>
    <w:rsid w:val="004E72FF"/>
    <w:rsid w:val="004E73C7"/>
    <w:rsid w:val="004E7551"/>
    <w:rsid w:val="004E77A1"/>
    <w:rsid w:val="004E7D75"/>
    <w:rsid w:val="004F00D5"/>
    <w:rsid w:val="004F0856"/>
    <w:rsid w:val="004F09CF"/>
    <w:rsid w:val="004F10B2"/>
    <w:rsid w:val="004F1C37"/>
    <w:rsid w:val="004F1DDA"/>
    <w:rsid w:val="004F1F88"/>
    <w:rsid w:val="004F234B"/>
    <w:rsid w:val="004F2D0F"/>
    <w:rsid w:val="004F2E44"/>
    <w:rsid w:val="004F2E9B"/>
    <w:rsid w:val="004F2FE4"/>
    <w:rsid w:val="004F3023"/>
    <w:rsid w:val="004F3731"/>
    <w:rsid w:val="004F3C02"/>
    <w:rsid w:val="004F4415"/>
    <w:rsid w:val="004F473D"/>
    <w:rsid w:val="004F4F40"/>
    <w:rsid w:val="004F5495"/>
    <w:rsid w:val="004F61F3"/>
    <w:rsid w:val="004F6C36"/>
    <w:rsid w:val="004F7BED"/>
    <w:rsid w:val="0050034E"/>
    <w:rsid w:val="00500D22"/>
    <w:rsid w:val="00500E59"/>
    <w:rsid w:val="00501F76"/>
    <w:rsid w:val="00502491"/>
    <w:rsid w:val="00502861"/>
    <w:rsid w:val="00502CD5"/>
    <w:rsid w:val="00502E6E"/>
    <w:rsid w:val="0050359D"/>
    <w:rsid w:val="00503605"/>
    <w:rsid w:val="005045F0"/>
    <w:rsid w:val="00505A54"/>
    <w:rsid w:val="00505D61"/>
    <w:rsid w:val="0050621E"/>
    <w:rsid w:val="00506597"/>
    <w:rsid w:val="00506663"/>
    <w:rsid w:val="005077B1"/>
    <w:rsid w:val="005079C6"/>
    <w:rsid w:val="005106AC"/>
    <w:rsid w:val="00511CE5"/>
    <w:rsid w:val="00511F7E"/>
    <w:rsid w:val="005123AA"/>
    <w:rsid w:val="00513871"/>
    <w:rsid w:val="005138D7"/>
    <w:rsid w:val="005139F9"/>
    <w:rsid w:val="00513BED"/>
    <w:rsid w:val="00513FA0"/>
    <w:rsid w:val="00514972"/>
    <w:rsid w:val="00515765"/>
    <w:rsid w:val="005157CD"/>
    <w:rsid w:val="00515A4C"/>
    <w:rsid w:val="00515E37"/>
    <w:rsid w:val="00516019"/>
    <w:rsid w:val="0051612A"/>
    <w:rsid w:val="00516382"/>
    <w:rsid w:val="0051671D"/>
    <w:rsid w:val="00516EFD"/>
    <w:rsid w:val="00517D1E"/>
    <w:rsid w:val="00520150"/>
    <w:rsid w:val="005206F4"/>
    <w:rsid w:val="005209A1"/>
    <w:rsid w:val="005209F2"/>
    <w:rsid w:val="00520E72"/>
    <w:rsid w:val="00521080"/>
    <w:rsid w:val="00521A59"/>
    <w:rsid w:val="00521D0C"/>
    <w:rsid w:val="005224EB"/>
    <w:rsid w:val="00522BC7"/>
    <w:rsid w:val="005231DD"/>
    <w:rsid w:val="005234B6"/>
    <w:rsid w:val="005235F4"/>
    <w:rsid w:val="00523B5C"/>
    <w:rsid w:val="00524419"/>
    <w:rsid w:val="00524766"/>
    <w:rsid w:val="005252E5"/>
    <w:rsid w:val="005255CB"/>
    <w:rsid w:val="00525E94"/>
    <w:rsid w:val="00526660"/>
    <w:rsid w:val="0052695F"/>
    <w:rsid w:val="00526BA3"/>
    <w:rsid w:val="00527574"/>
    <w:rsid w:val="00527ED6"/>
    <w:rsid w:val="005308F3"/>
    <w:rsid w:val="00530E1A"/>
    <w:rsid w:val="00530E91"/>
    <w:rsid w:val="005318CC"/>
    <w:rsid w:val="00531F98"/>
    <w:rsid w:val="00532657"/>
    <w:rsid w:val="0053296D"/>
    <w:rsid w:val="00532AB8"/>
    <w:rsid w:val="00532DD4"/>
    <w:rsid w:val="0053308E"/>
    <w:rsid w:val="005342D2"/>
    <w:rsid w:val="00535458"/>
    <w:rsid w:val="00535885"/>
    <w:rsid w:val="005363C9"/>
    <w:rsid w:val="005365DB"/>
    <w:rsid w:val="00536648"/>
    <w:rsid w:val="00537681"/>
    <w:rsid w:val="0053794F"/>
    <w:rsid w:val="005379BE"/>
    <w:rsid w:val="00537E0E"/>
    <w:rsid w:val="00537EC0"/>
    <w:rsid w:val="00540057"/>
    <w:rsid w:val="0054007C"/>
    <w:rsid w:val="00540097"/>
    <w:rsid w:val="00540202"/>
    <w:rsid w:val="00540250"/>
    <w:rsid w:val="00540390"/>
    <w:rsid w:val="005403AB"/>
    <w:rsid w:val="00540BC1"/>
    <w:rsid w:val="0054123D"/>
    <w:rsid w:val="00541372"/>
    <w:rsid w:val="0054209C"/>
    <w:rsid w:val="00542119"/>
    <w:rsid w:val="005424BE"/>
    <w:rsid w:val="00542F9B"/>
    <w:rsid w:val="005430CA"/>
    <w:rsid w:val="0054338F"/>
    <w:rsid w:val="005437A5"/>
    <w:rsid w:val="00543A33"/>
    <w:rsid w:val="00543ED8"/>
    <w:rsid w:val="005446EC"/>
    <w:rsid w:val="00545456"/>
    <w:rsid w:val="005454E6"/>
    <w:rsid w:val="005468DE"/>
    <w:rsid w:val="00546BB6"/>
    <w:rsid w:val="00547D13"/>
    <w:rsid w:val="00551178"/>
    <w:rsid w:val="005514AD"/>
    <w:rsid w:val="00552333"/>
    <w:rsid w:val="00552753"/>
    <w:rsid w:val="00552B0F"/>
    <w:rsid w:val="00552E03"/>
    <w:rsid w:val="005532C5"/>
    <w:rsid w:val="0055374A"/>
    <w:rsid w:val="00554F06"/>
    <w:rsid w:val="00554FAD"/>
    <w:rsid w:val="0055521B"/>
    <w:rsid w:val="00555928"/>
    <w:rsid w:val="00556182"/>
    <w:rsid w:val="00556635"/>
    <w:rsid w:val="00556804"/>
    <w:rsid w:val="00556A10"/>
    <w:rsid w:val="0055722A"/>
    <w:rsid w:val="00557303"/>
    <w:rsid w:val="0056071B"/>
    <w:rsid w:val="0056091A"/>
    <w:rsid w:val="00562A8F"/>
    <w:rsid w:val="00562CBF"/>
    <w:rsid w:val="00562E40"/>
    <w:rsid w:val="0056323C"/>
    <w:rsid w:val="005639FF"/>
    <w:rsid w:val="00563A96"/>
    <w:rsid w:val="00563B5C"/>
    <w:rsid w:val="00563B65"/>
    <w:rsid w:val="00564116"/>
    <w:rsid w:val="00564454"/>
    <w:rsid w:val="00564635"/>
    <w:rsid w:val="00565003"/>
    <w:rsid w:val="00565128"/>
    <w:rsid w:val="0056586D"/>
    <w:rsid w:val="00565D84"/>
    <w:rsid w:val="0056637D"/>
    <w:rsid w:val="00566923"/>
    <w:rsid w:val="00566AAB"/>
    <w:rsid w:val="00566B6B"/>
    <w:rsid w:val="005670BB"/>
    <w:rsid w:val="005673E1"/>
    <w:rsid w:val="005675B2"/>
    <w:rsid w:val="0056763A"/>
    <w:rsid w:val="00570208"/>
    <w:rsid w:val="00570303"/>
    <w:rsid w:val="005703AB"/>
    <w:rsid w:val="00570816"/>
    <w:rsid w:val="00570C1D"/>
    <w:rsid w:val="00570E64"/>
    <w:rsid w:val="00571120"/>
    <w:rsid w:val="00571139"/>
    <w:rsid w:val="0057286D"/>
    <w:rsid w:val="00572CBE"/>
    <w:rsid w:val="005736F8"/>
    <w:rsid w:val="00573A7A"/>
    <w:rsid w:val="00573F15"/>
    <w:rsid w:val="00574011"/>
    <w:rsid w:val="0057448A"/>
    <w:rsid w:val="005748BF"/>
    <w:rsid w:val="00574B8E"/>
    <w:rsid w:val="00574C13"/>
    <w:rsid w:val="00574D03"/>
    <w:rsid w:val="00575571"/>
    <w:rsid w:val="00575D89"/>
    <w:rsid w:val="00575E94"/>
    <w:rsid w:val="0057628B"/>
    <w:rsid w:val="0057632C"/>
    <w:rsid w:val="005763FF"/>
    <w:rsid w:val="00576836"/>
    <w:rsid w:val="00576BF8"/>
    <w:rsid w:val="00577824"/>
    <w:rsid w:val="00577A70"/>
    <w:rsid w:val="00577BE7"/>
    <w:rsid w:val="00577E02"/>
    <w:rsid w:val="0058001B"/>
    <w:rsid w:val="00580D37"/>
    <w:rsid w:val="00580F1A"/>
    <w:rsid w:val="00582027"/>
    <w:rsid w:val="0058212E"/>
    <w:rsid w:val="00583934"/>
    <w:rsid w:val="00583ED7"/>
    <w:rsid w:val="0058451A"/>
    <w:rsid w:val="00584B56"/>
    <w:rsid w:val="0058567F"/>
    <w:rsid w:val="005857F2"/>
    <w:rsid w:val="00585A99"/>
    <w:rsid w:val="00586414"/>
    <w:rsid w:val="00586D8F"/>
    <w:rsid w:val="00586E49"/>
    <w:rsid w:val="0058705A"/>
    <w:rsid w:val="00587577"/>
    <w:rsid w:val="0059051D"/>
    <w:rsid w:val="005905E8"/>
    <w:rsid w:val="00590746"/>
    <w:rsid w:val="00590DA8"/>
    <w:rsid w:val="00590EE4"/>
    <w:rsid w:val="00590F63"/>
    <w:rsid w:val="005911A4"/>
    <w:rsid w:val="00592383"/>
    <w:rsid w:val="005933D3"/>
    <w:rsid w:val="005934B0"/>
    <w:rsid w:val="00593926"/>
    <w:rsid w:val="00593BB8"/>
    <w:rsid w:val="00593F38"/>
    <w:rsid w:val="00593FC2"/>
    <w:rsid w:val="00594D68"/>
    <w:rsid w:val="00594D96"/>
    <w:rsid w:val="00595690"/>
    <w:rsid w:val="00595701"/>
    <w:rsid w:val="0059636D"/>
    <w:rsid w:val="00596606"/>
    <w:rsid w:val="0059676A"/>
    <w:rsid w:val="00596F5A"/>
    <w:rsid w:val="00597745"/>
    <w:rsid w:val="00597778"/>
    <w:rsid w:val="00597F31"/>
    <w:rsid w:val="005A0275"/>
    <w:rsid w:val="005A0990"/>
    <w:rsid w:val="005A1215"/>
    <w:rsid w:val="005A1281"/>
    <w:rsid w:val="005A1C4B"/>
    <w:rsid w:val="005A1D01"/>
    <w:rsid w:val="005A22D3"/>
    <w:rsid w:val="005A2444"/>
    <w:rsid w:val="005A2CE9"/>
    <w:rsid w:val="005A32E9"/>
    <w:rsid w:val="005A3418"/>
    <w:rsid w:val="005A354B"/>
    <w:rsid w:val="005A36B2"/>
    <w:rsid w:val="005A3C81"/>
    <w:rsid w:val="005A3D19"/>
    <w:rsid w:val="005A3FBF"/>
    <w:rsid w:val="005A51BB"/>
    <w:rsid w:val="005A5261"/>
    <w:rsid w:val="005A58C2"/>
    <w:rsid w:val="005A5B31"/>
    <w:rsid w:val="005A5B47"/>
    <w:rsid w:val="005A5EEE"/>
    <w:rsid w:val="005A60F5"/>
    <w:rsid w:val="005A65A5"/>
    <w:rsid w:val="005A69C8"/>
    <w:rsid w:val="005A6B27"/>
    <w:rsid w:val="005A6B95"/>
    <w:rsid w:val="005A6C89"/>
    <w:rsid w:val="005A6E35"/>
    <w:rsid w:val="005A72E4"/>
    <w:rsid w:val="005A746A"/>
    <w:rsid w:val="005A7A9D"/>
    <w:rsid w:val="005A7F69"/>
    <w:rsid w:val="005B0B18"/>
    <w:rsid w:val="005B0CF3"/>
    <w:rsid w:val="005B0F63"/>
    <w:rsid w:val="005B104B"/>
    <w:rsid w:val="005B1170"/>
    <w:rsid w:val="005B1941"/>
    <w:rsid w:val="005B1ACE"/>
    <w:rsid w:val="005B1CB2"/>
    <w:rsid w:val="005B27AA"/>
    <w:rsid w:val="005B298B"/>
    <w:rsid w:val="005B2CB7"/>
    <w:rsid w:val="005B2F22"/>
    <w:rsid w:val="005B35FF"/>
    <w:rsid w:val="005B470B"/>
    <w:rsid w:val="005B5557"/>
    <w:rsid w:val="005B5C3C"/>
    <w:rsid w:val="005B60C6"/>
    <w:rsid w:val="005B62E4"/>
    <w:rsid w:val="005B6483"/>
    <w:rsid w:val="005B688C"/>
    <w:rsid w:val="005B68DC"/>
    <w:rsid w:val="005B7370"/>
    <w:rsid w:val="005B76F8"/>
    <w:rsid w:val="005B7759"/>
    <w:rsid w:val="005B776A"/>
    <w:rsid w:val="005B7C18"/>
    <w:rsid w:val="005B7E83"/>
    <w:rsid w:val="005B7EAC"/>
    <w:rsid w:val="005B7EE9"/>
    <w:rsid w:val="005C0AA8"/>
    <w:rsid w:val="005C0AF2"/>
    <w:rsid w:val="005C0C17"/>
    <w:rsid w:val="005C0D07"/>
    <w:rsid w:val="005C1FF7"/>
    <w:rsid w:val="005C22FF"/>
    <w:rsid w:val="005C2996"/>
    <w:rsid w:val="005C2D95"/>
    <w:rsid w:val="005C3166"/>
    <w:rsid w:val="005C3170"/>
    <w:rsid w:val="005C3219"/>
    <w:rsid w:val="005C3385"/>
    <w:rsid w:val="005C3520"/>
    <w:rsid w:val="005C36E0"/>
    <w:rsid w:val="005C3A8A"/>
    <w:rsid w:val="005C3B1C"/>
    <w:rsid w:val="005C3B63"/>
    <w:rsid w:val="005C3DCF"/>
    <w:rsid w:val="005C510D"/>
    <w:rsid w:val="005C53EB"/>
    <w:rsid w:val="005C5CC6"/>
    <w:rsid w:val="005C5CD9"/>
    <w:rsid w:val="005C6134"/>
    <w:rsid w:val="005C6152"/>
    <w:rsid w:val="005C6234"/>
    <w:rsid w:val="005C6303"/>
    <w:rsid w:val="005C646F"/>
    <w:rsid w:val="005C67D5"/>
    <w:rsid w:val="005C6A7B"/>
    <w:rsid w:val="005C6BD8"/>
    <w:rsid w:val="005C75DA"/>
    <w:rsid w:val="005C771E"/>
    <w:rsid w:val="005C79D1"/>
    <w:rsid w:val="005C7E96"/>
    <w:rsid w:val="005C7FE9"/>
    <w:rsid w:val="005D0585"/>
    <w:rsid w:val="005D0840"/>
    <w:rsid w:val="005D0EC3"/>
    <w:rsid w:val="005D1F89"/>
    <w:rsid w:val="005D224C"/>
    <w:rsid w:val="005D2C48"/>
    <w:rsid w:val="005D3EC6"/>
    <w:rsid w:val="005D4394"/>
    <w:rsid w:val="005D46A5"/>
    <w:rsid w:val="005D4E8E"/>
    <w:rsid w:val="005D527E"/>
    <w:rsid w:val="005D5685"/>
    <w:rsid w:val="005D58CC"/>
    <w:rsid w:val="005D5AC2"/>
    <w:rsid w:val="005D5D3B"/>
    <w:rsid w:val="005D6A0C"/>
    <w:rsid w:val="005D6C2A"/>
    <w:rsid w:val="005D6EEC"/>
    <w:rsid w:val="005D77EE"/>
    <w:rsid w:val="005D7AC0"/>
    <w:rsid w:val="005D7F31"/>
    <w:rsid w:val="005E011B"/>
    <w:rsid w:val="005E034C"/>
    <w:rsid w:val="005E057E"/>
    <w:rsid w:val="005E0927"/>
    <w:rsid w:val="005E0C90"/>
    <w:rsid w:val="005E0ED7"/>
    <w:rsid w:val="005E0FDB"/>
    <w:rsid w:val="005E1519"/>
    <w:rsid w:val="005E1643"/>
    <w:rsid w:val="005E1A67"/>
    <w:rsid w:val="005E1F7B"/>
    <w:rsid w:val="005E23F9"/>
    <w:rsid w:val="005E24C1"/>
    <w:rsid w:val="005E2592"/>
    <w:rsid w:val="005E2675"/>
    <w:rsid w:val="005E2C9A"/>
    <w:rsid w:val="005E2CED"/>
    <w:rsid w:val="005E2D57"/>
    <w:rsid w:val="005E2DFD"/>
    <w:rsid w:val="005E45C2"/>
    <w:rsid w:val="005E4849"/>
    <w:rsid w:val="005E51A7"/>
    <w:rsid w:val="005E58A4"/>
    <w:rsid w:val="005E59A0"/>
    <w:rsid w:val="005E5C86"/>
    <w:rsid w:val="005E6623"/>
    <w:rsid w:val="005E6CBC"/>
    <w:rsid w:val="005E6D30"/>
    <w:rsid w:val="005E7069"/>
    <w:rsid w:val="005E70F6"/>
    <w:rsid w:val="005E747F"/>
    <w:rsid w:val="005F071C"/>
    <w:rsid w:val="005F0AEC"/>
    <w:rsid w:val="005F0C59"/>
    <w:rsid w:val="005F10F9"/>
    <w:rsid w:val="005F112B"/>
    <w:rsid w:val="005F1157"/>
    <w:rsid w:val="005F1F8E"/>
    <w:rsid w:val="005F2010"/>
    <w:rsid w:val="005F2276"/>
    <w:rsid w:val="005F232C"/>
    <w:rsid w:val="005F2359"/>
    <w:rsid w:val="005F425D"/>
    <w:rsid w:val="005F45E7"/>
    <w:rsid w:val="005F4710"/>
    <w:rsid w:val="005F4B70"/>
    <w:rsid w:val="005F4B79"/>
    <w:rsid w:val="005F5140"/>
    <w:rsid w:val="005F51BD"/>
    <w:rsid w:val="005F6130"/>
    <w:rsid w:val="005F649E"/>
    <w:rsid w:val="005F6FDB"/>
    <w:rsid w:val="005F739C"/>
    <w:rsid w:val="005F798A"/>
    <w:rsid w:val="005F7A5E"/>
    <w:rsid w:val="00600264"/>
    <w:rsid w:val="006002D1"/>
    <w:rsid w:val="00600674"/>
    <w:rsid w:val="006019B4"/>
    <w:rsid w:val="00602528"/>
    <w:rsid w:val="006037F3"/>
    <w:rsid w:val="00603C6A"/>
    <w:rsid w:val="00603D2B"/>
    <w:rsid w:val="00604D1F"/>
    <w:rsid w:val="00604DCC"/>
    <w:rsid w:val="00604FDE"/>
    <w:rsid w:val="0060578C"/>
    <w:rsid w:val="00605A88"/>
    <w:rsid w:val="0060629F"/>
    <w:rsid w:val="006066BC"/>
    <w:rsid w:val="00606972"/>
    <w:rsid w:val="00606C30"/>
    <w:rsid w:val="00607158"/>
    <w:rsid w:val="00607A99"/>
    <w:rsid w:val="00610455"/>
    <w:rsid w:val="00610F3E"/>
    <w:rsid w:val="00611FD2"/>
    <w:rsid w:val="006122CD"/>
    <w:rsid w:val="006126AD"/>
    <w:rsid w:val="006127EA"/>
    <w:rsid w:val="00612F12"/>
    <w:rsid w:val="00613085"/>
    <w:rsid w:val="00613851"/>
    <w:rsid w:val="00613ADB"/>
    <w:rsid w:val="00614108"/>
    <w:rsid w:val="0061443C"/>
    <w:rsid w:val="0061465A"/>
    <w:rsid w:val="00614C2B"/>
    <w:rsid w:val="00615246"/>
    <w:rsid w:val="0061528A"/>
    <w:rsid w:val="00615984"/>
    <w:rsid w:val="006159DE"/>
    <w:rsid w:val="00615C19"/>
    <w:rsid w:val="0061678B"/>
    <w:rsid w:val="00616C4C"/>
    <w:rsid w:val="0061717E"/>
    <w:rsid w:val="0061792D"/>
    <w:rsid w:val="00617FA2"/>
    <w:rsid w:val="00620206"/>
    <w:rsid w:val="00620ADA"/>
    <w:rsid w:val="00620AFB"/>
    <w:rsid w:val="006211F8"/>
    <w:rsid w:val="006213B4"/>
    <w:rsid w:val="00621633"/>
    <w:rsid w:val="00621B1B"/>
    <w:rsid w:val="00621CAB"/>
    <w:rsid w:val="00621E44"/>
    <w:rsid w:val="00622155"/>
    <w:rsid w:val="00622437"/>
    <w:rsid w:val="00622A94"/>
    <w:rsid w:val="0062328A"/>
    <w:rsid w:val="0062329D"/>
    <w:rsid w:val="00623412"/>
    <w:rsid w:val="00623506"/>
    <w:rsid w:val="006239EC"/>
    <w:rsid w:val="00623EEF"/>
    <w:rsid w:val="00624435"/>
    <w:rsid w:val="00624665"/>
    <w:rsid w:val="00624D0A"/>
    <w:rsid w:val="006253CA"/>
    <w:rsid w:val="006255D5"/>
    <w:rsid w:val="00626005"/>
    <w:rsid w:val="0062613B"/>
    <w:rsid w:val="00626182"/>
    <w:rsid w:val="00626882"/>
    <w:rsid w:val="00626A95"/>
    <w:rsid w:val="00626CFB"/>
    <w:rsid w:val="00626EC4"/>
    <w:rsid w:val="006270B6"/>
    <w:rsid w:val="00627EBA"/>
    <w:rsid w:val="00630324"/>
    <w:rsid w:val="00630C9C"/>
    <w:rsid w:val="00630DA1"/>
    <w:rsid w:val="0063152A"/>
    <w:rsid w:val="00631782"/>
    <w:rsid w:val="006317B6"/>
    <w:rsid w:val="00631DC3"/>
    <w:rsid w:val="006321D7"/>
    <w:rsid w:val="00632790"/>
    <w:rsid w:val="00633BA4"/>
    <w:rsid w:val="006340F8"/>
    <w:rsid w:val="006342BB"/>
    <w:rsid w:val="006346EF"/>
    <w:rsid w:val="00634733"/>
    <w:rsid w:val="00634EAD"/>
    <w:rsid w:val="00635818"/>
    <w:rsid w:val="006358F9"/>
    <w:rsid w:val="00635A7B"/>
    <w:rsid w:val="00635E3E"/>
    <w:rsid w:val="0063644B"/>
    <w:rsid w:val="0063683E"/>
    <w:rsid w:val="00637155"/>
    <w:rsid w:val="00637423"/>
    <w:rsid w:val="00640798"/>
    <w:rsid w:val="0064100F"/>
    <w:rsid w:val="006417BE"/>
    <w:rsid w:val="0064185F"/>
    <w:rsid w:val="006426D8"/>
    <w:rsid w:val="0064286F"/>
    <w:rsid w:val="006428E4"/>
    <w:rsid w:val="00642B74"/>
    <w:rsid w:val="00642EB8"/>
    <w:rsid w:val="00642F4B"/>
    <w:rsid w:val="006435A6"/>
    <w:rsid w:val="006437E3"/>
    <w:rsid w:val="0064380C"/>
    <w:rsid w:val="006440E6"/>
    <w:rsid w:val="0064429C"/>
    <w:rsid w:val="00644B7D"/>
    <w:rsid w:val="00644BC6"/>
    <w:rsid w:val="00644C09"/>
    <w:rsid w:val="00644F26"/>
    <w:rsid w:val="00644F30"/>
    <w:rsid w:val="006453D3"/>
    <w:rsid w:val="00645965"/>
    <w:rsid w:val="00645E55"/>
    <w:rsid w:val="0064623C"/>
    <w:rsid w:val="0064644D"/>
    <w:rsid w:val="00646CC1"/>
    <w:rsid w:val="0064739C"/>
    <w:rsid w:val="00647B2B"/>
    <w:rsid w:val="00647C0A"/>
    <w:rsid w:val="006506F3"/>
    <w:rsid w:val="00651EBB"/>
    <w:rsid w:val="006523C2"/>
    <w:rsid w:val="006527B4"/>
    <w:rsid w:val="00652AE1"/>
    <w:rsid w:val="00652C3B"/>
    <w:rsid w:val="00652E20"/>
    <w:rsid w:val="00653555"/>
    <w:rsid w:val="00653C24"/>
    <w:rsid w:val="00653D8B"/>
    <w:rsid w:val="00654522"/>
    <w:rsid w:val="00654851"/>
    <w:rsid w:val="00654D0E"/>
    <w:rsid w:val="00655980"/>
    <w:rsid w:val="00655F88"/>
    <w:rsid w:val="00656589"/>
    <w:rsid w:val="00656B81"/>
    <w:rsid w:val="00656E48"/>
    <w:rsid w:val="006575D0"/>
    <w:rsid w:val="0065779C"/>
    <w:rsid w:val="00657B66"/>
    <w:rsid w:val="00657E3D"/>
    <w:rsid w:val="00657F72"/>
    <w:rsid w:val="00660D03"/>
    <w:rsid w:val="00661094"/>
    <w:rsid w:val="006614AA"/>
    <w:rsid w:val="0066168D"/>
    <w:rsid w:val="006616E2"/>
    <w:rsid w:val="0066196F"/>
    <w:rsid w:val="00662196"/>
    <w:rsid w:val="00662498"/>
    <w:rsid w:val="006625D0"/>
    <w:rsid w:val="00662F9C"/>
    <w:rsid w:val="00663C3D"/>
    <w:rsid w:val="00664277"/>
    <w:rsid w:val="00664BB7"/>
    <w:rsid w:val="00664C39"/>
    <w:rsid w:val="00664FBD"/>
    <w:rsid w:val="0066578A"/>
    <w:rsid w:val="00665CF5"/>
    <w:rsid w:val="00665D6D"/>
    <w:rsid w:val="00665D92"/>
    <w:rsid w:val="00665E4C"/>
    <w:rsid w:val="00665E88"/>
    <w:rsid w:val="00666841"/>
    <w:rsid w:val="00666B70"/>
    <w:rsid w:val="00666BDE"/>
    <w:rsid w:val="00666DA7"/>
    <w:rsid w:val="006672C8"/>
    <w:rsid w:val="006673E8"/>
    <w:rsid w:val="006677FB"/>
    <w:rsid w:val="00667834"/>
    <w:rsid w:val="00667848"/>
    <w:rsid w:val="00667F95"/>
    <w:rsid w:val="0067055C"/>
    <w:rsid w:val="00670DCE"/>
    <w:rsid w:val="006712D6"/>
    <w:rsid w:val="0067133F"/>
    <w:rsid w:val="0067176A"/>
    <w:rsid w:val="006718E9"/>
    <w:rsid w:val="00672D4F"/>
    <w:rsid w:val="00672E50"/>
    <w:rsid w:val="00673585"/>
    <w:rsid w:val="006736A1"/>
    <w:rsid w:val="00673D70"/>
    <w:rsid w:val="00673F51"/>
    <w:rsid w:val="00674461"/>
    <w:rsid w:val="00675025"/>
    <w:rsid w:val="00675861"/>
    <w:rsid w:val="00675B92"/>
    <w:rsid w:val="00675D18"/>
    <w:rsid w:val="0067630B"/>
    <w:rsid w:val="0067748E"/>
    <w:rsid w:val="0067796B"/>
    <w:rsid w:val="00677B21"/>
    <w:rsid w:val="00680514"/>
    <w:rsid w:val="00680676"/>
    <w:rsid w:val="00680D69"/>
    <w:rsid w:val="00681046"/>
    <w:rsid w:val="00681CB4"/>
    <w:rsid w:val="006829EF"/>
    <w:rsid w:val="006832F8"/>
    <w:rsid w:val="006836DE"/>
    <w:rsid w:val="00683B40"/>
    <w:rsid w:val="00683DC8"/>
    <w:rsid w:val="00683DE1"/>
    <w:rsid w:val="006842B9"/>
    <w:rsid w:val="006847B5"/>
    <w:rsid w:val="00684816"/>
    <w:rsid w:val="0068512D"/>
    <w:rsid w:val="00685540"/>
    <w:rsid w:val="00685582"/>
    <w:rsid w:val="00685799"/>
    <w:rsid w:val="00686419"/>
    <w:rsid w:val="0068663A"/>
    <w:rsid w:val="00686F63"/>
    <w:rsid w:val="006876E2"/>
    <w:rsid w:val="00687E25"/>
    <w:rsid w:val="00690251"/>
    <w:rsid w:val="006905ED"/>
    <w:rsid w:val="00690AE8"/>
    <w:rsid w:val="00691443"/>
    <w:rsid w:val="006921C3"/>
    <w:rsid w:val="00692B1E"/>
    <w:rsid w:val="0069305A"/>
    <w:rsid w:val="006932CD"/>
    <w:rsid w:val="006937B2"/>
    <w:rsid w:val="0069383F"/>
    <w:rsid w:val="00693AA7"/>
    <w:rsid w:val="00693BBD"/>
    <w:rsid w:val="00693D1E"/>
    <w:rsid w:val="00694041"/>
    <w:rsid w:val="00694D4C"/>
    <w:rsid w:val="00695133"/>
    <w:rsid w:val="006951A6"/>
    <w:rsid w:val="00695237"/>
    <w:rsid w:val="00695C81"/>
    <w:rsid w:val="00695F1A"/>
    <w:rsid w:val="00696478"/>
    <w:rsid w:val="00696951"/>
    <w:rsid w:val="006969D9"/>
    <w:rsid w:val="006971E3"/>
    <w:rsid w:val="006A0064"/>
    <w:rsid w:val="006A0073"/>
    <w:rsid w:val="006A10B2"/>
    <w:rsid w:val="006A11F7"/>
    <w:rsid w:val="006A1481"/>
    <w:rsid w:val="006A14A0"/>
    <w:rsid w:val="006A18D6"/>
    <w:rsid w:val="006A1B98"/>
    <w:rsid w:val="006A1D7B"/>
    <w:rsid w:val="006A27E1"/>
    <w:rsid w:val="006A2CE2"/>
    <w:rsid w:val="006A2EF7"/>
    <w:rsid w:val="006A38D3"/>
    <w:rsid w:val="006A39C2"/>
    <w:rsid w:val="006A3E99"/>
    <w:rsid w:val="006A57A9"/>
    <w:rsid w:val="006A5E8B"/>
    <w:rsid w:val="006A600C"/>
    <w:rsid w:val="006A7AC8"/>
    <w:rsid w:val="006A7CCA"/>
    <w:rsid w:val="006A7F87"/>
    <w:rsid w:val="006B0A44"/>
    <w:rsid w:val="006B1B48"/>
    <w:rsid w:val="006B1BDA"/>
    <w:rsid w:val="006B1DE1"/>
    <w:rsid w:val="006B225A"/>
    <w:rsid w:val="006B37B5"/>
    <w:rsid w:val="006B3913"/>
    <w:rsid w:val="006B3AE6"/>
    <w:rsid w:val="006B3E53"/>
    <w:rsid w:val="006B41C5"/>
    <w:rsid w:val="006B42A7"/>
    <w:rsid w:val="006B4556"/>
    <w:rsid w:val="006B45C6"/>
    <w:rsid w:val="006B45D4"/>
    <w:rsid w:val="006B6427"/>
    <w:rsid w:val="006B6D78"/>
    <w:rsid w:val="006B6FBB"/>
    <w:rsid w:val="006B6FCC"/>
    <w:rsid w:val="006B70ED"/>
    <w:rsid w:val="006B7BE4"/>
    <w:rsid w:val="006B7D66"/>
    <w:rsid w:val="006C02C3"/>
    <w:rsid w:val="006C03DB"/>
    <w:rsid w:val="006C08DE"/>
    <w:rsid w:val="006C0AC2"/>
    <w:rsid w:val="006C0EC9"/>
    <w:rsid w:val="006C15CE"/>
    <w:rsid w:val="006C1DBD"/>
    <w:rsid w:val="006C1FB7"/>
    <w:rsid w:val="006C1FE5"/>
    <w:rsid w:val="006C209C"/>
    <w:rsid w:val="006C23F2"/>
    <w:rsid w:val="006C2D96"/>
    <w:rsid w:val="006C31E4"/>
    <w:rsid w:val="006C360D"/>
    <w:rsid w:val="006C3A21"/>
    <w:rsid w:val="006C3BA7"/>
    <w:rsid w:val="006C3DB3"/>
    <w:rsid w:val="006C40FF"/>
    <w:rsid w:val="006C4424"/>
    <w:rsid w:val="006C4552"/>
    <w:rsid w:val="006C4C98"/>
    <w:rsid w:val="006C514B"/>
    <w:rsid w:val="006C5C24"/>
    <w:rsid w:val="006C6819"/>
    <w:rsid w:val="006C7380"/>
    <w:rsid w:val="006C76B9"/>
    <w:rsid w:val="006C7A07"/>
    <w:rsid w:val="006C7B67"/>
    <w:rsid w:val="006D0656"/>
    <w:rsid w:val="006D0804"/>
    <w:rsid w:val="006D0C14"/>
    <w:rsid w:val="006D1401"/>
    <w:rsid w:val="006D1622"/>
    <w:rsid w:val="006D22CE"/>
    <w:rsid w:val="006D254E"/>
    <w:rsid w:val="006D2E8F"/>
    <w:rsid w:val="006D3E6C"/>
    <w:rsid w:val="006D44B3"/>
    <w:rsid w:val="006D4709"/>
    <w:rsid w:val="006D4CF0"/>
    <w:rsid w:val="006D4DA4"/>
    <w:rsid w:val="006D4DE6"/>
    <w:rsid w:val="006D505C"/>
    <w:rsid w:val="006D59C1"/>
    <w:rsid w:val="006D6480"/>
    <w:rsid w:val="006D68C6"/>
    <w:rsid w:val="006D6B27"/>
    <w:rsid w:val="006D6CFC"/>
    <w:rsid w:val="006D71D0"/>
    <w:rsid w:val="006D7B2A"/>
    <w:rsid w:val="006D7CE6"/>
    <w:rsid w:val="006E0347"/>
    <w:rsid w:val="006E05A1"/>
    <w:rsid w:val="006E0660"/>
    <w:rsid w:val="006E09AC"/>
    <w:rsid w:val="006E0A2D"/>
    <w:rsid w:val="006E0DA1"/>
    <w:rsid w:val="006E1539"/>
    <w:rsid w:val="006E172D"/>
    <w:rsid w:val="006E2456"/>
    <w:rsid w:val="006E25A9"/>
    <w:rsid w:val="006E2877"/>
    <w:rsid w:val="006E2A6B"/>
    <w:rsid w:val="006E329E"/>
    <w:rsid w:val="006E3310"/>
    <w:rsid w:val="006E3669"/>
    <w:rsid w:val="006E3ACF"/>
    <w:rsid w:val="006E3E5B"/>
    <w:rsid w:val="006E45AE"/>
    <w:rsid w:val="006E58D6"/>
    <w:rsid w:val="006E5971"/>
    <w:rsid w:val="006E5CDB"/>
    <w:rsid w:val="006E5EED"/>
    <w:rsid w:val="006E5EF4"/>
    <w:rsid w:val="006E6691"/>
    <w:rsid w:val="006E67DF"/>
    <w:rsid w:val="006E696C"/>
    <w:rsid w:val="006E6E2E"/>
    <w:rsid w:val="006E7598"/>
    <w:rsid w:val="006E7B30"/>
    <w:rsid w:val="006F0C2F"/>
    <w:rsid w:val="006F0E4D"/>
    <w:rsid w:val="006F1093"/>
    <w:rsid w:val="006F1175"/>
    <w:rsid w:val="006F122C"/>
    <w:rsid w:val="006F1565"/>
    <w:rsid w:val="006F17B3"/>
    <w:rsid w:val="006F1881"/>
    <w:rsid w:val="006F1A02"/>
    <w:rsid w:val="006F1B30"/>
    <w:rsid w:val="006F1E06"/>
    <w:rsid w:val="006F2068"/>
    <w:rsid w:val="006F2175"/>
    <w:rsid w:val="006F274C"/>
    <w:rsid w:val="006F3ACF"/>
    <w:rsid w:val="006F3CAB"/>
    <w:rsid w:val="006F44D1"/>
    <w:rsid w:val="006F4B46"/>
    <w:rsid w:val="006F4B98"/>
    <w:rsid w:val="006F4C5E"/>
    <w:rsid w:val="006F5B3E"/>
    <w:rsid w:val="006F6B8C"/>
    <w:rsid w:val="006F6F6C"/>
    <w:rsid w:val="006F7B62"/>
    <w:rsid w:val="006F7CAF"/>
    <w:rsid w:val="007003F8"/>
    <w:rsid w:val="00700480"/>
    <w:rsid w:val="00700A06"/>
    <w:rsid w:val="00700B57"/>
    <w:rsid w:val="00700BC3"/>
    <w:rsid w:val="0070126A"/>
    <w:rsid w:val="00702B2B"/>
    <w:rsid w:val="007036A4"/>
    <w:rsid w:val="00703909"/>
    <w:rsid w:val="00703ADC"/>
    <w:rsid w:val="00703AE3"/>
    <w:rsid w:val="00704598"/>
    <w:rsid w:val="007047F1"/>
    <w:rsid w:val="0070481A"/>
    <w:rsid w:val="00704BA7"/>
    <w:rsid w:val="00704F35"/>
    <w:rsid w:val="007050F6"/>
    <w:rsid w:val="007057C0"/>
    <w:rsid w:val="0070623D"/>
    <w:rsid w:val="007062C9"/>
    <w:rsid w:val="00706374"/>
    <w:rsid w:val="00706995"/>
    <w:rsid w:val="00706BBD"/>
    <w:rsid w:val="00706EBD"/>
    <w:rsid w:val="00707AF0"/>
    <w:rsid w:val="007105A0"/>
    <w:rsid w:val="0071062E"/>
    <w:rsid w:val="007108C5"/>
    <w:rsid w:val="00710C8A"/>
    <w:rsid w:val="007110B5"/>
    <w:rsid w:val="007117E8"/>
    <w:rsid w:val="007121A2"/>
    <w:rsid w:val="00712258"/>
    <w:rsid w:val="00712E2B"/>
    <w:rsid w:val="007135E6"/>
    <w:rsid w:val="00713694"/>
    <w:rsid w:val="00713BF3"/>
    <w:rsid w:val="00713F9E"/>
    <w:rsid w:val="00713FEE"/>
    <w:rsid w:val="00714D1E"/>
    <w:rsid w:val="007153BA"/>
    <w:rsid w:val="007155F1"/>
    <w:rsid w:val="00715EEC"/>
    <w:rsid w:val="00716671"/>
    <w:rsid w:val="00716680"/>
    <w:rsid w:val="00716746"/>
    <w:rsid w:val="00716B10"/>
    <w:rsid w:val="00716E3C"/>
    <w:rsid w:val="00717087"/>
    <w:rsid w:val="007171FE"/>
    <w:rsid w:val="00720181"/>
    <w:rsid w:val="00720C94"/>
    <w:rsid w:val="00720FCE"/>
    <w:rsid w:val="00721026"/>
    <w:rsid w:val="007210AC"/>
    <w:rsid w:val="007211FC"/>
    <w:rsid w:val="0072139B"/>
    <w:rsid w:val="007215F1"/>
    <w:rsid w:val="00721829"/>
    <w:rsid w:val="007218FF"/>
    <w:rsid w:val="00721B24"/>
    <w:rsid w:val="00721DD0"/>
    <w:rsid w:val="0072235D"/>
    <w:rsid w:val="007223D6"/>
    <w:rsid w:val="00722938"/>
    <w:rsid w:val="0072294E"/>
    <w:rsid w:val="0072389A"/>
    <w:rsid w:val="0072389E"/>
    <w:rsid w:val="00723EBD"/>
    <w:rsid w:val="00723EFB"/>
    <w:rsid w:val="007241AA"/>
    <w:rsid w:val="0072432D"/>
    <w:rsid w:val="007245EF"/>
    <w:rsid w:val="00724CFC"/>
    <w:rsid w:val="007251A6"/>
    <w:rsid w:val="007251B8"/>
    <w:rsid w:val="00725A2C"/>
    <w:rsid w:val="00726ABB"/>
    <w:rsid w:val="00727E30"/>
    <w:rsid w:val="00730B2D"/>
    <w:rsid w:val="00730BD8"/>
    <w:rsid w:val="00730ECB"/>
    <w:rsid w:val="00731006"/>
    <w:rsid w:val="00731056"/>
    <w:rsid w:val="00731509"/>
    <w:rsid w:val="007327F7"/>
    <w:rsid w:val="00732C14"/>
    <w:rsid w:val="00733308"/>
    <w:rsid w:val="00733778"/>
    <w:rsid w:val="007338AB"/>
    <w:rsid w:val="00734300"/>
    <w:rsid w:val="007347A0"/>
    <w:rsid w:val="007347E6"/>
    <w:rsid w:val="007349F8"/>
    <w:rsid w:val="00734CCC"/>
    <w:rsid w:val="00735D75"/>
    <w:rsid w:val="00736B40"/>
    <w:rsid w:val="00736E02"/>
    <w:rsid w:val="00737415"/>
    <w:rsid w:val="00737457"/>
    <w:rsid w:val="00737965"/>
    <w:rsid w:val="00737CFD"/>
    <w:rsid w:val="00737FD0"/>
    <w:rsid w:val="0074014E"/>
    <w:rsid w:val="00740602"/>
    <w:rsid w:val="00740C86"/>
    <w:rsid w:val="00740D02"/>
    <w:rsid w:val="00740D9D"/>
    <w:rsid w:val="00740F28"/>
    <w:rsid w:val="00741665"/>
    <w:rsid w:val="007424D2"/>
    <w:rsid w:val="00742641"/>
    <w:rsid w:val="00742B84"/>
    <w:rsid w:val="00742D0C"/>
    <w:rsid w:val="00743175"/>
    <w:rsid w:val="007431B2"/>
    <w:rsid w:val="00743838"/>
    <w:rsid w:val="00744059"/>
    <w:rsid w:val="007442E3"/>
    <w:rsid w:val="00744A61"/>
    <w:rsid w:val="00745999"/>
    <w:rsid w:val="007462B7"/>
    <w:rsid w:val="00746486"/>
    <w:rsid w:val="0074682F"/>
    <w:rsid w:val="00746931"/>
    <w:rsid w:val="00746A8C"/>
    <w:rsid w:val="00746B41"/>
    <w:rsid w:val="00746E6B"/>
    <w:rsid w:val="00746FE6"/>
    <w:rsid w:val="007476C8"/>
    <w:rsid w:val="00750938"/>
    <w:rsid w:val="00750962"/>
    <w:rsid w:val="007510DB"/>
    <w:rsid w:val="00751291"/>
    <w:rsid w:val="00751A91"/>
    <w:rsid w:val="00751F03"/>
    <w:rsid w:val="00752ECC"/>
    <w:rsid w:val="0075335D"/>
    <w:rsid w:val="007534D6"/>
    <w:rsid w:val="00754149"/>
    <w:rsid w:val="00754468"/>
    <w:rsid w:val="0075453A"/>
    <w:rsid w:val="0075491E"/>
    <w:rsid w:val="00754DAC"/>
    <w:rsid w:val="00754F3D"/>
    <w:rsid w:val="00755371"/>
    <w:rsid w:val="00755AC4"/>
    <w:rsid w:val="00755BF9"/>
    <w:rsid w:val="00755F79"/>
    <w:rsid w:val="007563F6"/>
    <w:rsid w:val="0075691E"/>
    <w:rsid w:val="00756A4B"/>
    <w:rsid w:val="00756EE2"/>
    <w:rsid w:val="007601D8"/>
    <w:rsid w:val="00760252"/>
    <w:rsid w:val="00760839"/>
    <w:rsid w:val="00760859"/>
    <w:rsid w:val="007612A1"/>
    <w:rsid w:val="00761362"/>
    <w:rsid w:val="00762E81"/>
    <w:rsid w:val="00762FE6"/>
    <w:rsid w:val="00763318"/>
    <w:rsid w:val="00763E81"/>
    <w:rsid w:val="007643D2"/>
    <w:rsid w:val="007646BA"/>
    <w:rsid w:val="00764CD8"/>
    <w:rsid w:val="00765C0A"/>
    <w:rsid w:val="00765C70"/>
    <w:rsid w:val="0076601D"/>
    <w:rsid w:val="007670F9"/>
    <w:rsid w:val="007673EA"/>
    <w:rsid w:val="00767696"/>
    <w:rsid w:val="00767760"/>
    <w:rsid w:val="00767978"/>
    <w:rsid w:val="00767BBA"/>
    <w:rsid w:val="00767F07"/>
    <w:rsid w:val="007701E6"/>
    <w:rsid w:val="00770366"/>
    <w:rsid w:val="0077107B"/>
    <w:rsid w:val="00771783"/>
    <w:rsid w:val="00771B21"/>
    <w:rsid w:val="00771F3F"/>
    <w:rsid w:val="00772173"/>
    <w:rsid w:val="007725C0"/>
    <w:rsid w:val="00772990"/>
    <w:rsid w:val="0077373B"/>
    <w:rsid w:val="00773774"/>
    <w:rsid w:val="00773D0B"/>
    <w:rsid w:val="007740FB"/>
    <w:rsid w:val="0077453E"/>
    <w:rsid w:val="00775599"/>
    <w:rsid w:val="007756E0"/>
    <w:rsid w:val="00775AAE"/>
    <w:rsid w:val="007760FA"/>
    <w:rsid w:val="00776212"/>
    <w:rsid w:val="007765F9"/>
    <w:rsid w:val="007768F1"/>
    <w:rsid w:val="00777276"/>
    <w:rsid w:val="00777444"/>
    <w:rsid w:val="007776E4"/>
    <w:rsid w:val="00777EFA"/>
    <w:rsid w:val="00780089"/>
    <w:rsid w:val="00780222"/>
    <w:rsid w:val="007808D5"/>
    <w:rsid w:val="00780B9F"/>
    <w:rsid w:val="0078103C"/>
    <w:rsid w:val="007811C1"/>
    <w:rsid w:val="00781D0C"/>
    <w:rsid w:val="00782DF6"/>
    <w:rsid w:val="00782FBF"/>
    <w:rsid w:val="0078350E"/>
    <w:rsid w:val="0078380F"/>
    <w:rsid w:val="007838CA"/>
    <w:rsid w:val="007839A9"/>
    <w:rsid w:val="0078535C"/>
    <w:rsid w:val="00785527"/>
    <w:rsid w:val="0078591E"/>
    <w:rsid w:val="00785E99"/>
    <w:rsid w:val="00785F49"/>
    <w:rsid w:val="007867D7"/>
    <w:rsid w:val="00786CD5"/>
    <w:rsid w:val="007870B7"/>
    <w:rsid w:val="0078753A"/>
    <w:rsid w:val="00787EDA"/>
    <w:rsid w:val="00790A6D"/>
    <w:rsid w:val="00790C76"/>
    <w:rsid w:val="00790DC3"/>
    <w:rsid w:val="0079119D"/>
    <w:rsid w:val="00792632"/>
    <w:rsid w:val="0079264A"/>
    <w:rsid w:val="00792F35"/>
    <w:rsid w:val="007932DF"/>
    <w:rsid w:val="007938AA"/>
    <w:rsid w:val="00794341"/>
    <w:rsid w:val="007945B2"/>
    <w:rsid w:val="00794705"/>
    <w:rsid w:val="00794BFF"/>
    <w:rsid w:val="00794FE8"/>
    <w:rsid w:val="00795077"/>
    <w:rsid w:val="0079527D"/>
    <w:rsid w:val="00795C1E"/>
    <w:rsid w:val="0079648A"/>
    <w:rsid w:val="00796775"/>
    <w:rsid w:val="00796A68"/>
    <w:rsid w:val="00796B6F"/>
    <w:rsid w:val="007974AB"/>
    <w:rsid w:val="00797B90"/>
    <w:rsid w:val="007A0434"/>
    <w:rsid w:val="007A0661"/>
    <w:rsid w:val="007A1FD7"/>
    <w:rsid w:val="007A232A"/>
    <w:rsid w:val="007A2352"/>
    <w:rsid w:val="007A38BB"/>
    <w:rsid w:val="007A4402"/>
    <w:rsid w:val="007A4DEF"/>
    <w:rsid w:val="007A4E51"/>
    <w:rsid w:val="007A5508"/>
    <w:rsid w:val="007A5D7B"/>
    <w:rsid w:val="007A61FC"/>
    <w:rsid w:val="007A6FB9"/>
    <w:rsid w:val="007A701F"/>
    <w:rsid w:val="007A74A3"/>
    <w:rsid w:val="007A74DF"/>
    <w:rsid w:val="007A7A11"/>
    <w:rsid w:val="007B0777"/>
    <w:rsid w:val="007B0B57"/>
    <w:rsid w:val="007B1915"/>
    <w:rsid w:val="007B1BEA"/>
    <w:rsid w:val="007B1E16"/>
    <w:rsid w:val="007B21CF"/>
    <w:rsid w:val="007B2970"/>
    <w:rsid w:val="007B2D82"/>
    <w:rsid w:val="007B2E6E"/>
    <w:rsid w:val="007B3631"/>
    <w:rsid w:val="007B3F7D"/>
    <w:rsid w:val="007B4535"/>
    <w:rsid w:val="007B484A"/>
    <w:rsid w:val="007B5341"/>
    <w:rsid w:val="007B544E"/>
    <w:rsid w:val="007B630E"/>
    <w:rsid w:val="007B6AF6"/>
    <w:rsid w:val="007B6B38"/>
    <w:rsid w:val="007B6BBA"/>
    <w:rsid w:val="007B7573"/>
    <w:rsid w:val="007B76E3"/>
    <w:rsid w:val="007B78AE"/>
    <w:rsid w:val="007C103A"/>
    <w:rsid w:val="007C14F5"/>
    <w:rsid w:val="007C1984"/>
    <w:rsid w:val="007C239F"/>
    <w:rsid w:val="007C318D"/>
    <w:rsid w:val="007C32E0"/>
    <w:rsid w:val="007C3549"/>
    <w:rsid w:val="007C369E"/>
    <w:rsid w:val="007C3F9C"/>
    <w:rsid w:val="007C46BD"/>
    <w:rsid w:val="007C4908"/>
    <w:rsid w:val="007C4EB4"/>
    <w:rsid w:val="007C5242"/>
    <w:rsid w:val="007C5D9C"/>
    <w:rsid w:val="007C67BC"/>
    <w:rsid w:val="007C7A77"/>
    <w:rsid w:val="007C7E86"/>
    <w:rsid w:val="007D0629"/>
    <w:rsid w:val="007D06CA"/>
    <w:rsid w:val="007D0806"/>
    <w:rsid w:val="007D0F96"/>
    <w:rsid w:val="007D1A39"/>
    <w:rsid w:val="007D1AA5"/>
    <w:rsid w:val="007D1B39"/>
    <w:rsid w:val="007D1CDD"/>
    <w:rsid w:val="007D2006"/>
    <w:rsid w:val="007D24D0"/>
    <w:rsid w:val="007D2801"/>
    <w:rsid w:val="007D2DCD"/>
    <w:rsid w:val="007D33E6"/>
    <w:rsid w:val="007D3443"/>
    <w:rsid w:val="007D36A8"/>
    <w:rsid w:val="007D36ED"/>
    <w:rsid w:val="007D37BD"/>
    <w:rsid w:val="007D3923"/>
    <w:rsid w:val="007D39F5"/>
    <w:rsid w:val="007D4119"/>
    <w:rsid w:val="007D43E0"/>
    <w:rsid w:val="007D4447"/>
    <w:rsid w:val="007D486A"/>
    <w:rsid w:val="007D49BE"/>
    <w:rsid w:val="007D4AE6"/>
    <w:rsid w:val="007D4CB8"/>
    <w:rsid w:val="007D4D70"/>
    <w:rsid w:val="007D4F60"/>
    <w:rsid w:val="007D75DB"/>
    <w:rsid w:val="007D7DB2"/>
    <w:rsid w:val="007D7E7A"/>
    <w:rsid w:val="007D7F44"/>
    <w:rsid w:val="007E0183"/>
    <w:rsid w:val="007E0357"/>
    <w:rsid w:val="007E0AB3"/>
    <w:rsid w:val="007E0FD2"/>
    <w:rsid w:val="007E12E2"/>
    <w:rsid w:val="007E13A1"/>
    <w:rsid w:val="007E1B19"/>
    <w:rsid w:val="007E1E9F"/>
    <w:rsid w:val="007E2418"/>
    <w:rsid w:val="007E28BC"/>
    <w:rsid w:val="007E29AE"/>
    <w:rsid w:val="007E2B3A"/>
    <w:rsid w:val="007E3022"/>
    <w:rsid w:val="007E32D4"/>
    <w:rsid w:val="007E3A5B"/>
    <w:rsid w:val="007E4E7C"/>
    <w:rsid w:val="007E4ED3"/>
    <w:rsid w:val="007E58A5"/>
    <w:rsid w:val="007E6290"/>
    <w:rsid w:val="007E66C0"/>
    <w:rsid w:val="007E6839"/>
    <w:rsid w:val="007E69A7"/>
    <w:rsid w:val="007E7E5D"/>
    <w:rsid w:val="007E7F1E"/>
    <w:rsid w:val="007F041F"/>
    <w:rsid w:val="007F0816"/>
    <w:rsid w:val="007F0F1E"/>
    <w:rsid w:val="007F1104"/>
    <w:rsid w:val="007F1437"/>
    <w:rsid w:val="007F148E"/>
    <w:rsid w:val="007F15A9"/>
    <w:rsid w:val="007F1FA3"/>
    <w:rsid w:val="007F26D3"/>
    <w:rsid w:val="007F2774"/>
    <w:rsid w:val="007F2F6E"/>
    <w:rsid w:val="007F331D"/>
    <w:rsid w:val="007F39EF"/>
    <w:rsid w:val="007F3C5C"/>
    <w:rsid w:val="007F3DFF"/>
    <w:rsid w:val="007F424C"/>
    <w:rsid w:val="007F47EB"/>
    <w:rsid w:val="007F48E4"/>
    <w:rsid w:val="007F4EBC"/>
    <w:rsid w:val="007F4FB4"/>
    <w:rsid w:val="007F5570"/>
    <w:rsid w:val="007F5890"/>
    <w:rsid w:val="007F5A45"/>
    <w:rsid w:val="007F5BB0"/>
    <w:rsid w:val="007F6109"/>
    <w:rsid w:val="007F61C4"/>
    <w:rsid w:val="007F61DB"/>
    <w:rsid w:val="007F63C2"/>
    <w:rsid w:val="007F6E14"/>
    <w:rsid w:val="007F7175"/>
    <w:rsid w:val="007F7C25"/>
    <w:rsid w:val="007F7C37"/>
    <w:rsid w:val="00800245"/>
    <w:rsid w:val="008002B4"/>
    <w:rsid w:val="00800A29"/>
    <w:rsid w:val="0080112D"/>
    <w:rsid w:val="008012FC"/>
    <w:rsid w:val="0080171B"/>
    <w:rsid w:val="00801FC6"/>
    <w:rsid w:val="00802002"/>
    <w:rsid w:val="0080251B"/>
    <w:rsid w:val="00802C58"/>
    <w:rsid w:val="00802D40"/>
    <w:rsid w:val="008036DA"/>
    <w:rsid w:val="00803BB1"/>
    <w:rsid w:val="0080417B"/>
    <w:rsid w:val="00804EBF"/>
    <w:rsid w:val="008054AA"/>
    <w:rsid w:val="008054F6"/>
    <w:rsid w:val="00807EA5"/>
    <w:rsid w:val="00807EF9"/>
    <w:rsid w:val="008101B4"/>
    <w:rsid w:val="00811C6E"/>
    <w:rsid w:val="0081203F"/>
    <w:rsid w:val="008125AE"/>
    <w:rsid w:val="00813323"/>
    <w:rsid w:val="00813DEE"/>
    <w:rsid w:val="00813E20"/>
    <w:rsid w:val="00814695"/>
    <w:rsid w:val="00814744"/>
    <w:rsid w:val="0081479A"/>
    <w:rsid w:val="00815F68"/>
    <w:rsid w:val="008162C2"/>
    <w:rsid w:val="008163DF"/>
    <w:rsid w:val="008163F4"/>
    <w:rsid w:val="008165D3"/>
    <w:rsid w:val="008166F7"/>
    <w:rsid w:val="00817073"/>
    <w:rsid w:val="008172BA"/>
    <w:rsid w:val="00817CDD"/>
    <w:rsid w:val="00820831"/>
    <w:rsid w:val="00820C4A"/>
    <w:rsid w:val="00821700"/>
    <w:rsid w:val="0082191C"/>
    <w:rsid w:val="00821EB7"/>
    <w:rsid w:val="008223AF"/>
    <w:rsid w:val="0082299F"/>
    <w:rsid w:val="00822C11"/>
    <w:rsid w:val="00822DC7"/>
    <w:rsid w:val="008234DD"/>
    <w:rsid w:val="008237BC"/>
    <w:rsid w:val="008237C4"/>
    <w:rsid w:val="00823B83"/>
    <w:rsid w:val="00823C3F"/>
    <w:rsid w:val="008248CD"/>
    <w:rsid w:val="00824C62"/>
    <w:rsid w:val="00825808"/>
    <w:rsid w:val="00825E8B"/>
    <w:rsid w:val="00826E76"/>
    <w:rsid w:val="008272EF"/>
    <w:rsid w:val="00827460"/>
    <w:rsid w:val="00830056"/>
    <w:rsid w:val="0083018C"/>
    <w:rsid w:val="0083030B"/>
    <w:rsid w:val="00830559"/>
    <w:rsid w:val="0083056A"/>
    <w:rsid w:val="00830675"/>
    <w:rsid w:val="0083079C"/>
    <w:rsid w:val="008308AF"/>
    <w:rsid w:val="00830DC8"/>
    <w:rsid w:val="00831496"/>
    <w:rsid w:val="00831D28"/>
    <w:rsid w:val="00831DE9"/>
    <w:rsid w:val="008329E3"/>
    <w:rsid w:val="00832A14"/>
    <w:rsid w:val="00832A54"/>
    <w:rsid w:val="008335EF"/>
    <w:rsid w:val="00833CC2"/>
    <w:rsid w:val="00833F73"/>
    <w:rsid w:val="00833F9B"/>
    <w:rsid w:val="008345CA"/>
    <w:rsid w:val="00834606"/>
    <w:rsid w:val="00834650"/>
    <w:rsid w:val="00835229"/>
    <w:rsid w:val="00835F7A"/>
    <w:rsid w:val="0084008F"/>
    <w:rsid w:val="008401E0"/>
    <w:rsid w:val="0084048F"/>
    <w:rsid w:val="00840A2F"/>
    <w:rsid w:val="00840E17"/>
    <w:rsid w:val="0084258E"/>
    <w:rsid w:val="0084270B"/>
    <w:rsid w:val="0084291E"/>
    <w:rsid w:val="008429F4"/>
    <w:rsid w:val="00843208"/>
    <w:rsid w:val="00843295"/>
    <w:rsid w:val="00844930"/>
    <w:rsid w:val="00844EA1"/>
    <w:rsid w:val="00844FCE"/>
    <w:rsid w:val="00845933"/>
    <w:rsid w:val="00845F3E"/>
    <w:rsid w:val="008461B5"/>
    <w:rsid w:val="0084623F"/>
    <w:rsid w:val="00846470"/>
    <w:rsid w:val="00846D3E"/>
    <w:rsid w:val="00846F0D"/>
    <w:rsid w:val="0084769A"/>
    <w:rsid w:val="00847DA0"/>
    <w:rsid w:val="00850A3A"/>
    <w:rsid w:val="008511C9"/>
    <w:rsid w:val="0085133E"/>
    <w:rsid w:val="00851A1C"/>
    <w:rsid w:val="00851C88"/>
    <w:rsid w:val="008523BA"/>
    <w:rsid w:val="0085290A"/>
    <w:rsid w:val="00852C9C"/>
    <w:rsid w:val="00853179"/>
    <w:rsid w:val="008533B1"/>
    <w:rsid w:val="00853813"/>
    <w:rsid w:val="008543C7"/>
    <w:rsid w:val="0085460D"/>
    <w:rsid w:val="008548FD"/>
    <w:rsid w:val="008551C0"/>
    <w:rsid w:val="008560A2"/>
    <w:rsid w:val="00856690"/>
    <w:rsid w:val="0085753F"/>
    <w:rsid w:val="0085758A"/>
    <w:rsid w:val="0085792C"/>
    <w:rsid w:val="008600DC"/>
    <w:rsid w:val="008605D7"/>
    <w:rsid w:val="0086065F"/>
    <w:rsid w:val="008608BB"/>
    <w:rsid w:val="00861B59"/>
    <w:rsid w:val="00862555"/>
    <w:rsid w:val="00862B45"/>
    <w:rsid w:val="00862B9E"/>
    <w:rsid w:val="00863319"/>
    <w:rsid w:val="0086338B"/>
    <w:rsid w:val="00863AD3"/>
    <w:rsid w:val="00863B6B"/>
    <w:rsid w:val="00863BA6"/>
    <w:rsid w:val="00863C3A"/>
    <w:rsid w:val="00863E5C"/>
    <w:rsid w:val="00864000"/>
    <w:rsid w:val="00864051"/>
    <w:rsid w:val="008642BE"/>
    <w:rsid w:val="0086453D"/>
    <w:rsid w:val="00864A5F"/>
    <w:rsid w:val="00865DCB"/>
    <w:rsid w:val="00866542"/>
    <w:rsid w:val="00866603"/>
    <w:rsid w:val="008668C2"/>
    <w:rsid w:val="008675FE"/>
    <w:rsid w:val="00867A27"/>
    <w:rsid w:val="00867B2F"/>
    <w:rsid w:val="0087030C"/>
    <w:rsid w:val="00871A8C"/>
    <w:rsid w:val="00871EE9"/>
    <w:rsid w:val="0087203E"/>
    <w:rsid w:val="00872158"/>
    <w:rsid w:val="00872199"/>
    <w:rsid w:val="00872FE6"/>
    <w:rsid w:val="00873081"/>
    <w:rsid w:val="0087308F"/>
    <w:rsid w:val="0087395A"/>
    <w:rsid w:val="00873AE6"/>
    <w:rsid w:val="00874208"/>
    <w:rsid w:val="0087443A"/>
    <w:rsid w:val="00874BE6"/>
    <w:rsid w:val="00874E5C"/>
    <w:rsid w:val="00875450"/>
    <w:rsid w:val="00875608"/>
    <w:rsid w:val="00875ACB"/>
    <w:rsid w:val="00875EA8"/>
    <w:rsid w:val="00876536"/>
    <w:rsid w:val="00876621"/>
    <w:rsid w:val="00876AA6"/>
    <w:rsid w:val="00876B4F"/>
    <w:rsid w:val="00877625"/>
    <w:rsid w:val="00877947"/>
    <w:rsid w:val="00877A86"/>
    <w:rsid w:val="00877D66"/>
    <w:rsid w:val="00877DC5"/>
    <w:rsid w:val="00880185"/>
    <w:rsid w:val="00880D15"/>
    <w:rsid w:val="00880F2F"/>
    <w:rsid w:val="0088147B"/>
    <w:rsid w:val="008816E9"/>
    <w:rsid w:val="00881719"/>
    <w:rsid w:val="0088175B"/>
    <w:rsid w:val="0088182A"/>
    <w:rsid w:val="00881A65"/>
    <w:rsid w:val="00881B93"/>
    <w:rsid w:val="00881F15"/>
    <w:rsid w:val="00882617"/>
    <w:rsid w:val="008827CF"/>
    <w:rsid w:val="008836DC"/>
    <w:rsid w:val="00883821"/>
    <w:rsid w:val="00883B82"/>
    <w:rsid w:val="0088419A"/>
    <w:rsid w:val="008841ED"/>
    <w:rsid w:val="008843E3"/>
    <w:rsid w:val="008859C5"/>
    <w:rsid w:val="00885F6F"/>
    <w:rsid w:val="00886AE5"/>
    <w:rsid w:val="00886C7F"/>
    <w:rsid w:val="00887852"/>
    <w:rsid w:val="00887B37"/>
    <w:rsid w:val="00887BDC"/>
    <w:rsid w:val="00887E32"/>
    <w:rsid w:val="008900B2"/>
    <w:rsid w:val="008903E2"/>
    <w:rsid w:val="0089056B"/>
    <w:rsid w:val="008909EE"/>
    <w:rsid w:val="00890EDE"/>
    <w:rsid w:val="0089104D"/>
    <w:rsid w:val="0089119C"/>
    <w:rsid w:val="00891AAF"/>
    <w:rsid w:val="00891FEC"/>
    <w:rsid w:val="008920ED"/>
    <w:rsid w:val="008927AC"/>
    <w:rsid w:val="00892B62"/>
    <w:rsid w:val="00892DBF"/>
    <w:rsid w:val="00892DE6"/>
    <w:rsid w:val="00892F80"/>
    <w:rsid w:val="008932D9"/>
    <w:rsid w:val="008936D9"/>
    <w:rsid w:val="008937BD"/>
    <w:rsid w:val="00893A14"/>
    <w:rsid w:val="008940E9"/>
    <w:rsid w:val="0089419E"/>
    <w:rsid w:val="008944A5"/>
    <w:rsid w:val="008944CF"/>
    <w:rsid w:val="0089475F"/>
    <w:rsid w:val="00894B44"/>
    <w:rsid w:val="008957C0"/>
    <w:rsid w:val="00895962"/>
    <w:rsid w:val="00895CB4"/>
    <w:rsid w:val="00896049"/>
    <w:rsid w:val="00896740"/>
    <w:rsid w:val="0089679B"/>
    <w:rsid w:val="008967B9"/>
    <w:rsid w:val="00896D17"/>
    <w:rsid w:val="0089726B"/>
    <w:rsid w:val="00897701"/>
    <w:rsid w:val="00897DE1"/>
    <w:rsid w:val="008A0360"/>
    <w:rsid w:val="008A1014"/>
    <w:rsid w:val="008A18A9"/>
    <w:rsid w:val="008A1974"/>
    <w:rsid w:val="008A2149"/>
    <w:rsid w:val="008A26AC"/>
    <w:rsid w:val="008A2C09"/>
    <w:rsid w:val="008A2ED7"/>
    <w:rsid w:val="008A3E3D"/>
    <w:rsid w:val="008A4981"/>
    <w:rsid w:val="008A5156"/>
    <w:rsid w:val="008A54D3"/>
    <w:rsid w:val="008A6399"/>
    <w:rsid w:val="008A6CE2"/>
    <w:rsid w:val="008A7CC7"/>
    <w:rsid w:val="008B05A8"/>
    <w:rsid w:val="008B1248"/>
    <w:rsid w:val="008B1339"/>
    <w:rsid w:val="008B20E2"/>
    <w:rsid w:val="008B2657"/>
    <w:rsid w:val="008B273C"/>
    <w:rsid w:val="008B284F"/>
    <w:rsid w:val="008B2BEE"/>
    <w:rsid w:val="008B2FBF"/>
    <w:rsid w:val="008B3011"/>
    <w:rsid w:val="008B301B"/>
    <w:rsid w:val="008B3A70"/>
    <w:rsid w:val="008B3BD3"/>
    <w:rsid w:val="008B4D4F"/>
    <w:rsid w:val="008B5212"/>
    <w:rsid w:val="008B542D"/>
    <w:rsid w:val="008B549C"/>
    <w:rsid w:val="008B55A6"/>
    <w:rsid w:val="008B57C8"/>
    <w:rsid w:val="008B5A08"/>
    <w:rsid w:val="008B612C"/>
    <w:rsid w:val="008B778B"/>
    <w:rsid w:val="008C0066"/>
    <w:rsid w:val="008C0453"/>
    <w:rsid w:val="008C05E0"/>
    <w:rsid w:val="008C0606"/>
    <w:rsid w:val="008C11ED"/>
    <w:rsid w:val="008C1937"/>
    <w:rsid w:val="008C1AF7"/>
    <w:rsid w:val="008C1CDB"/>
    <w:rsid w:val="008C224B"/>
    <w:rsid w:val="008C23D9"/>
    <w:rsid w:val="008C2DB4"/>
    <w:rsid w:val="008C2E98"/>
    <w:rsid w:val="008C501E"/>
    <w:rsid w:val="008C5026"/>
    <w:rsid w:val="008C5996"/>
    <w:rsid w:val="008C7908"/>
    <w:rsid w:val="008C79DA"/>
    <w:rsid w:val="008D0272"/>
    <w:rsid w:val="008D04D3"/>
    <w:rsid w:val="008D0C40"/>
    <w:rsid w:val="008D0C6D"/>
    <w:rsid w:val="008D114F"/>
    <w:rsid w:val="008D13AC"/>
    <w:rsid w:val="008D13D3"/>
    <w:rsid w:val="008D1609"/>
    <w:rsid w:val="008D1702"/>
    <w:rsid w:val="008D1859"/>
    <w:rsid w:val="008D18DD"/>
    <w:rsid w:val="008D1925"/>
    <w:rsid w:val="008D21B1"/>
    <w:rsid w:val="008D3207"/>
    <w:rsid w:val="008D3804"/>
    <w:rsid w:val="008D3B75"/>
    <w:rsid w:val="008D3E82"/>
    <w:rsid w:val="008D4175"/>
    <w:rsid w:val="008D457A"/>
    <w:rsid w:val="008D4EB5"/>
    <w:rsid w:val="008D51E3"/>
    <w:rsid w:val="008D5E33"/>
    <w:rsid w:val="008D649D"/>
    <w:rsid w:val="008D677B"/>
    <w:rsid w:val="008D6BB6"/>
    <w:rsid w:val="008D74D7"/>
    <w:rsid w:val="008D773F"/>
    <w:rsid w:val="008D7AD2"/>
    <w:rsid w:val="008D7E96"/>
    <w:rsid w:val="008E0C1D"/>
    <w:rsid w:val="008E0FAE"/>
    <w:rsid w:val="008E165E"/>
    <w:rsid w:val="008E19E6"/>
    <w:rsid w:val="008E1A7F"/>
    <w:rsid w:val="008E1EF6"/>
    <w:rsid w:val="008E1FD7"/>
    <w:rsid w:val="008E2561"/>
    <w:rsid w:val="008E28C6"/>
    <w:rsid w:val="008E2CC2"/>
    <w:rsid w:val="008E3F29"/>
    <w:rsid w:val="008E47E9"/>
    <w:rsid w:val="008E4AA7"/>
    <w:rsid w:val="008E4E3E"/>
    <w:rsid w:val="008E4EA6"/>
    <w:rsid w:val="008E56C9"/>
    <w:rsid w:val="008E58C6"/>
    <w:rsid w:val="008E5A8F"/>
    <w:rsid w:val="008E5B5B"/>
    <w:rsid w:val="008E656C"/>
    <w:rsid w:val="008E65DB"/>
    <w:rsid w:val="008E66F3"/>
    <w:rsid w:val="008E6701"/>
    <w:rsid w:val="008E6839"/>
    <w:rsid w:val="008E6C44"/>
    <w:rsid w:val="008E7172"/>
    <w:rsid w:val="008E738F"/>
    <w:rsid w:val="008E74EE"/>
    <w:rsid w:val="008E7817"/>
    <w:rsid w:val="008E782C"/>
    <w:rsid w:val="008E7CEB"/>
    <w:rsid w:val="008E7D27"/>
    <w:rsid w:val="008F0161"/>
    <w:rsid w:val="008F045A"/>
    <w:rsid w:val="008F07B4"/>
    <w:rsid w:val="008F141E"/>
    <w:rsid w:val="008F1DBE"/>
    <w:rsid w:val="008F1E02"/>
    <w:rsid w:val="008F1EA0"/>
    <w:rsid w:val="008F2091"/>
    <w:rsid w:val="008F28AA"/>
    <w:rsid w:val="008F30E7"/>
    <w:rsid w:val="008F338A"/>
    <w:rsid w:val="008F3417"/>
    <w:rsid w:val="008F37FC"/>
    <w:rsid w:val="008F3976"/>
    <w:rsid w:val="008F4839"/>
    <w:rsid w:val="008F4DAB"/>
    <w:rsid w:val="008F4FD2"/>
    <w:rsid w:val="008F516C"/>
    <w:rsid w:val="008F55B9"/>
    <w:rsid w:val="008F5804"/>
    <w:rsid w:val="008F6B1B"/>
    <w:rsid w:val="008F70D5"/>
    <w:rsid w:val="008F7381"/>
    <w:rsid w:val="008F7AEF"/>
    <w:rsid w:val="008F7B1D"/>
    <w:rsid w:val="00900D06"/>
    <w:rsid w:val="00900EFB"/>
    <w:rsid w:val="0090174C"/>
    <w:rsid w:val="00901EA6"/>
    <w:rsid w:val="0090271E"/>
    <w:rsid w:val="00902CE4"/>
    <w:rsid w:val="00902FE6"/>
    <w:rsid w:val="00903281"/>
    <w:rsid w:val="00903D75"/>
    <w:rsid w:val="009049F2"/>
    <w:rsid w:val="00904BE2"/>
    <w:rsid w:val="0090510B"/>
    <w:rsid w:val="009054A0"/>
    <w:rsid w:val="00906131"/>
    <w:rsid w:val="009066AD"/>
    <w:rsid w:val="0090739A"/>
    <w:rsid w:val="0090764C"/>
    <w:rsid w:val="00907A68"/>
    <w:rsid w:val="00907AF7"/>
    <w:rsid w:val="00910A9E"/>
    <w:rsid w:val="00910E18"/>
    <w:rsid w:val="00910F4C"/>
    <w:rsid w:val="00911318"/>
    <w:rsid w:val="00911715"/>
    <w:rsid w:val="0091196A"/>
    <w:rsid w:val="00912274"/>
    <w:rsid w:val="00912CD4"/>
    <w:rsid w:val="00913409"/>
    <w:rsid w:val="00913A23"/>
    <w:rsid w:val="00913AE4"/>
    <w:rsid w:val="00913DAE"/>
    <w:rsid w:val="0091431A"/>
    <w:rsid w:val="00914321"/>
    <w:rsid w:val="00914754"/>
    <w:rsid w:val="0091541E"/>
    <w:rsid w:val="00915C9C"/>
    <w:rsid w:val="00917357"/>
    <w:rsid w:val="009176CB"/>
    <w:rsid w:val="009179CC"/>
    <w:rsid w:val="009179ED"/>
    <w:rsid w:val="00917AC5"/>
    <w:rsid w:val="00917D80"/>
    <w:rsid w:val="009204EB"/>
    <w:rsid w:val="00920899"/>
    <w:rsid w:val="009208EB"/>
    <w:rsid w:val="00920AD3"/>
    <w:rsid w:val="00921168"/>
    <w:rsid w:val="009218FF"/>
    <w:rsid w:val="00921A09"/>
    <w:rsid w:val="00922144"/>
    <w:rsid w:val="0092323B"/>
    <w:rsid w:val="009247F0"/>
    <w:rsid w:val="0092497C"/>
    <w:rsid w:val="00925347"/>
    <w:rsid w:val="00925BC8"/>
    <w:rsid w:val="0092601B"/>
    <w:rsid w:val="00926416"/>
    <w:rsid w:val="0092677B"/>
    <w:rsid w:val="009268A7"/>
    <w:rsid w:val="00926CC3"/>
    <w:rsid w:val="00926E53"/>
    <w:rsid w:val="009270A3"/>
    <w:rsid w:val="009278C0"/>
    <w:rsid w:val="009278F9"/>
    <w:rsid w:val="00930879"/>
    <w:rsid w:val="00930AFB"/>
    <w:rsid w:val="00930D11"/>
    <w:rsid w:val="0093107D"/>
    <w:rsid w:val="009315B1"/>
    <w:rsid w:val="009315C1"/>
    <w:rsid w:val="009316DD"/>
    <w:rsid w:val="00931B10"/>
    <w:rsid w:val="00931FE7"/>
    <w:rsid w:val="0093303F"/>
    <w:rsid w:val="00933151"/>
    <w:rsid w:val="0093330F"/>
    <w:rsid w:val="009334E6"/>
    <w:rsid w:val="009336BD"/>
    <w:rsid w:val="009338A2"/>
    <w:rsid w:val="009340DF"/>
    <w:rsid w:val="00934B01"/>
    <w:rsid w:val="0093524D"/>
    <w:rsid w:val="0093541B"/>
    <w:rsid w:val="0093557C"/>
    <w:rsid w:val="00935620"/>
    <w:rsid w:val="009361D7"/>
    <w:rsid w:val="0093654C"/>
    <w:rsid w:val="0093688B"/>
    <w:rsid w:val="009369E2"/>
    <w:rsid w:val="00937004"/>
    <w:rsid w:val="009374E0"/>
    <w:rsid w:val="00937E40"/>
    <w:rsid w:val="00940039"/>
    <w:rsid w:val="009401DE"/>
    <w:rsid w:val="00940A24"/>
    <w:rsid w:val="00941614"/>
    <w:rsid w:val="009416EA"/>
    <w:rsid w:val="00941B5F"/>
    <w:rsid w:val="00941BE4"/>
    <w:rsid w:val="0094202B"/>
    <w:rsid w:val="009429BA"/>
    <w:rsid w:val="00943927"/>
    <w:rsid w:val="00943964"/>
    <w:rsid w:val="00944564"/>
    <w:rsid w:val="0094458C"/>
    <w:rsid w:val="009460BC"/>
    <w:rsid w:val="00946572"/>
    <w:rsid w:val="00947446"/>
    <w:rsid w:val="009476C9"/>
    <w:rsid w:val="009479EB"/>
    <w:rsid w:val="00947C6F"/>
    <w:rsid w:val="00947DD1"/>
    <w:rsid w:val="0095028B"/>
    <w:rsid w:val="0095088F"/>
    <w:rsid w:val="00950EBA"/>
    <w:rsid w:val="00950F48"/>
    <w:rsid w:val="009512D6"/>
    <w:rsid w:val="009514B7"/>
    <w:rsid w:val="0095187E"/>
    <w:rsid w:val="009520FF"/>
    <w:rsid w:val="009529ED"/>
    <w:rsid w:val="009534C6"/>
    <w:rsid w:val="00953E1F"/>
    <w:rsid w:val="00953F8A"/>
    <w:rsid w:val="009544E9"/>
    <w:rsid w:val="00954DC3"/>
    <w:rsid w:val="009556DC"/>
    <w:rsid w:val="00955913"/>
    <w:rsid w:val="009562D5"/>
    <w:rsid w:val="00956930"/>
    <w:rsid w:val="00956A3A"/>
    <w:rsid w:val="00956E7B"/>
    <w:rsid w:val="00957BC7"/>
    <w:rsid w:val="00957C45"/>
    <w:rsid w:val="009605D3"/>
    <w:rsid w:val="009607F9"/>
    <w:rsid w:val="00960CE0"/>
    <w:rsid w:val="0096107C"/>
    <w:rsid w:val="00961153"/>
    <w:rsid w:val="0096115B"/>
    <w:rsid w:val="0096148D"/>
    <w:rsid w:val="0096239E"/>
    <w:rsid w:val="00962CB0"/>
    <w:rsid w:val="00962E6D"/>
    <w:rsid w:val="00962F69"/>
    <w:rsid w:val="00963A09"/>
    <w:rsid w:val="00964307"/>
    <w:rsid w:val="0096570A"/>
    <w:rsid w:val="00965877"/>
    <w:rsid w:val="00965D62"/>
    <w:rsid w:val="0096600F"/>
    <w:rsid w:val="00966565"/>
    <w:rsid w:val="00966738"/>
    <w:rsid w:val="0096681C"/>
    <w:rsid w:val="00966B68"/>
    <w:rsid w:val="0096770C"/>
    <w:rsid w:val="00967920"/>
    <w:rsid w:val="00967B67"/>
    <w:rsid w:val="00970513"/>
    <w:rsid w:val="00970521"/>
    <w:rsid w:val="009707EA"/>
    <w:rsid w:val="00970DCA"/>
    <w:rsid w:val="0097109F"/>
    <w:rsid w:val="009712C2"/>
    <w:rsid w:val="009719A6"/>
    <w:rsid w:val="00971A1C"/>
    <w:rsid w:val="00971A3E"/>
    <w:rsid w:val="00971ED6"/>
    <w:rsid w:val="00972319"/>
    <w:rsid w:val="00972B06"/>
    <w:rsid w:val="0097301A"/>
    <w:rsid w:val="009737C8"/>
    <w:rsid w:val="009737F2"/>
    <w:rsid w:val="00973A87"/>
    <w:rsid w:val="00973D8B"/>
    <w:rsid w:val="00973E64"/>
    <w:rsid w:val="00973F89"/>
    <w:rsid w:val="009745A7"/>
    <w:rsid w:val="009747E5"/>
    <w:rsid w:val="00974B2C"/>
    <w:rsid w:val="009753ED"/>
    <w:rsid w:val="00975D2B"/>
    <w:rsid w:val="009761C3"/>
    <w:rsid w:val="00976214"/>
    <w:rsid w:val="0097672E"/>
    <w:rsid w:val="00980044"/>
    <w:rsid w:val="009803E8"/>
    <w:rsid w:val="009805BE"/>
    <w:rsid w:val="0098180B"/>
    <w:rsid w:val="00981B05"/>
    <w:rsid w:val="00981DFD"/>
    <w:rsid w:val="009821A0"/>
    <w:rsid w:val="00983069"/>
    <w:rsid w:val="0098415D"/>
    <w:rsid w:val="00984848"/>
    <w:rsid w:val="00984B04"/>
    <w:rsid w:val="00984F28"/>
    <w:rsid w:val="009851EB"/>
    <w:rsid w:val="009856D6"/>
    <w:rsid w:val="00986002"/>
    <w:rsid w:val="0098608D"/>
    <w:rsid w:val="00986778"/>
    <w:rsid w:val="00987355"/>
    <w:rsid w:val="00987738"/>
    <w:rsid w:val="0098794A"/>
    <w:rsid w:val="009903A2"/>
    <w:rsid w:val="009907FF"/>
    <w:rsid w:val="00990B2E"/>
    <w:rsid w:val="00990C8F"/>
    <w:rsid w:val="00990D8F"/>
    <w:rsid w:val="00990F14"/>
    <w:rsid w:val="00991127"/>
    <w:rsid w:val="009916ED"/>
    <w:rsid w:val="00992022"/>
    <w:rsid w:val="00992047"/>
    <w:rsid w:val="009923E3"/>
    <w:rsid w:val="009924EE"/>
    <w:rsid w:val="00992559"/>
    <w:rsid w:val="009936BA"/>
    <w:rsid w:val="00993AC2"/>
    <w:rsid w:val="00993D89"/>
    <w:rsid w:val="0099438A"/>
    <w:rsid w:val="00994B64"/>
    <w:rsid w:val="00995042"/>
    <w:rsid w:val="0099569A"/>
    <w:rsid w:val="00995CB8"/>
    <w:rsid w:val="009973DA"/>
    <w:rsid w:val="009A0204"/>
    <w:rsid w:val="009A0352"/>
    <w:rsid w:val="009A0379"/>
    <w:rsid w:val="009A14D9"/>
    <w:rsid w:val="009A1710"/>
    <w:rsid w:val="009A1BB9"/>
    <w:rsid w:val="009A1BD4"/>
    <w:rsid w:val="009A1EF1"/>
    <w:rsid w:val="009A22BA"/>
    <w:rsid w:val="009A28C9"/>
    <w:rsid w:val="009A2AD2"/>
    <w:rsid w:val="009A35A0"/>
    <w:rsid w:val="009A39A5"/>
    <w:rsid w:val="009A3E49"/>
    <w:rsid w:val="009A3F3F"/>
    <w:rsid w:val="009A4260"/>
    <w:rsid w:val="009A42D6"/>
    <w:rsid w:val="009A4486"/>
    <w:rsid w:val="009A44C3"/>
    <w:rsid w:val="009A484B"/>
    <w:rsid w:val="009A5079"/>
    <w:rsid w:val="009A508D"/>
    <w:rsid w:val="009A58FF"/>
    <w:rsid w:val="009A5B23"/>
    <w:rsid w:val="009A64D4"/>
    <w:rsid w:val="009A6C08"/>
    <w:rsid w:val="009A6D43"/>
    <w:rsid w:val="009A6E66"/>
    <w:rsid w:val="009A7BF1"/>
    <w:rsid w:val="009B0C00"/>
    <w:rsid w:val="009B0F25"/>
    <w:rsid w:val="009B112E"/>
    <w:rsid w:val="009B11A4"/>
    <w:rsid w:val="009B11E8"/>
    <w:rsid w:val="009B1E0C"/>
    <w:rsid w:val="009B1F55"/>
    <w:rsid w:val="009B24F7"/>
    <w:rsid w:val="009B25E2"/>
    <w:rsid w:val="009B2724"/>
    <w:rsid w:val="009B2F99"/>
    <w:rsid w:val="009B301C"/>
    <w:rsid w:val="009B30BF"/>
    <w:rsid w:val="009B36AA"/>
    <w:rsid w:val="009B385C"/>
    <w:rsid w:val="009B3C83"/>
    <w:rsid w:val="009B46FA"/>
    <w:rsid w:val="009B4739"/>
    <w:rsid w:val="009B49E9"/>
    <w:rsid w:val="009B4DFB"/>
    <w:rsid w:val="009B63E2"/>
    <w:rsid w:val="009B684C"/>
    <w:rsid w:val="009B68B6"/>
    <w:rsid w:val="009B6AAB"/>
    <w:rsid w:val="009B6C81"/>
    <w:rsid w:val="009B6DCF"/>
    <w:rsid w:val="009B7078"/>
    <w:rsid w:val="009B77C9"/>
    <w:rsid w:val="009B7812"/>
    <w:rsid w:val="009B7AA9"/>
    <w:rsid w:val="009C00F8"/>
    <w:rsid w:val="009C0856"/>
    <w:rsid w:val="009C09AA"/>
    <w:rsid w:val="009C1309"/>
    <w:rsid w:val="009C1390"/>
    <w:rsid w:val="009C1546"/>
    <w:rsid w:val="009C1643"/>
    <w:rsid w:val="009C1EB1"/>
    <w:rsid w:val="009C20B9"/>
    <w:rsid w:val="009C2BD7"/>
    <w:rsid w:val="009C2C87"/>
    <w:rsid w:val="009C2F2B"/>
    <w:rsid w:val="009C2F3A"/>
    <w:rsid w:val="009C37A2"/>
    <w:rsid w:val="009C3994"/>
    <w:rsid w:val="009C4889"/>
    <w:rsid w:val="009C48F4"/>
    <w:rsid w:val="009C4D5A"/>
    <w:rsid w:val="009C4D8D"/>
    <w:rsid w:val="009C4E85"/>
    <w:rsid w:val="009C532F"/>
    <w:rsid w:val="009C672E"/>
    <w:rsid w:val="009C785A"/>
    <w:rsid w:val="009C79D9"/>
    <w:rsid w:val="009D08B8"/>
    <w:rsid w:val="009D09FD"/>
    <w:rsid w:val="009D1547"/>
    <w:rsid w:val="009D16CC"/>
    <w:rsid w:val="009D18E0"/>
    <w:rsid w:val="009D1B42"/>
    <w:rsid w:val="009D2268"/>
    <w:rsid w:val="009D2880"/>
    <w:rsid w:val="009D2BD4"/>
    <w:rsid w:val="009D2FC1"/>
    <w:rsid w:val="009D44BB"/>
    <w:rsid w:val="009D579F"/>
    <w:rsid w:val="009D6BB3"/>
    <w:rsid w:val="009D7808"/>
    <w:rsid w:val="009D7900"/>
    <w:rsid w:val="009D7C2B"/>
    <w:rsid w:val="009D7CDF"/>
    <w:rsid w:val="009E0AFC"/>
    <w:rsid w:val="009E10D9"/>
    <w:rsid w:val="009E1447"/>
    <w:rsid w:val="009E14B0"/>
    <w:rsid w:val="009E1777"/>
    <w:rsid w:val="009E1912"/>
    <w:rsid w:val="009E1D43"/>
    <w:rsid w:val="009E1EA9"/>
    <w:rsid w:val="009E2507"/>
    <w:rsid w:val="009E393C"/>
    <w:rsid w:val="009E3963"/>
    <w:rsid w:val="009E3EC4"/>
    <w:rsid w:val="009E3F32"/>
    <w:rsid w:val="009E5BDE"/>
    <w:rsid w:val="009E5C5D"/>
    <w:rsid w:val="009E6775"/>
    <w:rsid w:val="009E6781"/>
    <w:rsid w:val="009E6803"/>
    <w:rsid w:val="009E6A03"/>
    <w:rsid w:val="009E6A59"/>
    <w:rsid w:val="009E6DA0"/>
    <w:rsid w:val="009E78A2"/>
    <w:rsid w:val="009F001B"/>
    <w:rsid w:val="009F025F"/>
    <w:rsid w:val="009F05D8"/>
    <w:rsid w:val="009F0800"/>
    <w:rsid w:val="009F0888"/>
    <w:rsid w:val="009F093B"/>
    <w:rsid w:val="009F0C23"/>
    <w:rsid w:val="009F12F6"/>
    <w:rsid w:val="009F1436"/>
    <w:rsid w:val="009F1D1C"/>
    <w:rsid w:val="009F2084"/>
    <w:rsid w:val="009F21F1"/>
    <w:rsid w:val="009F2CEA"/>
    <w:rsid w:val="009F2D28"/>
    <w:rsid w:val="009F3090"/>
    <w:rsid w:val="009F3775"/>
    <w:rsid w:val="009F3A4D"/>
    <w:rsid w:val="009F3A64"/>
    <w:rsid w:val="009F40A8"/>
    <w:rsid w:val="009F51FB"/>
    <w:rsid w:val="009F5C7C"/>
    <w:rsid w:val="009F60FC"/>
    <w:rsid w:val="009F724A"/>
    <w:rsid w:val="009F7745"/>
    <w:rsid w:val="00A00668"/>
    <w:rsid w:val="00A007BA"/>
    <w:rsid w:val="00A0212C"/>
    <w:rsid w:val="00A022C1"/>
    <w:rsid w:val="00A045E5"/>
    <w:rsid w:val="00A04633"/>
    <w:rsid w:val="00A04A31"/>
    <w:rsid w:val="00A04DCA"/>
    <w:rsid w:val="00A052C4"/>
    <w:rsid w:val="00A05576"/>
    <w:rsid w:val="00A0590B"/>
    <w:rsid w:val="00A05C8C"/>
    <w:rsid w:val="00A05CB2"/>
    <w:rsid w:val="00A062F7"/>
    <w:rsid w:val="00A06FA7"/>
    <w:rsid w:val="00A07226"/>
    <w:rsid w:val="00A077DC"/>
    <w:rsid w:val="00A07933"/>
    <w:rsid w:val="00A07BE6"/>
    <w:rsid w:val="00A07E17"/>
    <w:rsid w:val="00A07FE3"/>
    <w:rsid w:val="00A101EB"/>
    <w:rsid w:val="00A10491"/>
    <w:rsid w:val="00A104B6"/>
    <w:rsid w:val="00A116D3"/>
    <w:rsid w:val="00A120F7"/>
    <w:rsid w:val="00A13B2A"/>
    <w:rsid w:val="00A13C6C"/>
    <w:rsid w:val="00A13D79"/>
    <w:rsid w:val="00A13DB2"/>
    <w:rsid w:val="00A1435B"/>
    <w:rsid w:val="00A146A0"/>
    <w:rsid w:val="00A14EEB"/>
    <w:rsid w:val="00A16E77"/>
    <w:rsid w:val="00A170A3"/>
    <w:rsid w:val="00A17C6B"/>
    <w:rsid w:val="00A20477"/>
    <w:rsid w:val="00A21899"/>
    <w:rsid w:val="00A2252B"/>
    <w:rsid w:val="00A229EC"/>
    <w:rsid w:val="00A22C95"/>
    <w:rsid w:val="00A24808"/>
    <w:rsid w:val="00A248F6"/>
    <w:rsid w:val="00A25722"/>
    <w:rsid w:val="00A25F1B"/>
    <w:rsid w:val="00A26265"/>
    <w:rsid w:val="00A2648D"/>
    <w:rsid w:val="00A267F7"/>
    <w:rsid w:val="00A269D7"/>
    <w:rsid w:val="00A27E5C"/>
    <w:rsid w:val="00A300C3"/>
    <w:rsid w:val="00A30365"/>
    <w:rsid w:val="00A304DD"/>
    <w:rsid w:val="00A3293D"/>
    <w:rsid w:val="00A32BFA"/>
    <w:rsid w:val="00A3407C"/>
    <w:rsid w:val="00A34225"/>
    <w:rsid w:val="00A34524"/>
    <w:rsid w:val="00A3526D"/>
    <w:rsid w:val="00A35483"/>
    <w:rsid w:val="00A3567C"/>
    <w:rsid w:val="00A35779"/>
    <w:rsid w:val="00A35A1F"/>
    <w:rsid w:val="00A36402"/>
    <w:rsid w:val="00A364E4"/>
    <w:rsid w:val="00A36D31"/>
    <w:rsid w:val="00A36F79"/>
    <w:rsid w:val="00A37CCB"/>
    <w:rsid w:val="00A37D24"/>
    <w:rsid w:val="00A40196"/>
    <w:rsid w:val="00A4035B"/>
    <w:rsid w:val="00A4065B"/>
    <w:rsid w:val="00A40B24"/>
    <w:rsid w:val="00A40C30"/>
    <w:rsid w:val="00A40CC2"/>
    <w:rsid w:val="00A410C5"/>
    <w:rsid w:val="00A4130E"/>
    <w:rsid w:val="00A414CC"/>
    <w:rsid w:val="00A417B9"/>
    <w:rsid w:val="00A419EE"/>
    <w:rsid w:val="00A41A91"/>
    <w:rsid w:val="00A41B44"/>
    <w:rsid w:val="00A420DC"/>
    <w:rsid w:val="00A4365D"/>
    <w:rsid w:val="00A436AC"/>
    <w:rsid w:val="00A439AD"/>
    <w:rsid w:val="00A4412F"/>
    <w:rsid w:val="00A44FD4"/>
    <w:rsid w:val="00A45268"/>
    <w:rsid w:val="00A458C6"/>
    <w:rsid w:val="00A45F1C"/>
    <w:rsid w:val="00A46536"/>
    <w:rsid w:val="00A470BD"/>
    <w:rsid w:val="00A471F8"/>
    <w:rsid w:val="00A4748A"/>
    <w:rsid w:val="00A479A8"/>
    <w:rsid w:val="00A51A5F"/>
    <w:rsid w:val="00A5287D"/>
    <w:rsid w:val="00A529DA"/>
    <w:rsid w:val="00A531DA"/>
    <w:rsid w:val="00A53BEE"/>
    <w:rsid w:val="00A53DDE"/>
    <w:rsid w:val="00A54CF9"/>
    <w:rsid w:val="00A55950"/>
    <w:rsid w:val="00A5596F"/>
    <w:rsid w:val="00A5656D"/>
    <w:rsid w:val="00A56770"/>
    <w:rsid w:val="00A5699A"/>
    <w:rsid w:val="00A56D1F"/>
    <w:rsid w:val="00A56ED6"/>
    <w:rsid w:val="00A56FB8"/>
    <w:rsid w:val="00A577E6"/>
    <w:rsid w:val="00A579FD"/>
    <w:rsid w:val="00A57B72"/>
    <w:rsid w:val="00A601CF"/>
    <w:rsid w:val="00A60BF6"/>
    <w:rsid w:val="00A60C11"/>
    <w:rsid w:val="00A61303"/>
    <w:rsid w:val="00A61486"/>
    <w:rsid w:val="00A617EA"/>
    <w:rsid w:val="00A61A1D"/>
    <w:rsid w:val="00A61DFF"/>
    <w:rsid w:val="00A622F4"/>
    <w:rsid w:val="00A63DD2"/>
    <w:rsid w:val="00A64431"/>
    <w:rsid w:val="00A644B6"/>
    <w:rsid w:val="00A646DF"/>
    <w:rsid w:val="00A6528A"/>
    <w:rsid w:val="00A659DD"/>
    <w:rsid w:val="00A663AB"/>
    <w:rsid w:val="00A6651B"/>
    <w:rsid w:val="00A66AFF"/>
    <w:rsid w:val="00A671F4"/>
    <w:rsid w:val="00A6781D"/>
    <w:rsid w:val="00A67C49"/>
    <w:rsid w:val="00A67F37"/>
    <w:rsid w:val="00A7020A"/>
    <w:rsid w:val="00A7050B"/>
    <w:rsid w:val="00A70C4B"/>
    <w:rsid w:val="00A70E3C"/>
    <w:rsid w:val="00A71327"/>
    <w:rsid w:val="00A71B87"/>
    <w:rsid w:val="00A71C0C"/>
    <w:rsid w:val="00A72DDF"/>
    <w:rsid w:val="00A73053"/>
    <w:rsid w:val="00A73364"/>
    <w:rsid w:val="00A73621"/>
    <w:rsid w:val="00A73EA5"/>
    <w:rsid w:val="00A74084"/>
    <w:rsid w:val="00A740F5"/>
    <w:rsid w:val="00A74122"/>
    <w:rsid w:val="00A746EE"/>
    <w:rsid w:val="00A7503E"/>
    <w:rsid w:val="00A75209"/>
    <w:rsid w:val="00A75FDF"/>
    <w:rsid w:val="00A76486"/>
    <w:rsid w:val="00A7668C"/>
    <w:rsid w:val="00A76775"/>
    <w:rsid w:val="00A76D19"/>
    <w:rsid w:val="00A77156"/>
    <w:rsid w:val="00A773B8"/>
    <w:rsid w:val="00A776C8"/>
    <w:rsid w:val="00A77F79"/>
    <w:rsid w:val="00A8017A"/>
    <w:rsid w:val="00A80458"/>
    <w:rsid w:val="00A80497"/>
    <w:rsid w:val="00A80BB0"/>
    <w:rsid w:val="00A818C8"/>
    <w:rsid w:val="00A81D9B"/>
    <w:rsid w:val="00A81F82"/>
    <w:rsid w:val="00A821AE"/>
    <w:rsid w:val="00A82291"/>
    <w:rsid w:val="00A8247E"/>
    <w:rsid w:val="00A82A54"/>
    <w:rsid w:val="00A831D4"/>
    <w:rsid w:val="00A838A7"/>
    <w:rsid w:val="00A83A4C"/>
    <w:rsid w:val="00A83FA0"/>
    <w:rsid w:val="00A8441C"/>
    <w:rsid w:val="00A844CE"/>
    <w:rsid w:val="00A847AA"/>
    <w:rsid w:val="00A84C36"/>
    <w:rsid w:val="00A84E36"/>
    <w:rsid w:val="00A85366"/>
    <w:rsid w:val="00A853B9"/>
    <w:rsid w:val="00A8572F"/>
    <w:rsid w:val="00A85A60"/>
    <w:rsid w:val="00A8647F"/>
    <w:rsid w:val="00A86DE2"/>
    <w:rsid w:val="00A86F64"/>
    <w:rsid w:val="00A86FDC"/>
    <w:rsid w:val="00A871B3"/>
    <w:rsid w:val="00A87801"/>
    <w:rsid w:val="00A87B64"/>
    <w:rsid w:val="00A90F01"/>
    <w:rsid w:val="00A90FB1"/>
    <w:rsid w:val="00A91458"/>
    <w:rsid w:val="00A91CC4"/>
    <w:rsid w:val="00A91F45"/>
    <w:rsid w:val="00A92831"/>
    <w:rsid w:val="00A92AA2"/>
    <w:rsid w:val="00A9327C"/>
    <w:rsid w:val="00A937F2"/>
    <w:rsid w:val="00A93A44"/>
    <w:rsid w:val="00A95A17"/>
    <w:rsid w:val="00A95A86"/>
    <w:rsid w:val="00A9605E"/>
    <w:rsid w:val="00A964DB"/>
    <w:rsid w:val="00A974FB"/>
    <w:rsid w:val="00A9771F"/>
    <w:rsid w:val="00A97DB1"/>
    <w:rsid w:val="00A97F09"/>
    <w:rsid w:val="00AA028F"/>
    <w:rsid w:val="00AA0A37"/>
    <w:rsid w:val="00AA0A74"/>
    <w:rsid w:val="00AA0D61"/>
    <w:rsid w:val="00AA1125"/>
    <w:rsid w:val="00AA13A9"/>
    <w:rsid w:val="00AA1665"/>
    <w:rsid w:val="00AA1F4B"/>
    <w:rsid w:val="00AA24B8"/>
    <w:rsid w:val="00AA28A6"/>
    <w:rsid w:val="00AA2A0D"/>
    <w:rsid w:val="00AA3933"/>
    <w:rsid w:val="00AA3B5D"/>
    <w:rsid w:val="00AA3C95"/>
    <w:rsid w:val="00AA4898"/>
    <w:rsid w:val="00AA4D12"/>
    <w:rsid w:val="00AA5446"/>
    <w:rsid w:val="00AA5A5B"/>
    <w:rsid w:val="00AA5BE3"/>
    <w:rsid w:val="00AA60E4"/>
    <w:rsid w:val="00AA691E"/>
    <w:rsid w:val="00AA69CC"/>
    <w:rsid w:val="00AA69F9"/>
    <w:rsid w:val="00AA6D1E"/>
    <w:rsid w:val="00AA7020"/>
    <w:rsid w:val="00AA7159"/>
    <w:rsid w:val="00AA74C4"/>
    <w:rsid w:val="00AB043D"/>
    <w:rsid w:val="00AB07C6"/>
    <w:rsid w:val="00AB0BDB"/>
    <w:rsid w:val="00AB1159"/>
    <w:rsid w:val="00AB26E3"/>
    <w:rsid w:val="00AB3010"/>
    <w:rsid w:val="00AB3195"/>
    <w:rsid w:val="00AB3206"/>
    <w:rsid w:val="00AB3DF2"/>
    <w:rsid w:val="00AB417E"/>
    <w:rsid w:val="00AB4B8E"/>
    <w:rsid w:val="00AB567B"/>
    <w:rsid w:val="00AB590E"/>
    <w:rsid w:val="00AB6002"/>
    <w:rsid w:val="00AB6264"/>
    <w:rsid w:val="00AB657C"/>
    <w:rsid w:val="00AB65FD"/>
    <w:rsid w:val="00AB6D5B"/>
    <w:rsid w:val="00AB6E91"/>
    <w:rsid w:val="00AB75B0"/>
    <w:rsid w:val="00AB77A2"/>
    <w:rsid w:val="00AB7A01"/>
    <w:rsid w:val="00AC0735"/>
    <w:rsid w:val="00AC13B1"/>
    <w:rsid w:val="00AC18BE"/>
    <w:rsid w:val="00AC1A4A"/>
    <w:rsid w:val="00AC1C74"/>
    <w:rsid w:val="00AC22A1"/>
    <w:rsid w:val="00AC2877"/>
    <w:rsid w:val="00AC2A3C"/>
    <w:rsid w:val="00AC33C0"/>
    <w:rsid w:val="00AC3597"/>
    <w:rsid w:val="00AC36A7"/>
    <w:rsid w:val="00AC3E50"/>
    <w:rsid w:val="00AC4D52"/>
    <w:rsid w:val="00AC51A8"/>
    <w:rsid w:val="00AC544D"/>
    <w:rsid w:val="00AC5BB0"/>
    <w:rsid w:val="00AC6F00"/>
    <w:rsid w:val="00AC760B"/>
    <w:rsid w:val="00AC79FA"/>
    <w:rsid w:val="00AD00A8"/>
    <w:rsid w:val="00AD034D"/>
    <w:rsid w:val="00AD0C77"/>
    <w:rsid w:val="00AD177D"/>
    <w:rsid w:val="00AD18F2"/>
    <w:rsid w:val="00AD1E29"/>
    <w:rsid w:val="00AD2713"/>
    <w:rsid w:val="00AD2825"/>
    <w:rsid w:val="00AD2F0B"/>
    <w:rsid w:val="00AD327F"/>
    <w:rsid w:val="00AD3907"/>
    <w:rsid w:val="00AD42F4"/>
    <w:rsid w:val="00AD4744"/>
    <w:rsid w:val="00AD4C99"/>
    <w:rsid w:val="00AD4CA7"/>
    <w:rsid w:val="00AD4D8A"/>
    <w:rsid w:val="00AD51DF"/>
    <w:rsid w:val="00AD5A62"/>
    <w:rsid w:val="00AD5B8D"/>
    <w:rsid w:val="00AD5C4B"/>
    <w:rsid w:val="00AD5DAC"/>
    <w:rsid w:val="00AD5EC1"/>
    <w:rsid w:val="00AD6D7F"/>
    <w:rsid w:val="00AD713F"/>
    <w:rsid w:val="00AD7B1E"/>
    <w:rsid w:val="00AE00D5"/>
    <w:rsid w:val="00AE0812"/>
    <w:rsid w:val="00AE0A5E"/>
    <w:rsid w:val="00AE0C40"/>
    <w:rsid w:val="00AE17B2"/>
    <w:rsid w:val="00AE20FA"/>
    <w:rsid w:val="00AE21CF"/>
    <w:rsid w:val="00AE21E5"/>
    <w:rsid w:val="00AE2609"/>
    <w:rsid w:val="00AE2C1B"/>
    <w:rsid w:val="00AE2C24"/>
    <w:rsid w:val="00AE2CAE"/>
    <w:rsid w:val="00AE2EB8"/>
    <w:rsid w:val="00AE3191"/>
    <w:rsid w:val="00AE36D2"/>
    <w:rsid w:val="00AE37F2"/>
    <w:rsid w:val="00AE3B61"/>
    <w:rsid w:val="00AE3BA4"/>
    <w:rsid w:val="00AE3E15"/>
    <w:rsid w:val="00AE4117"/>
    <w:rsid w:val="00AE43D4"/>
    <w:rsid w:val="00AE43D8"/>
    <w:rsid w:val="00AE4468"/>
    <w:rsid w:val="00AE457D"/>
    <w:rsid w:val="00AE4653"/>
    <w:rsid w:val="00AE4BA0"/>
    <w:rsid w:val="00AE4CC3"/>
    <w:rsid w:val="00AE4F64"/>
    <w:rsid w:val="00AE4F97"/>
    <w:rsid w:val="00AE52E5"/>
    <w:rsid w:val="00AE5FAD"/>
    <w:rsid w:val="00AE6313"/>
    <w:rsid w:val="00AE67DB"/>
    <w:rsid w:val="00AE6DDC"/>
    <w:rsid w:val="00AE6F43"/>
    <w:rsid w:val="00AE6FCD"/>
    <w:rsid w:val="00AE7ADA"/>
    <w:rsid w:val="00AE7D31"/>
    <w:rsid w:val="00AE7D6D"/>
    <w:rsid w:val="00AE7E8B"/>
    <w:rsid w:val="00AF0DB3"/>
    <w:rsid w:val="00AF1506"/>
    <w:rsid w:val="00AF204F"/>
    <w:rsid w:val="00AF2498"/>
    <w:rsid w:val="00AF275A"/>
    <w:rsid w:val="00AF2946"/>
    <w:rsid w:val="00AF29A9"/>
    <w:rsid w:val="00AF3904"/>
    <w:rsid w:val="00AF4B68"/>
    <w:rsid w:val="00AF4BD5"/>
    <w:rsid w:val="00AF4FA6"/>
    <w:rsid w:val="00AF618E"/>
    <w:rsid w:val="00AF6219"/>
    <w:rsid w:val="00AF65F5"/>
    <w:rsid w:val="00AF6641"/>
    <w:rsid w:val="00AF72B7"/>
    <w:rsid w:val="00AF769F"/>
    <w:rsid w:val="00B00424"/>
    <w:rsid w:val="00B004B1"/>
    <w:rsid w:val="00B007C1"/>
    <w:rsid w:val="00B00BBF"/>
    <w:rsid w:val="00B01588"/>
    <w:rsid w:val="00B0165E"/>
    <w:rsid w:val="00B01A46"/>
    <w:rsid w:val="00B01D85"/>
    <w:rsid w:val="00B02036"/>
    <w:rsid w:val="00B022D4"/>
    <w:rsid w:val="00B0273A"/>
    <w:rsid w:val="00B0294D"/>
    <w:rsid w:val="00B0379B"/>
    <w:rsid w:val="00B043C9"/>
    <w:rsid w:val="00B047F4"/>
    <w:rsid w:val="00B057FD"/>
    <w:rsid w:val="00B062A3"/>
    <w:rsid w:val="00B06337"/>
    <w:rsid w:val="00B0666E"/>
    <w:rsid w:val="00B07271"/>
    <w:rsid w:val="00B07695"/>
    <w:rsid w:val="00B10188"/>
    <w:rsid w:val="00B1035F"/>
    <w:rsid w:val="00B10561"/>
    <w:rsid w:val="00B10673"/>
    <w:rsid w:val="00B11023"/>
    <w:rsid w:val="00B11626"/>
    <w:rsid w:val="00B118D6"/>
    <w:rsid w:val="00B11CED"/>
    <w:rsid w:val="00B11DAA"/>
    <w:rsid w:val="00B11F98"/>
    <w:rsid w:val="00B1222B"/>
    <w:rsid w:val="00B12500"/>
    <w:rsid w:val="00B12591"/>
    <w:rsid w:val="00B133AC"/>
    <w:rsid w:val="00B13711"/>
    <w:rsid w:val="00B13D05"/>
    <w:rsid w:val="00B144BE"/>
    <w:rsid w:val="00B15174"/>
    <w:rsid w:val="00B1539C"/>
    <w:rsid w:val="00B15606"/>
    <w:rsid w:val="00B15D13"/>
    <w:rsid w:val="00B15DEA"/>
    <w:rsid w:val="00B15EFE"/>
    <w:rsid w:val="00B16029"/>
    <w:rsid w:val="00B17011"/>
    <w:rsid w:val="00B17250"/>
    <w:rsid w:val="00B17414"/>
    <w:rsid w:val="00B17A7F"/>
    <w:rsid w:val="00B17E64"/>
    <w:rsid w:val="00B205BA"/>
    <w:rsid w:val="00B21096"/>
    <w:rsid w:val="00B21445"/>
    <w:rsid w:val="00B2153F"/>
    <w:rsid w:val="00B2158D"/>
    <w:rsid w:val="00B217B1"/>
    <w:rsid w:val="00B21DC5"/>
    <w:rsid w:val="00B229DC"/>
    <w:rsid w:val="00B22C32"/>
    <w:rsid w:val="00B22F84"/>
    <w:rsid w:val="00B22F9E"/>
    <w:rsid w:val="00B23849"/>
    <w:rsid w:val="00B23BA5"/>
    <w:rsid w:val="00B23BEF"/>
    <w:rsid w:val="00B23EEE"/>
    <w:rsid w:val="00B23F7B"/>
    <w:rsid w:val="00B24EF5"/>
    <w:rsid w:val="00B25109"/>
    <w:rsid w:val="00B2554C"/>
    <w:rsid w:val="00B2630C"/>
    <w:rsid w:val="00B264ED"/>
    <w:rsid w:val="00B26657"/>
    <w:rsid w:val="00B26CFF"/>
    <w:rsid w:val="00B27383"/>
    <w:rsid w:val="00B278EB"/>
    <w:rsid w:val="00B301A6"/>
    <w:rsid w:val="00B30B44"/>
    <w:rsid w:val="00B30D08"/>
    <w:rsid w:val="00B30EAC"/>
    <w:rsid w:val="00B324E0"/>
    <w:rsid w:val="00B32791"/>
    <w:rsid w:val="00B32B52"/>
    <w:rsid w:val="00B334B8"/>
    <w:rsid w:val="00B33B69"/>
    <w:rsid w:val="00B33C50"/>
    <w:rsid w:val="00B340FF"/>
    <w:rsid w:val="00B341F4"/>
    <w:rsid w:val="00B345F6"/>
    <w:rsid w:val="00B34D5E"/>
    <w:rsid w:val="00B34F1D"/>
    <w:rsid w:val="00B36351"/>
    <w:rsid w:val="00B37006"/>
    <w:rsid w:val="00B37A42"/>
    <w:rsid w:val="00B37AC3"/>
    <w:rsid w:val="00B37E9D"/>
    <w:rsid w:val="00B40261"/>
    <w:rsid w:val="00B40417"/>
    <w:rsid w:val="00B40748"/>
    <w:rsid w:val="00B412F7"/>
    <w:rsid w:val="00B41511"/>
    <w:rsid w:val="00B418C5"/>
    <w:rsid w:val="00B41AF4"/>
    <w:rsid w:val="00B421E8"/>
    <w:rsid w:val="00B4235F"/>
    <w:rsid w:val="00B425FB"/>
    <w:rsid w:val="00B4260C"/>
    <w:rsid w:val="00B42E3B"/>
    <w:rsid w:val="00B42F32"/>
    <w:rsid w:val="00B43154"/>
    <w:rsid w:val="00B4338F"/>
    <w:rsid w:val="00B435CD"/>
    <w:rsid w:val="00B43661"/>
    <w:rsid w:val="00B43B5D"/>
    <w:rsid w:val="00B43E22"/>
    <w:rsid w:val="00B44D6F"/>
    <w:rsid w:val="00B45136"/>
    <w:rsid w:val="00B45732"/>
    <w:rsid w:val="00B46188"/>
    <w:rsid w:val="00B46409"/>
    <w:rsid w:val="00B46675"/>
    <w:rsid w:val="00B47DF6"/>
    <w:rsid w:val="00B5183A"/>
    <w:rsid w:val="00B520EA"/>
    <w:rsid w:val="00B5240C"/>
    <w:rsid w:val="00B52504"/>
    <w:rsid w:val="00B52632"/>
    <w:rsid w:val="00B52772"/>
    <w:rsid w:val="00B52E43"/>
    <w:rsid w:val="00B54E8B"/>
    <w:rsid w:val="00B55ECA"/>
    <w:rsid w:val="00B5637B"/>
    <w:rsid w:val="00B567B8"/>
    <w:rsid w:val="00B56C5A"/>
    <w:rsid w:val="00B570E5"/>
    <w:rsid w:val="00B578E5"/>
    <w:rsid w:val="00B57ABE"/>
    <w:rsid w:val="00B60188"/>
    <w:rsid w:val="00B6050C"/>
    <w:rsid w:val="00B60F3B"/>
    <w:rsid w:val="00B61137"/>
    <w:rsid w:val="00B612C1"/>
    <w:rsid w:val="00B6164E"/>
    <w:rsid w:val="00B61656"/>
    <w:rsid w:val="00B61666"/>
    <w:rsid w:val="00B617AA"/>
    <w:rsid w:val="00B619BA"/>
    <w:rsid w:val="00B61A94"/>
    <w:rsid w:val="00B61B9E"/>
    <w:rsid w:val="00B61C1F"/>
    <w:rsid w:val="00B61CA4"/>
    <w:rsid w:val="00B62337"/>
    <w:rsid w:val="00B623E1"/>
    <w:rsid w:val="00B628AB"/>
    <w:rsid w:val="00B62DEA"/>
    <w:rsid w:val="00B62EEE"/>
    <w:rsid w:val="00B63340"/>
    <w:rsid w:val="00B63C6A"/>
    <w:rsid w:val="00B64024"/>
    <w:rsid w:val="00B64039"/>
    <w:rsid w:val="00B640DF"/>
    <w:rsid w:val="00B6496C"/>
    <w:rsid w:val="00B64F9C"/>
    <w:rsid w:val="00B6560D"/>
    <w:rsid w:val="00B661DC"/>
    <w:rsid w:val="00B6680A"/>
    <w:rsid w:val="00B67775"/>
    <w:rsid w:val="00B678A0"/>
    <w:rsid w:val="00B70245"/>
    <w:rsid w:val="00B70253"/>
    <w:rsid w:val="00B704FA"/>
    <w:rsid w:val="00B70786"/>
    <w:rsid w:val="00B70D83"/>
    <w:rsid w:val="00B70ED6"/>
    <w:rsid w:val="00B7105C"/>
    <w:rsid w:val="00B714EF"/>
    <w:rsid w:val="00B7169B"/>
    <w:rsid w:val="00B7171C"/>
    <w:rsid w:val="00B72AE2"/>
    <w:rsid w:val="00B72BEA"/>
    <w:rsid w:val="00B72EF5"/>
    <w:rsid w:val="00B73B7F"/>
    <w:rsid w:val="00B740F7"/>
    <w:rsid w:val="00B742E7"/>
    <w:rsid w:val="00B74307"/>
    <w:rsid w:val="00B74926"/>
    <w:rsid w:val="00B75124"/>
    <w:rsid w:val="00B7546F"/>
    <w:rsid w:val="00B75C06"/>
    <w:rsid w:val="00B75F70"/>
    <w:rsid w:val="00B76164"/>
    <w:rsid w:val="00B7619A"/>
    <w:rsid w:val="00B7659F"/>
    <w:rsid w:val="00B76AA2"/>
    <w:rsid w:val="00B77697"/>
    <w:rsid w:val="00B77915"/>
    <w:rsid w:val="00B77AE2"/>
    <w:rsid w:val="00B77C0C"/>
    <w:rsid w:val="00B8029F"/>
    <w:rsid w:val="00B803CA"/>
    <w:rsid w:val="00B80EE5"/>
    <w:rsid w:val="00B8111C"/>
    <w:rsid w:val="00B8192B"/>
    <w:rsid w:val="00B81AF6"/>
    <w:rsid w:val="00B82037"/>
    <w:rsid w:val="00B82754"/>
    <w:rsid w:val="00B82E4B"/>
    <w:rsid w:val="00B83194"/>
    <w:rsid w:val="00B83948"/>
    <w:rsid w:val="00B83D00"/>
    <w:rsid w:val="00B85215"/>
    <w:rsid w:val="00B85340"/>
    <w:rsid w:val="00B85C24"/>
    <w:rsid w:val="00B86EA7"/>
    <w:rsid w:val="00B873C7"/>
    <w:rsid w:val="00B9017B"/>
    <w:rsid w:val="00B901AE"/>
    <w:rsid w:val="00B90629"/>
    <w:rsid w:val="00B9106D"/>
    <w:rsid w:val="00B91349"/>
    <w:rsid w:val="00B91880"/>
    <w:rsid w:val="00B91DA7"/>
    <w:rsid w:val="00B924F2"/>
    <w:rsid w:val="00B9258B"/>
    <w:rsid w:val="00B93918"/>
    <w:rsid w:val="00B93A12"/>
    <w:rsid w:val="00B93BBE"/>
    <w:rsid w:val="00B93FE3"/>
    <w:rsid w:val="00B94178"/>
    <w:rsid w:val="00B948A4"/>
    <w:rsid w:val="00B948D4"/>
    <w:rsid w:val="00B94C39"/>
    <w:rsid w:val="00B95A9C"/>
    <w:rsid w:val="00B95B27"/>
    <w:rsid w:val="00B95FF5"/>
    <w:rsid w:val="00B96141"/>
    <w:rsid w:val="00B965D3"/>
    <w:rsid w:val="00B977DB"/>
    <w:rsid w:val="00BA024C"/>
    <w:rsid w:val="00BA0283"/>
    <w:rsid w:val="00BA0877"/>
    <w:rsid w:val="00BA120F"/>
    <w:rsid w:val="00BA1313"/>
    <w:rsid w:val="00BA1391"/>
    <w:rsid w:val="00BA21D5"/>
    <w:rsid w:val="00BA2227"/>
    <w:rsid w:val="00BA2485"/>
    <w:rsid w:val="00BA24B9"/>
    <w:rsid w:val="00BA24D2"/>
    <w:rsid w:val="00BA29EE"/>
    <w:rsid w:val="00BA3541"/>
    <w:rsid w:val="00BA3ECA"/>
    <w:rsid w:val="00BA4174"/>
    <w:rsid w:val="00BA47A8"/>
    <w:rsid w:val="00BA4D1A"/>
    <w:rsid w:val="00BA4D6B"/>
    <w:rsid w:val="00BA5002"/>
    <w:rsid w:val="00BA5273"/>
    <w:rsid w:val="00BA579D"/>
    <w:rsid w:val="00BA57C6"/>
    <w:rsid w:val="00BA5EFF"/>
    <w:rsid w:val="00BA6251"/>
    <w:rsid w:val="00BA641E"/>
    <w:rsid w:val="00BA6591"/>
    <w:rsid w:val="00BA68B8"/>
    <w:rsid w:val="00BA69B9"/>
    <w:rsid w:val="00BA6B09"/>
    <w:rsid w:val="00BA78C7"/>
    <w:rsid w:val="00BA7C69"/>
    <w:rsid w:val="00BA7C82"/>
    <w:rsid w:val="00BA7E0D"/>
    <w:rsid w:val="00BB0139"/>
    <w:rsid w:val="00BB0C42"/>
    <w:rsid w:val="00BB0CBC"/>
    <w:rsid w:val="00BB105E"/>
    <w:rsid w:val="00BB125D"/>
    <w:rsid w:val="00BB12B5"/>
    <w:rsid w:val="00BB160A"/>
    <w:rsid w:val="00BB2051"/>
    <w:rsid w:val="00BB2445"/>
    <w:rsid w:val="00BB24DB"/>
    <w:rsid w:val="00BB2999"/>
    <w:rsid w:val="00BB29B0"/>
    <w:rsid w:val="00BB33B4"/>
    <w:rsid w:val="00BB365F"/>
    <w:rsid w:val="00BB4428"/>
    <w:rsid w:val="00BB5460"/>
    <w:rsid w:val="00BB5855"/>
    <w:rsid w:val="00BB5A0F"/>
    <w:rsid w:val="00BB664A"/>
    <w:rsid w:val="00BB6809"/>
    <w:rsid w:val="00BB742B"/>
    <w:rsid w:val="00BC00F6"/>
    <w:rsid w:val="00BC0212"/>
    <w:rsid w:val="00BC1B7B"/>
    <w:rsid w:val="00BC1DBC"/>
    <w:rsid w:val="00BC1FB0"/>
    <w:rsid w:val="00BC2A2D"/>
    <w:rsid w:val="00BC3146"/>
    <w:rsid w:val="00BC33AD"/>
    <w:rsid w:val="00BC346A"/>
    <w:rsid w:val="00BC3909"/>
    <w:rsid w:val="00BC3C99"/>
    <w:rsid w:val="00BC3F69"/>
    <w:rsid w:val="00BC58A8"/>
    <w:rsid w:val="00BC5AED"/>
    <w:rsid w:val="00BC635A"/>
    <w:rsid w:val="00BC6E35"/>
    <w:rsid w:val="00BC710C"/>
    <w:rsid w:val="00BC7A04"/>
    <w:rsid w:val="00BD0609"/>
    <w:rsid w:val="00BD09E1"/>
    <w:rsid w:val="00BD2295"/>
    <w:rsid w:val="00BD3094"/>
    <w:rsid w:val="00BD3817"/>
    <w:rsid w:val="00BD3D83"/>
    <w:rsid w:val="00BD4EDA"/>
    <w:rsid w:val="00BD50F4"/>
    <w:rsid w:val="00BD50FF"/>
    <w:rsid w:val="00BD5211"/>
    <w:rsid w:val="00BD5522"/>
    <w:rsid w:val="00BD567D"/>
    <w:rsid w:val="00BD5BF6"/>
    <w:rsid w:val="00BD5D8C"/>
    <w:rsid w:val="00BD61D1"/>
    <w:rsid w:val="00BD6D8D"/>
    <w:rsid w:val="00BD6E16"/>
    <w:rsid w:val="00BD7206"/>
    <w:rsid w:val="00BD7D6D"/>
    <w:rsid w:val="00BD7DEE"/>
    <w:rsid w:val="00BE0E9F"/>
    <w:rsid w:val="00BE0ED5"/>
    <w:rsid w:val="00BE0EE3"/>
    <w:rsid w:val="00BE11A8"/>
    <w:rsid w:val="00BE1723"/>
    <w:rsid w:val="00BE1ABC"/>
    <w:rsid w:val="00BE202A"/>
    <w:rsid w:val="00BE3C13"/>
    <w:rsid w:val="00BE4620"/>
    <w:rsid w:val="00BE470E"/>
    <w:rsid w:val="00BE474B"/>
    <w:rsid w:val="00BE4ACC"/>
    <w:rsid w:val="00BE4BD3"/>
    <w:rsid w:val="00BE4C57"/>
    <w:rsid w:val="00BE4FCB"/>
    <w:rsid w:val="00BE5970"/>
    <w:rsid w:val="00BE5CCE"/>
    <w:rsid w:val="00BE5D8F"/>
    <w:rsid w:val="00BE61DC"/>
    <w:rsid w:val="00BE6244"/>
    <w:rsid w:val="00BE6528"/>
    <w:rsid w:val="00BE6C2B"/>
    <w:rsid w:val="00BF099C"/>
    <w:rsid w:val="00BF1028"/>
    <w:rsid w:val="00BF13F1"/>
    <w:rsid w:val="00BF1D64"/>
    <w:rsid w:val="00BF1E16"/>
    <w:rsid w:val="00BF1FF7"/>
    <w:rsid w:val="00BF2586"/>
    <w:rsid w:val="00BF2B85"/>
    <w:rsid w:val="00BF3F92"/>
    <w:rsid w:val="00BF41B4"/>
    <w:rsid w:val="00BF43DB"/>
    <w:rsid w:val="00BF4754"/>
    <w:rsid w:val="00BF486D"/>
    <w:rsid w:val="00BF4A11"/>
    <w:rsid w:val="00BF4B20"/>
    <w:rsid w:val="00BF5033"/>
    <w:rsid w:val="00BF5976"/>
    <w:rsid w:val="00BF5C69"/>
    <w:rsid w:val="00BF5D81"/>
    <w:rsid w:val="00BF6E32"/>
    <w:rsid w:val="00BF7D4A"/>
    <w:rsid w:val="00C004E5"/>
    <w:rsid w:val="00C007C8"/>
    <w:rsid w:val="00C0101D"/>
    <w:rsid w:val="00C010CF"/>
    <w:rsid w:val="00C010EF"/>
    <w:rsid w:val="00C012B2"/>
    <w:rsid w:val="00C014B5"/>
    <w:rsid w:val="00C01E93"/>
    <w:rsid w:val="00C024D4"/>
    <w:rsid w:val="00C029A4"/>
    <w:rsid w:val="00C02C5B"/>
    <w:rsid w:val="00C0313A"/>
    <w:rsid w:val="00C036D6"/>
    <w:rsid w:val="00C0372C"/>
    <w:rsid w:val="00C038EC"/>
    <w:rsid w:val="00C03BD3"/>
    <w:rsid w:val="00C03C62"/>
    <w:rsid w:val="00C03E77"/>
    <w:rsid w:val="00C04B1F"/>
    <w:rsid w:val="00C04F82"/>
    <w:rsid w:val="00C05F6A"/>
    <w:rsid w:val="00C06C6F"/>
    <w:rsid w:val="00C07440"/>
    <w:rsid w:val="00C1019B"/>
    <w:rsid w:val="00C101DC"/>
    <w:rsid w:val="00C106D2"/>
    <w:rsid w:val="00C1094D"/>
    <w:rsid w:val="00C109BC"/>
    <w:rsid w:val="00C10E83"/>
    <w:rsid w:val="00C10FB8"/>
    <w:rsid w:val="00C11071"/>
    <w:rsid w:val="00C11EF2"/>
    <w:rsid w:val="00C11F5A"/>
    <w:rsid w:val="00C11FA0"/>
    <w:rsid w:val="00C1247D"/>
    <w:rsid w:val="00C12B7B"/>
    <w:rsid w:val="00C12E34"/>
    <w:rsid w:val="00C132A2"/>
    <w:rsid w:val="00C14CA6"/>
    <w:rsid w:val="00C15E85"/>
    <w:rsid w:val="00C1696D"/>
    <w:rsid w:val="00C17CED"/>
    <w:rsid w:val="00C17E0F"/>
    <w:rsid w:val="00C2058E"/>
    <w:rsid w:val="00C20645"/>
    <w:rsid w:val="00C20874"/>
    <w:rsid w:val="00C20BC9"/>
    <w:rsid w:val="00C20DBC"/>
    <w:rsid w:val="00C20FA0"/>
    <w:rsid w:val="00C21132"/>
    <w:rsid w:val="00C22660"/>
    <w:rsid w:val="00C229B2"/>
    <w:rsid w:val="00C22C6A"/>
    <w:rsid w:val="00C22F40"/>
    <w:rsid w:val="00C2429D"/>
    <w:rsid w:val="00C24B0E"/>
    <w:rsid w:val="00C24C75"/>
    <w:rsid w:val="00C24F8D"/>
    <w:rsid w:val="00C25688"/>
    <w:rsid w:val="00C2580A"/>
    <w:rsid w:val="00C25BAE"/>
    <w:rsid w:val="00C26165"/>
    <w:rsid w:val="00C26201"/>
    <w:rsid w:val="00C26BEE"/>
    <w:rsid w:val="00C2756F"/>
    <w:rsid w:val="00C27811"/>
    <w:rsid w:val="00C27C9C"/>
    <w:rsid w:val="00C27EE3"/>
    <w:rsid w:val="00C30014"/>
    <w:rsid w:val="00C30055"/>
    <w:rsid w:val="00C315D4"/>
    <w:rsid w:val="00C31EEE"/>
    <w:rsid w:val="00C32684"/>
    <w:rsid w:val="00C329C6"/>
    <w:rsid w:val="00C32A04"/>
    <w:rsid w:val="00C32F7D"/>
    <w:rsid w:val="00C330DD"/>
    <w:rsid w:val="00C34FAE"/>
    <w:rsid w:val="00C351E8"/>
    <w:rsid w:val="00C35B31"/>
    <w:rsid w:val="00C36189"/>
    <w:rsid w:val="00C36C80"/>
    <w:rsid w:val="00C372C5"/>
    <w:rsid w:val="00C400E0"/>
    <w:rsid w:val="00C400FB"/>
    <w:rsid w:val="00C40388"/>
    <w:rsid w:val="00C40853"/>
    <w:rsid w:val="00C41302"/>
    <w:rsid w:val="00C41C22"/>
    <w:rsid w:val="00C42217"/>
    <w:rsid w:val="00C428C1"/>
    <w:rsid w:val="00C42A08"/>
    <w:rsid w:val="00C42B11"/>
    <w:rsid w:val="00C42B34"/>
    <w:rsid w:val="00C434FD"/>
    <w:rsid w:val="00C43581"/>
    <w:rsid w:val="00C43A9F"/>
    <w:rsid w:val="00C44E6D"/>
    <w:rsid w:val="00C456C4"/>
    <w:rsid w:val="00C4575E"/>
    <w:rsid w:val="00C457E9"/>
    <w:rsid w:val="00C458A7"/>
    <w:rsid w:val="00C45974"/>
    <w:rsid w:val="00C45990"/>
    <w:rsid w:val="00C45EA4"/>
    <w:rsid w:val="00C4658E"/>
    <w:rsid w:val="00C46D78"/>
    <w:rsid w:val="00C46E77"/>
    <w:rsid w:val="00C47A20"/>
    <w:rsid w:val="00C47A54"/>
    <w:rsid w:val="00C47F0B"/>
    <w:rsid w:val="00C51003"/>
    <w:rsid w:val="00C517AE"/>
    <w:rsid w:val="00C51F15"/>
    <w:rsid w:val="00C526C2"/>
    <w:rsid w:val="00C52A14"/>
    <w:rsid w:val="00C531C4"/>
    <w:rsid w:val="00C5341A"/>
    <w:rsid w:val="00C536F0"/>
    <w:rsid w:val="00C5382C"/>
    <w:rsid w:val="00C53B99"/>
    <w:rsid w:val="00C54C9F"/>
    <w:rsid w:val="00C555DC"/>
    <w:rsid w:val="00C5587A"/>
    <w:rsid w:val="00C55A93"/>
    <w:rsid w:val="00C55EF3"/>
    <w:rsid w:val="00C5698B"/>
    <w:rsid w:val="00C56BE9"/>
    <w:rsid w:val="00C56FF1"/>
    <w:rsid w:val="00C60192"/>
    <w:rsid w:val="00C60470"/>
    <w:rsid w:val="00C614DC"/>
    <w:rsid w:val="00C615B2"/>
    <w:rsid w:val="00C6209A"/>
    <w:rsid w:val="00C620A7"/>
    <w:rsid w:val="00C636F6"/>
    <w:rsid w:val="00C644E4"/>
    <w:rsid w:val="00C64600"/>
    <w:rsid w:val="00C648D7"/>
    <w:rsid w:val="00C64A18"/>
    <w:rsid w:val="00C65499"/>
    <w:rsid w:val="00C668DB"/>
    <w:rsid w:val="00C66AC8"/>
    <w:rsid w:val="00C66C5B"/>
    <w:rsid w:val="00C66C91"/>
    <w:rsid w:val="00C6759C"/>
    <w:rsid w:val="00C67608"/>
    <w:rsid w:val="00C7077A"/>
    <w:rsid w:val="00C70FAB"/>
    <w:rsid w:val="00C71D81"/>
    <w:rsid w:val="00C72E99"/>
    <w:rsid w:val="00C736EC"/>
    <w:rsid w:val="00C739A9"/>
    <w:rsid w:val="00C73E33"/>
    <w:rsid w:val="00C73F8E"/>
    <w:rsid w:val="00C74182"/>
    <w:rsid w:val="00C747E0"/>
    <w:rsid w:val="00C74D31"/>
    <w:rsid w:val="00C74DCA"/>
    <w:rsid w:val="00C7542C"/>
    <w:rsid w:val="00C758ED"/>
    <w:rsid w:val="00C75DE1"/>
    <w:rsid w:val="00C764A7"/>
    <w:rsid w:val="00C76CA5"/>
    <w:rsid w:val="00C76CDC"/>
    <w:rsid w:val="00C76D5E"/>
    <w:rsid w:val="00C7782D"/>
    <w:rsid w:val="00C803AB"/>
    <w:rsid w:val="00C81096"/>
    <w:rsid w:val="00C81895"/>
    <w:rsid w:val="00C822FB"/>
    <w:rsid w:val="00C824B8"/>
    <w:rsid w:val="00C82628"/>
    <w:rsid w:val="00C82DB0"/>
    <w:rsid w:val="00C82EA3"/>
    <w:rsid w:val="00C83315"/>
    <w:rsid w:val="00C83B6D"/>
    <w:rsid w:val="00C83BD5"/>
    <w:rsid w:val="00C83DE3"/>
    <w:rsid w:val="00C848F2"/>
    <w:rsid w:val="00C84DE9"/>
    <w:rsid w:val="00C84E02"/>
    <w:rsid w:val="00C85009"/>
    <w:rsid w:val="00C856E1"/>
    <w:rsid w:val="00C85C92"/>
    <w:rsid w:val="00C8628B"/>
    <w:rsid w:val="00C865C6"/>
    <w:rsid w:val="00C86B39"/>
    <w:rsid w:val="00C86D25"/>
    <w:rsid w:val="00C87039"/>
    <w:rsid w:val="00C8705B"/>
    <w:rsid w:val="00C8737F"/>
    <w:rsid w:val="00C87A91"/>
    <w:rsid w:val="00C87B34"/>
    <w:rsid w:val="00C90102"/>
    <w:rsid w:val="00C901CA"/>
    <w:rsid w:val="00C902AA"/>
    <w:rsid w:val="00C904BC"/>
    <w:rsid w:val="00C90506"/>
    <w:rsid w:val="00C90826"/>
    <w:rsid w:val="00C90A19"/>
    <w:rsid w:val="00C90A78"/>
    <w:rsid w:val="00C91113"/>
    <w:rsid w:val="00C91CA7"/>
    <w:rsid w:val="00C92606"/>
    <w:rsid w:val="00C93312"/>
    <w:rsid w:val="00C933B6"/>
    <w:rsid w:val="00C934D2"/>
    <w:rsid w:val="00C93BA9"/>
    <w:rsid w:val="00C93C02"/>
    <w:rsid w:val="00C93E2B"/>
    <w:rsid w:val="00C93FD1"/>
    <w:rsid w:val="00C93FFE"/>
    <w:rsid w:val="00C943C2"/>
    <w:rsid w:val="00C945B0"/>
    <w:rsid w:val="00C948EA"/>
    <w:rsid w:val="00C95356"/>
    <w:rsid w:val="00C9574B"/>
    <w:rsid w:val="00C9592E"/>
    <w:rsid w:val="00C95F63"/>
    <w:rsid w:val="00C970C2"/>
    <w:rsid w:val="00C97785"/>
    <w:rsid w:val="00C979E1"/>
    <w:rsid w:val="00CA0086"/>
    <w:rsid w:val="00CA00DA"/>
    <w:rsid w:val="00CA012A"/>
    <w:rsid w:val="00CA02E8"/>
    <w:rsid w:val="00CA04EA"/>
    <w:rsid w:val="00CA0507"/>
    <w:rsid w:val="00CA181D"/>
    <w:rsid w:val="00CA1982"/>
    <w:rsid w:val="00CA20A2"/>
    <w:rsid w:val="00CA25E6"/>
    <w:rsid w:val="00CA27B6"/>
    <w:rsid w:val="00CA2907"/>
    <w:rsid w:val="00CA294C"/>
    <w:rsid w:val="00CA29C3"/>
    <w:rsid w:val="00CA3201"/>
    <w:rsid w:val="00CA386D"/>
    <w:rsid w:val="00CA3A4B"/>
    <w:rsid w:val="00CA426B"/>
    <w:rsid w:val="00CA456F"/>
    <w:rsid w:val="00CA4895"/>
    <w:rsid w:val="00CA49B6"/>
    <w:rsid w:val="00CA51ED"/>
    <w:rsid w:val="00CA52A0"/>
    <w:rsid w:val="00CA5347"/>
    <w:rsid w:val="00CA60A6"/>
    <w:rsid w:val="00CA6684"/>
    <w:rsid w:val="00CA6937"/>
    <w:rsid w:val="00CA6D89"/>
    <w:rsid w:val="00CA7FD8"/>
    <w:rsid w:val="00CB074B"/>
    <w:rsid w:val="00CB0816"/>
    <w:rsid w:val="00CB0CEA"/>
    <w:rsid w:val="00CB0D70"/>
    <w:rsid w:val="00CB1178"/>
    <w:rsid w:val="00CB1FA2"/>
    <w:rsid w:val="00CB269F"/>
    <w:rsid w:val="00CB2D3E"/>
    <w:rsid w:val="00CB2F02"/>
    <w:rsid w:val="00CB383C"/>
    <w:rsid w:val="00CB3CFE"/>
    <w:rsid w:val="00CB402F"/>
    <w:rsid w:val="00CB6B0F"/>
    <w:rsid w:val="00CC08FF"/>
    <w:rsid w:val="00CC09B7"/>
    <w:rsid w:val="00CC0DAA"/>
    <w:rsid w:val="00CC14EC"/>
    <w:rsid w:val="00CC15D3"/>
    <w:rsid w:val="00CC184E"/>
    <w:rsid w:val="00CC18C6"/>
    <w:rsid w:val="00CC1D18"/>
    <w:rsid w:val="00CC22FF"/>
    <w:rsid w:val="00CC251C"/>
    <w:rsid w:val="00CC3389"/>
    <w:rsid w:val="00CC3681"/>
    <w:rsid w:val="00CC4034"/>
    <w:rsid w:val="00CC44B4"/>
    <w:rsid w:val="00CC476D"/>
    <w:rsid w:val="00CC4AE4"/>
    <w:rsid w:val="00CC625B"/>
    <w:rsid w:val="00CC6AF9"/>
    <w:rsid w:val="00CC6CE1"/>
    <w:rsid w:val="00CC6F33"/>
    <w:rsid w:val="00CD08FE"/>
    <w:rsid w:val="00CD0CB9"/>
    <w:rsid w:val="00CD0F2D"/>
    <w:rsid w:val="00CD1599"/>
    <w:rsid w:val="00CD1EC7"/>
    <w:rsid w:val="00CD1FBA"/>
    <w:rsid w:val="00CD2C32"/>
    <w:rsid w:val="00CD2F14"/>
    <w:rsid w:val="00CD2F21"/>
    <w:rsid w:val="00CD2FEE"/>
    <w:rsid w:val="00CD33DD"/>
    <w:rsid w:val="00CD34DB"/>
    <w:rsid w:val="00CD3915"/>
    <w:rsid w:val="00CD3A44"/>
    <w:rsid w:val="00CD3C5F"/>
    <w:rsid w:val="00CD3F8D"/>
    <w:rsid w:val="00CD40CE"/>
    <w:rsid w:val="00CD4284"/>
    <w:rsid w:val="00CD6372"/>
    <w:rsid w:val="00CD76DF"/>
    <w:rsid w:val="00CD79D9"/>
    <w:rsid w:val="00CD79FB"/>
    <w:rsid w:val="00CD7E93"/>
    <w:rsid w:val="00CE006C"/>
    <w:rsid w:val="00CE006F"/>
    <w:rsid w:val="00CE121D"/>
    <w:rsid w:val="00CE14C1"/>
    <w:rsid w:val="00CE1995"/>
    <w:rsid w:val="00CE1B63"/>
    <w:rsid w:val="00CE20C1"/>
    <w:rsid w:val="00CE21A6"/>
    <w:rsid w:val="00CE2846"/>
    <w:rsid w:val="00CE28C2"/>
    <w:rsid w:val="00CE2DAB"/>
    <w:rsid w:val="00CE2E3D"/>
    <w:rsid w:val="00CE3356"/>
    <w:rsid w:val="00CE360A"/>
    <w:rsid w:val="00CE3672"/>
    <w:rsid w:val="00CE36D8"/>
    <w:rsid w:val="00CE3C25"/>
    <w:rsid w:val="00CE40A1"/>
    <w:rsid w:val="00CE41D1"/>
    <w:rsid w:val="00CE450C"/>
    <w:rsid w:val="00CE47EC"/>
    <w:rsid w:val="00CE533B"/>
    <w:rsid w:val="00CE5B20"/>
    <w:rsid w:val="00CE5E47"/>
    <w:rsid w:val="00CE6863"/>
    <w:rsid w:val="00CE6EFA"/>
    <w:rsid w:val="00CE7827"/>
    <w:rsid w:val="00CE7CD5"/>
    <w:rsid w:val="00CF04A4"/>
    <w:rsid w:val="00CF062B"/>
    <w:rsid w:val="00CF07A9"/>
    <w:rsid w:val="00CF086F"/>
    <w:rsid w:val="00CF0FFF"/>
    <w:rsid w:val="00CF1317"/>
    <w:rsid w:val="00CF1863"/>
    <w:rsid w:val="00CF1BCC"/>
    <w:rsid w:val="00CF217D"/>
    <w:rsid w:val="00CF2185"/>
    <w:rsid w:val="00CF2811"/>
    <w:rsid w:val="00CF2A9D"/>
    <w:rsid w:val="00CF2B08"/>
    <w:rsid w:val="00CF34E7"/>
    <w:rsid w:val="00CF3AD2"/>
    <w:rsid w:val="00CF4188"/>
    <w:rsid w:val="00CF4A9D"/>
    <w:rsid w:val="00CF4F2B"/>
    <w:rsid w:val="00CF52B0"/>
    <w:rsid w:val="00CF55BB"/>
    <w:rsid w:val="00CF64E7"/>
    <w:rsid w:val="00CF64F7"/>
    <w:rsid w:val="00CF67A6"/>
    <w:rsid w:val="00CF71B7"/>
    <w:rsid w:val="00CF74A4"/>
    <w:rsid w:val="00CF76BE"/>
    <w:rsid w:val="00CF78B1"/>
    <w:rsid w:val="00CF7CA8"/>
    <w:rsid w:val="00D001FD"/>
    <w:rsid w:val="00D003C8"/>
    <w:rsid w:val="00D0072A"/>
    <w:rsid w:val="00D00739"/>
    <w:rsid w:val="00D019B2"/>
    <w:rsid w:val="00D01D1F"/>
    <w:rsid w:val="00D01EB6"/>
    <w:rsid w:val="00D01F2C"/>
    <w:rsid w:val="00D044C1"/>
    <w:rsid w:val="00D04C59"/>
    <w:rsid w:val="00D057E9"/>
    <w:rsid w:val="00D058E7"/>
    <w:rsid w:val="00D0604C"/>
    <w:rsid w:val="00D0694A"/>
    <w:rsid w:val="00D07A65"/>
    <w:rsid w:val="00D100F0"/>
    <w:rsid w:val="00D1087E"/>
    <w:rsid w:val="00D108F3"/>
    <w:rsid w:val="00D114B0"/>
    <w:rsid w:val="00D1269E"/>
    <w:rsid w:val="00D1295B"/>
    <w:rsid w:val="00D13453"/>
    <w:rsid w:val="00D1364D"/>
    <w:rsid w:val="00D137B1"/>
    <w:rsid w:val="00D138D4"/>
    <w:rsid w:val="00D13A9E"/>
    <w:rsid w:val="00D13D36"/>
    <w:rsid w:val="00D14426"/>
    <w:rsid w:val="00D14C77"/>
    <w:rsid w:val="00D1529E"/>
    <w:rsid w:val="00D15368"/>
    <w:rsid w:val="00D159BB"/>
    <w:rsid w:val="00D162A8"/>
    <w:rsid w:val="00D1653A"/>
    <w:rsid w:val="00D16991"/>
    <w:rsid w:val="00D177DB"/>
    <w:rsid w:val="00D17BCF"/>
    <w:rsid w:val="00D17F72"/>
    <w:rsid w:val="00D20498"/>
    <w:rsid w:val="00D20592"/>
    <w:rsid w:val="00D210B2"/>
    <w:rsid w:val="00D21107"/>
    <w:rsid w:val="00D216F6"/>
    <w:rsid w:val="00D221A7"/>
    <w:rsid w:val="00D2243A"/>
    <w:rsid w:val="00D227BF"/>
    <w:rsid w:val="00D22CDA"/>
    <w:rsid w:val="00D235F9"/>
    <w:rsid w:val="00D238CD"/>
    <w:rsid w:val="00D23AE7"/>
    <w:rsid w:val="00D24497"/>
    <w:rsid w:val="00D251D2"/>
    <w:rsid w:val="00D25245"/>
    <w:rsid w:val="00D25A42"/>
    <w:rsid w:val="00D25E4B"/>
    <w:rsid w:val="00D25F7F"/>
    <w:rsid w:val="00D2655D"/>
    <w:rsid w:val="00D265F1"/>
    <w:rsid w:val="00D2662D"/>
    <w:rsid w:val="00D26807"/>
    <w:rsid w:val="00D26D1C"/>
    <w:rsid w:val="00D26E33"/>
    <w:rsid w:val="00D2763C"/>
    <w:rsid w:val="00D2783D"/>
    <w:rsid w:val="00D27BC3"/>
    <w:rsid w:val="00D27C42"/>
    <w:rsid w:val="00D30E74"/>
    <w:rsid w:val="00D31CA4"/>
    <w:rsid w:val="00D3271A"/>
    <w:rsid w:val="00D32854"/>
    <w:rsid w:val="00D32B25"/>
    <w:rsid w:val="00D332D6"/>
    <w:rsid w:val="00D333C6"/>
    <w:rsid w:val="00D33631"/>
    <w:rsid w:val="00D33971"/>
    <w:rsid w:val="00D3469B"/>
    <w:rsid w:val="00D36781"/>
    <w:rsid w:val="00D36FAF"/>
    <w:rsid w:val="00D37108"/>
    <w:rsid w:val="00D3711C"/>
    <w:rsid w:val="00D400FA"/>
    <w:rsid w:val="00D40FAC"/>
    <w:rsid w:val="00D4167A"/>
    <w:rsid w:val="00D4299B"/>
    <w:rsid w:val="00D42DE4"/>
    <w:rsid w:val="00D43099"/>
    <w:rsid w:val="00D4375D"/>
    <w:rsid w:val="00D43AF9"/>
    <w:rsid w:val="00D43E24"/>
    <w:rsid w:val="00D440A7"/>
    <w:rsid w:val="00D4427D"/>
    <w:rsid w:val="00D44546"/>
    <w:rsid w:val="00D44662"/>
    <w:rsid w:val="00D44671"/>
    <w:rsid w:val="00D45937"/>
    <w:rsid w:val="00D459AA"/>
    <w:rsid w:val="00D464E9"/>
    <w:rsid w:val="00D46793"/>
    <w:rsid w:val="00D478EE"/>
    <w:rsid w:val="00D47955"/>
    <w:rsid w:val="00D479E0"/>
    <w:rsid w:val="00D47B92"/>
    <w:rsid w:val="00D47E16"/>
    <w:rsid w:val="00D50603"/>
    <w:rsid w:val="00D5085A"/>
    <w:rsid w:val="00D50F16"/>
    <w:rsid w:val="00D511ED"/>
    <w:rsid w:val="00D5154B"/>
    <w:rsid w:val="00D51F68"/>
    <w:rsid w:val="00D53197"/>
    <w:rsid w:val="00D5360E"/>
    <w:rsid w:val="00D53792"/>
    <w:rsid w:val="00D54028"/>
    <w:rsid w:val="00D54745"/>
    <w:rsid w:val="00D5476D"/>
    <w:rsid w:val="00D549AD"/>
    <w:rsid w:val="00D55554"/>
    <w:rsid w:val="00D55DBF"/>
    <w:rsid w:val="00D55E47"/>
    <w:rsid w:val="00D56473"/>
    <w:rsid w:val="00D5654C"/>
    <w:rsid w:val="00D57816"/>
    <w:rsid w:val="00D57B80"/>
    <w:rsid w:val="00D57BA5"/>
    <w:rsid w:val="00D6022C"/>
    <w:rsid w:val="00D60597"/>
    <w:rsid w:val="00D608E7"/>
    <w:rsid w:val="00D60A9E"/>
    <w:rsid w:val="00D60D58"/>
    <w:rsid w:val="00D60D97"/>
    <w:rsid w:val="00D60DD8"/>
    <w:rsid w:val="00D61274"/>
    <w:rsid w:val="00D6186C"/>
    <w:rsid w:val="00D63253"/>
    <w:rsid w:val="00D63829"/>
    <w:rsid w:val="00D63D0C"/>
    <w:rsid w:val="00D64820"/>
    <w:rsid w:val="00D64AC0"/>
    <w:rsid w:val="00D64D59"/>
    <w:rsid w:val="00D6564C"/>
    <w:rsid w:val="00D65F32"/>
    <w:rsid w:val="00D660C1"/>
    <w:rsid w:val="00D669ED"/>
    <w:rsid w:val="00D67910"/>
    <w:rsid w:val="00D67958"/>
    <w:rsid w:val="00D67A49"/>
    <w:rsid w:val="00D67D06"/>
    <w:rsid w:val="00D67FD5"/>
    <w:rsid w:val="00D70DDE"/>
    <w:rsid w:val="00D711A8"/>
    <w:rsid w:val="00D7168E"/>
    <w:rsid w:val="00D7184B"/>
    <w:rsid w:val="00D71B3F"/>
    <w:rsid w:val="00D71FC6"/>
    <w:rsid w:val="00D72135"/>
    <w:rsid w:val="00D722AF"/>
    <w:rsid w:val="00D7260A"/>
    <w:rsid w:val="00D730AB"/>
    <w:rsid w:val="00D73236"/>
    <w:rsid w:val="00D73E5B"/>
    <w:rsid w:val="00D74163"/>
    <w:rsid w:val="00D7486D"/>
    <w:rsid w:val="00D74ED8"/>
    <w:rsid w:val="00D754E3"/>
    <w:rsid w:val="00D75CDE"/>
    <w:rsid w:val="00D75F21"/>
    <w:rsid w:val="00D7625E"/>
    <w:rsid w:val="00D766B1"/>
    <w:rsid w:val="00D76BBC"/>
    <w:rsid w:val="00D76BDB"/>
    <w:rsid w:val="00D76C80"/>
    <w:rsid w:val="00D76FB4"/>
    <w:rsid w:val="00D77125"/>
    <w:rsid w:val="00D77A7C"/>
    <w:rsid w:val="00D802D9"/>
    <w:rsid w:val="00D8053B"/>
    <w:rsid w:val="00D8071C"/>
    <w:rsid w:val="00D80E9B"/>
    <w:rsid w:val="00D816C4"/>
    <w:rsid w:val="00D81844"/>
    <w:rsid w:val="00D81D29"/>
    <w:rsid w:val="00D82190"/>
    <w:rsid w:val="00D826F3"/>
    <w:rsid w:val="00D83CB4"/>
    <w:rsid w:val="00D84044"/>
    <w:rsid w:val="00D840B2"/>
    <w:rsid w:val="00D844DA"/>
    <w:rsid w:val="00D84C19"/>
    <w:rsid w:val="00D858E1"/>
    <w:rsid w:val="00D85A60"/>
    <w:rsid w:val="00D85B51"/>
    <w:rsid w:val="00D85DEB"/>
    <w:rsid w:val="00D86438"/>
    <w:rsid w:val="00D865FC"/>
    <w:rsid w:val="00D866BA"/>
    <w:rsid w:val="00D87106"/>
    <w:rsid w:val="00D875B9"/>
    <w:rsid w:val="00D877D2"/>
    <w:rsid w:val="00D87FDF"/>
    <w:rsid w:val="00D90BD2"/>
    <w:rsid w:val="00D911A4"/>
    <w:rsid w:val="00D91820"/>
    <w:rsid w:val="00D92279"/>
    <w:rsid w:val="00D92350"/>
    <w:rsid w:val="00D926FA"/>
    <w:rsid w:val="00D927E4"/>
    <w:rsid w:val="00D93174"/>
    <w:rsid w:val="00D93AE6"/>
    <w:rsid w:val="00D93B82"/>
    <w:rsid w:val="00D943E1"/>
    <w:rsid w:val="00D9454D"/>
    <w:rsid w:val="00D94606"/>
    <w:rsid w:val="00D94EE4"/>
    <w:rsid w:val="00D950FA"/>
    <w:rsid w:val="00D95706"/>
    <w:rsid w:val="00D9580D"/>
    <w:rsid w:val="00D959D3"/>
    <w:rsid w:val="00D96879"/>
    <w:rsid w:val="00D970F3"/>
    <w:rsid w:val="00D973F8"/>
    <w:rsid w:val="00DA0156"/>
    <w:rsid w:val="00DA0A2E"/>
    <w:rsid w:val="00DA0C08"/>
    <w:rsid w:val="00DA0E77"/>
    <w:rsid w:val="00DA10AB"/>
    <w:rsid w:val="00DA13D7"/>
    <w:rsid w:val="00DA17A6"/>
    <w:rsid w:val="00DA1C7B"/>
    <w:rsid w:val="00DA1E04"/>
    <w:rsid w:val="00DA2450"/>
    <w:rsid w:val="00DA25B7"/>
    <w:rsid w:val="00DA49CC"/>
    <w:rsid w:val="00DA4BCC"/>
    <w:rsid w:val="00DA55DB"/>
    <w:rsid w:val="00DA56BF"/>
    <w:rsid w:val="00DA57CF"/>
    <w:rsid w:val="00DA5A46"/>
    <w:rsid w:val="00DA5DD1"/>
    <w:rsid w:val="00DA6D0D"/>
    <w:rsid w:val="00DA72C1"/>
    <w:rsid w:val="00DA76FD"/>
    <w:rsid w:val="00DB0089"/>
    <w:rsid w:val="00DB04BE"/>
    <w:rsid w:val="00DB06E6"/>
    <w:rsid w:val="00DB0931"/>
    <w:rsid w:val="00DB110D"/>
    <w:rsid w:val="00DB1C3B"/>
    <w:rsid w:val="00DB25A2"/>
    <w:rsid w:val="00DB28E9"/>
    <w:rsid w:val="00DB2FF1"/>
    <w:rsid w:val="00DB3473"/>
    <w:rsid w:val="00DB40E2"/>
    <w:rsid w:val="00DB437B"/>
    <w:rsid w:val="00DB4FEE"/>
    <w:rsid w:val="00DB50AC"/>
    <w:rsid w:val="00DB58AE"/>
    <w:rsid w:val="00DB602D"/>
    <w:rsid w:val="00DB60DA"/>
    <w:rsid w:val="00DB6EDB"/>
    <w:rsid w:val="00DB6F7D"/>
    <w:rsid w:val="00DB6F9A"/>
    <w:rsid w:val="00DB72DA"/>
    <w:rsid w:val="00DB7AFC"/>
    <w:rsid w:val="00DC00FB"/>
    <w:rsid w:val="00DC0336"/>
    <w:rsid w:val="00DC0883"/>
    <w:rsid w:val="00DC121F"/>
    <w:rsid w:val="00DC1BDB"/>
    <w:rsid w:val="00DC209A"/>
    <w:rsid w:val="00DC27D6"/>
    <w:rsid w:val="00DC29D7"/>
    <w:rsid w:val="00DC36A6"/>
    <w:rsid w:val="00DC375C"/>
    <w:rsid w:val="00DC3844"/>
    <w:rsid w:val="00DC44A2"/>
    <w:rsid w:val="00DC490C"/>
    <w:rsid w:val="00DC4E0E"/>
    <w:rsid w:val="00DC4F09"/>
    <w:rsid w:val="00DC5228"/>
    <w:rsid w:val="00DC528F"/>
    <w:rsid w:val="00DC5365"/>
    <w:rsid w:val="00DC5858"/>
    <w:rsid w:val="00DC5F23"/>
    <w:rsid w:val="00DC7126"/>
    <w:rsid w:val="00DC7726"/>
    <w:rsid w:val="00DC7897"/>
    <w:rsid w:val="00DD015E"/>
    <w:rsid w:val="00DD0480"/>
    <w:rsid w:val="00DD0517"/>
    <w:rsid w:val="00DD088D"/>
    <w:rsid w:val="00DD09AB"/>
    <w:rsid w:val="00DD10BD"/>
    <w:rsid w:val="00DD13C6"/>
    <w:rsid w:val="00DD147B"/>
    <w:rsid w:val="00DD2040"/>
    <w:rsid w:val="00DD258C"/>
    <w:rsid w:val="00DD308C"/>
    <w:rsid w:val="00DD30C2"/>
    <w:rsid w:val="00DD310D"/>
    <w:rsid w:val="00DD329E"/>
    <w:rsid w:val="00DD4461"/>
    <w:rsid w:val="00DD4902"/>
    <w:rsid w:val="00DD56B6"/>
    <w:rsid w:val="00DD5734"/>
    <w:rsid w:val="00DD5846"/>
    <w:rsid w:val="00DD71AD"/>
    <w:rsid w:val="00DE01A0"/>
    <w:rsid w:val="00DE0280"/>
    <w:rsid w:val="00DE091E"/>
    <w:rsid w:val="00DE0D48"/>
    <w:rsid w:val="00DE195F"/>
    <w:rsid w:val="00DE2550"/>
    <w:rsid w:val="00DE27E1"/>
    <w:rsid w:val="00DE2B95"/>
    <w:rsid w:val="00DE3242"/>
    <w:rsid w:val="00DE387E"/>
    <w:rsid w:val="00DE3B1B"/>
    <w:rsid w:val="00DE3BDC"/>
    <w:rsid w:val="00DE4896"/>
    <w:rsid w:val="00DE49AD"/>
    <w:rsid w:val="00DE4EE1"/>
    <w:rsid w:val="00DE4F11"/>
    <w:rsid w:val="00DE5C76"/>
    <w:rsid w:val="00DE5D01"/>
    <w:rsid w:val="00DE60DA"/>
    <w:rsid w:val="00DE66E0"/>
    <w:rsid w:val="00DE69B6"/>
    <w:rsid w:val="00DE69CF"/>
    <w:rsid w:val="00DE6B1F"/>
    <w:rsid w:val="00DE75A5"/>
    <w:rsid w:val="00DE7C37"/>
    <w:rsid w:val="00DF00D6"/>
    <w:rsid w:val="00DF02E8"/>
    <w:rsid w:val="00DF0399"/>
    <w:rsid w:val="00DF0963"/>
    <w:rsid w:val="00DF0A36"/>
    <w:rsid w:val="00DF15D9"/>
    <w:rsid w:val="00DF1764"/>
    <w:rsid w:val="00DF1F39"/>
    <w:rsid w:val="00DF25A7"/>
    <w:rsid w:val="00DF25D1"/>
    <w:rsid w:val="00DF26DA"/>
    <w:rsid w:val="00DF297D"/>
    <w:rsid w:val="00DF2E0A"/>
    <w:rsid w:val="00DF3272"/>
    <w:rsid w:val="00DF355C"/>
    <w:rsid w:val="00DF429C"/>
    <w:rsid w:val="00DF4A0A"/>
    <w:rsid w:val="00DF542A"/>
    <w:rsid w:val="00DF55A2"/>
    <w:rsid w:val="00DF574A"/>
    <w:rsid w:val="00DF6C6D"/>
    <w:rsid w:val="00DF6EBE"/>
    <w:rsid w:val="00DF7BA1"/>
    <w:rsid w:val="00DF7FB4"/>
    <w:rsid w:val="00E00425"/>
    <w:rsid w:val="00E0058D"/>
    <w:rsid w:val="00E00647"/>
    <w:rsid w:val="00E01914"/>
    <w:rsid w:val="00E01992"/>
    <w:rsid w:val="00E01AEA"/>
    <w:rsid w:val="00E01B5E"/>
    <w:rsid w:val="00E020A9"/>
    <w:rsid w:val="00E026BB"/>
    <w:rsid w:val="00E02728"/>
    <w:rsid w:val="00E02B41"/>
    <w:rsid w:val="00E0354F"/>
    <w:rsid w:val="00E03F54"/>
    <w:rsid w:val="00E04194"/>
    <w:rsid w:val="00E041E3"/>
    <w:rsid w:val="00E043C2"/>
    <w:rsid w:val="00E052FF"/>
    <w:rsid w:val="00E054D1"/>
    <w:rsid w:val="00E05799"/>
    <w:rsid w:val="00E05DD6"/>
    <w:rsid w:val="00E05EFD"/>
    <w:rsid w:val="00E0641A"/>
    <w:rsid w:val="00E06E61"/>
    <w:rsid w:val="00E070EA"/>
    <w:rsid w:val="00E0758B"/>
    <w:rsid w:val="00E07755"/>
    <w:rsid w:val="00E07763"/>
    <w:rsid w:val="00E07D1C"/>
    <w:rsid w:val="00E11063"/>
    <w:rsid w:val="00E110CD"/>
    <w:rsid w:val="00E11ED7"/>
    <w:rsid w:val="00E12282"/>
    <w:rsid w:val="00E1259E"/>
    <w:rsid w:val="00E12E6C"/>
    <w:rsid w:val="00E12F7C"/>
    <w:rsid w:val="00E13545"/>
    <w:rsid w:val="00E13626"/>
    <w:rsid w:val="00E13A2D"/>
    <w:rsid w:val="00E13A39"/>
    <w:rsid w:val="00E14268"/>
    <w:rsid w:val="00E14568"/>
    <w:rsid w:val="00E14D5E"/>
    <w:rsid w:val="00E15796"/>
    <w:rsid w:val="00E15993"/>
    <w:rsid w:val="00E164DC"/>
    <w:rsid w:val="00E175C4"/>
    <w:rsid w:val="00E17746"/>
    <w:rsid w:val="00E1799C"/>
    <w:rsid w:val="00E17A06"/>
    <w:rsid w:val="00E20E63"/>
    <w:rsid w:val="00E2145C"/>
    <w:rsid w:val="00E21B89"/>
    <w:rsid w:val="00E21CFC"/>
    <w:rsid w:val="00E21D75"/>
    <w:rsid w:val="00E21ED3"/>
    <w:rsid w:val="00E22B0B"/>
    <w:rsid w:val="00E22F01"/>
    <w:rsid w:val="00E23659"/>
    <w:rsid w:val="00E24125"/>
    <w:rsid w:val="00E24253"/>
    <w:rsid w:val="00E243B6"/>
    <w:rsid w:val="00E24B7F"/>
    <w:rsid w:val="00E24DAE"/>
    <w:rsid w:val="00E253BC"/>
    <w:rsid w:val="00E257DB"/>
    <w:rsid w:val="00E25B17"/>
    <w:rsid w:val="00E26E62"/>
    <w:rsid w:val="00E273A8"/>
    <w:rsid w:val="00E30060"/>
    <w:rsid w:val="00E30C39"/>
    <w:rsid w:val="00E30F7C"/>
    <w:rsid w:val="00E3112A"/>
    <w:rsid w:val="00E31CA2"/>
    <w:rsid w:val="00E31EEF"/>
    <w:rsid w:val="00E32FB2"/>
    <w:rsid w:val="00E33199"/>
    <w:rsid w:val="00E3338D"/>
    <w:rsid w:val="00E336BA"/>
    <w:rsid w:val="00E339C9"/>
    <w:rsid w:val="00E33AF1"/>
    <w:rsid w:val="00E33CC0"/>
    <w:rsid w:val="00E33D84"/>
    <w:rsid w:val="00E340A8"/>
    <w:rsid w:val="00E348D1"/>
    <w:rsid w:val="00E35295"/>
    <w:rsid w:val="00E359B4"/>
    <w:rsid w:val="00E36653"/>
    <w:rsid w:val="00E368A5"/>
    <w:rsid w:val="00E36A27"/>
    <w:rsid w:val="00E36B84"/>
    <w:rsid w:val="00E36D72"/>
    <w:rsid w:val="00E37D44"/>
    <w:rsid w:val="00E4022F"/>
    <w:rsid w:val="00E403CF"/>
    <w:rsid w:val="00E406EF"/>
    <w:rsid w:val="00E40799"/>
    <w:rsid w:val="00E40900"/>
    <w:rsid w:val="00E40C22"/>
    <w:rsid w:val="00E40DB4"/>
    <w:rsid w:val="00E419F4"/>
    <w:rsid w:val="00E41D64"/>
    <w:rsid w:val="00E42598"/>
    <w:rsid w:val="00E426F1"/>
    <w:rsid w:val="00E42CA5"/>
    <w:rsid w:val="00E433C4"/>
    <w:rsid w:val="00E43BAC"/>
    <w:rsid w:val="00E443A8"/>
    <w:rsid w:val="00E44850"/>
    <w:rsid w:val="00E45D97"/>
    <w:rsid w:val="00E4634F"/>
    <w:rsid w:val="00E46984"/>
    <w:rsid w:val="00E46D1B"/>
    <w:rsid w:val="00E47AB3"/>
    <w:rsid w:val="00E47D26"/>
    <w:rsid w:val="00E50024"/>
    <w:rsid w:val="00E50271"/>
    <w:rsid w:val="00E50667"/>
    <w:rsid w:val="00E50C86"/>
    <w:rsid w:val="00E517AD"/>
    <w:rsid w:val="00E519BA"/>
    <w:rsid w:val="00E51A50"/>
    <w:rsid w:val="00E520F3"/>
    <w:rsid w:val="00E52ACC"/>
    <w:rsid w:val="00E52FDF"/>
    <w:rsid w:val="00E5325C"/>
    <w:rsid w:val="00E53721"/>
    <w:rsid w:val="00E537BE"/>
    <w:rsid w:val="00E539CB"/>
    <w:rsid w:val="00E541A4"/>
    <w:rsid w:val="00E54223"/>
    <w:rsid w:val="00E5435E"/>
    <w:rsid w:val="00E54CC0"/>
    <w:rsid w:val="00E54ECB"/>
    <w:rsid w:val="00E554B2"/>
    <w:rsid w:val="00E555AB"/>
    <w:rsid w:val="00E55753"/>
    <w:rsid w:val="00E55A06"/>
    <w:rsid w:val="00E56533"/>
    <w:rsid w:val="00E5659E"/>
    <w:rsid w:val="00E5687B"/>
    <w:rsid w:val="00E56CCC"/>
    <w:rsid w:val="00E56DDD"/>
    <w:rsid w:val="00E5748E"/>
    <w:rsid w:val="00E577BA"/>
    <w:rsid w:val="00E57AE7"/>
    <w:rsid w:val="00E57B51"/>
    <w:rsid w:val="00E57F55"/>
    <w:rsid w:val="00E57FAA"/>
    <w:rsid w:val="00E602EC"/>
    <w:rsid w:val="00E6036A"/>
    <w:rsid w:val="00E608D4"/>
    <w:rsid w:val="00E60C8E"/>
    <w:rsid w:val="00E60D6F"/>
    <w:rsid w:val="00E61181"/>
    <w:rsid w:val="00E61738"/>
    <w:rsid w:val="00E61B40"/>
    <w:rsid w:val="00E623DE"/>
    <w:rsid w:val="00E623F8"/>
    <w:rsid w:val="00E623FC"/>
    <w:rsid w:val="00E62466"/>
    <w:rsid w:val="00E62E02"/>
    <w:rsid w:val="00E62E7B"/>
    <w:rsid w:val="00E6308F"/>
    <w:rsid w:val="00E636C9"/>
    <w:rsid w:val="00E63749"/>
    <w:rsid w:val="00E63770"/>
    <w:rsid w:val="00E63A0D"/>
    <w:rsid w:val="00E63A38"/>
    <w:rsid w:val="00E63BEB"/>
    <w:rsid w:val="00E64574"/>
    <w:rsid w:val="00E646F5"/>
    <w:rsid w:val="00E65210"/>
    <w:rsid w:val="00E65E13"/>
    <w:rsid w:val="00E674E8"/>
    <w:rsid w:val="00E6776F"/>
    <w:rsid w:val="00E678F5"/>
    <w:rsid w:val="00E67DFA"/>
    <w:rsid w:val="00E67F1D"/>
    <w:rsid w:val="00E706BE"/>
    <w:rsid w:val="00E70D23"/>
    <w:rsid w:val="00E72211"/>
    <w:rsid w:val="00E73180"/>
    <w:rsid w:val="00E73943"/>
    <w:rsid w:val="00E74078"/>
    <w:rsid w:val="00E742C4"/>
    <w:rsid w:val="00E75A13"/>
    <w:rsid w:val="00E75B4A"/>
    <w:rsid w:val="00E75D0C"/>
    <w:rsid w:val="00E7601E"/>
    <w:rsid w:val="00E762A3"/>
    <w:rsid w:val="00E766D3"/>
    <w:rsid w:val="00E76BB2"/>
    <w:rsid w:val="00E76F5C"/>
    <w:rsid w:val="00E77095"/>
    <w:rsid w:val="00E77B5B"/>
    <w:rsid w:val="00E77C48"/>
    <w:rsid w:val="00E800B1"/>
    <w:rsid w:val="00E801A6"/>
    <w:rsid w:val="00E80877"/>
    <w:rsid w:val="00E80D29"/>
    <w:rsid w:val="00E80F47"/>
    <w:rsid w:val="00E81975"/>
    <w:rsid w:val="00E81EA2"/>
    <w:rsid w:val="00E81F99"/>
    <w:rsid w:val="00E820C3"/>
    <w:rsid w:val="00E82401"/>
    <w:rsid w:val="00E82416"/>
    <w:rsid w:val="00E826E5"/>
    <w:rsid w:val="00E8276C"/>
    <w:rsid w:val="00E82A41"/>
    <w:rsid w:val="00E836C2"/>
    <w:rsid w:val="00E83724"/>
    <w:rsid w:val="00E83732"/>
    <w:rsid w:val="00E83C1A"/>
    <w:rsid w:val="00E8442B"/>
    <w:rsid w:val="00E846F0"/>
    <w:rsid w:val="00E84F71"/>
    <w:rsid w:val="00E85185"/>
    <w:rsid w:val="00E85200"/>
    <w:rsid w:val="00E8556F"/>
    <w:rsid w:val="00E85635"/>
    <w:rsid w:val="00E8577A"/>
    <w:rsid w:val="00E85C14"/>
    <w:rsid w:val="00E87818"/>
    <w:rsid w:val="00E904E9"/>
    <w:rsid w:val="00E90B15"/>
    <w:rsid w:val="00E90DEA"/>
    <w:rsid w:val="00E91310"/>
    <w:rsid w:val="00E92701"/>
    <w:rsid w:val="00E92B4E"/>
    <w:rsid w:val="00E92C57"/>
    <w:rsid w:val="00E92CB6"/>
    <w:rsid w:val="00E93CFD"/>
    <w:rsid w:val="00E94025"/>
    <w:rsid w:val="00E940A6"/>
    <w:rsid w:val="00E942D7"/>
    <w:rsid w:val="00E9452D"/>
    <w:rsid w:val="00E94F8F"/>
    <w:rsid w:val="00E95018"/>
    <w:rsid w:val="00E950F0"/>
    <w:rsid w:val="00E95739"/>
    <w:rsid w:val="00E96414"/>
    <w:rsid w:val="00E9688D"/>
    <w:rsid w:val="00E97F26"/>
    <w:rsid w:val="00E97F4E"/>
    <w:rsid w:val="00EA06B0"/>
    <w:rsid w:val="00EA151D"/>
    <w:rsid w:val="00EA1E3D"/>
    <w:rsid w:val="00EA23AF"/>
    <w:rsid w:val="00EA2685"/>
    <w:rsid w:val="00EA2A77"/>
    <w:rsid w:val="00EA30E5"/>
    <w:rsid w:val="00EA3AA2"/>
    <w:rsid w:val="00EA3E6B"/>
    <w:rsid w:val="00EA5230"/>
    <w:rsid w:val="00EA5AB6"/>
    <w:rsid w:val="00EA6140"/>
    <w:rsid w:val="00EA6252"/>
    <w:rsid w:val="00EA6419"/>
    <w:rsid w:val="00EA68E0"/>
    <w:rsid w:val="00EA6B13"/>
    <w:rsid w:val="00EA72E2"/>
    <w:rsid w:val="00EA75D3"/>
    <w:rsid w:val="00EA7E5A"/>
    <w:rsid w:val="00EB00DA"/>
    <w:rsid w:val="00EB0484"/>
    <w:rsid w:val="00EB06B9"/>
    <w:rsid w:val="00EB08F4"/>
    <w:rsid w:val="00EB0EDA"/>
    <w:rsid w:val="00EB111F"/>
    <w:rsid w:val="00EB141B"/>
    <w:rsid w:val="00EB1FFE"/>
    <w:rsid w:val="00EB20EF"/>
    <w:rsid w:val="00EB23BE"/>
    <w:rsid w:val="00EB26B7"/>
    <w:rsid w:val="00EB27EA"/>
    <w:rsid w:val="00EB2935"/>
    <w:rsid w:val="00EB2AB8"/>
    <w:rsid w:val="00EB30A9"/>
    <w:rsid w:val="00EB3A20"/>
    <w:rsid w:val="00EB3ACE"/>
    <w:rsid w:val="00EB4320"/>
    <w:rsid w:val="00EB451E"/>
    <w:rsid w:val="00EB4C5C"/>
    <w:rsid w:val="00EB4CF6"/>
    <w:rsid w:val="00EB503D"/>
    <w:rsid w:val="00EB56BE"/>
    <w:rsid w:val="00EB57BF"/>
    <w:rsid w:val="00EB5C75"/>
    <w:rsid w:val="00EB5E87"/>
    <w:rsid w:val="00EB61C7"/>
    <w:rsid w:val="00EB61E4"/>
    <w:rsid w:val="00EB6250"/>
    <w:rsid w:val="00EB6817"/>
    <w:rsid w:val="00EB6893"/>
    <w:rsid w:val="00EB6A0A"/>
    <w:rsid w:val="00EB727B"/>
    <w:rsid w:val="00EB79B8"/>
    <w:rsid w:val="00EB7B72"/>
    <w:rsid w:val="00EB7F4F"/>
    <w:rsid w:val="00EB7FCE"/>
    <w:rsid w:val="00EC061B"/>
    <w:rsid w:val="00EC0AD0"/>
    <w:rsid w:val="00EC14AE"/>
    <w:rsid w:val="00EC15B7"/>
    <w:rsid w:val="00EC180D"/>
    <w:rsid w:val="00EC1C6F"/>
    <w:rsid w:val="00EC2BDE"/>
    <w:rsid w:val="00EC308F"/>
    <w:rsid w:val="00EC3747"/>
    <w:rsid w:val="00EC3BFB"/>
    <w:rsid w:val="00EC4013"/>
    <w:rsid w:val="00EC4093"/>
    <w:rsid w:val="00EC45FA"/>
    <w:rsid w:val="00EC48CD"/>
    <w:rsid w:val="00EC538F"/>
    <w:rsid w:val="00EC573C"/>
    <w:rsid w:val="00EC57FB"/>
    <w:rsid w:val="00EC5D90"/>
    <w:rsid w:val="00EC5DC7"/>
    <w:rsid w:val="00EC633D"/>
    <w:rsid w:val="00EC645B"/>
    <w:rsid w:val="00EC67A8"/>
    <w:rsid w:val="00EC6EEF"/>
    <w:rsid w:val="00EC7488"/>
    <w:rsid w:val="00EC7BEE"/>
    <w:rsid w:val="00EC7DA9"/>
    <w:rsid w:val="00ED0200"/>
    <w:rsid w:val="00ED02A3"/>
    <w:rsid w:val="00ED0341"/>
    <w:rsid w:val="00ED058B"/>
    <w:rsid w:val="00ED2082"/>
    <w:rsid w:val="00ED25C9"/>
    <w:rsid w:val="00ED2685"/>
    <w:rsid w:val="00ED2BD3"/>
    <w:rsid w:val="00ED400F"/>
    <w:rsid w:val="00ED4024"/>
    <w:rsid w:val="00ED4B0A"/>
    <w:rsid w:val="00ED4B2F"/>
    <w:rsid w:val="00ED559B"/>
    <w:rsid w:val="00ED5913"/>
    <w:rsid w:val="00ED5BBD"/>
    <w:rsid w:val="00ED5CCB"/>
    <w:rsid w:val="00ED5CF5"/>
    <w:rsid w:val="00ED767F"/>
    <w:rsid w:val="00ED791F"/>
    <w:rsid w:val="00EE043D"/>
    <w:rsid w:val="00EE0BCB"/>
    <w:rsid w:val="00EE0DF9"/>
    <w:rsid w:val="00EE1114"/>
    <w:rsid w:val="00EE11EB"/>
    <w:rsid w:val="00EE2A81"/>
    <w:rsid w:val="00EE2D98"/>
    <w:rsid w:val="00EE2F6E"/>
    <w:rsid w:val="00EE351F"/>
    <w:rsid w:val="00EE3604"/>
    <w:rsid w:val="00EE3A19"/>
    <w:rsid w:val="00EE3AD4"/>
    <w:rsid w:val="00EE4862"/>
    <w:rsid w:val="00EE4B40"/>
    <w:rsid w:val="00EE5B57"/>
    <w:rsid w:val="00EE616A"/>
    <w:rsid w:val="00EE618B"/>
    <w:rsid w:val="00EE6355"/>
    <w:rsid w:val="00EE666F"/>
    <w:rsid w:val="00EE7249"/>
    <w:rsid w:val="00EE7717"/>
    <w:rsid w:val="00EE7EEC"/>
    <w:rsid w:val="00EF028F"/>
    <w:rsid w:val="00EF1363"/>
    <w:rsid w:val="00EF1C05"/>
    <w:rsid w:val="00EF350A"/>
    <w:rsid w:val="00EF3644"/>
    <w:rsid w:val="00EF379B"/>
    <w:rsid w:val="00EF3875"/>
    <w:rsid w:val="00EF39F1"/>
    <w:rsid w:val="00EF3E60"/>
    <w:rsid w:val="00EF4347"/>
    <w:rsid w:val="00EF442E"/>
    <w:rsid w:val="00EF4C5F"/>
    <w:rsid w:val="00EF57F3"/>
    <w:rsid w:val="00EF5B6C"/>
    <w:rsid w:val="00EF61E3"/>
    <w:rsid w:val="00EF6E92"/>
    <w:rsid w:val="00EF7338"/>
    <w:rsid w:val="00EF75CB"/>
    <w:rsid w:val="00F0027F"/>
    <w:rsid w:val="00F0089D"/>
    <w:rsid w:val="00F00D6A"/>
    <w:rsid w:val="00F00F38"/>
    <w:rsid w:val="00F01F0C"/>
    <w:rsid w:val="00F01F1A"/>
    <w:rsid w:val="00F02869"/>
    <w:rsid w:val="00F02A44"/>
    <w:rsid w:val="00F02D76"/>
    <w:rsid w:val="00F03180"/>
    <w:rsid w:val="00F0374E"/>
    <w:rsid w:val="00F038FF"/>
    <w:rsid w:val="00F03C0C"/>
    <w:rsid w:val="00F03D2F"/>
    <w:rsid w:val="00F04289"/>
    <w:rsid w:val="00F0435F"/>
    <w:rsid w:val="00F04436"/>
    <w:rsid w:val="00F04509"/>
    <w:rsid w:val="00F0457C"/>
    <w:rsid w:val="00F04737"/>
    <w:rsid w:val="00F047E8"/>
    <w:rsid w:val="00F048B0"/>
    <w:rsid w:val="00F04C3F"/>
    <w:rsid w:val="00F04C43"/>
    <w:rsid w:val="00F04E19"/>
    <w:rsid w:val="00F051DC"/>
    <w:rsid w:val="00F0521C"/>
    <w:rsid w:val="00F0572E"/>
    <w:rsid w:val="00F0618A"/>
    <w:rsid w:val="00F06308"/>
    <w:rsid w:val="00F068C4"/>
    <w:rsid w:val="00F10A5A"/>
    <w:rsid w:val="00F10AF5"/>
    <w:rsid w:val="00F10B66"/>
    <w:rsid w:val="00F10D15"/>
    <w:rsid w:val="00F11C1F"/>
    <w:rsid w:val="00F12542"/>
    <w:rsid w:val="00F128BC"/>
    <w:rsid w:val="00F12A4D"/>
    <w:rsid w:val="00F12AB0"/>
    <w:rsid w:val="00F13055"/>
    <w:rsid w:val="00F13E06"/>
    <w:rsid w:val="00F1446A"/>
    <w:rsid w:val="00F14913"/>
    <w:rsid w:val="00F15794"/>
    <w:rsid w:val="00F166C9"/>
    <w:rsid w:val="00F16D22"/>
    <w:rsid w:val="00F17530"/>
    <w:rsid w:val="00F179FC"/>
    <w:rsid w:val="00F17F83"/>
    <w:rsid w:val="00F205D9"/>
    <w:rsid w:val="00F2070E"/>
    <w:rsid w:val="00F211AB"/>
    <w:rsid w:val="00F21CEC"/>
    <w:rsid w:val="00F22459"/>
    <w:rsid w:val="00F227A7"/>
    <w:rsid w:val="00F22EE7"/>
    <w:rsid w:val="00F2311C"/>
    <w:rsid w:val="00F23A69"/>
    <w:rsid w:val="00F242B6"/>
    <w:rsid w:val="00F2466B"/>
    <w:rsid w:val="00F247D8"/>
    <w:rsid w:val="00F24BD8"/>
    <w:rsid w:val="00F24D7E"/>
    <w:rsid w:val="00F25337"/>
    <w:rsid w:val="00F253AD"/>
    <w:rsid w:val="00F25595"/>
    <w:rsid w:val="00F26075"/>
    <w:rsid w:val="00F263AD"/>
    <w:rsid w:val="00F26740"/>
    <w:rsid w:val="00F26BBC"/>
    <w:rsid w:val="00F26C4E"/>
    <w:rsid w:val="00F278B2"/>
    <w:rsid w:val="00F27A1A"/>
    <w:rsid w:val="00F27C63"/>
    <w:rsid w:val="00F303B1"/>
    <w:rsid w:val="00F30870"/>
    <w:rsid w:val="00F30DA9"/>
    <w:rsid w:val="00F30EDF"/>
    <w:rsid w:val="00F3112B"/>
    <w:rsid w:val="00F33910"/>
    <w:rsid w:val="00F33D94"/>
    <w:rsid w:val="00F34F7D"/>
    <w:rsid w:val="00F35ED3"/>
    <w:rsid w:val="00F366D1"/>
    <w:rsid w:val="00F40153"/>
    <w:rsid w:val="00F40629"/>
    <w:rsid w:val="00F40668"/>
    <w:rsid w:val="00F40A96"/>
    <w:rsid w:val="00F40CEE"/>
    <w:rsid w:val="00F41596"/>
    <w:rsid w:val="00F418E6"/>
    <w:rsid w:val="00F42014"/>
    <w:rsid w:val="00F4207F"/>
    <w:rsid w:val="00F429A7"/>
    <w:rsid w:val="00F42D4A"/>
    <w:rsid w:val="00F42DBA"/>
    <w:rsid w:val="00F4323E"/>
    <w:rsid w:val="00F44148"/>
    <w:rsid w:val="00F443BC"/>
    <w:rsid w:val="00F44797"/>
    <w:rsid w:val="00F44F45"/>
    <w:rsid w:val="00F4543D"/>
    <w:rsid w:val="00F458D2"/>
    <w:rsid w:val="00F45969"/>
    <w:rsid w:val="00F45D8D"/>
    <w:rsid w:val="00F464AA"/>
    <w:rsid w:val="00F47042"/>
    <w:rsid w:val="00F470D4"/>
    <w:rsid w:val="00F475C0"/>
    <w:rsid w:val="00F47881"/>
    <w:rsid w:val="00F47A94"/>
    <w:rsid w:val="00F50726"/>
    <w:rsid w:val="00F50D8E"/>
    <w:rsid w:val="00F50FDD"/>
    <w:rsid w:val="00F51297"/>
    <w:rsid w:val="00F51677"/>
    <w:rsid w:val="00F516F9"/>
    <w:rsid w:val="00F518A1"/>
    <w:rsid w:val="00F53210"/>
    <w:rsid w:val="00F53980"/>
    <w:rsid w:val="00F53E5C"/>
    <w:rsid w:val="00F54198"/>
    <w:rsid w:val="00F54228"/>
    <w:rsid w:val="00F542C9"/>
    <w:rsid w:val="00F54427"/>
    <w:rsid w:val="00F548EB"/>
    <w:rsid w:val="00F54C27"/>
    <w:rsid w:val="00F54C2B"/>
    <w:rsid w:val="00F55199"/>
    <w:rsid w:val="00F55582"/>
    <w:rsid w:val="00F56264"/>
    <w:rsid w:val="00F56601"/>
    <w:rsid w:val="00F56DED"/>
    <w:rsid w:val="00F575D0"/>
    <w:rsid w:val="00F577ED"/>
    <w:rsid w:val="00F57F10"/>
    <w:rsid w:val="00F602ED"/>
    <w:rsid w:val="00F60850"/>
    <w:rsid w:val="00F60C22"/>
    <w:rsid w:val="00F60CAB"/>
    <w:rsid w:val="00F62CDA"/>
    <w:rsid w:val="00F63390"/>
    <w:rsid w:val="00F6339B"/>
    <w:rsid w:val="00F63889"/>
    <w:rsid w:val="00F63F01"/>
    <w:rsid w:val="00F64244"/>
    <w:rsid w:val="00F647A6"/>
    <w:rsid w:val="00F64B1B"/>
    <w:rsid w:val="00F64B5A"/>
    <w:rsid w:val="00F64E15"/>
    <w:rsid w:val="00F659F6"/>
    <w:rsid w:val="00F66512"/>
    <w:rsid w:val="00F6708B"/>
    <w:rsid w:val="00F67CED"/>
    <w:rsid w:val="00F67D05"/>
    <w:rsid w:val="00F67FEF"/>
    <w:rsid w:val="00F7097F"/>
    <w:rsid w:val="00F709E2"/>
    <w:rsid w:val="00F70F5C"/>
    <w:rsid w:val="00F711F7"/>
    <w:rsid w:val="00F7125C"/>
    <w:rsid w:val="00F7131A"/>
    <w:rsid w:val="00F719EA"/>
    <w:rsid w:val="00F7256C"/>
    <w:rsid w:val="00F72E81"/>
    <w:rsid w:val="00F732A4"/>
    <w:rsid w:val="00F738B9"/>
    <w:rsid w:val="00F749A4"/>
    <w:rsid w:val="00F74F04"/>
    <w:rsid w:val="00F751FA"/>
    <w:rsid w:val="00F754DD"/>
    <w:rsid w:val="00F75A42"/>
    <w:rsid w:val="00F76329"/>
    <w:rsid w:val="00F7699F"/>
    <w:rsid w:val="00F7733F"/>
    <w:rsid w:val="00F7745E"/>
    <w:rsid w:val="00F77AC8"/>
    <w:rsid w:val="00F77B8E"/>
    <w:rsid w:val="00F8026E"/>
    <w:rsid w:val="00F80347"/>
    <w:rsid w:val="00F805CD"/>
    <w:rsid w:val="00F814BF"/>
    <w:rsid w:val="00F81A13"/>
    <w:rsid w:val="00F81B73"/>
    <w:rsid w:val="00F82132"/>
    <w:rsid w:val="00F82AF2"/>
    <w:rsid w:val="00F82CA0"/>
    <w:rsid w:val="00F831FD"/>
    <w:rsid w:val="00F83293"/>
    <w:rsid w:val="00F83990"/>
    <w:rsid w:val="00F83D44"/>
    <w:rsid w:val="00F83F7D"/>
    <w:rsid w:val="00F841C8"/>
    <w:rsid w:val="00F8627A"/>
    <w:rsid w:val="00F86963"/>
    <w:rsid w:val="00F86EFD"/>
    <w:rsid w:val="00F870D6"/>
    <w:rsid w:val="00F87A2C"/>
    <w:rsid w:val="00F90413"/>
    <w:rsid w:val="00F90489"/>
    <w:rsid w:val="00F90502"/>
    <w:rsid w:val="00F90543"/>
    <w:rsid w:val="00F90A42"/>
    <w:rsid w:val="00F90BD3"/>
    <w:rsid w:val="00F91095"/>
    <w:rsid w:val="00F9179A"/>
    <w:rsid w:val="00F91B8C"/>
    <w:rsid w:val="00F91BBD"/>
    <w:rsid w:val="00F9228E"/>
    <w:rsid w:val="00F92C39"/>
    <w:rsid w:val="00F93A8D"/>
    <w:rsid w:val="00F93F99"/>
    <w:rsid w:val="00F94BF1"/>
    <w:rsid w:val="00F94CF4"/>
    <w:rsid w:val="00F95AC2"/>
    <w:rsid w:val="00F95ACF"/>
    <w:rsid w:val="00F96218"/>
    <w:rsid w:val="00F9679D"/>
    <w:rsid w:val="00F97093"/>
    <w:rsid w:val="00FA00F3"/>
    <w:rsid w:val="00FA09B3"/>
    <w:rsid w:val="00FA1536"/>
    <w:rsid w:val="00FA22A5"/>
    <w:rsid w:val="00FA2592"/>
    <w:rsid w:val="00FA25F7"/>
    <w:rsid w:val="00FA2D64"/>
    <w:rsid w:val="00FA2DAF"/>
    <w:rsid w:val="00FA2FF8"/>
    <w:rsid w:val="00FA3AEF"/>
    <w:rsid w:val="00FA42C8"/>
    <w:rsid w:val="00FA49D1"/>
    <w:rsid w:val="00FA53FD"/>
    <w:rsid w:val="00FA56B1"/>
    <w:rsid w:val="00FA5CB5"/>
    <w:rsid w:val="00FA6788"/>
    <w:rsid w:val="00FA7B04"/>
    <w:rsid w:val="00FB0207"/>
    <w:rsid w:val="00FB0222"/>
    <w:rsid w:val="00FB02D8"/>
    <w:rsid w:val="00FB047C"/>
    <w:rsid w:val="00FB0704"/>
    <w:rsid w:val="00FB0C1D"/>
    <w:rsid w:val="00FB0DE4"/>
    <w:rsid w:val="00FB131B"/>
    <w:rsid w:val="00FB2273"/>
    <w:rsid w:val="00FB2945"/>
    <w:rsid w:val="00FB2B08"/>
    <w:rsid w:val="00FB3104"/>
    <w:rsid w:val="00FB31F2"/>
    <w:rsid w:val="00FB357D"/>
    <w:rsid w:val="00FB3C9B"/>
    <w:rsid w:val="00FB4137"/>
    <w:rsid w:val="00FB4967"/>
    <w:rsid w:val="00FB51CA"/>
    <w:rsid w:val="00FB51E0"/>
    <w:rsid w:val="00FB5BE5"/>
    <w:rsid w:val="00FB5EDA"/>
    <w:rsid w:val="00FB663F"/>
    <w:rsid w:val="00FB68AD"/>
    <w:rsid w:val="00FB71F4"/>
    <w:rsid w:val="00FB74D4"/>
    <w:rsid w:val="00FB7D8F"/>
    <w:rsid w:val="00FC0498"/>
    <w:rsid w:val="00FC0526"/>
    <w:rsid w:val="00FC071F"/>
    <w:rsid w:val="00FC0C6B"/>
    <w:rsid w:val="00FC0D40"/>
    <w:rsid w:val="00FC0FBD"/>
    <w:rsid w:val="00FC1261"/>
    <w:rsid w:val="00FC1B87"/>
    <w:rsid w:val="00FC1BCA"/>
    <w:rsid w:val="00FC1E4E"/>
    <w:rsid w:val="00FC1E8D"/>
    <w:rsid w:val="00FC24C7"/>
    <w:rsid w:val="00FC2847"/>
    <w:rsid w:val="00FC289C"/>
    <w:rsid w:val="00FC2BD5"/>
    <w:rsid w:val="00FC39AE"/>
    <w:rsid w:val="00FC3F6C"/>
    <w:rsid w:val="00FC4378"/>
    <w:rsid w:val="00FC4675"/>
    <w:rsid w:val="00FC6079"/>
    <w:rsid w:val="00FC61B5"/>
    <w:rsid w:val="00FC69B0"/>
    <w:rsid w:val="00FC7377"/>
    <w:rsid w:val="00FC7620"/>
    <w:rsid w:val="00FC78CB"/>
    <w:rsid w:val="00FC7CA5"/>
    <w:rsid w:val="00FC7D37"/>
    <w:rsid w:val="00FC7EF1"/>
    <w:rsid w:val="00FC7F36"/>
    <w:rsid w:val="00FD00A1"/>
    <w:rsid w:val="00FD026D"/>
    <w:rsid w:val="00FD17AA"/>
    <w:rsid w:val="00FD191F"/>
    <w:rsid w:val="00FD20FA"/>
    <w:rsid w:val="00FD2262"/>
    <w:rsid w:val="00FD2CF4"/>
    <w:rsid w:val="00FD2F35"/>
    <w:rsid w:val="00FD3149"/>
    <w:rsid w:val="00FD3617"/>
    <w:rsid w:val="00FD3F86"/>
    <w:rsid w:val="00FD40BB"/>
    <w:rsid w:val="00FD45AC"/>
    <w:rsid w:val="00FD5241"/>
    <w:rsid w:val="00FD565A"/>
    <w:rsid w:val="00FD5690"/>
    <w:rsid w:val="00FD5705"/>
    <w:rsid w:val="00FD58E2"/>
    <w:rsid w:val="00FD5C67"/>
    <w:rsid w:val="00FD61A7"/>
    <w:rsid w:val="00FD628A"/>
    <w:rsid w:val="00FD6A36"/>
    <w:rsid w:val="00FD7043"/>
    <w:rsid w:val="00FD755C"/>
    <w:rsid w:val="00FD7736"/>
    <w:rsid w:val="00FE0494"/>
    <w:rsid w:val="00FE0500"/>
    <w:rsid w:val="00FE073C"/>
    <w:rsid w:val="00FE0B47"/>
    <w:rsid w:val="00FE0C4D"/>
    <w:rsid w:val="00FE1DF4"/>
    <w:rsid w:val="00FE2338"/>
    <w:rsid w:val="00FE2947"/>
    <w:rsid w:val="00FE3540"/>
    <w:rsid w:val="00FE391D"/>
    <w:rsid w:val="00FE3FD4"/>
    <w:rsid w:val="00FE4D77"/>
    <w:rsid w:val="00FE58AD"/>
    <w:rsid w:val="00FE5EBE"/>
    <w:rsid w:val="00FE6053"/>
    <w:rsid w:val="00FE69C1"/>
    <w:rsid w:val="00FE6CEC"/>
    <w:rsid w:val="00FE7351"/>
    <w:rsid w:val="00FE74B0"/>
    <w:rsid w:val="00FE74E3"/>
    <w:rsid w:val="00FE7C33"/>
    <w:rsid w:val="00FF0720"/>
    <w:rsid w:val="00FF0C8D"/>
    <w:rsid w:val="00FF156F"/>
    <w:rsid w:val="00FF27ED"/>
    <w:rsid w:val="00FF285D"/>
    <w:rsid w:val="00FF372B"/>
    <w:rsid w:val="00FF3EC8"/>
    <w:rsid w:val="00FF4187"/>
    <w:rsid w:val="00FF488C"/>
    <w:rsid w:val="00FF48B6"/>
    <w:rsid w:val="00FF503C"/>
    <w:rsid w:val="00FF5446"/>
    <w:rsid w:val="00FF585F"/>
    <w:rsid w:val="00FF64D5"/>
    <w:rsid w:val="00FF657F"/>
    <w:rsid w:val="00FF6A19"/>
    <w:rsid w:val="00FF6F30"/>
    <w:rsid w:val="00FF7732"/>
    <w:rsid w:val="00FF787E"/>
    <w:rsid w:val="00FF7951"/>
    <w:rsid w:val="00FF7960"/>
    <w:rsid w:val="00FF7C7E"/>
    <w:rsid w:val="00FF7CAA"/>
    <w:rsid w:val="00FF7CB5"/>
    <w:rsid w:val="00FF7CD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157792"/>
    <w:rPr>
      <w:sz w:val="26"/>
      <w:szCs w:val="24"/>
    </w:rPr>
  </w:style>
  <w:style w:type="paragraph" w:styleId="Heading1">
    <w:name w:val="heading 1"/>
    <w:basedOn w:val="BodyText"/>
    <w:next w:val="BodyText"/>
    <w:rsid w:val="00157792"/>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157792"/>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157792"/>
    <w:pPr>
      <w:spacing w:before="560" w:line="320" w:lineRule="exact"/>
      <w:ind w:left="0" w:firstLine="0"/>
      <w:outlineLvl w:val="2"/>
    </w:pPr>
    <w:rPr>
      <w:sz w:val="26"/>
    </w:rPr>
  </w:style>
  <w:style w:type="paragraph" w:styleId="Heading4">
    <w:name w:val="heading 4"/>
    <w:basedOn w:val="Heading3"/>
    <w:next w:val="BodyText"/>
    <w:qFormat/>
    <w:rsid w:val="00157792"/>
    <w:pPr>
      <w:spacing w:before="480"/>
      <w:outlineLvl w:val="3"/>
    </w:pPr>
    <w:rPr>
      <w:b w:val="0"/>
      <w:i/>
      <w:sz w:val="24"/>
    </w:rPr>
  </w:style>
  <w:style w:type="paragraph" w:styleId="Heading5">
    <w:name w:val="heading 5"/>
    <w:basedOn w:val="Heading4"/>
    <w:next w:val="BodyText"/>
    <w:qFormat/>
    <w:rsid w:val="00157792"/>
    <w:pPr>
      <w:outlineLvl w:val="4"/>
    </w:pPr>
    <w:rPr>
      <w:rFonts w:ascii="Times New Roman" w:hAnsi="Times New Roman"/>
      <w:sz w:val="26"/>
    </w:rPr>
  </w:style>
  <w:style w:type="paragraph" w:styleId="Heading6">
    <w:name w:val="heading 6"/>
    <w:basedOn w:val="BodyText"/>
    <w:next w:val="BodyText"/>
    <w:rsid w:val="00157792"/>
    <w:pPr>
      <w:spacing w:after="60"/>
      <w:jc w:val="left"/>
      <w:outlineLvl w:val="5"/>
    </w:pPr>
    <w:rPr>
      <w:i/>
      <w:sz w:val="22"/>
    </w:rPr>
  </w:style>
  <w:style w:type="paragraph" w:styleId="Heading7">
    <w:name w:val="heading 7"/>
    <w:basedOn w:val="BodyText"/>
    <w:next w:val="BodyText"/>
    <w:rsid w:val="00157792"/>
    <w:pPr>
      <w:spacing w:after="60" w:line="240" w:lineRule="auto"/>
      <w:jc w:val="left"/>
      <w:outlineLvl w:val="6"/>
    </w:pPr>
    <w:rPr>
      <w:rFonts w:ascii="Arial" w:hAnsi="Arial"/>
      <w:sz w:val="20"/>
    </w:rPr>
  </w:style>
  <w:style w:type="paragraph" w:styleId="Heading8">
    <w:name w:val="heading 8"/>
    <w:basedOn w:val="BodyText"/>
    <w:next w:val="BodyText"/>
    <w:rsid w:val="00157792"/>
    <w:pPr>
      <w:spacing w:after="60" w:line="240" w:lineRule="auto"/>
      <w:jc w:val="left"/>
      <w:outlineLvl w:val="7"/>
    </w:pPr>
    <w:rPr>
      <w:rFonts w:ascii="Arial" w:hAnsi="Arial"/>
      <w:i/>
      <w:sz w:val="20"/>
    </w:rPr>
  </w:style>
  <w:style w:type="paragraph" w:styleId="Heading9">
    <w:name w:val="heading 9"/>
    <w:basedOn w:val="BodyText"/>
    <w:next w:val="BodyText"/>
    <w:rsid w:val="00157792"/>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15779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7792"/>
  </w:style>
  <w:style w:type="paragraph" w:styleId="BodyText">
    <w:name w:val="Body Text"/>
    <w:link w:val="BodyTextChar"/>
    <w:qFormat/>
    <w:rsid w:val="00157792"/>
    <w:pPr>
      <w:spacing w:before="240" w:line="320" w:lineRule="atLeast"/>
      <w:jc w:val="both"/>
    </w:pPr>
    <w:rPr>
      <w:sz w:val="26"/>
    </w:rPr>
  </w:style>
  <w:style w:type="paragraph" w:customStyle="1" w:styleId="Chapter">
    <w:name w:val="Chapter"/>
    <w:basedOn w:val="Heading1"/>
    <w:next w:val="BodyText"/>
    <w:semiHidden/>
    <w:rsid w:val="00157792"/>
    <w:pPr>
      <w:ind w:left="0" w:firstLine="0"/>
      <w:outlineLvl w:val="9"/>
    </w:pPr>
  </w:style>
  <w:style w:type="paragraph" w:customStyle="1" w:styleId="SequenceInfo">
    <w:name w:val="Sequence Info"/>
    <w:basedOn w:val="BodyText"/>
    <w:semiHidden/>
    <w:rsid w:val="00157792"/>
    <w:rPr>
      <w:vanish/>
      <w:sz w:val="16"/>
    </w:rPr>
  </w:style>
  <w:style w:type="character" w:styleId="CommentReference">
    <w:name w:val="annotation reference"/>
    <w:basedOn w:val="DefaultParagraphFont"/>
    <w:semiHidden/>
    <w:rsid w:val="00157792"/>
    <w:rPr>
      <w:b/>
      <w:vanish/>
      <w:color w:val="FF00FF"/>
      <w:sz w:val="20"/>
    </w:rPr>
  </w:style>
  <w:style w:type="paragraph" w:styleId="CommentText">
    <w:name w:val="annotation text"/>
    <w:basedOn w:val="Normal"/>
    <w:link w:val="CommentTextChar"/>
    <w:semiHidden/>
    <w:rsid w:val="00157792"/>
    <w:pPr>
      <w:spacing w:before="120" w:line="240" w:lineRule="atLeast"/>
      <w:ind w:left="567" w:hanging="567"/>
    </w:pPr>
    <w:rPr>
      <w:sz w:val="20"/>
    </w:rPr>
  </w:style>
  <w:style w:type="paragraph" w:customStyle="1" w:styleId="Abbreviation">
    <w:name w:val="Abbreviation"/>
    <w:basedOn w:val="BodyText"/>
    <w:rsid w:val="00157792"/>
    <w:pPr>
      <w:spacing w:before="120"/>
      <w:ind w:left="2381" w:hanging="2381"/>
      <w:jc w:val="left"/>
    </w:pPr>
  </w:style>
  <w:style w:type="paragraph" w:customStyle="1" w:styleId="Box">
    <w:name w:val="Box"/>
    <w:basedOn w:val="BodyText"/>
    <w:link w:val="BoxChar"/>
    <w:qFormat/>
    <w:rsid w:val="00157792"/>
    <w:pPr>
      <w:keepNext/>
      <w:spacing w:before="120" w:line="280" w:lineRule="atLeast"/>
    </w:pPr>
    <w:rPr>
      <w:rFonts w:ascii="Arial" w:hAnsi="Arial"/>
      <w:sz w:val="22"/>
    </w:rPr>
  </w:style>
  <w:style w:type="paragraph" w:customStyle="1" w:styleId="QuoteBullet">
    <w:name w:val="Quote Bullet"/>
    <w:basedOn w:val="Quote"/>
    <w:rsid w:val="00157792"/>
    <w:pPr>
      <w:numPr>
        <w:numId w:val="11"/>
      </w:numPr>
    </w:pPr>
  </w:style>
  <w:style w:type="paragraph" w:styleId="Quote">
    <w:name w:val="Quote"/>
    <w:basedOn w:val="BodyText"/>
    <w:next w:val="BodyText"/>
    <w:qFormat/>
    <w:rsid w:val="00157792"/>
    <w:pPr>
      <w:spacing w:before="120" w:line="280" w:lineRule="exact"/>
      <w:ind w:left="340"/>
    </w:pPr>
    <w:rPr>
      <w:sz w:val="24"/>
    </w:rPr>
  </w:style>
  <w:style w:type="paragraph" w:customStyle="1" w:styleId="BoxListBullet">
    <w:name w:val="Box List Bullet"/>
    <w:basedOn w:val="BodyText"/>
    <w:rsid w:val="00157792"/>
    <w:pPr>
      <w:keepNext/>
      <w:numPr>
        <w:numId w:val="6"/>
      </w:numPr>
      <w:spacing w:before="60" w:line="280" w:lineRule="atLeast"/>
    </w:pPr>
    <w:rPr>
      <w:rFonts w:ascii="Arial" w:hAnsi="Arial"/>
      <w:sz w:val="22"/>
    </w:rPr>
  </w:style>
  <w:style w:type="paragraph" w:customStyle="1" w:styleId="BoxListBullet2">
    <w:name w:val="Box List Bullet 2"/>
    <w:basedOn w:val="BodyText"/>
    <w:rsid w:val="00157792"/>
    <w:pPr>
      <w:keepNext/>
      <w:numPr>
        <w:numId w:val="3"/>
      </w:numPr>
      <w:spacing w:before="60" w:line="280" w:lineRule="atLeast"/>
    </w:pPr>
    <w:rPr>
      <w:rFonts w:ascii="Arial" w:hAnsi="Arial"/>
      <w:sz w:val="22"/>
    </w:rPr>
  </w:style>
  <w:style w:type="paragraph" w:customStyle="1" w:styleId="BoxListNumber">
    <w:name w:val="Box List Number"/>
    <w:basedOn w:val="BodyText"/>
    <w:rsid w:val="00157792"/>
    <w:pPr>
      <w:keepNext/>
      <w:numPr>
        <w:numId w:val="14"/>
      </w:numPr>
      <w:spacing w:before="60" w:line="280" w:lineRule="atLeast"/>
    </w:pPr>
    <w:rPr>
      <w:rFonts w:ascii="Arial" w:hAnsi="Arial"/>
      <w:sz w:val="22"/>
    </w:rPr>
  </w:style>
  <w:style w:type="paragraph" w:customStyle="1" w:styleId="BoxListNumber2">
    <w:name w:val="Box List Number 2"/>
    <w:basedOn w:val="BoxListNumber"/>
    <w:rsid w:val="00157792"/>
    <w:pPr>
      <w:numPr>
        <w:ilvl w:val="1"/>
      </w:numPr>
    </w:pPr>
  </w:style>
  <w:style w:type="paragraph" w:customStyle="1" w:styleId="BoxQuote">
    <w:name w:val="Box Quote"/>
    <w:basedOn w:val="BodyText"/>
    <w:next w:val="Box"/>
    <w:rsid w:val="00157792"/>
    <w:pPr>
      <w:keepNext/>
      <w:spacing w:before="60" w:line="260" w:lineRule="exact"/>
      <w:ind w:left="284"/>
    </w:pPr>
    <w:rPr>
      <w:rFonts w:ascii="Arial" w:hAnsi="Arial"/>
      <w:sz w:val="20"/>
    </w:rPr>
  </w:style>
  <w:style w:type="paragraph" w:customStyle="1" w:styleId="BoxSource">
    <w:name w:val="Box Source"/>
    <w:basedOn w:val="Source"/>
    <w:next w:val="BodyText"/>
    <w:rsid w:val="00157792"/>
    <w:pPr>
      <w:spacing w:before="180" w:after="0"/>
    </w:pPr>
  </w:style>
  <w:style w:type="paragraph" w:customStyle="1" w:styleId="Source">
    <w:name w:val="Source"/>
    <w:basedOn w:val="Note"/>
    <w:next w:val="BodyText"/>
    <w:link w:val="SourceChar"/>
    <w:rsid w:val="00157792"/>
    <w:pPr>
      <w:spacing w:after="120"/>
    </w:pPr>
  </w:style>
  <w:style w:type="paragraph" w:customStyle="1" w:styleId="Note">
    <w:name w:val="Note"/>
    <w:basedOn w:val="BodyText"/>
    <w:next w:val="BodyText"/>
    <w:link w:val="NoteChar"/>
    <w:rsid w:val="00157792"/>
    <w:pPr>
      <w:keepLines/>
      <w:spacing w:before="80" w:line="220" w:lineRule="exact"/>
    </w:pPr>
    <w:rPr>
      <w:rFonts w:ascii="Arial" w:hAnsi="Arial"/>
      <w:sz w:val="18"/>
    </w:rPr>
  </w:style>
  <w:style w:type="paragraph" w:customStyle="1" w:styleId="BoxSpace">
    <w:name w:val="Box Space"/>
    <w:basedOn w:val="BodyText"/>
    <w:rsid w:val="00767760"/>
    <w:pPr>
      <w:keepNext/>
      <w:spacing w:before="360" w:line="80" w:lineRule="exact"/>
      <w:jc w:val="left"/>
    </w:pPr>
  </w:style>
  <w:style w:type="paragraph" w:customStyle="1" w:styleId="BoxSubtitle">
    <w:name w:val="Box Subtitle"/>
    <w:basedOn w:val="BoxTitle"/>
    <w:next w:val="Normal"/>
    <w:rsid w:val="00157792"/>
    <w:pPr>
      <w:spacing w:after="80" w:line="200" w:lineRule="exact"/>
      <w:ind w:firstLine="0"/>
    </w:pPr>
    <w:rPr>
      <w:b w:val="0"/>
      <w:sz w:val="20"/>
    </w:rPr>
  </w:style>
  <w:style w:type="paragraph" w:customStyle="1" w:styleId="BoxTitle">
    <w:name w:val="Box Title"/>
    <w:basedOn w:val="Caption"/>
    <w:next w:val="BoxSubtitle"/>
    <w:rsid w:val="00157792"/>
    <w:pPr>
      <w:spacing w:before="120" w:after="0"/>
      <w:ind w:left="1304" w:hanging="1304"/>
    </w:pPr>
    <w:rPr>
      <w:sz w:val="24"/>
    </w:rPr>
  </w:style>
  <w:style w:type="paragraph" w:styleId="Caption">
    <w:name w:val="caption"/>
    <w:basedOn w:val="Normal"/>
    <w:next w:val="BodyText"/>
    <w:rsid w:val="00157792"/>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157792"/>
    <w:pPr>
      <w:ind w:left="907"/>
    </w:pPr>
    <w:rPr>
      <w:rFonts w:ascii="Arial" w:hAnsi="Arial"/>
      <w:b/>
      <w:sz w:val="22"/>
    </w:rPr>
  </w:style>
  <w:style w:type="character" w:customStyle="1" w:styleId="DocumentInfo">
    <w:name w:val="Document Info"/>
    <w:basedOn w:val="DefaultParagraphFont"/>
    <w:semiHidden/>
    <w:rsid w:val="00157792"/>
    <w:rPr>
      <w:rFonts w:ascii="Arial" w:hAnsi="Arial"/>
      <w:sz w:val="14"/>
    </w:rPr>
  </w:style>
  <w:style w:type="paragraph" w:styleId="Footer">
    <w:name w:val="footer"/>
    <w:basedOn w:val="BodyText"/>
    <w:semiHidden/>
    <w:rsid w:val="00157792"/>
    <w:pPr>
      <w:spacing w:before="80" w:line="200" w:lineRule="exact"/>
      <w:ind w:right="6"/>
      <w:jc w:val="left"/>
    </w:pPr>
    <w:rPr>
      <w:caps/>
      <w:spacing w:val="-4"/>
      <w:sz w:val="16"/>
    </w:rPr>
  </w:style>
  <w:style w:type="character" w:customStyle="1" w:styleId="DraftingNote">
    <w:name w:val="Drafting Note"/>
    <w:basedOn w:val="DefaultParagraphFont"/>
    <w:rsid w:val="00157792"/>
    <w:rPr>
      <w:b/>
      <w:color w:val="FF0000"/>
      <w:sz w:val="24"/>
      <w:u w:val="dotted"/>
    </w:rPr>
  </w:style>
  <w:style w:type="paragraph" w:customStyle="1" w:styleId="BoxContinued">
    <w:name w:val="Box Continued"/>
    <w:basedOn w:val="BodyText"/>
    <w:next w:val="BodyText"/>
    <w:link w:val="BoxContinuedChar"/>
    <w:semiHidden/>
    <w:rsid w:val="00157792"/>
    <w:pPr>
      <w:spacing w:before="180" w:line="220" w:lineRule="exact"/>
      <w:jc w:val="right"/>
    </w:pPr>
    <w:rPr>
      <w:rFonts w:ascii="Arial" w:hAnsi="Arial"/>
      <w:sz w:val="18"/>
    </w:rPr>
  </w:style>
  <w:style w:type="paragraph" w:customStyle="1" w:styleId="Figure">
    <w:name w:val="Figure"/>
    <w:basedOn w:val="BodyText"/>
    <w:rsid w:val="00157792"/>
    <w:pPr>
      <w:keepNext/>
      <w:spacing w:before="120" w:after="120" w:line="240" w:lineRule="atLeast"/>
      <w:jc w:val="center"/>
    </w:pPr>
  </w:style>
  <w:style w:type="paragraph" w:customStyle="1" w:styleId="FigureTitle">
    <w:name w:val="Figure Title"/>
    <w:basedOn w:val="Caption"/>
    <w:next w:val="Subtitle"/>
    <w:rsid w:val="00157792"/>
    <w:rPr>
      <w:sz w:val="24"/>
    </w:rPr>
  </w:style>
  <w:style w:type="paragraph" w:styleId="Subtitle">
    <w:name w:val="Subtitle"/>
    <w:basedOn w:val="Caption"/>
    <w:link w:val="SubtitleChar"/>
    <w:rsid w:val="00157792"/>
    <w:pPr>
      <w:spacing w:before="0" w:line="200" w:lineRule="exact"/>
      <w:ind w:firstLine="0"/>
    </w:pPr>
    <w:rPr>
      <w:b w:val="0"/>
      <w:sz w:val="20"/>
    </w:rPr>
  </w:style>
  <w:style w:type="paragraph" w:customStyle="1" w:styleId="Finding">
    <w:name w:val="Finding"/>
    <w:basedOn w:val="BodyText"/>
    <w:rsid w:val="00157792"/>
    <w:pPr>
      <w:keepLines/>
      <w:spacing w:before="180"/>
    </w:pPr>
    <w:rPr>
      <w:i/>
    </w:rPr>
  </w:style>
  <w:style w:type="paragraph" w:customStyle="1" w:styleId="FindingBullet">
    <w:name w:val="Finding Bullet"/>
    <w:basedOn w:val="Finding"/>
    <w:rsid w:val="00157792"/>
    <w:pPr>
      <w:numPr>
        <w:numId w:val="7"/>
      </w:numPr>
      <w:spacing w:before="80"/>
    </w:pPr>
  </w:style>
  <w:style w:type="paragraph" w:customStyle="1" w:styleId="FindingNoTitle">
    <w:name w:val="Finding NoTitle"/>
    <w:basedOn w:val="Finding"/>
    <w:rsid w:val="00157792"/>
    <w:pPr>
      <w:spacing w:before="240"/>
    </w:pPr>
  </w:style>
  <w:style w:type="paragraph" w:customStyle="1" w:styleId="FindingTitle">
    <w:name w:val="Finding Title"/>
    <w:basedOn w:val="RecTitle"/>
    <w:next w:val="Finding"/>
    <w:rsid w:val="00157792"/>
    <w:pPr>
      <w:framePr w:wrap="notBeside" w:hAnchor="text"/>
    </w:pPr>
  </w:style>
  <w:style w:type="paragraph" w:customStyle="1" w:styleId="RecTitle">
    <w:name w:val="Rec Title"/>
    <w:basedOn w:val="BodyText"/>
    <w:next w:val="Normal"/>
    <w:rsid w:val="00157792"/>
    <w:pPr>
      <w:keepNext/>
      <w:keepLines/>
    </w:pPr>
    <w:rPr>
      <w:caps/>
      <w:sz w:val="20"/>
    </w:rPr>
  </w:style>
  <w:style w:type="paragraph" w:customStyle="1" w:styleId="FooterEnd">
    <w:name w:val="Footer End"/>
    <w:basedOn w:val="Footer"/>
    <w:rsid w:val="00157792"/>
    <w:pPr>
      <w:spacing w:before="0" w:line="20" w:lineRule="exact"/>
    </w:pPr>
  </w:style>
  <w:style w:type="character" w:styleId="FootnoteReference">
    <w:name w:val="footnote reference"/>
    <w:basedOn w:val="DefaultParagraphFont"/>
    <w:semiHidden/>
    <w:rsid w:val="00157792"/>
    <w:rPr>
      <w:rFonts w:ascii="Times New Roman" w:hAnsi="Times New Roman"/>
      <w:position w:val="6"/>
      <w:sz w:val="22"/>
      <w:vertAlign w:val="baseline"/>
    </w:rPr>
  </w:style>
  <w:style w:type="paragraph" w:styleId="FootnoteText">
    <w:name w:val="footnote text"/>
    <w:basedOn w:val="BodyText"/>
    <w:rsid w:val="00157792"/>
    <w:pPr>
      <w:tabs>
        <w:tab w:val="left" w:pos="284"/>
      </w:tabs>
      <w:spacing w:before="80" w:line="260" w:lineRule="exact"/>
      <w:ind w:left="284" w:hanging="284"/>
    </w:pPr>
    <w:rPr>
      <w:sz w:val="22"/>
    </w:rPr>
  </w:style>
  <w:style w:type="paragraph" w:styleId="Header">
    <w:name w:val="header"/>
    <w:basedOn w:val="BodyText"/>
    <w:rsid w:val="00157792"/>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157792"/>
    <w:pPr>
      <w:spacing w:line="20" w:lineRule="exact"/>
    </w:pPr>
    <w:rPr>
      <w:sz w:val="16"/>
    </w:rPr>
  </w:style>
  <w:style w:type="paragraph" w:customStyle="1" w:styleId="HeaderEven">
    <w:name w:val="Header Even"/>
    <w:basedOn w:val="Header"/>
    <w:semiHidden/>
    <w:rsid w:val="00157792"/>
  </w:style>
  <w:style w:type="paragraph" w:customStyle="1" w:styleId="HeaderOdd">
    <w:name w:val="Header Odd"/>
    <w:basedOn w:val="Header"/>
    <w:semiHidden/>
    <w:rsid w:val="00157792"/>
  </w:style>
  <w:style w:type="paragraph" w:customStyle="1" w:styleId="InformationRequest">
    <w:name w:val="Information Request"/>
    <w:basedOn w:val="Finding"/>
    <w:next w:val="BodyText"/>
    <w:rsid w:val="00157792"/>
    <w:pPr>
      <w:spacing w:before="360" w:after="120"/>
    </w:pPr>
    <w:rPr>
      <w:rFonts w:ascii="Arial" w:hAnsi="Arial"/>
      <w:sz w:val="24"/>
    </w:rPr>
  </w:style>
  <w:style w:type="paragraph" w:styleId="ListBullet">
    <w:name w:val="List Bullet"/>
    <w:basedOn w:val="BodyText"/>
    <w:link w:val="ListBulletChar"/>
    <w:rsid w:val="00157792"/>
    <w:pPr>
      <w:numPr>
        <w:numId w:val="5"/>
      </w:numPr>
      <w:spacing w:before="120"/>
    </w:pPr>
  </w:style>
  <w:style w:type="paragraph" w:styleId="ListBullet2">
    <w:name w:val="List Bullet 2"/>
    <w:basedOn w:val="BodyText"/>
    <w:rsid w:val="00157792"/>
    <w:pPr>
      <w:numPr>
        <w:numId w:val="2"/>
      </w:numPr>
      <w:spacing w:before="120"/>
    </w:pPr>
  </w:style>
  <w:style w:type="paragraph" w:styleId="ListBullet3">
    <w:name w:val="List Bullet 3"/>
    <w:basedOn w:val="BodyText"/>
    <w:rsid w:val="00157792"/>
    <w:pPr>
      <w:numPr>
        <w:numId w:val="1"/>
      </w:numPr>
      <w:spacing w:before="120"/>
    </w:pPr>
  </w:style>
  <w:style w:type="paragraph" w:styleId="ListNumber">
    <w:name w:val="List Number"/>
    <w:basedOn w:val="BodyText"/>
    <w:rsid w:val="00157792"/>
    <w:pPr>
      <w:numPr>
        <w:numId w:val="13"/>
      </w:numPr>
      <w:spacing w:before="120"/>
    </w:pPr>
  </w:style>
  <w:style w:type="paragraph" w:styleId="ListNumber2">
    <w:name w:val="List Number 2"/>
    <w:basedOn w:val="ListNumber"/>
    <w:rsid w:val="00157792"/>
    <w:pPr>
      <w:numPr>
        <w:ilvl w:val="1"/>
      </w:numPr>
    </w:pPr>
  </w:style>
  <w:style w:type="paragraph" w:styleId="ListNumber3">
    <w:name w:val="List Number 3"/>
    <w:basedOn w:val="ListNumber2"/>
    <w:rsid w:val="00157792"/>
    <w:pPr>
      <w:numPr>
        <w:ilvl w:val="2"/>
      </w:numPr>
    </w:pPr>
  </w:style>
  <w:style w:type="character" w:customStyle="1" w:styleId="NoteLabel">
    <w:name w:val="Note Label"/>
    <w:basedOn w:val="DefaultParagraphFont"/>
    <w:rsid w:val="00157792"/>
    <w:rPr>
      <w:rFonts w:ascii="Arial" w:hAnsi="Arial"/>
      <w:b/>
      <w:position w:val="6"/>
      <w:sz w:val="18"/>
    </w:rPr>
  </w:style>
  <w:style w:type="character" w:styleId="PageNumber">
    <w:name w:val="page number"/>
    <w:basedOn w:val="DefaultParagraphFont"/>
    <w:rsid w:val="00157792"/>
    <w:rPr>
      <w:rFonts w:ascii="Arial" w:hAnsi="Arial"/>
      <w:b/>
      <w:sz w:val="16"/>
    </w:rPr>
  </w:style>
  <w:style w:type="paragraph" w:customStyle="1" w:styleId="PartDivider">
    <w:name w:val="Part Divider"/>
    <w:basedOn w:val="BodyText"/>
    <w:next w:val="BodyText"/>
    <w:semiHidden/>
    <w:rsid w:val="00157792"/>
    <w:pPr>
      <w:spacing w:before="0" w:line="40" w:lineRule="exact"/>
      <w:jc w:val="right"/>
    </w:pPr>
    <w:rPr>
      <w:smallCaps/>
      <w:sz w:val="16"/>
    </w:rPr>
  </w:style>
  <w:style w:type="paragraph" w:customStyle="1" w:styleId="PartNumber">
    <w:name w:val="Part Number"/>
    <w:basedOn w:val="BodyText"/>
    <w:next w:val="BodyText"/>
    <w:semiHidden/>
    <w:rsid w:val="00157792"/>
    <w:pPr>
      <w:spacing w:before="4000" w:line="320" w:lineRule="exact"/>
      <w:ind w:left="6634"/>
      <w:jc w:val="right"/>
    </w:pPr>
    <w:rPr>
      <w:smallCaps/>
      <w:spacing w:val="60"/>
      <w:sz w:val="32"/>
    </w:rPr>
  </w:style>
  <w:style w:type="paragraph" w:customStyle="1" w:styleId="PartTitle">
    <w:name w:val="Part Title"/>
    <w:basedOn w:val="BodyText"/>
    <w:semiHidden/>
    <w:rsid w:val="00157792"/>
    <w:pPr>
      <w:spacing w:before="160" w:after="1360" w:line="520" w:lineRule="exact"/>
      <w:ind w:right="2381"/>
      <w:jc w:val="right"/>
    </w:pPr>
    <w:rPr>
      <w:smallCaps/>
      <w:sz w:val="52"/>
    </w:rPr>
  </w:style>
  <w:style w:type="paragraph" w:customStyle="1" w:styleId="Rec">
    <w:name w:val="Rec"/>
    <w:basedOn w:val="BodyText"/>
    <w:rsid w:val="00157792"/>
    <w:pPr>
      <w:keepLines/>
      <w:spacing w:before="180"/>
    </w:pPr>
    <w:rPr>
      <w:b/>
      <w:i/>
    </w:rPr>
  </w:style>
  <w:style w:type="paragraph" w:customStyle="1" w:styleId="RecBullet">
    <w:name w:val="Rec Bullet"/>
    <w:basedOn w:val="Rec"/>
    <w:rsid w:val="00157792"/>
    <w:pPr>
      <w:numPr>
        <w:numId w:val="8"/>
      </w:numPr>
      <w:spacing w:before="80"/>
    </w:pPr>
  </w:style>
  <w:style w:type="paragraph" w:customStyle="1" w:styleId="RecB">
    <w:name w:val="RecB"/>
    <w:basedOn w:val="Normal"/>
    <w:rsid w:val="00157792"/>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157792"/>
    <w:pPr>
      <w:numPr>
        <w:numId w:val="9"/>
      </w:numPr>
      <w:spacing w:before="80"/>
    </w:pPr>
  </w:style>
  <w:style w:type="paragraph" w:customStyle="1" w:styleId="RecBNoTitle">
    <w:name w:val="RecB NoTitle"/>
    <w:basedOn w:val="RecB"/>
    <w:rsid w:val="00157792"/>
    <w:pPr>
      <w:spacing w:before="240"/>
    </w:pPr>
  </w:style>
  <w:style w:type="paragraph" w:customStyle="1" w:styleId="Reference">
    <w:name w:val="Reference"/>
    <w:basedOn w:val="BodyText"/>
    <w:rsid w:val="00157792"/>
    <w:pPr>
      <w:spacing w:before="120"/>
      <w:ind w:left="340" w:hanging="340"/>
    </w:pPr>
  </w:style>
  <w:style w:type="paragraph" w:customStyle="1" w:styleId="SideNote">
    <w:name w:val="Side Note"/>
    <w:basedOn w:val="BodyText"/>
    <w:next w:val="BodyText"/>
    <w:semiHidden/>
    <w:rsid w:val="00157792"/>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157792"/>
    <w:pPr>
      <w:framePr w:wrap="around"/>
      <w:numPr>
        <w:numId w:val="4"/>
      </w:numPr>
      <w:tabs>
        <w:tab w:val="left" w:pos="227"/>
      </w:tabs>
    </w:pPr>
  </w:style>
  <w:style w:type="paragraph" w:customStyle="1" w:styleId="SideNoteGraphic">
    <w:name w:val="Side Note Graphic"/>
    <w:basedOn w:val="SideNote"/>
    <w:next w:val="BodyText"/>
    <w:semiHidden/>
    <w:rsid w:val="00157792"/>
    <w:pPr>
      <w:framePr w:wrap="around"/>
    </w:pPr>
  </w:style>
  <w:style w:type="paragraph" w:customStyle="1" w:styleId="TableBodyText">
    <w:name w:val="Table Body Text"/>
    <w:basedOn w:val="BodyText"/>
    <w:rsid w:val="00157792"/>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157792"/>
    <w:pPr>
      <w:numPr>
        <w:numId w:val="10"/>
      </w:numPr>
      <w:jc w:val="left"/>
    </w:pPr>
  </w:style>
  <w:style w:type="paragraph" w:customStyle="1" w:styleId="TableColumnHeading">
    <w:name w:val="Table Column Heading"/>
    <w:basedOn w:val="TableBodyText"/>
    <w:rsid w:val="00157792"/>
    <w:pPr>
      <w:spacing w:before="80" w:after="80"/>
    </w:pPr>
    <w:rPr>
      <w:i/>
    </w:rPr>
  </w:style>
  <w:style w:type="paragraph" w:styleId="TableofFigures">
    <w:name w:val="table of figures"/>
    <w:basedOn w:val="TOC3"/>
    <w:next w:val="BodyText"/>
    <w:semiHidden/>
    <w:rsid w:val="00157792"/>
    <w:pPr>
      <w:ind w:left="737" w:hanging="737"/>
    </w:pPr>
  </w:style>
  <w:style w:type="paragraph" w:styleId="TOC3">
    <w:name w:val="toc 3"/>
    <w:basedOn w:val="TOC2"/>
    <w:semiHidden/>
    <w:rsid w:val="00157792"/>
    <w:pPr>
      <w:spacing w:before="60"/>
      <w:ind w:left="1190" w:hanging="680"/>
    </w:pPr>
    <w:rPr>
      <w:b w:val="0"/>
    </w:rPr>
  </w:style>
  <w:style w:type="paragraph" w:styleId="TOC2">
    <w:name w:val="toc 2"/>
    <w:basedOn w:val="BodyText"/>
    <w:rsid w:val="00157792"/>
    <w:pPr>
      <w:tabs>
        <w:tab w:val="right" w:pos="8789"/>
      </w:tabs>
      <w:ind w:left="510" w:right="851" w:hanging="510"/>
      <w:jc w:val="left"/>
    </w:pPr>
    <w:rPr>
      <w:b/>
    </w:rPr>
  </w:style>
  <w:style w:type="paragraph" w:customStyle="1" w:styleId="TableTitle">
    <w:name w:val="Table Title"/>
    <w:basedOn w:val="Caption"/>
    <w:next w:val="Subtitle"/>
    <w:rsid w:val="00157792"/>
    <w:rPr>
      <w:sz w:val="24"/>
    </w:rPr>
  </w:style>
  <w:style w:type="paragraph" w:customStyle="1" w:styleId="TableUnitsRow">
    <w:name w:val="Table Units Row"/>
    <w:basedOn w:val="TableBodyText"/>
    <w:rsid w:val="00157792"/>
    <w:pPr>
      <w:spacing w:before="80" w:after="80"/>
    </w:pPr>
  </w:style>
  <w:style w:type="paragraph" w:styleId="TOC1">
    <w:name w:val="toc 1"/>
    <w:basedOn w:val="Normal"/>
    <w:next w:val="TOC2"/>
    <w:semiHidden/>
    <w:rsid w:val="00157792"/>
    <w:pPr>
      <w:tabs>
        <w:tab w:val="right" w:pos="8789"/>
      </w:tabs>
      <w:spacing w:before="480" w:after="60" w:line="320" w:lineRule="exact"/>
      <w:ind w:left="1191" w:right="851" w:hanging="1191"/>
    </w:pPr>
    <w:rPr>
      <w:b/>
      <w:caps/>
    </w:rPr>
  </w:style>
  <w:style w:type="paragraph" w:styleId="TOC4">
    <w:name w:val="toc 4"/>
    <w:basedOn w:val="TOC3"/>
    <w:semiHidden/>
    <w:rsid w:val="00157792"/>
    <w:pPr>
      <w:ind w:left="1191" w:firstLine="0"/>
    </w:pPr>
  </w:style>
  <w:style w:type="paragraph" w:customStyle="1" w:styleId="Jurisdictioncommentsbodytext">
    <w:name w:val="Jurisdiction comments body text"/>
    <w:rsid w:val="00157792"/>
    <w:pPr>
      <w:spacing w:after="140"/>
      <w:jc w:val="both"/>
    </w:pPr>
    <w:rPr>
      <w:rFonts w:ascii="Arial" w:hAnsi="Arial"/>
      <w:sz w:val="24"/>
      <w:lang w:eastAsia="en-US"/>
    </w:rPr>
  </w:style>
  <w:style w:type="paragraph" w:customStyle="1" w:styleId="Continued">
    <w:name w:val="Continued"/>
    <w:basedOn w:val="BoxContinued"/>
    <w:next w:val="BodyText"/>
    <w:link w:val="ContinuedChar"/>
    <w:rsid w:val="00157792"/>
  </w:style>
  <w:style w:type="paragraph" w:customStyle="1" w:styleId="BoxHeading1">
    <w:name w:val="Box Heading 1"/>
    <w:basedOn w:val="BodyText"/>
    <w:next w:val="Box"/>
    <w:rsid w:val="00157792"/>
    <w:pPr>
      <w:keepNext/>
      <w:spacing w:before="200" w:line="280" w:lineRule="atLeast"/>
    </w:pPr>
    <w:rPr>
      <w:rFonts w:ascii="Arial" w:hAnsi="Arial"/>
      <w:b/>
      <w:sz w:val="22"/>
    </w:rPr>
  </w:style>
  <w:style w:type="paragraph" w:customStyle="1" w:styleId="BoxHeading2">
    <w:name w:val="Box Heading 2"/>
    <w:basedOn w:val="BoxHeading1"/>
    <w:next w:val="Normal"/>
    <w:rsid w:val="00157792"/>
    <w:rPr>
      <w:b w:val="0"/>
      <w:i/>
    </w:rPr>
  </w:style>
  <w:style w:type="table" w:styleId="TableGrid">
    <w:name w:val="Table Grid"/>
    <w:basedOn w:val="TableNormal"/>
    <w:rsid w:val="004D7F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Jurisdictioncommentsheading">
    <w:name w:val="Jurisdiction comments heading"/>
    <w:rsid w:val="00157792"/>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157792"/>
    <w:pPr>
      <w:numPr>
        <w:numId w:val="12"/>
      </w:numPr>
      <w:spacing w:after="140"/>
      <w:jc w:val="both"/>
    </w:pPr>
    <w:rPr>
      <w:rFonts w:ascii="Arial" w:hAnsi="Arial"/>
      <w:sz w:val="24"/>
      <w:lang w:eastAsia="en-US"/>
    </w:rPr>
  </w:style>
  <w:style w:type="paragraph" w:styleId="BalloonText">
    <w:name w:val="Balloon Text"/>
    <w:basedOn w:val="Normal"/>
    <w:link w:val="BalloonTextChar"/>
    <w:rsid w:val="00157792"/>
    <w:rPr>
      <w:rFonts w:ascii="Tahoma" w:hAnsi="Tahoma" w:cs="Tahoma"/>
      <w:sz w:val="16"/>
      <w:szCs w:val="16"/>
    </w:rPr>
  </w:style>
  <w:style w:type="character" w:styleId="Hyperlink">
    <w:name w:val="Hyperlink"/>
    <w:uiPriority w:val="99"/>
    <w:rsid w:val="00B32791"/>
    <w:rPr>
      <w:color w:val="0000FF"/>
      <w:u w:val="single"/>
    </w:rPr>
  </w:style>
  <w:style w:type="paragraph" w:styleId="CommentSubject">
    <w:name w:val="annotation subject"/>
    <w:basedOn w:val="CommentText"/>
    <w:next w:val="CommentText"/>
    <w:semiHidden/>
    <w:rsid w:val="00380B81"/>
    <w:pPr>
      <w:spacing w:before="0" w:line="240" w:lineRule="auto"/>
      <w:ind w:left="0" w:firstLine="0"/>
    </w:pPr>
    <w:rPr>
      <w:b/>
      <w:bCs/>
    </w:rPr>
  </w:style>
  <w:style w:type="paragraph" w:customStyle="1" w:styleId="DocInfo">
    <w:name w:val="Doc Info"/>
    <w:basedOn w:val="Normal"/>
    <w:next w:val="Normal"/>
    <w:rsid w:val="004A1A4B"/>
    <w:pPr>
      <w:jc w:val="center"/>
    </w:pPr>
    <w:rPr>
      <w:rFonts w:ascii="Arial" w:hAnsi="Arial"/>
      <w:sz w:val="14"/>
    </w:rPr>
  </w:style>
  <w:style w:type="paragraph" w:customStyle="1" w:styleId="Heading2NotTOC">
    <w:name w:val="Heading 2 Not TOC"/>
    <w:basedOn w:val="Heading2"/>
    <w:next w:val="BodyText"/>
    <w:rsid w:val="004A1A4B"/>
    <w:pPr>
      <w:outlineLvl w:val="9"/>
    </w:pPr>
  </w:style>
  <w:style w:type="paragraph" w:customStyle="1" w:styleId="SOC">
    <w:name w:val="SOC"/>
    <w:basedOn w:val="BodyText"/>
    <w:rsid w:val="004A1A4B"/>
    <w:pPr>
      <w:spacing w:before="0" w:after="140" w:line="240" w:lineRule="auto"/>
    </w:pPr>
    <w:rPr>
      <w:rFonts w:ascii="Arial" w:hAnsi="Arial"/>
      <w:sz w:val="24"/>
    </w:rPr>
  </w:style>
  <w:style w:type="character" w:customStyle="1" w:styleId="BoxChar">
    <w:name w:val="Box Char"/>
    <w:link w:val="Box"/>
    <w:rsid w:val="00695237"/>
    <w:rPr>
      <w:rFonts w:ascii="Arial" w:hAnsi="Arial"/>
      <w:sz w:val="22"/>
    </w:rPr>
  </w:style>
  <w:style w:type="character" w:styleId="FollowedHyperlink">
    <w:name w:val="FollowedHyperlink"/>
    <w:rsid w:val="00E70D23"/>
    <w:rPr>
      <w:color w:val="800080"/>
      <w:u w:val="single"/>
    </w:rPr>
  </w:style>
  <w:style w:type="character" w:customStyle="1" w:styleId="NoteChar">
    <w:name w:val="Note Char"/>
    <w:link w:val="Note"/>
    <w:rsid w:val="00D877D2"/>
    <w:rPr>
      <w:rFonts w:ascii="Arial" w:hAnsi="Arial"/>
      <w:sz w:val="18"/>
    </w:rPr>
  </w:style>
  <w:style w:type="character" w:customStyle="1" w:styleId="SourceChar">
    <w:name w:val="Source Char"/>
    <w:basedOn w:val="NoteChar"/>
    <w:link w:val="Source"/>
    <w:rsid w:val="004B7622"/>
    <w:rPr>
      <w:rFonts w:ascii="Arial" w:hAnsi="Arial"/>
      <w:sz w:val="18"/>
    </w:rPr>
  </w:style>
  <w:style w:type="paragraph" w:customStyle="1" w:styleId="formattedparas">
    <w:name w:val="formatted paras"/>
    <w:basedOn w:val="Normal"/>
    <w:rsid w:val="00A05C8C"/>
    <w:pPr>
      <w:numPr>
        <w:numId w:val="15"/>
      </w:numPr>
      <w:tabs>
        <w:tab w:val="clear" w:pos="360"/>
      </w:tabs>
      <w:spacing w:after="140" w:line="300" w:lineRule="exact"/>
      <w:ind w:left="0" w:firstLine="0"/>
      <w:jc w:val="both"/>
    </w:pPr>
    <w:rPr>
      <w:szCs w:val="20"/>
    </w:rPr>
  </w:style>
  <w:style w:type="character" w:customStyle="1" w:styleId="BoxContinuedChar">
    <w:name w:val="Box Continued Char"/>
    <w:link w:val="BoxContinued"/>
    <w:semiHidden/>
    <w:rsid w:val="0016191F"/>
    <w:rPr>
      <w:rFonts w:ascii="Arial" w:hAnsi="Arial"/>
      <w:sz w:val="18"/>
    </w:rPr>
  </w:style>
  <w:style w:type="character" w:customStyle="1" w:styleId="ContinuedChar">
    <w:name w:val="Continued Char"/>
    <w:basedOn w:val="BoxContinuedChar"/>
    <w:link w:val="Continued"/>
    <w:rsid w:val="0016191F"/>
    <w:rPr>
      <w:rFonts w:ascii="Arial" w:hAnsi="Arial"/>
      <w:sz w:val="18"/>
    </w:rPr>
  </w:style>
  <w:style w:type="paragraph" w:customStyle="1" w:styleId="TableFigText">
    <w:name w:val="Table/Fig: Text"/>
    <w:basedOn w:val="Normal"/>
    <w:link w:val="TableFigTextChar"/>
    <w:rsid w:val="0060629F"/>
    <w:pPr>
      <w:keepLines/>
      <w:tabs>
        <w:tab w:val="left" w:pos="198"/>
      </w:tabs>
      <w:spacing w:before="60" w:after="60" w:line="200" w:lineRule="atLeast"/>
    </w:pPr>
    <w:rPr>
      <w:rFonts w:ascii="Arial" w:hAnsi="Arial"/>
      <w:color w:val="000000"/>
      <w:sz w:val="16"/>
      <w:szCs w:val="20"/>
      <w:lang w:eastAsia="en-US"/>
    </w:rPr>
  </w:style>
  <w:style w:type="character" w:customStyle="1" w:styleId="TableFigTextChar">
    <w:name w:val="Table/Fig: Text Char"/>
    <w:link w:val="TableFigText"/>
    <w:rsid w:val="0060629F"/>
    <w:rPr>
      <w:rFonts w:ascii="Arial" w:hAnsi="Arial"/>
      <w:color w:val="000000"/>
      <w:sz w:val="16"/>
      <w:lang w:val="en-AU" w:eastAsia="en-US" w:bidi="ar-SA"/>
    </w:rPr>
  </w:style>
  <w:style w:type="paragraph" w:customStyle="1" w:styleId="Default">
    <w:name w:val="Default"/>
    <w:rsid w:val="00297174"/>
    <w:pPr>
      <w:autoSpaceDE w:val="0"/>
      <w:autoSpaceDN w:val="0"/>
      <w:adjustRightInd w:val="0"/>
    </w:pPr>
    <w:rPr>
      <w:rFonts w:ascii="Corbel" w:hAnsi="Corbel" w:cs="Corbel"/>
      <w:color w:val="000000"/>
      <w:sz w:val="24"/>
      <w:szCs w:val="24"/>
    </w:rPr>
  </w:style>
  <w:style w:type="paragraph" w:styleId="NormalWeb">
    <w:name w:val="Normal (Web)"/>
    <w:basedOn w:val="Normal"/>
    <w:rsid w:val="00BA1313"/>
    <w:pPr>
      <w:spacing w:after="240" w:line="312" w:lineRule="atLeast"/>
    </w:pPr>
    <w:rPr>
      <w:color w:val="000000"/>
      <w:sz w:val="24"/>
    </w:rPr>
  </w:style>
  <w:style w:type="character" w:styleId="IntenseReference">
    <w:name w:val="Intense Reference"/>
    <w:uiPriority w:val="32"/>
    <w:qFormat/>
    <w:rsid w:val="00A20477"/>
    <w:rPr>
      <w:b/>
      <w:bCs/>
      <w:smallCaps/>
      <w:color w:val="C0504D"/>
      <w:spacing w:val="5"/>
      <w:u w:val="single"/>
    </w:rPr>
  </w:style>
  <w:style w:type="character" w:customStyle="1" w:styleId="ListBulletChar">
    <w:name w:val="List Bullet Char"/>
    <w:link w:val="ListBullet"/>
    <w:rsid w:val="00FC3F6C"/>
    <w:rPr>
      <w:sz w:val="26"/>
    </w:rPr>
  </w:style>
  <w:style w:type="paragraph" w:customStyle="1" w:styleId="RecBBullet2">
    <w:name w:val="RecB Bullet 2"/>
    <w:basedOn w:val="ListBullet2"/>
    <w:semiHidden/>
    <w:rsid w:val="00157792"/>
    <w:pPr>
      <w:pBdr>
        <w:left w:val="single" w:sz="24" w:space="29" w:color="C0C0C0"/>
      </w:pBdr>
    </w:pPr>
    <w:rPr>
      <w:b/>
      <w:i/>
    </w:rPr>
  </w:style>
  <w:style w:type="character" w:customStyle="1" w:styleId="BalloonTextChar">
    <w:name w:val="Balloon Text Char"/>
    <w:basedOn w:val="DefaultParagraphFont"/>
    <w:link w:val="BalloonText"/>
    <w:rsid w:val="00157792"/>
    <w:rPr>
      <w:rFonts w:ascii="Tahoma" w:hAnsi="Tahoma" w:cs="Tahoma"/>
      <w:sz w:val="16"/>
      <w:szCs w:val="16"/>
    </w:rPr>
  </w:style>
  <w:style w:type="character" w:customStyle="1" w:styleId="SubtitleChar">
    <w:name w:val="Subtitle Char"/>
    <w:basedOn w:val="DefaultParagraphFont"/>
    <w:link w:val="Subtitle"/>
    <w:rsid w:val="00157792"/>
    <w:rPr>
      <w:rFonts w:ascii="Arial" w:hAnsi="Arial"/>
      <w:szCs w:val="24"/>
    </w:rPr>
  </w:style>
  <w:style w:type="paragraph" w:customStyle="1" w:styleId="BoxListBullet3">
    <w:name w:val="Box List Bullet 3"/>
    <w:basedOn w:val="ListBullet3"/>
    <w:rsid w:val="00157792"/>
    <w:pPr>
      <w:numPr>
        <w:numId w:val="1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157792"/>
    <w:rPr>
      <w:i/>
      <w:iCs/>
    </w:rPr>
  </w:style>
  <w:style w:type="paragraph" w:customStyle="1" w:styleId="BoxQuoteBullet">
    <w:name w:val="Box Quote Bullet"/>
    <w:basedOn w:val="BoxQuote"/>
    <w:next w:val="Box"/>
    <w:rsid w:val="00157792"/>
    <w:pPr>
      <w:numPr>
        <w:numId w:val="16"/>
      </w:numPr>
      <w:ind w:left="568" w:hanging="284"/>
    </w:pPr>
  </w:style>
  <w:style w:type="paragraph" w:customStyle="1" w:styleId="InformationRequestBullet">
    <w:name w:val="Information Request Bullet"/>
    <w:basedOn w:val="ListBullet"/>
    <w:next w:val="BodyText"/>
    <w:rsid w:val="00157792"/>
    <w:pPr>
      <w:numPr>
        <w:numId w:val="17"/>
      </w:numPr>
      <w:ind w:left="340" w:hanging="340"/>
    </w:pPr>
    <w:rPr>
      <w:rFonts w:ascii="Arial" w:hAnsi="Arial"/>
      <w:i/>
      <w:sz w:val="24"/>
    </w:rPr>
  </w:style>
  <w:style w:type="character" w:customStyle="1" w:styleId="CommentTextChar">
    <w:name w:val="Comment Text Char"/>
    <w:basedOn w:val="DefaultParagraphFont"/>
    <w:link w:val="CommentText"/>
    <w:semiHidden/>
    <w:rsid w:val="002375A1"/>
    <w:rPr>
      <w:szCs w:val="24"/>
    </w:rPr>
  </w:style>
  <w:style w:type="paragraph" w:customStyle="1" w:styleId="BoxSpaceAbove">
    <w:name w:val="Box Space Above"/>
    <w:basedOn w:val="BodyText"/>
    <w:rsid w:val="00157792"/>
    <w:pPr>
      <w:keepNext/>
      <w:spacing w:before="360" w:line="80" w:lineRule="exact"/>
      <w:jc w:val="left"/>
    </w:pPr>
  </w:style>
  <w:style w:type="paragraph" w:customStyle="1" w:styleId="BoxSpaceBelow">
    <w:name w:val="Box Space Below"/>
    <w:basedOn w:val="Box"/>
    <w:rsid w:val="00157792"/>
    <w:pPr>
      <w:keepNext w:val="0"/>
      <w:spacing w:before="60" w:after="60" w:line="80" w:lineRule="exact"/>
    </w:pPr>
    <w:rPr>
      <w:sz w:val="14"/>
    </w:rPr>
  </w:style>
  <w:style w:type="character" w:customStyle="1" w:styleId="BodyTextChar">
    <w:name w:val="Body Text Char"/>
    <w:basedOn w:val="DefaultParagraphFont"/>
    <w:link w:val="BodyText"/>
    <w:rsid w:val="00F72E81"/>
    <w:rPr>
      <w:sz w:val="26"/>
    </w:rPr>
  </w:style>
  <w:style w:type="paragraph" w:styleId="ListParagraph">
    <w:name w:val="List Paragraph"/>
    <w:basedOn w:val="Normal"/>
    <w:uiPriority w:val="34"/>
    <w:qFormat/>
    <w:rsid w:val="00642EB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157792"/>
    <w:rPr>
      <w:sz w:val="26"/>
      <w:szCs w:val="24"/>
    </w:rPr>
  </w:style>
  <w:style w:type="paragraph" w:styleId="Heading1">
    <w:name w:val="heading 1"/>
    <w:basedOn w:val="BodyText"/>
    <w:next w:val="BodyText"/>
    <w:rsid w:val="00157792"/>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157792"/>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157792"/>
    <w:pPr>
      <w:spacing w:before="560" w:line="320" w:lineRule="exact"/>
      <w:ind w:left="0" w:firstLine="0"/>
      <w:outlineLvl w:val="2"/>
    </w:pPr>
    <w:rPr>
      <w:sz w:val="26"/>
    </w:rPr>
  </w:style>
  <w:style w:type="paragraph" w:styleId="Heading4">
    <w:name w:val="heading 4"/>
    <w:basedOn w:val="Heading3"/>
    <w:next w:val="BodyText"/>
    <w:qFormat/>
    <w:rsid w:val="00157792"/>
    <w:pPr>
      <w:spacing w:before="480"/>
      <w:outlineLvl w:val="3"/>
    </w:pPr>
    <w:rPr>
      <w:b w:val="0"/>
      <w:i/>
      <w:sz w:val="24"/>
    </w:rPr>
  </w:style>
  <w:style w:type="paragraph" w:styleId="Heading5">
    <w:name w:val="heading 5"/>
    <w:basedOn w:val="Heading4"/>
    <w:next w:val="BodyText"/>
    <w:qFormat/>
    <w:rsid w:val="00157792"/>
    <w:pPr>
      <w:outlineLvl w:val="4"/>
    </w:pPr>
    <w:rPr>
      <w:rFonts w:ascii="Times New Roman" w:hAnsi="Times New Roman"/>
      <w:sz w:val="26"/>
    </w:rPr>
  </w:style>
  <w:style w:type="paragraph" w:styleId="Heading6">
    <w:name w:val="heading 6"/>
    <w:basedOn w:val="BodyText"/>
    <w:next w:val="BodyText"/>
    <w:rsid w:val="00157792"/>
    <w:pPr>
      <w:spacing w:after="60"/>
      <w:jc w:val="left"/>
      <w:outlineLvl w:val="5"/>
    </w:pPr>
    <w:rPr>
      <w:i/>
      <w:sz w:val="22"/>
    </w:rPr>
  </w:style>
  <w:style w:type="paragraph" w:styleId="Heading7">
    <w:name w:val="heading 7"/>
    <w:basedOn w:val="BodyText"/>
    <w:next w:val="BodyText"/>
    <w:rsid w:val="00157792"/>
    <w:pPr>
      <w:spacing w:after="60" w:line="240" w:lineRule="auto"/>
      <w:jc w:val="left"/>
      <w:outlineLvl w:val="6"/>
    </w:pPr>
    <w:rPr>
      <w:rFonts w:ascii="Arial" w:hAnsi="Arial"/>
      <w:sz w:val="20"/>
    </w:rPr>
  </w:style>
  <w:style w:type="paragraph" w:styleId="Heading8">
    <w:name w:val="heading 8"/>
    <w:basedOn w:val="BodyText"/>
    <w:next w:val="BodyText"/>
    <w:rsid w:val="00157792"/>
    <w:pPr>
      <w:spacing w:after="60" w:line="240" w:lineRule="auto"/>
      <w:jc w:val="left"/>
      <w:outlineLvl w:val="7"/>
    </w:pPr>
    <w:rPr>
      <w:rFonts w:ascii="Arial" w:hAnsi="Arial"/>
      <w:i/>
      <w:sz w:val="20"/>
    </w:rPr>
  </w:style>
  <w:style w:type="paragraph" w:styleId="Heading9">
    <w:name w:val="heading 9"/>
    <w:basedOn w:val="BodyText"/>
    <w:next w:val="BodyText"/>
    <w:rsid w:val="00157792"/>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15779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7792"/>
  </w:style>
  <w:style w:type="paragraph" w:styleId="BodyText">
    <w:name w:val="Body Text"/>
    <w:link w:val="BodyTextChar"/>
    <w:qFormat/>
    <w:rsid w:val="00157792"/>
    <w:pPr>
      <w:spacing w:before="240" w:line="320" w:lineRule="atLeast"/>
      <w:jc w:val="both"/>
    </w:pPr>
    <w:rPr>
      <w:sz w:val="26"/>
    </w:rPr>
  </w:style>
  <w:style w:type="paragraph" w:customStyle="1" w:styleId="Chapter">
    <w:name w:val="Chapter"/>
    <w:basedOn w:val="Heading1"/>
    <w:next w:val="BodyText"/>
    <w:semiHidden/>
    <w:rsid w:val="00157792"/>
    <w:pPr>
      <w:ind w:left="0" w:firstLine="0"/>
      <w:outlineLvl w:val="9"/>
    </w:pPr>
  </w:style>
  <w:style w:type="paragraph" w:customStyle="1" w:styleId="SequenceInfo">
    <w:name w:val="Sequence Info"/>
    <w:basedOn w:val="BodyText"/>
    <w:semiHidden/>
    <w:rsid w:val="00157792"/>
    <w:rPr>
      <w:vanish/>
      <w:sz w:val="16"/>
    </w:rPr>
  </w:style>
  <w:style w:type="character" w:styleId="CommentReference">
    <w:name w:val="annotation reference"/>
    <w:basedOn w:val="DefaultParagraphFont"/>
    <w:semiHidden/>
    <w:rsid w:val="00157792"/>
    <w:rPr>
      <w:b/>
      <w:vanish/>
      <w:color w:val="FF00FF"/>
      <w:sz w:val="20"/>
    </w:rPr>
  </w:style>
  <w:style w:type="paragraph" w:styleId="CommentText">
    <w:name w:val="annotation text"/>
    <w:basedOn w:val="Normal"/>
    <w:link w:val="CommentTextChar"/>
    <w:semiHidden/>
    <w:rsid w:val="00157792"/>
    <w:pPr>
      <w:spacing w:before="120" w:line="240" w:lineRule="atLeast"/>
      <w:ind w:left="567" w:hanging="567"/>
    </w:pPr>
    <w:rPr>
      <w:sz w:val="20"/>
    </w:rPr>
  </w:style>
  <w:style w:type="paragraph" w:customStyle="1" w:styleId="Abbreviation">
    <w:name w:val="Abbreviation"/>
    <w:basedOn w:val="BodyText"/>
    <w:rsid w:val="00157792"/>
    <w:pPr>
      <w:spacing w:before="120"/>
      <w:ind w:left="2381" w:hanging="2381"/>
      <w:jc w:val="left"/>
    </w:pPr>
  </w:style>
  <w:style w:type="paragraph" w:customStyle="1" w:styleId="Box">
    <w:name w:val="Box"/>
    <w:basedOn w:val="BodyText"/>
    <w:link w:val="BoxChar"/>
    <w:qFormat/>
    <w:rsid w:val="00157792"/>
    <w:pPr>
      <w:keepNext/>
      <w:spacing w:before="120" w:line="280" w:lineRule="atLeast"/>
    </w:pPr>
    <w:rPr>
      <w:rFonts w:ascii="Arial" w:hAnsi="Arial"/>
      <w:sz w:val="22"/>
    </w:rPr>
  </w:style>
  <w:style w:type="paragraph" w:customStyle="1" w:styleId="QuoteBullet">
    <w:name w:val="Quote Bullet"/>
    <w:basedOn w:val="Quote"/>
    <w:rsid w:val="00157792"/>
    <w:pPr>
      <w:numPr>
        <w:numId w:val="11"/>
      </w:numPr>
    </w:pPr>
  </w:style>
  <w:style w:type="paragraph" w:styleId="Quote">
    <w:name w:val="Quote"/>
    <w:basedOn w:val="BodyText"/>
    <w:next w:val="BodyText"/>
    <w:qFormat/>
    <w:rsid w:val="00157792"/>
    <w:pPr>
      <w:spacing w:before="120" w:line="280" w:lineRule="exact"/>
      <w:ind w:left="340"/>
    </w:pPr>
    <w:rPr>
      <w:sz w:val="24"/>
    </w:rPr>
  </w:style>
  <w:style w:type="paragraph" w:customStyle="1" w:styleId="BoxListBullet">
    <w:name w:val="Box List Bullet"/>
    <w:basedOn w:val="BodyText"/>
    <w:rsid w:val="00157792"/>
    <w:pPr>
      <w:keepNext/>
      <w:numPr>
        <w:numId w:val="6"/>
      </w:numPr>
      <w:spacing w:before="60" w:line="280" w:lineRule="atLeast"/>
    </w:pPr>
    <w:rPr>
      <w:rFonts w:ascii="Arial" w:hAnsi="Arial"/>
      <w:sz w:val="22"/>
    </w:rPr>
  </w:style>
  <w:style w:type="paragraph" w:customStyle="1" w:styleId="BoxListBullet2">
    <w:name w:val="Box List Bullet 2"/>
    <w:basedOn w:val="BodyText"/>
    <w:rsid w:val="00157792"/>
    <w:pPr>
      <w:keepNext/>
      <w:numPr>
        <w:numId w:val="3"/>
      </w:numPr>
      <w:spacing w:before="60" w:line="280" w:lineRule="atLeast"/>
    </w:pPr>
    <w:rPr>
      <w:rFonts w:ascii="Arial" w:hAnsi="Arial"/>
      <w:sz w:val="22"/>
    </w:rPr>
  </w:style>
  <w:style w:type="paragraph" w:customStyle="1" w:styleId="BoxListNumber">
    <w:name w:val="Box List Number"/>
    <w:basedOn w:val="BodyText"/>
    <w:rsid w:val="00157792"/>
    <w:pPr>
      <w:keepNext/>
      <w:numPr>
        <w:numId w:val="14"/>
      </w:numPr>
      <w:spacing w:before="60" w:line="280" w:lineRule="atLeast"/>
    </w:pPr>
    <w:rPr>
      <w:rFonts w:ascii="Arial" w:hAnsi="Arial"/>
      <w:sz w:val="22"/>
    </w:rPr>
  </w:style>
  <w:style w:type="paragraph" w:customStyle="1" w:styleId="BoxListNumber2">
    <w:name w:val="Box List Number 2"/>
    <w:basedOn w:val="BoxListNumber"/>
    <w:rsid w:val="00157792"/>
    <w:pPr>
      <w:numPr>
        <w:ilvl w:val="1"/>
      </w:numPr>
    </w:pPr>
  </w:style>
  <w:style w:type="paragraph" w:customStyle="1" w:styleId="BoxQuote">
    <w:name w:val="Box Quote"/>
    <w:basedOn w:val="BodyText"/>
    <w:next w:val="Box"/>
    <w:rsid w:val="00157792"/>
    <w:pPr>
      <w:keepNext/>
      <w:spacing w:before="60" w:line="260" w:lineRule="exact"/>
      <w:ind w:left="284"/>
    </w:pPr>
    <w:rPr>
      <w:rFonts w:ascii="Arial" w:hAnsi="Arial"/>
      <w:sz w:val="20"/>
    </w:rPr>
  </w:style>
  <w:style w:type="paragraph" w:customStyle="1" w:styleId="BoxSource">
    <w:name w:val="Box Source"/>
    <w:basedOn w:val="Source"/>
    <w:next w:val="BodyText"/>
    <w:rsid w:val="00157792"/>
    <w:pPr>
      <w:spacing w:before="180" w:after="0"/>
    </w:pPr>
  </w:style>
  <w:style w:type="paragraph" w:customStyle="1" w:styleId="Source">
    <w:name w:val="Source"/>
    <w:basedOn w:val="Note"/>
    <w:next w:val="BodyText"/>
    <w:link w:val="SourceChar"/>
    <w:rsid w:val="00157792"/>
    <w:pPr>
      <w:spacing w:after="120"/>
    </w:pPr>
  </w:style>
  <w:style w:type="paragraph" w:customStyle="1" w:styleId="Note">
    <w:name w:val="Note"/>
    <w:basedOn w:val="BodyText"/>
    <w:next w:val="BodyText"/>
    <w:link w:val="NoteChar"/>
    <w:rsid w:val="00157792"/>
    <w:pPr>
      <w:keepLines/>
      <w:spacing w:before="80" w:line="220" w:lineRule="exact"/>
    </w:pPr>
    <w:rPr>
      <w:rFonts w:ascii="Arial" w:hAnsi="Arial"/>
      <w:sz w:val="18"/>
    </w:rPr>
  </w:style>
  <w:style w:type="paragraph" w:customStyle="1" w:styleId="BoxSpace">
    <w:name w:val="Box Space"/>
    <w:basedOn w:val="BodyText"/>
    <w:rsid w:val="00767760"/>
    <w:pPr>
      <w:keepNext/>
      <w:spacing w:before="360" w:line="80" w:lineRule="exact"/>
      <w:jc w:val="left"/>
    </w:pPr>
  </w:style>
  <w:style w:type="paragraph" w:customStyle="1" w:styleId="BoxSubtitle">
    <w:name w:val="Box Subtitle"/>
    <w:basedOn w:val="BoxTitle"/>
    <w:next w:val="Normal"/>
    <w:rsid w:val="00157792"/>
    <w:pPr>
      <w:spacing w:after="80" w:line="200" w:lineRule="exact"/>
      <w:ind w:firstLine="0"/>
    </w:pPr>
    <w:rPr>
      <w:b w:val="0"/>
      <w:sz w:val="20"/>
    </w:rPr>
  </w:style>
  <w:style w:type="paragraph" w:customStyle="1" w:styleId="BoxTitle">
    <w:name w:val="Box Title"/>
    <w:basedOn w:val="Caption"/>
    <w:next w:val="BoxSubtitle"/>
    <w:rsid w:val="00157792"/>
    <w:pPr>
      <w:spacing w:before="120" w:after="0"/>
      <w:ind w:left="1304" w:hanging="1304"/>
    </w:pPr>
    <w:rPr>
      <w:sz w:val="24"/>
    </w:rPr>
  </w:style>
  <w:style w:type="paragraph" w:styleId="Caption">
    <w:name w:val="caption"/>
    <w:basedOn w:val="Normal"/>
    <w:next w:val="BodyText"/>
    <w:rsid w:val="00157792"/>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157792"/>
    <w:pPr>
      <w:ind w:left="907"/>
    </w:pPr>
    <w:rPr>
      <w:rFonts w:ascii="Arial" w:hAnsi="Arial"/>
      <w:b/>
      <w:sz w:val="22"/>
    </w:rPr>
  </w:style>
  <w:style w:type="character" w:customStyle="1" w:styleId="DocumentInfo">
    <w:name w:val="Document Info"/>
    <w:basedOn w:val="DefaultParagraphFont"/>
    <w:semiHidden/>
    <w:rsid w:val="00157792"/>
    <w:rPr>
      <w:rFonts w:ascii="Arial" w:hAnsi="Arial"/>
      <w:sz w:val="14"/>
    </w:rPr>
  </w:style>
  <w:style w:type="paragraph" w:styleId="Footer">
    <w:name w:val="footer"/>
    <w:basedOn w:val="BodyText"/>
    <w:semiHidden/>
    <w:rsid w:val="00157792"/>
    <w:pPr>
      <w:spacing w:before="80" w:line="200" w:lineRule="exact"/>
      <w:ind w:right="6"/>
      <w:jc w:val="left"/>
    </w:pPr>
    <w:rPr>
      <w:caps/>
      <w:spacing w:val="-4"/>
      <w:sz w:val="16"/>
    </w:rPr>
  </w:style>
  <w:style w:type="character" w:customStyle="1" w:styleId="DraftingNote">
    <w:name w:val="Drafting Note"/>
    <w:basedOn w:val="DefaultParagraphFont"/>
    <w:rsid w:val="00157792"/>
    <w:rPr>
      <w:b/>
      <w:color w:val="FF0000"/>
      <w:sz w:val="24"/>
      <w:u w:val="dotted"/>
    </w:rPr>
  </w:style>
  <w:style w:type="paragraph" w:customStyle="1" w:styleId="BoxContinued">
    <w:name w:val="Box Continued"/>
    <w:basedOn w:val="BodyText"/>
    <w:next w:val="BodyText"/>
    <w:link w:val="BoxContinuedChar"/>
    <w:semiHidden/>
    <w:rsid w:val="00157792"/>
    <w:pPr>
      <w:spacing w:before="180" w:line="220" w:lineRule="exact"/>
      <w:jc w:val="right"/>
    </w:pPr>
    <w:rPr>
      <w:rFonts w:ascii="Arial" w:hAnsi="Arial"/>
      <w:sz w:val="18"/>
    </w:rPr>
  </w:style>
  <w:style w:type="paragraph" w:customStyle="1" w:styleId="Figure">
    <w:name w:val="Figure"/>
    <w:basedOn w:val="BodyText"/>
    <w:rsid w:val="00157792"/>
    <w:pPr>
      <w:keepNext/>
      <w:spacing w:before="120" w:after="120" w:line="240" w:lineRule="atLeast"/>
      <w:jc w:val="center"/>
    </w:pPr>
  </w:style>
  <w:style w:type="paragraph" w:customStyle="1" w:styleId="FigureTitle">
    <w:name w:val="Figure Title"/>
    <w:basedOn w:val="Caption"/>
    <w:next w:val="Subtitle"/>
    <w:rsid w:val="00157792"/>
    <w:rPr>
      <w:sz w:val="24"/>
    </w:rPr>
  </w:style>
  <w:style w:type="paragraph" w:styleId="Subtitle">
    <w:name w:val="Subtitle"/>
    <w:basedOn w:val="Caption"/>
    <w:link w:val="SubtitleChar"/>
    <w:rsid w:val="00157792"/>
    <w:pPr>
      <w:spacing w:before="0" w:line="200" w:lineRule="exact"/>
      <w:ind w:firstLine="0"/>
    </w:pPr>
    <w:rPr>
      <w:b w:val="0"/>
      <w:sz w:val="20"/>
    </w:rPr>
  </w:style>
  <w:style w:type="paragraph" w:customStyle="1" w:styleId="Finding">
    <w:name w:val="Finding"/>
    <w:basedOn w:val="BodyText"/>
    <w:rsid w:val="00157792"/>
    <w:pPr>
      <w:keepLines/>
      <w:spacing w:before="180"/>
    </w:pPr>
    <w:rPr>
      <w:i/>
    </w:rPr>
  </w:style>
  <w:style w:type="paragraph" w:customStyle="1" w:styleId="FindingBullet">
    <w:name w:val="Finding Bullet"/>
    <w:basedOn w:val="Finding"/>
    <w:rsid w:val="00157792"/>
    <w:pPr>
      <w:numPr>
        <w:numId w:val="7"/>
      </w:numPr>
      <w:spacing w:before="80"/>
    </w:pPr>
  </w:style>
  <w:style w:type="paragraph" w:customStyle="1" w:styleId="FindingNoTitle">
    <w:name w:val="Finding NoTitle"/>
    <w:basedOn w:val="Finding"/>
    <w:rsid w:val="00157792"/>
    <w:pPr>
      <w:spacing w:before="240"/>
    </w:pPr>
  </w:style>
  <w:style w:type="paragraph" w:customStyle="1" w:styleId="FindingTitle">
    <w:name w:val="Finding Title"/>
    <w:basedOn w:val="RecTitle"/>
    <w:next w:val="Finding"/>
    <w:rsid w:val="00157792"/>
    <w:pPr>
      <w:framePr w:wrap="notBeside" w:hAnchor="text"/>
    </w:pPr>
  </w:style>
  <w:style w:type="paragraph" w:customStyle="1" w:styleId="RecTitle">
    <w:name w:val="Rec Title"/>
    <w:basedOn w:val="BodyText"/>
    <w:next w:val="Normal"/>
    <w:rsid w:val="00157792"/>
    <w:pPr>
      <w:keepNext/>
      <w:keepLines/>
    </w:pPr>
    <w:rPr>
      <w:caps/>
      <w:sz w:val="20"/>
    </w:rPr>
  </w:style>
  <w:style w:type="paragraph" w:customStyle="1" w:styleId="FooterEnd">
    <w:name w:val="Footer End"/>
    <w:basedOn w:val="Footer"/>
    <w:rsid w:val="00157792"/>
    <w:pPr>
      <w:spacing w:before="0" w:line="20" w:lineRule="exact"/>
    </w:pPr>
  </w:style>
  <w:style w:type="character" w:styleId="FootnoteReference">
    <w:name w:val="footnote reference"/>
    <w:basedOn w:val="DefaultParagraphFont"/>
    <w:semiHidden/>
    <w:rsid w:val="00157792"/>
    <w:rPr>
      <w:rFonts w:ascii="Times New Roman" w:hAnsi="Times New Roman"/>
      <w:position w:val="6"/>
      <w:sz w:val="22"/>
      <w:vertAlign w:val="baseline"/>
    </w:rPr>
  </w:style>
  <w:style w:type="paragraph" w:styleId="FootnoteText">
    <w:name w:val="footnote text"/>
    <w:basedOn w:val="BodyText"/>
    <w:rsid w:val="00157792"/>
    <w:pPr>
      <w:tabs>
        <w:tab w:val="left" w:pos="284"/>
      </w:tabs>
      <w:spacing w:before="80" w:line="260" w:lineRule="exact"/>
      <w:ind w:left="284" w:hanging="284"/>
    </w:pPr>
    <w:rPr>
      <w:sz w:val="22"/>
    </w:rPr>
  </w:style>
  <w:style w:type="paragraph" w:styleId="Header">
    <w:name w:val="header"/>
    <w:basedOn w:val="BodyText"/>
    <w:rsid w:val="00157792"/>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157792"/>
    <w:pPr>
      <w:spacing w:line="20" w:lineRule="exact"/>
    </w:pPr>
    <w:rPr>
      <w:sz w:val="16"/>
    </w:rPr>
  </w:style>
  <w:style w:type="paragraph" w:customStyle="1" w:styleId="HeaderEven">
    <w:name w:val="Header Even"/>
    <w:basedOn w:val="Header"/>
    <w:semiHidden/>
    <w:rsid w:val="00157792"/>
  </w:style>
  <w:style w:type="paragraph" w:customStyle="1" w:styleId="HeaderOdd">
    <w:name w:val="Header Odd"/>
    <w:basedOn w:val="Header"/>
    <w:semiHidden/>
    <w:rsid w:val="00157792"/>
  </w:style>
  <w:style w:type="paragraph" w:customStyle="1" w:styleId="InformationRequest">
    <w:name w:val="Information Request"/>
    <w:basedOn w:val="Finding"/>
    <w:next w:val="BodyText"/>
    <w:rsid w:val="00157792"/>
    <w:pPr>
      <w:spacing w:before="360" w:after="120"/>
    </w:pPr>
    <w:rPr>
      <w:rFonts w:ascii="Arial" w:hAnsi="Arial"/>
      <w:sz w:val="24"/>
    </w:rPr>
  </w:style>
  <w:style w:type="paragraph" w:styleId="ListBullet">
    <w:name w:val="List Bullet"/>
    <w:basedOn w:val="BodyText"/>
    <w:link w:val="ListBulletChar"/>
    <w:rsid w:val="00157792"/>
    <w:pPr>
      <w:numPr>
        <w:numId w:val="5"/>
      </w:numPr>
      <w:spacing w:before="120"/>
    </w:pPr>
  </w:style>
  <w:style w:type="paragraph" w:styleId="ListBullet2">
    <w:name w:val="List Bullet 2"/>
    <w:basedOn w:val="BodyText"/>
    <w:rsid w:val="00157792"/>
    <w:pPr>
      <w:numPr>
        <w:numId w:val="2"/>
      </w:numPr>
      <w:spacing w:before="120"/>
    </w:pPr>
  </w:style>
  <w:style w:type="paragraph" w:styleId="ListBullet3">
    <w:name w:val="List Bullet 3"/>
    <w:basedOn w:val="BodyText"/>
    <w:rsid w:val="00157792"/>
    <w:pPr>
      <w:numPr>
        <w:numId w:val="1"/>
      </w:numPr>
      <w:spacing w:before="120"/>
    </w:pPr>
  </w:style>
  <w:style w:type="paragraph" w:styleId="ListNumber">
    <w:name w:val="List Number"/>
    <w:basedOn w:val="BodyText"/>
    <w:rsid w:val="00157792"/>
    <w:pPr>
      <w:numPr>
        <w:numId w:val="13"/>
      </w:numPr>
      <w:spacing w:before="120"/>
    </w:pPr>
  </w:style>
  <w:style w:type="paragraph" w:styleId="ListNumber2">
    <w:name w:val="List Number 2"/>
    <w:basedOn w:val="ListNumber"/>
    <w:rsid w:val="00157792"/>
    <w:pPr>
      <w:numPr>
        <w:ilvl w:val="1"/>
      </w:numPr>
    </w:pPr>
  </w:style>
  <w:style w:type="paragraph" w:styleId="ListNumber3">
    <w:name w:val="List Number 3"/>
    <w:basedOn w:val="ListNumber2"/>
    <w:rsid w:val="00157792"/>
    <w:pPr>
      <w:numPr>
        <w:ilvl w:val="2"/>
      </w:numPr>
    </w:pPr>
  </w:style>
  <w:style w:type="character" w:customStyle="1" w:styleId="NoteLabel">
    <w:name w:val="Note Label"/>
    <w:basedOn w:val="DefaultParagraphFont"/>
    <w:rsid w:val="00157792"/>
    <w:rPr>
      <w:rFonts w:ascii="Arial" w:hAnsi="Arial"/>
      <w:b/>
      <w:position w:val="6"/>
      <w:sz w:val="18"/>
    </w:rPr>
  </w:style>
  <w:style w:type="character" w:styleId="PageNumber">
    <w:name w:val="page number"/>
    <w:basedOn w:val="DefaultParagraphFont"/>
    <w:rsid w:val="00157792"/>
    <w:rPr>
      <w:rFonts w:ascii="Arial" w:hAnsi="Arial"/>
      <w:b/>
      <w:sz w:val="16"/>
    </w:rPr>
  </w:style>
  <w:style w:type="paragraph" w:customStyle="1" w:styleId="PartDivider">
    <w:name w:val="Part Divider"/>
    <w:basedOn w:val="BodyText"/>
    <w:next w:val="BodyText"/>
    <w:semiHidden/>
    <w:rsid w:val="00157792"/>
    <w:pPr>
      <w:spacing w:before="0" w:line="40" w:lineRule="exact"/>
      <w:jc w:val="right"/>
    </w:pPr>
    <w:rPr>
      <w:smallCaps/>
      <w:sz w:val="16"/>
    </w:rPr>
  </w:style>
  <w:style w:type="paragraph" w:customStyle="1" w:styleId="PartNumber">
    <w:name w:val="Part Number"/>
    <w:basedOn w:val="BodyText"/>
    <w:next w:val="BodyText"/>
    <w:semiHidden/>
    <w:rsid w:val="00157792"/>
    <w:pPr>
      <w:spacing w:before="4000" w:line="320" w:lineRule="exact"/>
      <w:ind w:left="6634"/>
      <w:jc w:val="right"/>
    </w:pPr>
    <w:rPr>
      <w:smallCaps/>
      <w:spacing w:val="60"/>
      <w:sz w:val="32"/>
    </w:rPr>
  </w:style>
  <w:style w:type="paragraph" w:customStyle="1" w:styleId="PartTitle">
    <w:name w:val="Part Title"/>
    <w:basedOn w:val="BodyText"/>
    <w:semiHidden/>
    <w:rsid w:val="00157792"/>
    <w:pPr>
      <w:spacing w:before="160" w:after="1360" w:line="520" w:lineRule="exact"/>
      <w:ind w:right="2381"/>
      <w:jc w:val="right"/>
    </w:pPr>
    <w:rPr>
      <w:smallCaps/>
      <w:sz w:val="52"/>
    </w:rPr>
  </w:style>
  <w:style w:type="paragraph" w:customStyle="1" w:styleId="Rec">
    <w:name w:val="Rec"/>
    <w:basedOn w:val="BodyText"/>
    <w:rsid w:val="00157792"/>
    <w:pPr>
      <w:keepLines/>
      <w:spacing w:before="180"/>
    </w:pPr>
    <w:rPr>
      <w:b/>
      <w:i/>
    </w:rPr>
  </w:style>
  <w:style w:type="paragraph" w:customStyle="1" w:styleId="RecBullet">
    <w:name w:val="Rec Bullet"/>
    <w:basedOn w:val="Rec"/>
    <w:rsid w:val="00157792"/>
    <w:pPr>
      <w:numPr>
        <w:numId w:val="8"/>
      </w:numPr>
      <w:spacing w:before="80"/>
    </w:pPr>
  </w:style>
  <w:style w:type="paragraph" w:customStyle="1" w:styleId="RecB">
    <w:name w:val="RecB"/>
    <w:basedOn w:val="Normal"/>
    <w:rsid w:val="00157792"/>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157792"/>
    <w:pPr>
      <w:numPr>
        <w:numId w:val="9"/>
      </w:numPr>
      <w:spacing w:before="80"/>
    </w:pPr>
  </w:style>
  <w:style w:type="paragraph" w:customStyle="1" w:styleId="RecBNoTitle">
    <w:name w:val="RecB NoTitle"/>
    <w:basedOn w:val="RecB"/>
    <w:rsid w:val="00157792"/>
    <w:pPr>
      <w:spacing w:before="240"/>
    </w:pPr>
  </w:style>
  <w:style w:type="paragraph" w:customStyle="1" w:styleId="Reference">
    <w:name w:val="Reference"/>
    <w:basedOn w:val="BodyText"/>
    <w:rsid w:val="00157792"/>
    <w:pPr>
      <w:spacing w:before="120"/>
      <w:ind w:left="340" w:hanging="340"/>
    </w:pPr>
  </w:style>
  <w:style w:type="paragraph" w:customStyle="1" w:styleId="SideNote">
    <w:name w:val="Side Note"/>
    <w:basedOn w:val="BodyText"/>
    <w:next w:val="BodyText"/>
    <w:semiHidden/>
    <w:rsid w:val="00157792"/>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157792"/>
    <w:pPr>
      <w:framePr w:wrap="around"/>
      <w:numPr>
        <w:numId w:val="4"/>
      </w:numPr>
      <w:tabs>
        <w:tab w:val="left" w:pos="227"/>
      </w:tabs>
    </w:pPr>
  </w:style>
  <w:style w:type="paragraph" w:customStyle="1" w:styleId="SideNoteGraphic">
    <w:name w:val="Side Note Graphic"/>
    <w:basedOn w:val="SideNote"/>
    <w:next w:val="BodyText"/>
    <w:semiHidden/>
    <w:rsid w:val="00157792"/>
    <w:pPr>
      <w:framePr w:wrap="around"/>
    </w:pPr>
  </w:style>
  <w:style w:type="paragraph" w:customStyle="1" w:styleId="TableBodyText">
    <w:name w:val="Table Body Text"/>
    <w:basedOn w:val="BodyText"/>
    <w:rsid w:val="00157792"/>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157792"/>
    <w:pPr>
      <w:numPr>
        <w:numId w:val="10"/>
      </w:numPr>
      <w:jc w:val="left"/>
    </w:pPr>
  </w:style>
  <w:style w:type="paragraph" w:customStyle="1" w:styleId="TableColumnHeading">
    <w:name w:val="Table Column Heading"/>
    <w:basedOn w:val="TableBodyText"/>
    <w:rsid w:val="00157792"/>
    <w:pPr>
      <w:spacing w:before="80" w:after="80"/>
    </w:pPr>
    <w:rPr>
      <w:i/>
    </w:rPr>
  </w:style>
  <w:style w:type="paragraph" w:styleId="TableofFigures">
    <w:name w:val="table of figures"/>
    <w:basedOn w:val="TOC3"/>
    <w:next w:val="BodyText"/>
    <w:semiHidden/>
    <w:rsid w:val="00157792"/>
    <w:pPr>
      <w:ind w:left="737" w:hanging="737"/>
    </w:pPr>
  </w:style>
  <w:style w:type="paragraph" w:styleId="TOC3">
    <w:name w:val="toc 3"/>
    <w:basedOn w:val="TOC2"/>
    <w:semiHidden/>
    <w:rsid w:val="00157792"/>
    <w:pPr>
      <w:spacing w:before="60"/>
      <w:ind w:left="1190" w:hanging="680"/>
    </w:pPr>
    <w:rPr>
      <w:b w:val="0"/>
    </w:rPr>
  </w:style>
  <w:style w:type="paragraph" w:styleId="TOC2">
    <w:name w:val="toc 2"/>
    <w:basedOn w:val="BodyText"/>
    <w:rsid w:val="00157792"/>
    <w:pPr>
      <w:tabs>
        <w:tab w:val="right" w:pos="8789"/>
      </w:tabs>
      <w:ind w:left="510" w:right="851" w:hanging="510"/>
      <w:jc w:val="left"/>
    </w:pPr>
    <w:rPr>
      <w:b/>
    </w:rPr>
  </w:style>
  <w:style w:type="paragraph" w:customStyle="1" w:styleId="TableTitle">
    <w:name w:val="Table Title"/>
    <w:basedOn w:val="Caption"/>
    <w:next w:val="Subtitle"/>
    <w:rsid w:val="00157792"/>
    <w:rPr>
      <w:sz w:val="24"/>
    </w:rPr>
  </w:style>
  <w:style w:type="paragraph" w:customStyle="1" w:styleId="TableUnitsRow">
    <w:name w:val="Table Units Row"/>
    <w:basedOn w:val="TableBodyText"/>
    <w:rsid w:val="00157792"/>
    <w:pPr>
      <w:spacing w:before="80" w:after="80"/>
    </w:pPr>
  </w:style>
  <w:style w:type="paragraph" w:styleId="TOC1">
    <w:name w:val="toc 1"/>
    <w:basedOn w:val="Normal"/>
    <w:next w:val="TOC2"/>
    <w:semiHidden/>
    <w:rsid w:val="00157792"/>
    <w:pPr>
      <w:tabs>
        <w:tab w:val="right" w:pos="8789"/>
      </w:tabs>
      <w:spacing w:before="480" w:after="60" w:line="320" w:lineRule="exact"/>
      <w:ind w:left="1191" w:right="851" w:hanging="1191"/>
    </w:pPr>
    <w:rPr>
      <w:b/>
      <w:caps/>
    </w:rPr>
  </w:style>
  <w:style w:type="paragraph" w:styleId="TOC4">
    <w:name w:val="toc 4"/>
    <w:basedOn w:val="TOC3"/>
    <w:semiHidden/>
    <w:rsid w:val="00157792"/>
    <w:pPr>
      <w:ind w:left="1191" w:firstLine="0"/>
    </w:pPr>
  </w:style>
  <w:style w:type="paragraph" w:customStyle="1" w:styleId="Jurisdictioncommentsbodytext">
    <w:name w:val="Jurisdiction comments body text"/>
    <w:rsid w:val="00157792"/>
    <w:pPr>
      <w:spacing w:after="140"/>
      <w:jc w:val="both"/>
    </w:pPr>
    <w:rPr>
      <w:rFonts w:ascii="Arial" w:hAnsi="Arial"/>
      <w:sz w:val="24"/>
      <w:lang w:eastAsia="en-US"/>
    </w:rPr>
  </w:style>
  <w:style w:type="paragraph" w:customStyle="1" w:styleId="Continued">
    <w:name w:val="Continued"/>
    <w:basedOn w:val="BoxContinued"/>
    <w:next w:val="BodyText"/>
    <w:link w:val="ContinuedChar"/>
    <w:rsid w:val="00157792"/>
  </w:style>
  <w:style w:type="paragraph" w:customStyle="1" w:styleId="BoxHeading1">
    <w:name w:val="Box Heading 1"/>
    <w:basedOn w:val="BodyText"/>
    <w:next w:val="Box"/>
    <w:rsid w:val="00157792"/>
    <w:pPr>
      <w:keepNext/>
      <w:spacing w:before="200" w:line="280" w:lineRule="atLeast"/>
    </w:pPr>
    <w:rPr>
      <w:rFonts w:ascii="Arial" w:hAnsi="Arial"/>
      <w:b/>
      <w:sz w:val="22"/>
    </w:rPr>
  </w:style>
  <w:style w:type="paragraph" w:customStyle="1" w:styleId="BoxHeading2">
    <w:name w:val="Box Heading 2"/>
    <w:basedOn w:val="BoxHeading1"/>
    <w:next w:val="Normal"/>
    <w:rsid w:val="00157792"/>
    <w:rPr>
      <w:b w:val="0"/>
      <w:i/>
    </w:rPr>
  </w:style>
  <w:style w:type="table" w:styleId="TableGrid">
    <w:name w:val="Table Grid"/>
    <w:basedOn w:val="TableNormal"/>
    <w:rsid w:val="004D7F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Jurisdictioncommentsheading">
    <w:name w:val="Jurisdiction comments heading"/>
    <w:rsid w:val="00157792"/>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157792"/>
    <w:pPr>
      <w:numPr>
        <w:numId w:val="12"/>
      </w:numPr>
      <w:spacing w:after="140"/>
      <w:jc w:val="both"/>
    </w:pPr>
    <w:rPr>
      <w:rFonts w:ascii="Arial" w:hAnsi="Arial"/>
      <w:sz w:val="24"/>
      <w:lang w:eastAsia="en-US"/>
    </w:rPr>
  </w:style>
  <w:style w:type="paragraph" w:styleId="BalloonText">
    <w:name w:val="Balloon Text"/>
    <w:basedOn w:val="Normal"/>
    <w:link w:val="BalloonTextChar"/>
    <w:rsid w:val="00157792"/>
    <w:rPr>
      <w:rFonts w:ascii="Tahoma" w:hAnsi="Tahoma" w:cs="Tahoma"/>
      <w:sz w:val="16"/>
      <w:szCs w:val="16"/>
    </w:rPr>
  </w:style>
  <w:style w:type="character" w:styleId="Hyperlink">
    <w:name w:val="Hyperlink"/>
    <w:uiPriority w:val="99"/>
    <w:rsid w:val="00B32791"/>
    <w:rPr>
      <w:color w:val="0000FF"/>
      <w:u w:val="single"/>
    </w:rPr>
  </w:style>
  <w:style w:type="paragraph" w:styleId="CommentSubject">
    <w:name w:val="annotation subject"/>
    <w:basedOn w:val="CommentText"/>
    <w:next w:val="CommentText"/>
    <w:semiHidden/>
    <w:rsid w:val="00380B81"/>
    <w:pPr>
      <w:spacing w:before="0" w:line="240" w:lineRule="auto"/>
      <w:ind w:left="0" w:firstLine="0"/>
    </w:pPr>
    <w:rPr>
      <w:b/>
      <w:bCs/>
    </w:rPr>
  </w:style>
  <w:style w:type="paragraph" w:customStyle="1" w:styleId="DocInfo">
    <w:name w:val="Doc Info"/>
    <w:basedOn w:val="Normal"/>
    <w:next w:val="Normal"/>
    <w:rsid w:val="004A1A4B"/>
    <w:pPr>
      <w:jc w:val="center"/>
    </w:pPr>
    <w:rPr>
      <w:rFonts w:ascii="Arial" w:hAnsi="Arial"/>
      <w:sz w:val="14"/>
    </w:rPr>
  </w:style>
  <w:style w:type="paragraph" w:customStyle="1" w:styleId="Heading2NotTOC">
    <w:name w:val="Heading 2 Not TOC"/>
    <w:basedOn w:val="Heading2"/>
    <w:next w:val="BodyText"/>
    <w:rsid w:val="004A1A4B"/>
    <w:pPr>
      <w:outlineLvl w:val="9"/>
    </w:pPr>
  </w:style>
  <w:style w:type="paragraph" w:customStyle="1" w:styleId="SOC">
    <w:name w:val="SOC"/>
    <w:basedOn w:val="BodyText"/>
    <w:rsid w:val="004A1A4B"/>
    <w:pPr>
      <w:spacing w:before="0" w:after="140" w:line="240" w:lineRule="auto"/>
    </w:pPr>
    <w:rPr>
      <w:rFonts w:ascii="Arial" w:hAnsi="Arial"/>
      <w:sz w:val="24"/>
    </w:rPr>
  </w:style>
  <w:style w:type="character" w:customStyle="1" w:styleId="BoxChar">
    <w:name w:val="Box Char"/>
    <w:link w:val="Box"/>
    <w:rsid w:val="00695237"/>
    <w:rPr>
      <w:rFonts w:ascii="Arial" w:hAnsi="Arial"/>
      <w:sz w:val="22"/>
    </w:rPr>
  </w:style>
  <w:style w:type="character" w:styleId="FollowedHyperlink">
    <w:name w:val="FollowedHyperlink"/>
    <w:rsid w:val="00E70D23"/>
    <w:rPr>
      <w:color w:val="800080"/>
      <w:u w:val="single"/>
    </w:rPr>
  </w:style>
  <w:style w:type="character" w:customStyle="1" w:styleId="NoteChar">
    <w:name w:val="Note Char"/>
    <w:link w:val="Note"/>
    <w:rsid w:val="00D877D2"/>
    <w:rPr>
      <w:rFonts w:ascii="Arial" w:hAnsi="Arial"/>
      <w:sz w:val="18"/>
    </w:rPr>
  </w:style>
  <w:style w:type="character" w:customStyle="1" w:styleId="SourceChar">
    <w:name w:val="Source Char"/>
    <w:basedOn w:val="NoteChar"/>
    <w:link w:val="Source"/>
    <w:rsid w:val="004B7622"/>
    <w:rPr>
      <w:rFonts w:ascii="Arial" w:hAnsi="Arial"/>
      <w:sz w:val="18"/>
    </w:rPr>
  </w:style>
  <w:style w:type="paragraph" w:customStyle="1" w:styleId="formattedparas">
    <w:name w:val="formatted paras"/>
    <w:basedOn w:val="Normal"/>
    <w:rsid w:val="00A05C8C"/>
    <w:pPr>
      <w:numPr>
        <w:numId w:val="15"/>
      </w:numPr>
      <w:tabs>
        <w:tab w:val="clear" w:pos="360"/>
      </w:tabs>
      <w:spacing w:after="140" w:line="300" w:lineRule="exact"/>
      <w:ind w:left="0" w:firstLine="0"/>
      <w:jc w:val="both"/>
    </w:pPr>
    <w:rPr>
      <w:szCs w:val="20"/>
    </w:rPr>
  </w:style>
  <w:style w:type="character" w:customStyle="1" w:styleId="BoxContinuedChar">
    <w:name w:val="Box Continued Char"/>
    <w:link w:val="BoxContinued"/>
    <w:semiHidden/>
    <w:rsid w:val="0016191F"/>
    <w:rPr>
      <w:rFonts w:ascii="Arial" w:hAnsi="Arial"/>
      <w:sz w:val="18"/>
    </w:rPr>
  </w:style>
  <w:style w:type="character" w:customStyle="1" w:styleId="ContinuedChar">
    <w:name w:val="Continued Char"/>
    <w:basedOn w:val="BoxContinuedChar"/>
    <w:link w:val="Continued"/>
    <w:rsid w:val="0016191F"/>
    <w:rPr>
      <w:rFonts w:ascii="Arial" w:hAnsi="Arial"/>
      <w:sz w:val="18"/>
    </w:rPr>
  </w:style>
  <w:style w:type="paragraph" w:customStyle="1" w:styleId="TableFigText">
    <w:name w:val="Table/Fig: Text"/>
    <w:basedOn w:val="Normal"/>
    <w:link w:val="TableFigTextChar"/>
    <w:rsid w:val="0060629F"/>
    <w:pPr>
      <w:keepLines/>
      <w:tabs>
        <w:tab w:val="left" w:pos="198"/>
      </w:tabs>
      <w:spacing w:before="60" w:after="60" w:line="200" w:lineRule="atLeast"/>
    </w:pPr>
    <w:rPr>
      <w:rFonts w:ascii="Arial" w:hAnsi="Arial"/>
      <w:color w:val="000000"/>
      <w:sz w:val="16"/>
      <w:szCs w:val="20"/>
      <w:lang w:eastAsia="en-US"/>
    </w:rPr>
  </w:style>
  <w:style w:type="character" w:customStyle="1" w:styleId="TableFigTextChar">
    <w:name w:val="Table/Fig: Text Char"/>
    <w:link w:val="TableFigText"/>
    <w:rsid w:val="0060629F"/>
    <w:rPr>
      <w:rFonts w:ascii="Arial" w:hAnsi="Arial"/>
      <w:color w:val="000000"/>
      <w:sz w:val="16"/>
      <w:lang w:val="en-AU" w:eastAsia="en-US" w:bidi="ar-SA"/>
    </w:rPr>
  </w:style>
  <w:style w:type="paragraph" w:customStyle="1" w:styleId="Default">
    <w:name w:val="Default"/>
    <w:rsid w:val="00297174"/>
    <w:pPr>
      <w:autoSpaceDE w:val="0"/>
      <w:autoSpaceDN w:val="0"/>
      <w:adjustRightInd w:val="0"/>
    </w:pPr>
    <w:rPr>
      <w:rFonts w:ascii="Corbel" w:hAnsi="Corbel" w:cs="Corbel"/>
      <w:color w:val="000000"/>
      <w:sz w:val="24"/>
      <w:szCs w:val="24"/>
    </w:rPr>
  </w:style>
  <w:style w:type="paragraph" w:styleId="NormalWeb">
    <w:name w:val="Normal (Web)"/>
    <w:basedOn w:val="Normal"/>
    <w:rsid w:val="00BA1313"/>
    <w:pPr>
      <w:spacing w:after="240" w:line="312" w:lineRule="atLeast"/>
    </w:pPr>
    <w:rPr>
      <w:color w:val="000000"/>
      <w:sz w:val="24"/>
    </w:rPr>
  </w:style>
  <w:style w:type="character" w:styleId="IntenseReference">
    <w:name w:val="Intense Reference"/>
    <w:uiPriority w:val="32"/>
    <w:qFormat/>
    <w:rsid w:val="00A20477"/>
    <w:rPr>
      <w:b/>
      <w:bCs/>
      <w:smallCaps/>
      <w:color w:val="C0504D"/>
      <w:spacing w:val="5"/>
      <w:u w:val="single"/>
    </w:rPr>
  </w:style>
  <w:style w:type="character" w:customStyle="1" w:styleId="ListBulletChar">
    <w:name w:val="List Bullet Char"/>
    <w:link w:val="ListBullet"/>
    <w:rsid w:val="00FC3F6C"/>
    <w:rPr>
      <w:sz w:val="26"/>
    </w:rPr>
  </w:style>
  <w:style w:type="paragraph" w:customStyle="1" w:styleId="RecBBullet2">
    <w:name w:val="RecB Bullet 2"/>
    <w:basedOn w:val="ListBullet2"/>
    <w:semiHidden/>
    <w:rsid w:val="00157792"/>
    <w:pPr>
      <w:pBdr>
        <w:left w:val="single" w:sz="24" w:space="29" w:color="C0C0C0"/>
      </w:pBdr>
    </w:pPr>
    <w:rPr>
      <w:b/>
      <w:i/>
    </w:rPr>
  </w:style>
  <w:style w:type="character" w:customStyle="1" w:styleId="BalloonTextChar">
    <w:name w:val="Balloon Text Char"/>
    <w:basedOn w:val="DefaultParagraphFont"/>
    <w:link w:val="BalloonText"/>
    <w:rsid w:val="00157792"/>
    <w:rPr>
      <w:rFonts w:ascii="Tahoma" w:hAnsi="Tahoma" w:cs="Tahoma"/>
      <w:sz w:val="16"/>
      <w:szCs w:val="16"/>
    </w:rPr>
  </w:style>
  <w:style w:type="character" w:customStyle="1" w:styleId="SubtitleChar">
    <w:name w:val="Subtitle Char"/>
    <w:basedOn w:val="DefaultParagraphFont"/>
    <w:link w:val="Subtitle"/>
    <w:rsid w:val="00157792"/>
    <w:rPr>
      <w:rFonts w:ascii="Arial" w:hAnsi="Arial"/>
      <w:szCs w:val="24"/>
    </w:rPr>
  </w:style>
  <w:style w:type="paragraph" w:customStyle="1" w:styleId="BoxListBullet3">
    <w:name w:val="Box List Bullet 3"/>
    <w:basedOn w:val="ListBullet3"/>
    <w:rsid w:val="00157792"/>
    <w:pPr>
      <w:numPr>
        <w:numId w:val="1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157792"/>
    <w:rPr>
      <w:i/>
      <w:iCs/>
    </w:rPr>
  </w:style>
  <w:style w:type="paragraph" w:customStyle="1" w:styleId="BoxQuoteBullet">
    <w:name w:val="Box Quote Bullet"/>
    <w:basedOn w:val="BoxQuote"/>
    <w:next w:val="Box"/>
    <w:rsid w:val="00157792"/>
    <w:pPr>
      <w:numPr>
        <w:numId w:val="16"/>
      </w:numPr>
      <w:ind w:left="568" w:hanging="284"/>
    </w:pPr>
  </w:style>
  <w:style w:type="paragraph" w:customStyle="1" w:styleId="InformationRequestBullet">
    <w:name w:val="Information Request Bullet"/>
    <w:basedOn w:val="ListBullet"/>
    <w:next w:val="BodyText"/>
    <w:rsid w:val="00157792"/>
    <w:pPr>
      <w:numPr>
        <w:numId w:val="17"/>
      </w:numPr>
      <w:ind w:left="340" w:hanging="340"/>
    </w:pPr>
    <w:rPr>
      <w:rFonts w:ascii="Arial" w:hAnsi="Arial"/>
      <w:i/>
      <w:sz w:val="24"/>
    </w:rPr>
  </w:style>
  <w:style w:type="character" w:customStyle="1" w:styleId="CommentTextChar">
    <w:name w:val="Comment Text Char"/>
    <w:basedOn w:val="DefaultParagraphFont"/>
    <w:link w:val="CommentText"/>
    <w:semiHidden/>
    <w:rsid w:val="002375A1"/>
    <w:rPr>
      <w:szCs w:val="24"/>
    </w:rPr>
  </w:style>
  <w:style w:type="paragraph" w:customStyle="1" w:styleId="BoxSpaceAbove">
    <w:name w:val="Box Space Above"/>
    <w:basedOn w:val="BodyText"/>
    <w:rsid w:val="00157792"/>
    <w:pPr>
      <w:keepNext/>
      <w:spacing w:before="360" w:line="80" w:lineRule="exact"/>
      <w:jc w:val="left"/>
    </w:pPr>
  </w:style>
  <w:style w:type="paragraph" w:customStyle="1" w:styleId="BoxSpaceBelow">
    <w:name w:val="Box Space Below"/>
    <w:basedOn w:val="Box"/>
    <w:rsid w:val="00157792"/>
    <w:pPr>
      <w:keepNext w:val="0"/>
      <w:spacing w:before="60" w:after="60" w:line="80" w:lineRule="exact"/>
    </w:pPr>
    <w:rPr>
      <w:sz w:val="14"/>
    </w:rPr>
  </w:style>
  <w:style w:type="character" w:customStyle="1" w:styleId="BodyTextChar">
    <w:name w:val="Body Text Char"/>
    <w:basedOn w:val="DefaultParagraphFont"/>
    <w:link w:val="BodyText"/>
    <w:rsid w:val="00F72E81"/>
    <w:rPr>
      <w:sz w:val="26"/>
    </w:rPr>
  </w:style>
  <w:style w:type="paragraph" w:styleId="ListParagraph">
    <w:name w:val="List Paragraph"/>
    <w:basedOn w:val="Normal"/>
    <w:uiPriority w:val="34"/>
    <w:qFormat/>
    <w:rsid w:val="00642E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6143220">
      <w:bodyDiv w:val="1"/>
      <w:marLeft w:val="0"/>
      <w:marRight w:val="0"/>
      <w:marTop w:val="0"/>
      <w:marBottom w:val="0"/>
      <w:divBdr>
        <w:top w:val="none" w:sz="0" w:space="0" w:color="auto"/>
        <w:left w:val="none" w:sz="0" w:space="0" w:color="auto"/>
        <w:bottom w:val="none" w:sz="0" w:space="0" w:color="auto"/>
        <w:right w:val="none" w:sz="0" w:space="0" w:color="auto"/>
      </w:divBdr>
    </w:div>
    <w:div w:id="532808332">
      <w:bodyDiv w:val="1"/>
      <w:marLeft w:val="0"/>
      <w:marRight w:val="0"/>
      <w:marTop w:val="0"/>
      <w:marBottom w:val="0"/>
      <w:divBdr>
        <w:top w:val="none" w:sz="0" w:space="0" w:color="auto"/>
        <w:left w:val="none" w:sz="0" w:space="0" w:color="auto"/>
        <w:bottom w:val="none" w:sz="0" w:space="0" w:color="auto"/>
        <w:right w:val="none" w:sz="0" w:space="0" w:color="auto"/>
      </w:divBdr>
      <w:divsChild>
        <w:div w:id="275675809">
          <w:marLeft w:val="0"/>
          <w:marRight w:val="0"/>
          <w:marTop w:val="0"/>
          <w:marBottom w:val="0"/>
          <w:divBdr>
            <w:top w:val="none" w:sz="0" w:space="0" w:color="auto"/>
            <w:left w:val="none" w:sz="0" w:space="0" w:color="auto"/>
            <w:bottom w:val="none" w:sz="0" w:space="0" w:color="auto"/>
            <w:right w:val="none" w:sz="0" w:space="0" w:color="auto"/>
          </w:divBdr>
          <w:divsChild>
            <w:div w:id="1756511046">
              <w:marLeft w:val="0"/>
              <w:marRight w:val="0"/>
              <w:marTop w:val="0"/>
              <w:marBottom w:val="0"/>
              <w:divBdr>
                <w:top w:val="none" w:sz="0" w:space="0" w:color="auto"/>
                <w:left w:val="none" w:sz="0" w:space="0" w:color="auto"/>
                <w:bottom w:val="none" w:sz="0" w:space="0" w:color="auto"/>
                <w:right w:val="none" w:sz="0" w:space="0" w:color="auto"/>
              </w:divBdr>
              <w:divsChild>
                <w:div w:id="1177768475">
                  <w:marLeft w:val="0"/>
                  <w:marRight w:val="0"/>
                  <w:marTop w:val="0"/>
                  <w:marBottom w:val="0"/>
                  <w:divBdr>
                    <w:top w:val="none" w:sz="0" w:space="0" w:color="auto"/>
                    <w:left w:val="none" w:sz="0" w:space="0" w:color="auto"/>
                    <w:bottom w:val="none" w:sz="0" w:space="0" w:color="auto"/>
                    <w:right w:val="none" w:sz="0" w:space="0" w:color="auto"/>
                  </w:divBdr>
                  <w:divsChild>
                    <w:div w:id="647830899">
                      <w:marLeft w:val="0"/>
                      <w:marRight w:val="0"/>
                      <w:marTop w:val="0"/>
                      <w:marBottom w:val="0"/>
                      <w:divBdr>
                        <w:top w:val="none" w:sz="0" w:space="0" w:color="auto"/>
                        <w:left w:val="none" w:sz="0" w:space="0" w:color="auto"/>
                        <w:bottom w:val="none" w:sz="0" w:space="0" w:color="auto"/>
                        <w:right w:val="none" w:sz="0" w:space="0" w:color="auto"/>
                      </w:divBdr>
                      <w:divsChild>
                        <w:div w:id="691994945">
                          <w:marLeft w:val="0"/>
                          <w:marRight w:val="0"/>
                          <w:marTop w:val="0"/>
                          <w:marBottom w:val="0"/>
                          <w:divBdr>
                            <w:top w:val="none" w:sz="0" w:space="0" w:color="auto"/>
                            <w:left w:val="none" w:sz="0" w:space="0" w:color="auto"/>
                            <w:bottom w:val="none" w:sz="0" w:space="0" w:color="auto"/>
                            <w:right w:val="none" w:sz="0" w:space="0" w:color="auto"/>
                          </w:divBdr>
                          <w:divsChild>
                            <w:div w:id="176700851">
                              <w:marLeft w:val="0"/>
                              <w:marRight w:val="0"/>
                              <w:marTop w:val="0"/>
                              <w:marBottom w:val="0"/>
                              <w:divBdr>
                                <w:top w:val="none" w:sz="0" w:space="0" w:color="auto"/>
                                <w:left w:val="none" w:sz="0" w:space="0" w:color="auto"/>
                                <w:bottom w:val="none" w:sz="0" w:space="0" w:color="auto"/>
                                <w:right w:val="none" w:sz="0" w:space="0" w:color="auto"/>
                              </w:divBdr>
                            </w:div>
                            <w:div w:id="341200231">
                              <w:marLeft w:val="0"/>
                              <w:marRight w:val="0"/>
                              <w:marTop w:val="0"/>
                              <w:marBottom w:val="0"/>
                              <w:divBdr>
                                <w:top w:val="none" w:sz="0" w:space="0" w:color="auto"/>
                                <w:left w:val="none" w:sz="0" w:space="0" w:color="auto"/>
                                <w:bottom w:val="none" w:sz="0" w:space="0" w:color="auto"/>
                                <w:right w:val="none" w:sz="0" w:space="0" w:color="auto"/>
                              </w:divBdr>
                            </w:div>
                            <w:div w:id="872616886">
                              <w:marLeft w:val="0"/>
                              <w:marRight w:val="0"/>
                              <w:marTop w:val="0"/>
                              <w:marBottom w:val="0"/>
                              <w:divBdr>
                                <w:top w:val="none" w:sz="0" w:space="0" w:color="auto"/>
                                <w:left w:val="none" w:sz="0" w:space="0" w:color="auto"/>
                                <w:bottom w:val="none" w:sz="0" w:space="0" w:color="auto"/>
                                <w:right w:val="none" w:sz="0" w:space="0" w:color="auto"/>
                              </w:divBdr>
                              <w:divsChild>
                                <w:div w:id="1478646211">
                                  <w:marLeft w:val="0"/>
                                  <w:marRight w:val="0"/>
                                  <w:marTop w:val="0"/>
                                  <w:marBottom w:val="0"/>
                                  <w:divBdr>
                                    <w:top w:val="none" w:sz="0" w:space="0" w:color="auto"/>
                                    <w:left w:val="none" w:sz="0" w:space="0" w:color="auto"/>
                                    <w:bottom w:val="none" w:sz="0" w:space="0" w:color="auto"/>
                                    <w:right w:val="none" w:sz="0" w:space="0" w:color="auto"/>
                                  </w:divBdr>
                                  <w:divsChild>
                                    <w:div w:id="54285828">
                                      <w:marLeft w:val="0"/>
                                      <w:marRight w:val="0"/>
                                      <w:marTop w:val="0"/>
                                      <w:marBottom w:val="0"/>
                                      <w:divBdr>
                                        <w:top w:val="none" w:sz="0" w:space="0" w:color="auto"/>
                                        <w:left w:val="none" w:sz="0" w:space="0" w:color="auto"/>
                                        <w:bottom w:val="none" w:sz="0" w:space="0" w:color="auto"/>
                                        <w:right w:val="none" w:sz="0" w:space="0" w:color="auto"/>
                                      </w:divBdr>
                                    </w:div>
                                    <w:div w:id="14478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3132823">
      <w:bodyDiv w:val="1"/>
      <w:marLeft w:val="0"/>
      <w:marRight w:val="0"/>
      <w:marTop w:val="0"/>
      <w:marBottom w:val="0"/>
      <w:divBdr>
        <w:top w:val="none" w:sz="0" w:space="0" w:color="auto"/>
        <w:left w:val="none" w:sz="0" w:space="0" w:color="auto"/>
        <w:bottom w:val="none" w:sz="0" w:space="0" w:color="auto"/>
        <w:right w:val="none" w:sz="0" w:space="0" w:color="auto"/>
      </w:divBdr>
    </w:div>
    <w:div w:id="935794171">
      <w:bodyDiv w:val="1"/>
      <w:marLeft w:val="0"/>
      <w:marRight w:val="0"/>
      <w:marTop w:val="0"/>
      <w:marBottom w:val="0"/>
      <w:divBdr>
        <w:top w:val="none" w:sz="0" w:space="0" w:color="auto"/>
        <w:left w:val="none" w:sz="0" w:space="0" w:color="auto"/>
        <w:bottom w:val="none" w:sz="0" w:space="0" w:color="auto"/>
        <w:right w:val="none" w:sz="0" w:space="0" w:color="auto"/>
      </w:divBdr>
      <w:divsChild>
        <w:div w:id="1212109481">
          <w:marLeft w:val="0"/>
          <w:marRight w:val="0"/>
          <w:marTop w:val="0"/>
          <w:marBottom w:val="0"/>
          <w:divBdr>
            <w:top w:val="none" w:sz="0" w:space="0" w:color="auto"/>
            <w:left w:val="none" w:sz="0" w:space="0" w:color="auto"/>
            <w:bottom w:val="none" w:sz="0" w:space="0" w:color="auto"/>
            <w:right w:val="none" w:sz="0" w:space="0" w:color="auto"/>
          </w:divBdr>
          <w:divsChild>
            <w:div w:id="655691142">
              <w:marLeft w:val="0"/>
              <w:marRight w:val="0"/>
              <w:marTop w:val="0"/>
              <w:marBottom w:val="0"/>
              <w:divBdr>
                <w:top w:val="none" w:sz="0" w:space="0" w:color="auto"/>
                <w:left w:val="none" w:sz="0" w:space="0" w:color="auto"/>
                <w:bottom w:val="none" w:sz="0" w:space="0" w:color="auto"/>
                <w:right w:val="none" w:sz="0" w:space="0" w:color="auto"/>
              </w:divBdr>
              <w:divsChild>
                <w:div w:id="1380083904">
                  <w:marLeft w:val="0"/>
                  <w:marRight w:val="0"/>
                  <w:marTop w:val="0"/>
                  <w:marBottom w:val="0"/>
                  <w:divBdr>
                    <w:top w:val="none" w:sz="0" w:space="0" w:color="auto"/>
                    <w:left w:val="none" w:sz="0" w:space="0" w:color="auto"/>
                    <w:bottom w:val="none" w:sz="0" w:space="0" w:color="auto"/>
                    <w:right w:val="none" w:sz="0" w:space="0" w:color="auto"/>
                  </w:divBdr>
                  <w:divsChild>
                    <w:div w:id="756251395">
                      <w:marLeft w:val="0"/>
                      <w:marRight w:val="0"/>
                      <w:marTop w:val="0"/>
                      <w:marBottom w:val="0"/>
                      <w:divBdr>
                        <w:top w:val="none" w:sz="0" w:space="0" w:color="auto"/>
                        <w:left w:val="single" w:sz="6" w:space="7" w:color="EDEBEA"/>
                        <w:bottom w:val="none" w:sz="0" w:space="0" w:color="auto"/>
                        <w:right w:val="none" w:sz="0" w:space="0" w:color="auto"/>
                      </w:divBdr>
                      <w:divsChild>
                        <w:div w:id="1939097046">
                          <w:marLeft w:val="0"/>
                          <w:marRight w:val="0"/>
                          <w:marTop w:val="0"/>
                          <w:marBottom w:val="0"/>
                          <w:divBdr>
                            <w:top w:val="none" w:sz="0" w:space="0" w:color="auto"/>
                            <w:left w:val="none" w:sz="0" w:space="0" w:color="auto"/>
                            <w:bottom w:val="none" w:sz="0" w:space="0" w:color="auto"/>
                            <w:right w:val="none" w:sz="0" w:space="0" w:color="auto"/>
                          </w:divBdr>
                          <w:divsChild>
                            <w:div w:id="1977442774">
                              <w:marLeft w:val="0"/>
                              <w:marRight w:val="0"/>
                              <w:marTop w:val="0"/>
                              <w:marBottom w:val="0"/>
                              <w:divBdr>
                                <w:top w:val="none" w:sz="0" w:space="0" w:color="auto"/>
                                <w:left w:val="none" w:sz="0" w:space="0" w:color="auto"/>
                                <w:bottom w:val="none" w:sz="0" w:space="0" w:color="auto"/>
                                <w:right w:val="none" w:sz="0" w:space="0" w:color="auto"/>
                              </w:divBdr>
                              <w:divsChild>
                                <w:div w:id="2135634692">
                                  <w:marLeft w:val="0"/>
                                  <w:marRight w:val="0"/>
                                  <w:marTop w:val="0"/>
                                  <w:marBottom w:val="0"/>
                                  <w:divBdr>
                                    <w:top w:val="none" w:sz="0" w:space="0" w:color="auto"/>
                                    <w:left w:val="none" w:sz="0" w:space="0" w:color="auto"/>
                                    <w:bottom w:val="none" w:sz="0" w:space="0" w:color="auto"/>
                                    <w:right w:val="none" w:sz="0" w:space="0" w:color="auto"/>
                                  </w:divBdr>
                                  <w:divsChild>
                                    <w:div w:id="2011056633">
                                      <w:marLeft w:val="0"/>
                                      <w:marRight w:val="0"/>
                                      <w:marTop w:val="0"/>
                                      <w:marBottom w:val="0"/>
                                      <w:divBdr>
                                        <w:top w:val="none" w:sz="0" w:space="0" w:color="auto"/>
                                        <w:left w:val="none" w:sz="0" w:space="0" w:color="auto"/>
                                        <w:bottom w:val="none" w:sz="0" w:space="0" w:color="auto"/>
                                        <w:right w:val="none" w:sz="0" w:space="0" w:color="auto"/>
                                      </w:divBdr>
                                      <w:divsChild>
                                        <w:div w:id="34933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90856264">
      <w:bodyDiv w:val="1"/>
      <w:marLeft w:val="0"/>
      <w:marRight w:val="0"/>
      <w:marTop w:val="0"/>
      <w:marBottom w:val="0"/>
      <w:divBdr>
        <w:top w:val="none" w:sz="0" w:space="0" w:color="auto"/>
        <w:left w:val="none" w:sz="0" w:space="0" w:color="auto"/>
        <w:bottom w:val="none" w:sz="0" w:space="0" w:color="auto"/>
        <w:right w:val="none" w:sz="0" w:space="0" w:color="auto"/>
      </w:divBdr>
    </w:div>
    <w:div w:id="1712999005">
      <w:bodyDiv w:val="1"/>
      <w:marLeft w:val="0"/>
      <w:marRight w:val="0"/>
      <w:marTop w:val="0"/>
      <w:marBottom w:val="0"/>
      <w:divBdr>
        <w:top w:val="none" w:sz="0" w:space="0" w:color="auto"/>
        <w:left w:val="none" w:sz="0" w:space="0" w:color="auto"/>
        <w:bottom w:val="none" w:sz="0" w:space="0" w:color="auto"/>
        <w:right w:val="none" w:sz="0" w:space="0" w:color="auto"/>
      </w:divBdr>
      <w:divsChild>
        <w:div w:id="2053385070">
          <w:marLeft w:val="0"/>
          <w:marRight w:val="0"/>
          <w:marTop w:val="0"/>
          <w:marBottom w:val="0"/>
          <w:divBdr>
            <w:top w:val="single" w:sz="2" w:space="8" w:color="FF0000"/>
            <w:left w:val="single" w:sz="2" w:space="11" w:color="FF0000"/>
            <w:bottom w:val="single" w:sz="2" w:space="4" w:color="FF0000"/>
            <w:right w:val="single" w:sz="2" w:space="4" w:color="FF0000"/>
          </w:divBdr>
          <w:divsChild>
            <w:div w:id="2086756061">
              <w:marLeft w:val="0"/>
              <w:marRight w:val="0"/>
              <w:marTop w:val="0"/>
              <w:marBottom w:val="0"/>
              <w:divBdr>
                <w:top w:val="none" w:sz="0" w:space="0" w:color="auto"/>
                <w:left w:val="none" w:sz="0" w:space="0" w:color="auto"/>
                <w:bottom w:val="none" w:sz="0" w:space="0" w:color="auto"/>
                <w:right w:val="none" w:sz="0" w:space="0" w:color="auto"/>
              </w:divBdr>
              <w:divsChild>
                <w:div w:id="1614173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3.xml"/><Relationship Id="rId18" Type="http://schemas.openxmlformats.org/officeDocument/2006/relationships/chart" Target="charts/chart6.xml"/><Relationship Id="rId26" Type="http://schemas.openxmlformats.org/officeDocument/2006/relationships/chart" Target="charts/chart14.xml"/><Relationship Id="rId39" Type="http://schemas.openxmlformats.org/officeDocument/2006/relationships/chart" Target="charts/chart27.xml"/><Relationship Id="rId3" Type="http://schemas.openxmlformats.org/officeDocument/2006/relationships/styles" Target="styles.xml"/><Relationship Id="rId21" Type="http://schemas.openxmlformats.org/officeDocument/2006/relationships/chart" Target="charts/chart9.xml"/><Relationship Id="rId34" Type="http://schemas.openxmlformats.org/officeDocument/2006/relationships/chart" Target="charts/chart22.xml"/><Relationship Id="rId42" Type="http://schemas.openxmlformats.org/officeDocument/2006/relationships/image" Target="media/image7.emf"/><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chart" Target="charts/chart2.xml"/><Relationship Id="rId17" Type="http://schemas.openxmlformats.org/officeDocument/2006/relationships/image" Target="media/image4.emf"/><Relationship Id="rId25" Type="http://schemas.openxmlformats.org/officeDocument/2006/relationships/chart" Target="charts/chart13.xml"/><Relationship Id="rId33" Type="http://schemas.openxmlformats.org/officeDocument/2006/relationships/chart" Target="charts/chart21.xml"/><Relationship Id="rId38" Type="http://schemas.openxmlformats.org/officeDocument/2006/relationships/chart" Target="charts/chart26.xml"/><Relationship Id="rId46"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hart" Target="charts/chart5.xml"/><Relationship Id="rId20" Type="http://schemas.openxmlformats.org/officeDocument/2006/relationships/chart" Target="charts/chart8.xml"/><Relationship Id="rId29" Type="http://schemas.openxmlformats.org/officeDocument/2006/relationships/chart" Target="charts/chart17.xml"/><Relationship Id="rId41"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chart" Target="charts/chart12.xml"/><Relationship Id="rId32" Type="http://schemas.openxmlformats.org/officeDocument/2006/relationships/chart" Target="charts/chart20.xml"/><Relationship Id="rId37" Type="http://schemas.openxmlformats.org/officeDocument/2006/relationships/chart" Target="charts/chart25.xml"/><Relationship Id="rId40" Type="http://schemas.openxmlformats.org/officeDocument/2006/relationships/image" Target="media/image5.emf"/><Relationship Id="rId45"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3.emf"/><Relationship Id="rId23" Type="http://schemas.openxmlformats.org/officeDocument/2006/relationships/chart" Target="charts/chart11.xml"/><Relationship Id="rId28" Type="http://schemas.openxmlformats.org/officeDocument/2006/relationships/chart" Target="charts/chart16.xml"/><Relationship Id="rId36" Type="http://schemas.openxmlformats.org/officeDocument/2006/relationships/chart" Target="charts/chart24.xml"/><Relationship Id="rId10" Type="http://schemas.openxmlformats.org/officeDocument/2006/relationships/chart" Target="charts/chart1.xml"/><Relationship Id="rId19" Type="http://schemas.openxmlformats.org/officeDocument/2006/relationships/chart" Target="charts/chart7.xml"/><Relationship Id="rId31" Type="http://schemas.openxmlformats.org/officeDocument/2006/relationships/chart" Target="charts/chart19.xml"/><Relationship Id="rId44"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chart" Target="charts/chart4.xml"/><Relationship Id="rId22" Type="http://schemas.openxmlformats.org/officeDocument/2006/relationships/chart" Target="charts/chart10.xml"/><Relationship Id="rId27" Type="http://schemas.openxmlformats.org/officeDocument/2006/relationships/chart" Target="charts/chart15.xml"/><Relationship Id="rId30" Type="http://schemas.openxmlformats.org/officeDocument/2006/relationships/chart" Target="charts/chart18.xml"/><Relationship Id="rId35" Type="http://schemas.openxmlformats.org/officeDocument/2006/relationships/chart" Target="charts/chart23.xml"/><Relationship Id="rId43" Type="http://schemas.openxmlformats.org/officeDocument/2006/relationships/header" Target="header1.xml"/><Relationship Id="rId48"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1.xml"/></Relationships>
</file>

<file path=word/charts/_rels/chart12.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2.xml"/></Relationships>
</file>

<file path=word/charts/_rels/chart13.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3.xml"/></Relationships>
</file>

<file path=word/charts/_rels/chart14.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4.xml"/></Relationships>
</file>

<file path=word/charts/_rels/chart15.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5.xml"/></Relationships>
</file>

<file path=word/charts/_rels/chart16.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6.xml"/></Relationships>
</file>

<file path=word/charts/_rels/chart17.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7.xml"/></Relationships>
</file>

<file path=word/charts/_rels/chart18.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8.xml"/></Relationships>
</file>

<file path=word/charts/_rels/chart19.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9.xml"/></Relationships>
</file>

<file path=word/charts/_rels/chart2.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2.xml"/></Relationships>
</file>

<file path=word/charts/_rels/chart20.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20.xml"/></Relationships>
</file>

<file path=word/charts/_rels/chart21.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21.xml"/></Relationships>
</file>

<file path=word/charts/_rels/chart22.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22.xml"/></Relationships>
</file>

<file path=word/charts/_rels/chart23.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23.xml"/></Relationships>
</file>

<file path=word/charts/_rels/chart24.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24.xml"/></Relationships>
</file>

<file path=word/charts/_rels/chart25.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25.xml"/></Relationships>
</file>

<file path=word/charts/_rels/chart26.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26.xml"/></Relationships>
</file>

<file path=word/charts/_rels/chart27.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27.xml"/></Relationships>
</file>

<file path=word/charts/_rels/chart3.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file:///\\mel_1\groups\Monitor\04%20Working%20Groups\01%20Report%20general\02%20Child%20care,%20education%20and%20training%20sector%20overview\04%20Data\2014%20Report\2014%20Chap%20B%20charts.xlsm"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0"/>
          <c:order val="0"/>
          <c:tx>
            <c:strRef>
              <c:f>'fig B.1'!$B$10</c:f>
              <c:strCache>
                <c:ptCount val="1"/>
                <c:pt idx="0">
                  <c:v>Australian Government</c:v>
                </c:pt>
              </c:strCache>
            </c:strRef>
          </c:tx>
          <c:spPr>
            <a:solidFill>
              <a:sysClr val="window" lastClr="FFFFFF">
                <a:lumMod val="75000"/>
              </a:sysClr>
            </a:solidFill>
            <a:ln>
              <a:solidFill>
                <a:srgbClr val="000000"/>
              </a:solidFill>
            </a:ln>
          </c:spPr>
          <c:invertIfNegative val="0"/>
          <c:cat>
            <c:strRef>
              <c:f>'fig B.1'!$C$9:$G$9</c:f>
              <c:strCache>
                <c:ptCount val="5"/>
                <c:pt idx="0">
                  <c:v>2007-08</c:v>
                </c:pt>
                <c:pt idx="1">
                  <c:v>2008-09</c:v>
                </c:pt>
                <c:pt idx="2">
                  <c:v>2009-10</c:v>
                </c:pt>
                <c:pt idx="3">
                  <c:v>2010-11</c:v>
                </c:pt>
                <c:pt idx="4">
                  <c:v>2011-12</c:v>
                </c:pt>
              </c:strCache>
            </c:strRef>
          </c:cat>
          <c:val>
            <c:numRef>
              <c:f>'fig B.1'!$C$10:$G$10</c:f>
              <c:numCache>
                <c:formatCode>0.0</c:formatCode>
                <c:ptCount val="5"/>
                <c:pt idx="0">
                  <c:v>1.2412231030577567</c:v>
                </c:pt>
                <c:pt idx="1">
                  <c:v>2.4133042529989108</c:v>
                </c:pt>
                <c:pt idx="2">
                  <c:v>5.1487778958554697</c:v>
                </c:pt>
                <c:pt idx="3">
                  <c:v>6.9399185336048905</c:v>
                </c:pt>
                <c:pt idx="4">
                  <c:v>4.6040000000000001</c:v>
                </c:pt>
              </c:numCache>
            </c:numRef>
          </c:val>
        </c:ser>
        <c:ser>
          <c:idx val="1"/>
          <c:order val="1"/>
          <c:tx>
            <c:strRef>
              <c:f>'fig B.1'!$B$11</c:f>
              <c:strCache>
                <c:ptCount val="1"/>
                <c:pt idx="0">
                  <c:v>State and Territory (including local) government</c:v>
                </c:pt>
              </c:strCache>
            </c:strRef>
          </c:tx>
          <c:spPr>
            <a:pattFill prst="wdUpDiag">
              <a:fgClr>
                <a:schemeClr val="tx1"/>
              </a:fgClr>
              <a:bgClr>
                <a:schemeClr val="bg1"/>
              </a:bgClr>
            </a:pattFill>
            <a:ln>
              <a:solidFill>
                <a:sysClr val="windowText" lastClr="000000"/>
              </a:solidFill>
            </a:ln>
          </c:spPr>
          <c:invertIfNegative val="0"/>
          <c:cat>
            <c:strRef>
              <c:f>'fig B.1'!$C$9:$G$9</c:f>
              <c:strCache>
                <c:ptCount val="5"/>
                <c:pt idx="0">
                  <c:v>2007-08</c:v>
                </c:pt>
                <c:pt idx="1">
                  <c:v>2008-09</c:v>
                </c:pt>
                <c:pt idx="2">
                  <c:v>2009-10</c:v>
                </c:pt>
                <c:pt idx="3">
                  <c:v>2010-11</c:v>
                </c:pt>
                <c:pt idx="4">
                  <c:v>2011-12</c:v>
                </c:pt>
              </c:strCache>
            </c:strRef>
          </c:cat>
          <c:val>
            <c:numRef>
              <c:f>'fig B.1'!$C$11:$G$11</c:f>
              <c:numCache>
                <c:formatCode>0.0</c:formatCode>
                <c:ptCount val="5"/>
                <c:pt idx="0">
                  <c:v>44.518686296715742</c:v>
                </c:pt>
                <c:pt idx="1">
                  <c:v>46.800436205016354</c:v>
                </c:pt>
                <c:pt idx="2">
                  <c:v>51.716259298618496</c:v>
                </c:pt>
                <c:pt idx="3">
                  <c:v>50.344195519348268</c:v>
                </c:pt>
                <c:pt idx="4">
                  <c:v>50.591000000000001</c:v>
                </c:pt>
              </c:numCache>
            </c:numRef>
          </c:val>
        </c:ser>
        <c:ser>
          <c:idx val="2"/>
          <c:order val="2"/>
          <c:tx>
            <c:strRef>
              <c:f>'fig B.1'!$B$12</c:f>
              <c:strCache>
                <c:ptCount val="1"/>
                <c:pt idx="0">
                  <c:v>Multijurisdictional (university)</c:v>
                </c:pt>
              </c:strCache>
            </c:strRef>
          </c:tx>
          <c:spPr>
            <a:solidFill>
              <a:schemeClr val="bg1">
                <a:lumMod val="50000"/>
              </a:schemeClr>
            </a:solidFill>
            <a:ln>
              <a:solidFill>
                <a:sysClr val="windowText" lastClr="000000"/>
              </a:solidFill>
            </a:ln>
          </c:spPr>
          <c:invertIfNegative val="0"/>
          <c:cat>
            <c:strRef>
              <c:f>'fig B.1'!$C$9:$G$9</c:f>
              <c:strCache>
                <c:ptCount val="5"/>
                <c:pt idx="0">
                  <c:v>2007-08</c:v>
                </c:pt>
                <c:pt idx="1">
                  <c:v>2008-09</c:v>
                </c:pt>
                <c:pt idx="2">
                  <c:v>2009-10</c:v>
                </c:pt>
                <c:pt idx="3">
                  <c:v>2010-11</c:v>
                </c:pt>
                <c:pt idx="4">
                  <c:v>2011-12</c:v>
                </c:pt>
              </c:strCache>
            </c:strRef>
          </c:cat>
          <c:val>
            <c:numRef>
              <c:f>'fig B.1'!$C$12:$G$12</c:f>
              <c:numCache>
                <c:formatCode>0.0</c:formatCode>
                <c:ptCount val="5"/>
                <c:pt idx="0">
                  <c:v>17.11551528878822</c:v>
                </c:pt>
                <c:pt idx="1">
                  <c:v>18.797164667393673</c:v>
                </c:pt>
                <c:pt idx="2">
                  <c:v>19.087141339001064</c:v>
                </c:pt>
                <c:pt idx="3">
                  <c:v>19.768839103869652</c:v>
                </c:pt>
                <c:pt idx="4">
                  <c:v>20.66</c:v>
                </c:pt>
              </c:numCache>
            </c:numRef>
          </c:val>
        </c:ser>
        <c:dLbls>
          <c:showLegendKey val="0"/>
          <c:showVal val="0"/>
          <c:showCatName val="0"/>
          <c:showSerName val="0"/>
          <c:showPercent val="0"/>
          <c:showBubbleSize val="0"/>
        </c:dLbls>
        <c:gapWidth val="150"/>
        <c:overlap val="100"/>
        <c:axId val="130691840"/>
        <c:axId val="130693376"/>
      </c:barChart>
      <c:catAx>
        <c:axId val="130691840"/>
        <c:scaling>
          <c:orientation val="minMax"/>
        </c:scaling>
        <c:delete val="0"/>
        <c:axPos val="b"/>
        <c:majorTickMark val="out"/>
        <c:minorTickMark val="none"/>
        <c:tickLblPos val="nextTo"/>
        <c:crossAx val="130693376"/>
        <c:crosses val="autoZero"/>
        <c:auto val="1"/>
        <c:lblAlgn val="ctr"/>
        <c:lblOffset val="100"/>
        <c:noMultiLvlLbl val="0"/>
      </c:catAx>
      <c:valAx>
        <c:axId val="130693376"/>
        <c:scaling>
          <c:orientation val="minMax"/>
          <c:max val="100"/>
        </c:scaling>
        <c:delete val="0"/>
        <c:axPos val="l"/>
        <c:majorGridlines/>
        <c:title>
          <c:tx>
            <c:rich>
              <a:bodyPr rot="-5400000" vert="horz"/>
              <a:lstStyle/>
              <a:p>
                <a:pPr>
                  <a:defRPr/>
                </a:pPr>
                <a:r>
                  <a:rPr lang="en-US"/>
                  <a:t>$ billion</a:t>
                </a:r>
              </a:p>
            </c:rich>
          </c:tx>
          <c:layout/>
          <c:overlay val="0"/>
        </c:title>
        <c:numFmt formatCode="0" sourceLinked="0"/>
        <c:majorTickMark val="out"/>
        <c:minorTickMark val="none"/>
        <c:tickLblPos val="nextTo"/>
        <c:spPr>
          <a:ln>
            <a:solidFill>
              <a:schemeClr val="tx1"/>
            </a:solidFill>
          </a:ln>
        </c:spPr>
        <c:crossAx val="130691840"/>
        <c:crosses val="autoZero"/>
        <c:crossBetween val="between"/>
        <c:majorUnit val="20"/>
      </c:valAx>
      <c:spPr>
        <a:noFill/>
        <a:ln>
          <a:solidFill>
            <a:schemeClr val="tx1"/>
          </a:solidFill>
        </a:ln>
      </c:spPr>
    </c:plotArea>
    <c:legend>
      <c:legendPos val="t"/>
      <c:layout>
        <c:manualLayout>
          <c:xMode val="edge"/>
          <c:yMode val="edge"/>
          <c:x val="0.10172851851851852"/>
          <c:y val="2.6458333333333334E-2"/>
          <c:w val="0.87180203703703707"/>
          <c:h val="0.21911770833333333"/>
        </c:manualLayout>
      </c:layout>
      <c:overlay val="0"/>
      <c:spPr>
        <a:noFill/>
        <a:ln>
          <a:solidFill>
            <a:sysClr val="windowText" lastClr="000000"/>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298206932060107"/>
          <c:y val="0.33645621666243331"/>
          <c:w val="0.85114470946335752"/>
          <c:h val="0.54402900368300733"/>
        </c:manualLayout>
      </c:layout>
      <c:barChart>
        <c:barDir val="col"/>
        <c:grouping val="stacked"/>
        <c:varyColors val="0"/>
        <c:ser>
          <c:idx val="2"/>
          <c:order val="0"/>
          <c:tx>
            <c:strRef>
              <c:f>'fig B.9'!$A$25</c:f>
              <c:strCache>
                <c:ptCount val="1"/>
                <c:pt idx="0">
                  <c:v>Not enrolled</c:v>
                </c:pt>
              </c:strCache>
            </c:strRef>
          </c:tx>
          <c:spPr>
            <a:solidFill>
              <a:schemeClr val="bg1">
                <a:lumMod val="50000"/>
              </a:schemeClr>
            </a:solidFill>
            <a:ln>
              <a:solidFill>
                <a:sysClr val="windowText" lastClr="000000"/>
              </a:solidFill>
            </a:ln>
          </c:spPr>
          <c:invertIfNegative val="0"/>
          <c:cat>
            <c:strRef>
              <c:f>'fig B.9'!$B$22:$J$22</c:f>
              <c:strCache>
                <c:ptCount val="9"/>
                <c:pt idx="0">
                  <c:v>NSW</c:v>
                </c:pt>
                <c:pt idx="1">
                  <c:v>VIC</c:v>
                </c:pt>
                <c:pt idx="2">
                  <c:v>QLD</c:v>
                </c:pt>
                <c:pt idx="3">
                  <c:v>WA</c:v>
                </c:pt>
                <c:pt idx="4">
                  <c:v>SA</c:v>
                </c:pt>
                <c:pt idx="5">
                  <c:v>Tas</c:v>
                </c:pt>
                <c:pt idx="6">
                  <c:v>ACT</c:v>
                </c:pt>
                <c:pt idx="7">
                  <c:v>NT</c:v>
                </c:pt>
                <c:pt idx="8">
                  <c:v>Aust</c:v>
                </c:pt>
              </c:strCache>
            </c:strRef>
          </c:cat>
          <c:val>
            <c:numRef>
              <c:f>'fig B.9'!$B$25:$J$25</c:f>
              <c:numCache>
                <c:formatCode>General</c:formatCode>
                <c:ptCount val="9"/>
                <c:pt idx="0">
                  <c:v>37.1</c:v>
                </c:pt>
                <c:pt idx="1">
                  <c:v>36.700000000000003</c:v>
                </c:pt>
                <c:pt idx="2">
                  <c:v>47.7</c:v>
                </c:pt>
                <c:pt idx="3">
                  <c:v>41.2</c:v>
                </c:pt>
                <c:pt idx="4">
                  <c:v>43.1</c:v>
                </c:pt>
                <c:pt idx="5">
                  <c:v>47.1</c:v>
                </c:pt>
                <c:pt idx="6">
                  <c:v>44.9</c:v>
                </c:pt>
                <c:pt idx="7">
                  <c:v>71.8</c:v>
                </c:pt>
                <c:pt idx="8">
                  <c:v>41.1</c:v>
                </c:pt>
              </c:numCache>
            </c:numRef>
          </c:val>
        </c:ser>
        <c:ser>
          <c:idx val="3"/>
          <c:order val="1"/>
          <c:tx>
            <c:strRef>
              <c:f>'fig B.9'!$A$26</c:f>
              <c:strCache>
                <c:ptCount val="1"/>
                <c:pt idx="0">
                  <c:v>Enrolled (category breakdown not reported)</c:v>
                </c:pt>
              </c:strCache>
            </c:strRef>
          </c:tx>
          <c:spPr>
            <a:pattFill prst="openDmnd">
              <a:fgClr>
                <a:schemeClr val="tx1"/>
              </a:fgClr>
              <a:bgClr>
                <a:schemeClr val="bg1"/>
              </a:bgClr>
            </a:pattFill>
            <a:ln>
              <a:solidFill>
                <a:sysClr val="windowText" lastClr="000000"/>
              </a:solidFill>
            </a:ln>
          </c:spPr>
          <c:invertIfNegative val="0"/>
          <c:cat>
            <c:strRef>
              <c:f>'fig B.9'!$B$22:$J$22</c:f>
              <c:strCache>
                <c:ptCount val="9"/>
                <c:pt idx="0">
                  <c:v>NSW</c:v>
                </c:pt>
                <c:pt idx="1">
                  <c:v>VIC</c:v>
                </c:pt>
                <c:pt idx="2">
                  <c:v>QLD</c:v>
                </c:pt>
                <c:pt idx="3">
                  <c:v>WA</c:v>
                </c:pt>
                <c:pt idx="4">
                  <c:v>SA</c:v>
                </c:pt>
                <c:pt idx="5">
                  <c:v>Tas</c:v>
                </c:pt>
                <c:pt idx="6">
                  <c:v>ACT</c:v>
                </c:pt>
                <c:pt idx="7">
                  <c:v>NT</c:v>
                </c:pt>
                <c:pt idx="8">
                  <c:v>Aust</c:v>
                </c:pt>
              </c:strCache>
            </c:strRef>
          </c:cat>
          <c:val>
            <c:numRef>
              <c:f>'fig B.9'!$B$26:$J$26</c:f>
              <c:numCache>
                <c:formatCode>General</c:formatCode>
                <c:ptCount val="9"/>
                <c:pt idx="0">
                  <c:v>0</c:v>
                </c:pt>
                <c:pt idx="1">
                  <c:v>0</c:v>
                </c:pt>
                <c:pt idx="2">
                  <c:v>9.9999999999994316E-2</c:v>
                </c:pt>
                <c:pt idx="3">
                  <c:v>0</c:v>
                </c:pt>
                <c:pt idx="4">
                  <c:v>0</c:v>
                </c:pt>
                <c:pt idx="5">
                  <c:v>0</c:v>
                </c:pt>
                <c:pt idx="6">
                  <c:v>20.700000000000003</c:v>
                </c:pt>
                <c:pt idx="7">
                  <c:v>28.200000000000003</c:v>
                </c:pt>
                <c:pt idx="8">
                  <c:v>9.9999999999994316E-2</c:v>
                </c:pt>
              </c:numCache>
            </c:numRef>
          </c:val>
        </c:ser>
        <c:ser>
          <c:idx val="1"/>
          <c:order val="2"/>
          <c:tx>
            <c:strRef>
              <c:f>'fig B.9'!$A$24</c:f>
              <c:strCache>
                <c:ptCount val="1"/>
                <c:pt idx="0">
                  <c:v>TAFE or other study</c:v>
                </c:pt>
              </c:strCache>
            </c:strRef>
          </c:tx>
          <c:spPr>
            <a:pattFill prst="wdUpDiag">
              <a:fgClr>
                <a:schemeClr val="tx1"/>
              </a:fgClr>
              <a:bgClr>
                <a:schemeClr val="bg1"/>
              </a:bgClr>
            </a:pattFill>
            <a:ln>
              <a:solidFill>
                <a:sysClr val="windowText" lastClr="000000"/>
              </a:solidFill>
            </a:ln>
          </c:spPr>
          <c:invertIfNegative val="0"/>
          <c:cat>
            <c:strRef>
              <c:f>'fig B.9'!$B$22:$J$22</c:f>
              <c:strCache>
                <c:ptCount val="9"/>
                <c:pt idx="0">
                  <c:v>NSW</c:v>
                </c:pt>
                <c:pt idx="1">
                  <c:v>VIC</c:v>
                </c:pt>
                <c:pt idx="2">
                  <c:v>QLD</c:v>
                </c:pt>
                <c:pt idx="3">
                  <c:v>WA</c:v>
                </c:pt>
                <c:pt idx="4">
                  <c:v>SA</c:v>
                </c:pt>
                <c:pt idx="5">
                  <c:v>Tas</c:v>
                </c:pt>
                <c:pt idx="6">
                  <c:v>ACT</c:v>
                </c:pt>
                <c:pt idx="7">
                  <c:v>NT</c:v>
                </c:pt>
                <c:pt idx="8">
                  <c:v>Aust</c:v>
                </c:pt>
              </c:strCache>
            </c:strRef>
          </c:cat>
          <c:val>
            <c:numRef>
              <c:f>'fig B.9'!$B$24:$J$24</c:f>
              <c:numCache>
                <c:formatCode>General</c:formatCode>
                <c:ptCount val="9"/>
                <c:pt idx="0">
                  <c:v>30.3</c:v>
                </c:pt>
                <c:pt idx="1">
                  <c:v>24.1</c:v>
                </c:pt>
                <c:pt idx="2">
                  <c:v>21.599999999999998</c:v>
                </c:pt>
                <c:pt idx="3">
                  <c:v>24.700000000000003</c:v>
                </c:pt>
                <c:pt idx="4">
                  <c:v>23.1</c:v>
                </c:pt>
                <c:pt idx="5">
                  <c:v>27.3</c:v>
                </c:pt>
                <c:pt idx="6">
                  <c:v>0</c:v>
                </c:pt>
                <c:pt idx="7">
                  <c:v>0</c:v>
                </c:pt>
                <c:pt idx="8">
                  <c:v>25.3</c:v>
                </c:pt>
              </c:numCache>
            </c:numRef>
          </c:val>
        </c:ser>
        <c:ser>
          <c:idx val="0"/>
          <c:order val="3"/>
          <c:tx>
            <c:strRef>
              <c:f>'fig B.9'!$A$23</c:f>
              <c:strCache>
                <c:ptCount val="1"/>
                <c:pt idx="0">
                  <c:v>Higher education</c:v>
                </c:pt>
              </c:strCache>
            </c:strRef>
          </c:tx>
          <c:spPr>
            <a:solidFill>
              <a:sysClr val="window" lastClr="FFFFFF">
                <a:lumMod val="75000"/>
              </a:sysClr>
            </a:solidFill>
            <a:ln>
              <a:solidFill>
                <a:srgbClr val="000000"/>
              </a:solidFill>
            </a:ln>
          </c:spPr>
          <c:invertIfNegative val="0"/>
          <c:cat>
            <c:strRef>
              <c:f>'fig B.9'!$B$22:$J$22</c:f>
              <c:strCache>
                <c:ptCount val="9"/>
                <c:pt idx="0">
                  <c:v>NSW</c:v>
                </c:pt>
                <c:pt idx="1">
                  <c:v>VIC</c:v>
                </c:pt>
                <c:pt idx="2">
                  <c:v>QLD</c:v>
                </c:pt>
                <c:pt idx="3">
                  <c:v>WA</c:v>
                </c:pt>
                <c:pt idx="4">
                  <c:v>SA</c:v>
                </c:pt>
                <c:pt idx="5">
                  <c:v>Tas</c:v>
                </c:pt>
                <c:pt idx="6">
                  <c:v>ACT</c:v>
                </c:pt>
                <c:pt idx="7">
                  <c:v>NT</c:v>
                </c:pt>
                <c:pt idx="8">
                  <c:v>Aust</c:v>
                </c:pt>
              </c:strCache>
            </c:strRef>
          </c:cat>
          <c:val>
            <c:numRef>
              <c:f>'fig B.9'!$B$23:$J$23</c:f>
              <c:numCache>
                <c:formatCode>General</c:formatCode>
                <c:ptCount val="9"/>
                <c:pt idx="0">
                  <c:v>32.6</c:v>
                </c:pt>
                <c:pt idx="1">
                  <c:v>39.200000000000003</c:v>
                </c:pt>
                <c:pt idx="2">
                  <c:v>30.6</c:v>
                </c:pt>
                <c:pt idx="3">
                  <c:v>34.1</c:v>
                </c:pt>
                <c:pt idx="4">
                  <c:v>33.799999999999997</c:v>
                </c:pt>
                <c:pt idx="5">
                  <c:v>25.6</c:v>
                </c:pt>
                <c:pt idx="6">
                  <c:v>34.4</c:v>
                </c:pt>
                <c:pt idx="7">
                  <c:v>0</c:v>
                </c:pt>
                <c:pt idx="8">
                  <c:v>33.5</c:v>
                </c:pt>
              </c:numCache>
            </c:numRef>
          </c:val>
        </c:ser>
        <c:dLbls>
          <c:showLegendKey val="0"/>
          <c:showVal val="0"/>
          <c:showCatName val="0"/>
          <c:showSerName val="0"/>
          <c:showPercent val="0"/>
          <c:showBubbleSize val="0"/>
        </c:dLbls>
        <c:gapWidth val="150"/>
        <c:overlap val="100"/>
        <c:axId val="140565888"/>
        <c:axId val="140571776"/>
      </c:barChart>
      <c:catAx>
        <c:axId val="140565888"/>
        <c:scaling>
          <c:orientation val="minMax"/>
        </c:scaling>
        <c:delete val="0"/>
        <c:axPos val="b"/>
        <c:majorTickMark val="out"/>
        <c:minorTickMark val="none"/>
        <c:tickLblPos val="nextTo"/>
        <c:crossAx val="140571776"/>
        <c:crosses val="autoZero"/>
        <c:auto val="1"/>
        <c:lblAlgn val="ctr"/>
        <c:lblOffset val="100"/>
        <c:noMultiLvlLbl val="0"/>
      </c:catAx>
      <c:valAx>
        <c:axId val="140571776"/>
        <c:scaling>
          <c:orientation val="minMax"/>
          <c:max val="100"/>
        </c:scaling>
        <c:delete val="0"/>
        <c:axPos val="l"/>
        <c:majorGridlines/>
        <c:title>
          <c:tx>
            <c:rich>
              <a:bodyPr rot="-5400000" vert="horz"/>
              <a:lstStyle/>
              <a:p>
                <a:pPr>
                  <a:defRPr/>
                </a:pPr>
                <a:r>
                  <a:rPr lang="en-US"/>
                  <a:t>Per cent</a:t>
                </a:r>
              </a:p>
            </c:rich>
          </c:tx>
          <c:layout/>
          <c:overlay val="0"/>
        </c:title>
        <c:numFmt formatCode="#,##0" sourceLinked="0"/>
        <c:majorTickMark val="out"/>
        <c:minorTickMark val="none"/>
        <c:tickLblPos val="nextTo"/>
        <c:spPr>
          <a:ln>
            <a:solidFill>
              <a:schemeClr val="tx1"/>
            </a:solidFill>
          </a:ln>
        </c:spPr>
        <c:crossAx val="140565888"/>
        <c:crosses val="autoZero"/>
        <c:crossBetween val="between"/>
        <c:majorUnit val="20"/>
      </c:valAx>
      <c:spPr>
        <a:noFill/>
        <a:ln>
          <a:solidFill>
            <a:schemeClr val="tx1"/>
          </a:solidFill>
        </a:ln>
      </c:spPr>
    </c:plotArea>
    <c:legend>
      <c:legendPos val="t"/>
      <c:layout>
        <c:manualLayout>
          <c:xMode val="edge"/>
          <c:yMode val="edge"/>
          <c:x val="3.923733938019653E-2"/>
          <c:y val="2.6164444444444445E-2"/>
          <c:w val="0.93913699924414207"/>
          <c:h val="0.24979222222222222"/>
        </c:manualLayout>
      </c:layout>
      <c:overlay val="0"/>
      <c:spPr>
        <a:ln>
          <a:solidFill>
            <a:sysClr val="windowText" lastClr="000000"/>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'fig B.10'!$A$3</c:f>
              <c:strCache>
                <c:ptCount val="1"/>
                <c:pt idx="0">
                  <c:v>Participation </c:v>
                </c:pt>
              </c:strCache>
            </c:strRef>
          </c:tx>
          <c:spPr>
            <a:solidFill>
              <a:sysClr val="window" lastClr="FFFFFF">
                <a:lumMod val="75000"/>
              </a:sysClr>
            </a:solidFill>
            <a:ln>
              <a:solidFill>
                <a:srgbClr val="000000"/>
              </a:solidFill>
            </a:ln>
          </c:spPr>
          <c:invertIfNegative val="0"/>
          <c:cat>
            <c:strRef>
              <c:f>'fig B.10'!$B$2:$E$2</c:f>
              <c:strCache>
                <c:ptCount val="4"/>
                <c:pt idx="0">
                  <c:v>Disability </c:v>
                </c:pt>
                <c:pt idx="1">
                  <c:v>Regional </c:v>
                </c:pt>
                <c:pt idx="2">
                  <c:v>Indigenous</c:v>
                </c:pt>
                <c:pt idx="3">
                  <c:v>Low SES</c:v>
                </c:pt>
              </c:strCache>
            </c:strRef>
          </c:cat>
          <c:val>
            <c:numRef>
              <c:f>'fig B.10'!$B$3:$E$3</c:f>
              <c:numCache>
                <c:formatCode>#,##0.0</c:formatCode>
                <c:ptCount val="4"/>
                <c:pt idx="0">
                  <c:v>3.7</c:v>
                </c:pt>
                <c:pt idx="1">
                  <c:v>18.7</c:v>
                </c:pt>
                <c:pt idx="2">
                  <c:v>1</c:v>
                </c:pt>
                <c:pt idx="3">
                  <c:v>15.9</c:v>
                </c:pt>
              </c:numCache>
            </c:numRef>
          </c:val>
        </c:ser>
        <c:ser>
          <c:idx val="1"/>
          <c:order val="1"/>
          <c:tx>
            <c:strRef>
              <c:f>'fig B.10'!$A$4</c:f>
              <c:strCache>
                <c:ptCount val="1"/>
                <c:pt idx="0">
                  <c:v>Representation in the community</c:v>
                </c:pt>
              </c:strCache>
            </c:strRef>
          </c:tx>
          <c:spPr>
            <a:pattFill prst="wdUpDiag">
              <a:fgClr>
                <a:schemeClr val="tx1"/>
              </a:fgClr>
              <a:bgClr>
                <a:schemeClr val="bg1"/>
              </a:bgClr>
            </a:pattFill>
            <a:ln>
              <a:solidFill>
                <a:sysClr val="windowText" lastClr="000000"/>
              </a:solidFill>
            </a:ln>
          </c:spPr>
          <c:invertIfNegative val="0"/>
          <c:cat>
            <c:strRef>
              <c:f>'fig B.10'!$B$2:$E$2</c:f>
              <c:strCache>
                <c:ptCount val="4"/>
                <c:pt idx="0">
                  <c:v>Disability </c:v>
                </c:pt>
                <c:pt idx="1">
                  <c:v>Regional </c:v>
                </c:pt>
                <c:pt idx="2">
                  <c:v>Indigenous</c:v>
                </c:pt>
                <c:pt idx="3">
                  <c:v>Low SES</c:v>
                </c:pt>
              </c:strCache>
            </c:strRef>
          </c:cat>
          <c:val>
            <c:numRef>
              <c:f>'fig B.10'!$B$4:$E$4</c:f>
              <c:numCache>
                <c:formatCode>#,##0.0</c:formatCode>
                <c:ptCount val="4"/>
                <c:pt idx="0">
                  <c:v>18.5</c:v>
                </c:pt>
                <c:pt idx="1">
                  <c:v>29.8</c:v>
                </c:pt>
                <c:pt idx="2">
                  <c:v>3</c:v>
                </c:pt>
                <c:pt idx="3">
                  <c:v>25</c:v>
                </c:pt>
              </c:numCache>
            </c:numRef>
          </c:val>
        </c:ser>
        <c:dLbls>
          <c:showLegendKey val="0"/>
          <c:showVal val="0"/>
          <c:showCatName val="0"/>
          <c:showSerName val="0"/>
          <c:showPercent val="0"/>
          <c:showBubbleSize val="0"/>
        </c:dLbls>
        <c:gapWidth val="150"/>
        <c:axId val="140674944"/>
        <c:axId val="140676480"/>
      </c:barChart>
      <c:catAx>
        <c:axId val="140674944"/>
        <c:scaling>
          <c:orientation val="minMax"/>
        </c:scaling>
        <c:delete val="0"/>
        <c:axPos val="b"/>
        <c:majorTickMark val="out"/>
        <c:minorTickMark val="none"/>
        <c:tickLblPos val="nextTo"/>
        <c:crossAx val="140676480"/>
        <c:crosses val="autoZero"/>
        <c:auto val="1"/>
        <c:lblAlgn val="ctr"/>
        <c:lblOffset val="100"/>
        <c:noMultiLvlLbl val="0"/>
      </c:catAx>
      <c:valAx>
        <c:axId val="140676480"/>
        <c:scaling>
          <c:orientation val="minMax"/>
          <c:max val="40"/>
        </c:scaling>
        <c:delete val="0"/>
        <c:axPos val="l"/>
        <c:majorGridlines/>
        <c:title>
          <c:tx>
            <c:rich>
              <a:bodyPr rot="-5400000" vert="horz"/>
              <a:lstStyle/>
              <a:p>
                <a:pPr>
                  <a:defRPr/>
                </a:pPr>
                <a:r>
                  <a:rPr lang="en-US"/>
                  <a:t>Per cent</a:t>
                </a:r>
              </a:p>
            </c:rich>
          </c:tx>
          <c:layout/>
          <c:overlay val="0"/>
        </c:title>
        <c:numFmt formatCode="#,##0" sourceLinked="0"/>
        <c:majorTickMark val="out"/>
        <c:minorTickMark val="none"/>
        <c:tickLblPos val="nextTo"/>
        <c:spPr>
          <a:ln>
            <a:solidFill>
              <a:schemeClr val="tx1"/>
            </a:solidFill>
          </a:ln>
        </c:spPr>
        <c:crossAx val="140674944"/>
        <c:crosses val="autoZero"/>
        <c:crossBetween val="between"/>
        <c:majorUnit val="10"/>
      </c:valAx>
      <c:spPr>
        <a:noFill/>
        <a:ln>
          <a:solidFill>
            <a:schemeClr val="tx1"/>
          </a:solidFill>
        </a:ln>
      </c:spPr>
    </c:plotArea>
    <c:legend>
      <c:legendPos val="t"/>
      <c:layout>
        <c:manualLayout>
          <c:xMode val="edge"/>
          <c:yMode val="edge"/>
          <c:x val="0.17043277777777777"/>
          <c:y val="2.2048611111111113E-2"/>
          <c:w val="0.7249862962962963"/>
          <c:h val="7.5244097222222223E-2"/>
        </c:manualLayout>
      </c:layout>
      <c:overlay val="0"/>
      <c:spPr>
        <a:ln>
          <a:solidFill>
            <a:sysClr val="windowText" lastClr="000000"/>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'fig B.11'!$B$18</c:f>
              <c:strCache>
                <c:ptCount val="1"/>
                <c:pt idx="0">
                  <c:v>15–19</c:v>
                </c:pt>
              </c:strCache>
            </c:strRef>
          </c:tx>
          <c:spPr>
            <a:solidFill>
              <a:sysClr val="window" lastClr="FFFFFF">
                <a:lumMod val="75000"/>
              </a:sysClr>
            </a:solidFill>
            <a:ln>
              <a:solidFill>
                <a:srgbClr val="000000"/>
              </a:solidFill>
            </a:ln>
          </c:spPr>
          <c:invertIfNegative val="0"/>
          <c:errBars>
            <c:errBarType val="both"/>
            <c:errValType val="cust"/>
            <c:noEndCap val="0"/>
            <c:plus>
              <c:numRef>
                <c:f>'fig B.11'!$C$6:$K$6</c:f>
                <c:numCache>
                  <c:formatCode>General</c:formatCode>
                  <c:ptCount val="9"/>
                  <c:pt idx="0">
                    <c:v>2.5</c:v>
                  </c:pt>
                  <c:pt idx="1">
                    <c:v>1.9</c:v>
                  </c:pt>
                  <c:pt idx="2">
                    <c:v>3</c:v>
                  </c:pt>
                  <c:pt idx="3">
                    <c:v>3.7</c:v>
                  </c:pt>
                  <c:pt idx="4">
                    <c:v>4.3</c:v>
                  </c:pt>
                  <c:pt idx="5">
                    <c:v>4.5999999999999996</c:v>
                  </c:pt>
                  <c:pt idx="6">
                    <c:v>5.4</c:v>
                  </c:pt>
                  <c:pt idx="7">
                    <c:v>8.1</c:v>
                  </c:pt>
                  <c:pt idx="8">
                    <c:v>1</c:v>
                  </c:pt>
                </c:numCache>
              </c:numRef>
            </c:plus>
            <c:minus>
              <c:numRef>
                <c:f>'fig B.11'!$C$6:$K$6</c:f>
                <c:numCache>
                  <c:formatCode>General</c:formatCode>
                  <c:ptCount val="9"/>
                  <c:pt idx="0">
                    <c:v>2.5</c:v>
                  </c:pt>
                  <c:pt idx="1">
                    <c:v>1.9</c:v>
                  </c:pt>
                  <c:pt idx="2">
                    <c:v>3</c:v>
                  </c:pt>
                  <c:pt idx="3">
                    <c:v>3.7</c:v>
                  </c:pt>
                  <c:pt idx="4">
                    <c:v>4.3</c:v>
                  </c:pt>
                  <c:pt idx="5">
                    <c:v>4.5999999999999996</c:v>
                  </c:pt>
                  <c:pt idx="6">
                    <c:v>5.4</c:v>
                  </c:pt>
                  <c:pt idx="7">
                    <c:v>8.1</c:v>
                  </c:pt>
                  <c:pt idx="8">
                    <c:v>1</c:v>
                  </c:pt>
                </c:numCache>
              </c:numRef>
            </c:minus>
          </c:errBars>
          <c:cat>
            <c:strRef>
              <c:f>'fig B.11'!$C$17:$K$17</c:f>
              <c:strCache>
                <c:ptCount val="9"/>
                <c:pt idx="0">
                  <c:v>NSW</c:v>
                </c:pt>
                <c:pt idx="1">
                  <c:v>Vic</c:v>
                </c:pt>
                <c:pt idx="2">
                  <c:v>Qld</c:v>
                </c:pt>
                <c:pt idx="3">
                  <c:v>WA</c:v>
                </c:pt>
                <c:pt idx="4">
                  <c:v>SA</c:v>
                </c:pt>
                <c:pt idx="5">
                  <c:v>Tas</c:v>
                </c:pt>
                <c:pt idx="6">
                  <c:v>ACT</c:v>
                </c:pt>
                <c:pt idx="7">
                  <c:v>NT</c:v>
                </c:pt>
                <c:pt idx="8">
                  <c:v>Aust</c:v>
                </c:pt>
              </c:strCache>
            </c:strRef>
          </c:cat>
          <c:val>
            <c:numRef>
              <c:f>'fig B.11'!$C$18:$K$18</c:f>
              <c:numCache>
                <c:formatCode>0.0</c:formatCode>
                <c:ptCount val="9"/>
                <c:pt idx="0">
                  <c:v>87.7</c:v>
                </c:pt>
                <c:pt idx="1">
                  <c:v>87.8</c:v>
                </c:pt>
                <c:pt idx="2">
                  <c:v>83.1</c:v>
                </c:pt>
                <c:pt idx="3">
                  <c:v>87.8</c:v>
                </c:pt>
                <c:pt idx="4">
                  <c:v>84.5</c:v>
                </c:pt>
                <c:pt idx="5">
                  <c:v>87.2</c:v>
                </c:pt>
                <c:pt idx="6">
                  <c:v>87.3</c:v>
                </c:pt>
                <c:pt idx="7">
                  <c:v>86.3</c:v>
                </c:pt>
                <c:pt idx="8">
                  <c:v>86.5</c:v>
                </c:pt>
              </c:numCache>
            </c:numRef>
          </c:val>
        </c:ser>
        <c:ser>
          <c:idx val="1"/>
          <c:order val="1"/>
          <c:tx>
            <c:strRef>
              <c:f>'fig B.11'!$B$19</c:f>
              <c:strCache>
                <c:ptCount val="1"/>
                <c:pt idx="0">
                  <c:v>20–24</c:v>
                </c:pt>
              </c:strCache>
            </c:strRef>
          </c:tx>
          <c:spPr>
            <a:pattFill prst="wdUpDiag">
              <a:fgClr>
                <a:schemeClr val="tx1"/>
              </a:fgClr>
              <a:bgClr>
                <a:schemeClr val="bg1"/>
              </a:bgClr>
            </a:pattFill>
            <a:ln>
              <a:solidFill>
                <a:sysClr val="windowText" lastClr="000000"/>
              </a:solidFill>
            </a:ln>
          </c:spPr>
          <c:invertIfNegative val="0"/>
          <c:errBars>
            <c:errBarType val="both"/>
            <c:errValType val="cust"/>
            <c:noEndCap val="0"/>
            <c:plus>
              <c:numRef>
                <c:f>'fig B.11'!$C$8:$K$8</c:f>
                <c:numCache>
                  <c:formatCode>General</c:formatCode>
                  <c:ptCount val="9"/>
                  <c:pt idx="0">
                    <c:v>3.2</c:v>
                  </c:pt>
                  <c:pt idx="1">
                    <c:v>3.4</c:v>
                  </c:pt>
                  <c:pt idx="2">
                    <c:v>3.4</c:v>
                  </c:pt>
                  <c:pt idx="3">
                    <c:v>3.9</c:v>
                  </c:pt>
                  <c:pt idx="4">
                    <c:v>4.7</c:v>
                  </c:pt>
                  <c:pt idx="5">
                    <c:v>8.3000000000000007</c:v>
                  </c:pt>
                  <c:pt idx="6">
                    <c:v>5.3</c:v>
                  </c:pt>
                  <c:pt idx="7">
                    <c:v>7.5</c:v>
                  </c:pt>
                  <c:pt idx="8">
                    <c:v>1.7</c:v>
                  </c:pt>
                </c:numCache>
              </c:numRef>
            </c:plus>
            <c:minus>
              <c:numRef>
                <c:f>'fig B.11'!$C$8:$K$8</c:f>
                <c:numCache>
                  <c:formatCode>General</c:formatCode>
                  <c:ptCount val="9"/>
                  <c:pt idx="0">
                    <c:v>3.2</c:v>
                  </c:pt>
                  <c:pt idx="1">
                    <c:v>3.4</c:v>
                  </c:pt>
                  <c:pt idx="2">
                    <c:v>3.4</c:v>
                  </c:pt>
                  <c:pt idx="3">
                    <c:v>3.9</c:v>
                  </c:pt>
                  <c:pt idx="4">
                    <c:v>4.7</c:v>
                  </c:pt>
                  <c:pt idx="5">
                    <c:v>8.3000000000000007</c:v>
                  </c:pt>
                  <c:pt idx="6">
                    <c:v>5.3</c:v>
                  </c:pt>
                  <c:pt idx="7">
                    <c:v>7.5</c:v>
                  </c:pt>
                  <c:pt idx="8">
                    <c:v>1.7</c:v>
                  </c:pt>
                </c:numCache>
              </c:numRef>
            </c:minus>
          </c:errBars>
          <c:cat>
            <c:strRef>
              <c:f>'fig B.11'!$C$17:$K$17</c:f>
              <c:strCache>
                <c:ptCount val="9"/>
                <c:pt idx="0">
                  <c:v>NSW</c:v>
                </c:pt>
                <c:pt idx="1">
                  <c:v>Vic</c:v>
                </c:pt>
                <c:pt idx="2">
                  <c:v>Qld</c:v>
                </c:pt>
                <c:pt idx="3">
                  <c:v>WA</c:v>
                </c:pt>
                <c:pt idx="4">
                  <c:v>SA</c:v>
                </c:pt>
                <c:pt idx="5">
                  <c:v>Tas</c:v>
                </c:pt>
                <c:pt idx="6">
                  <c:v>ACT</c:v>
                </c:pt>
                <c:pt idx="7">
                  <c:v>NT</c:v>
                </c:pt>
                <c:pt idx="8">
                  <c:v>Aust</c:v>
                </c:pt>
              </c:strCache>
            </c:strRef>
          </c:cat>
          <c:val>
            <c:numRef>
              <c:f>'fig B.11'!$C$19:$K$19</c:f>
              <c:numCache>
                <c:formatCode>0.0</c:formatCode>
                <c:ptCount val="9"/>
                <c:pt idx="0">
                  <c:v>80</c:v>
                </c:pt>
                <c:pt idx="1">
                  <c:v>76.099999999999994</c:v>
                </c:pt>
                <c:pt idx="2">
                  <c:v>72.5</c:v>
                </c:pt>
                <c:pt idx="3">
                  <c:v>76.8</c:v>
                </c:pt>
                <c:pt idx="4">
                  <c:v>75.099999999999994</c:v>
                </c:pt>
                <c:pt idx="5">
                  <c:v>66.900000000000006</c:v>
                </c:pt>
                <c:pt idx="6">
                  <c:v>86</c:v>
                </c:pt>
                <c:pt idx="7">
                  <c:v>70.099999999999994</c:v>
                </c:pt>
                <c:pt idx="8">
                  <c:v>76.599999999999994</c:v>
                </c:pt>
              </c:numCache>
            </c:numRef>
          </c:val>
        </c:ser>
        <c:ser>
          <c:idx val="2"/>
          <c:order val="2"/>
          <c:tx>
            <c:strRef>
              <c:f>'fig B.11'!$B$20</c:f>
              <c:strCache>
                <c:ptCount val="1"/>
                <c:pt idx="0">
                  <c:v>15–24</c:v>
                </c:pt>
              </c:strCache>
            </c:strRef>
          </c:tx>
          <c:spPr>
            <a:solidFill>
              <a:schemeClr val="bg1">
                <a:lumMod val="50000"/>
              </a:schemeClr>
            </a:solidFill>
            <a:ln>
              <a:solidFill>
                <a:sysClr val="windowText" lastClr="000000"/>
              </a:solidFill>
            </a:ln>
          </c:spPr>
          <c:invertIfNegative val="0"/>
          <c:errBars>
            <c:errBarType val="both"/>
            <c:errValType val="cust"/>
            <c:noEndCap val="0"/>
            <c:plus>
              <c:numRef>
                <c:f>'fig B.11'!$C$10:$K$10</c:f>
                <c:numCache>
                  <c:formatCode>General</c:formatCode>
                  <c:ptCount val="9"/>
                  <c:pt idx="0">
                    <c:v>2.1</c:v>
                  </c:pt>
                  <c:pt idx="1">
                    <c:v>2.1</c:v>
                  </c:pt>
                  <c:pt idx="2">
                    <c:v>2.6</c:v>
                  </c:pt>
                  <c:pt idx="3">
                    <c:v>2.6</c:v>
                  </c:pt>
                  <c:pt idx="4">
                    <c:v>2.8</c:v>
                  </c:pt>
                  <c:pt idx="5">
                    <c:v>4.2</c:v>
                  </c:pt>
                  <c:pt idx="6">
                    <c:v>4.3</c:v>
                  </c:pt>
                  <c:pt idx="7">
                    <c:v>5.5</c:v>
                  </c:pt>
                  <c:pt idx="8">
                    <c:v>1</c:v>
                  </c:pt>
                </c:numCache>
              </c:numRef>
            </c:plus>
            <c:minus>
              <c:numRef>
                <c:f>'fig B.11'!$C$10:$K$10</c:f>
                <c:numCache>
                  <c:formatCode>General</c:formatCode>
                  <c:ptCount val="9"/>
                  <c:pt idx="0">
                    <c:v>2.1</c:v>
                  </c:pt>
                  <c:pt idx="1">
                    <c:v>2.1</c:v>
                  </c:pt>
                  <c:pt idx="2">
                    <c:v>2.6</c:v>
                  </c:pt>
                  <c:pt idx="3">
                    <c:v>2.6</c:v>
                  </c:pt>
                  <c:pt idx="4">
                    <c:v>2.8</c:v>
                  </c:pt>
                  <c:pt idx="5">
                    <c:v>4.2</c:v>
                  </c:pt>
                  <c:pt idx="6">
                    <c:v>4.3</c:v>
                  </c:pt>
                  <c:pt idx="7">
                    <c:v>5.5</c:v>
                  </c:pt>
                  <c:pt idx="8">
                    <c:v>1</c:v>
                  </c:pt>
                </c:numCache>
              </c:numRef>
            </c:minus>
          </c:errBars>
          <c:cat>
            <c:strRef>
              <c:f>'fig B.11'!$C$17:$K$17</c:f>
              <c:strCache>
                <c:ptCount val="9"/>
                <c:pt idx="0">
                  <c:v>NSW</c:v>
                </c:pt>
                <c:pt idx="1">
                  <c:v>Vic</c:v>
                </c:pt>
                <c:pt idx="2">
                  <c:v>Qld</c:v>
                </c:pt>
                <c:pt idx="3">
                  <c:v>WA</c:v>
                </c:pt>
                <c:pt idx="4">
                  <c:v>SA</c:v>
                </c:pt>
                <c:pt idx="5">
                  <c:v>Tas</c:v>
                </c:pt>
                <c:pt idx="6">
                  <c:v>ACT</c:v>
                </c:pt>
                <c:pt idx="7">
                  <c:v>NT</c:v>
                </c:pt>
                <c:pt idx="8">
                  <c:v>Aust</c:v>
                </c:pt>
              </c:strCache>
            </c:strRef>
          </c:cat>
          <c:val>
            <c:numRef>
              <c:f>'fig B.11'!$C$20:$K$20</c:f>
              <c:numCache>
                <c:formatCode>0.0</c:formatCode>
                <c:ptCount val="9"/>
                <c:pt idx="0">
                  <c:v>83.7</c:v>
                </c:pt>
                <c:pt idx="1">
                  <c:v>81.5</c:v>
                </c:pt>
                <c:pt idx="2">
                  <c:v>77.599999999999994</c:v>
                </c:pt>
                <c:pt idx="3">
                  <c:v>81.900000000000006</c:v>
                </c:pt>
                <c:pt idx="4">
                  <c:v>79.599999999999994</c:v>
                </c:pt>
                <c:pt idx="5">
                  <c:v>77.2</c:v>
                </c:pt>
                <c:pt idx="6">
                  <c:v>86.6</c:v>
                </c:pt>
                <c:pt idx="7">
                  <c:v>77.8</c:v>
                </c:pt>
                <c:pt idx="8">
                  <c:v>81.2</c:v>
                </c:pt>
              </c:numCache>
            </c:numRef>
          </c:val>
        </c:ser>
        <c:ser>
          <c:idx val="4"/>
          <c:order val="3"/>
          <c:tx>
            <c:strRef>
              <c:f>'fig B.11'!$B$21</c:f>
              <c:strCache>
                <c:ptCount val="1"/>
                <c:pt idx="0">
                  <c:v>25–29</c:v>
                </c:pt>
              </c:strCache>
            </c:strRef>
          </c:tx>
          <c:spPr>
            <a:pattFill prst="ltVert">
              <a:fgClr>
                <a:schemeClr val="tx1"/>
              </a:fgClr>
              <a:bgClr>
                <a:schemeClr val="bg1"/>
              </a:bgClr>
            </a:pattFill>
            <a:ln>
              <a:solidFill>
                <a:sysClr val="windowText" lastClr="000000"/>
              </a:solidFill>
            </a:ln>
          </c:spPr>
          <c:invertIfNegative val="0"/>
          <c:errBars>
            <c:errBarType val="both"/>
            <c:errValType val="cust"/>
            <c:noEndCap val="0"/>
            <c:plus>
              <c:numRef>
                <c:f>'fig B.11'!$C$12:$K$12</c:f>
                <c:numCache>
                  <c:formatCode>General</c:formatCode>
                  <c:ptCount val="9"/>
                  <c:pt idx="0">
                    <c:v>2.5</c:v>
                  </c:pt>
                  <c:pt idx="1">
                    <c:v>2.7</c:v>
                  </c:pt>
                  <c:pt idx="2">
                    <c:v>3.4</c:v>
                  </c:pt>
                  <c:pt idx="3">
                    <c:v>3</c:v>
                  </c:pt>
                  <c:pt idx="4">
                    <c:v>4.4000000000000004</c:v>
                  </c:pt>
                  <c:pt idx="5">
                    <c:v>8.9</c:v>
                  </c:pt>
                  <c:pt idx="6">
                    <c:v>4.9000000000000004</c:v>
                  </c:pt>
                  <c:pt idx="7">
                    <c:v>5.9</c:v>
                  </c:pt>
                  <c:pt idx="8">
                    <c:v>1.3</c:v>
                  </c:pt>
                </c:numCache>
              </c:numRef>
            </c:plus>
            <c:minus>
              <c:numRef>
                <c:f>'fig B.11'!$C$12:$K$12</c:f>
                <c:numCache>
                  <c:formatCode>General</c:formatCode>
                  <c:ptCount val="9"/>
                  <c:pt idx="0">
                    <c:v>2.5</c:v>
                  </c:pt>
                  <c:pt idx="1">
                    <c:v>2.7</c:v>
                  </c:pt>
                  <c:pt idx="2">
                    <c:v>3.4</c:v>
                  </c:pt>
                  <c:pt idx="3">
                    <c:v>3</c:v>
                  </c:pt>
                  <c:pt idx="4">
                    <c:v>4.4000000000000004</c:v>
                  </c:pt>
                  <c:pt idx="5">
                    <c:v>8.9</c:v>
                  </c:pt>
                  <c:pt idx="6">
                    <c:v>4.9000000000000004</c:v>
                  </c:pt>
                  <c:pt idx="7">
                    <c:v>5.9</c:v>
                  </c:pt>
                  <c:pt idx="8">
                    <c:v>1.3</c:v>
                  </c:pt>
                </c:numCache>
              </c:numRef>
            </c:minus>
          </c:errBars>
          <c:cat>
            <c:strRef>
              <c:f>'fig B.11'!$C$17:$K$17</c:f>
              <c:strCache>
                <c:ptCount val="9"/>
                <c:pt idx="0">
                  <c:v>NSW</c:v>
                </c:pt>
                <c:pt idx="1">
                  <c:v>Vic</c:v>
                </c:pt>
                <c:pt idx="2">
                  <c:v>Qld</c:v>
                </c:pt>
                <c:pt idx="3">
                  <c:v>WA</c:v>
                </c:pt>
                <c:pt idx="4">
                  <c:v>SA</c:v>
                </c:pt>
                <c:pt idx="5">
                  <c:v>Tas</c:v>
                </c:pt>
                <c:pt idx="6">
                  <c:v>ACT</c:v>
                </c:pt>
                <c:pt idx="7">
                  <c:v>NT</c:v>
                </c:pt>
                <c:pt idx="8">
                  <c:v>Aust</c:v>
                </c:pt>
              </c:strCache>
            </c:strRef>
          </c:cat>
          <c:val>
            <c:numRef>
              <c:f>'fig B.11'!$C$21:$K$21</c:f>
              <c:numCache>
                <c:formatCode>0.0</c:formatCode>
                <c:ptCount val="9"/>
                <c:pt idx="0">
                  <c:v>73.3</c:v>
                </c:pt>
                <c:pt idx="1">
                  <c:v>73.7</c:v>
                </c:pt>
                <c:pt idx="2">
                  <c:v>72</c:v>
                </c:pt>
                <c:pt idx="3">
                  <c:v>75.2</c:v>
                </c:pt>
                <c:pt idx="4">
                  <c:v>68.900000000000006</c:v>
                </c:pt>
                <c:pt idx="5">
                  <c:v>56.5</c:v>
                </c:pt>
                <c:pt idx="6">
                  <c:v>80.400000000000006</c:v>
                </c:pt>
                <c:pt idx="7">
                  <c:v>74.5</c:v>
                </c:pt>
                <c:pt idx="8">
                  <c:v>72.900000000000006</c:v>
                </c:pt>
              </c:numCache>
            </c:numRef>
          </c:val>
        </c:ser>
        <c:ser>
          <c:idx val="5"/>
          <c:order val="4"/>
          <c:tx>
            <c:strRef>
              <c:f>'fig B.11'!$B$22</c:f>
              <c:strCache>
                <c:ptCount val="1"/>
                <c:pt idx="0">
                  <c:v>15–64</c:v>
                </c:pt>
              </c:strCache>
            </c:strRef>
          </c:tx>
          <c:spPr>
            <a:pattFill prst="wdDnDiag">
              <a:fgClr>
                <a:sysClr val="windowText" lastClr="000000"/>
              </a:fgClr>
              <a:bgClr>
                <a:sysClr val="window" lastClr="FFFFFF"/>
              </a:bgClr>
            </a:pattFill>
            <a:ln>
              <a:solidFill>
                <a:sysClr val="windowText" lastClr="000000"/>
              </a:solidFill>
            </a:ln>
          </c:spPr>
          <c:invertIfNegative val="0"/>
          <c:errBars>
            <c:errBarType val="both"/>
            <c:errValType val="cust"/>
            <c:noEndCap val="0"/>
            <c:plus>
              <c:numRef>
                <c:f>'fig B.11'!$C$14:$K$14</c:f>
                <c:numCache>
                  <c:formatCode>General</c:formatCode>
                  <c:ptCount val="9"/>
                  <c:pt idx="0">
                    <c:v>1</c:v>
                  </c:pt>
                  <c:pt idx="1">
                    <c:v>0.8</c:v>
                  </c:pt>
                  <c:pt idx="2">
                    <c:v>1.2</c:v>
                  </c:pt>
                  <c:pt idx="3">
                    <c:v>1.1000000000000001</c:v>
                  </c:pt>
                  <c:pt idx="4">
                    <c:v>1.6</c:v>
                  </c:pt>
                  <c:pt idx="5">
                    <c:v>2.2000000000000002</c:v>
                  </c:pt>
                  <c:pt idx="6">
                    <c:v>2.2999999999999998</c:v>
                  </c:pt>
                  <c:pt idx="7">
                    <c:v>2.5</c:v>
                  </c:pt>
                  <c:pt idx="8">
                    <c:v>0.4</c:v>
                  </c:pt>
                </c:numCache>
              </c:numRef>
            </c:plus>
            <c:minus>
              <c:numRef>
                <c:f>'fig B.11'!$C$14:$K$14</c:f>
                <c:numCache>
                  <c:formatCode>General</c:formatCode>
                  <c:ptCount val="9"/>
                  <c:pt idx="0">
                    <c:v>1</c:v>
                  </c:pt>
                  <c:pt idx="1">
                    <c:v>0.8</c:v>
                  </c:pt>
                  <c:pt idx="2">
                    <c:v>1.2</c:v>
                  </c:pt>
                  <c:pt idx="3">
                    <c:v>1.1000000000000001</c:v>
                  </c:pt>
                  <c:pt idx="4">
                    <c:v>1.6</c:v>
                  </c:pt>
                  <c:pt idx="5">
                    <c:v>2.2000000000000002</c:v>
                  </c:pt>
                  <c:pt idx="6">
                    <c:v>2.2999999999999998</c:v>
                  </c:pt>
                  <c:pt idx="7">
                    <c:v>2.5</c:v>
                  </c:pt>
                  <c:pt idx="8">
                    <c:v>0.4</c:v>
                  </c:pt>
                </c:numCache>
              </c:numRef>
            </c:minus>
          </c:errBars>
          <c:cat>
            <c:strRef>
              <c:f>'fig B.11'!$C$17:$K$17</c:f>
              <c:strCache>
                <c:ptCount val="9"/>
                <c:pt idx="0">
                  <c:v>NSW</c:v>
                </c:pt>
                <c:pt idx="1">
                  <c:v>Vic</c:v>
                </c:pt>
                <c:pt idx="2">
                  <c:v>Qld</c:v>
                </c:pt>
                <c:pt idx="3">
                  <c:v>WA</c:v>
                </c:pt>
                <c:pt idx="4">
                  <c:v>SA</c:v>
                </c:pt>
                <c:pt idx="5">
                  <c:v>Tas</c:v>
                </c:pt>
                <c:pt idx="6">
                  <c:v>ACT</c:v>
                </c:pt>
                <c:pt idx="7">
                  <c:v>NT</c:v>
                </c:pt>
                <c:pt idx="8">
                  <c:v>Aust</c:v>
                </c:pt>
              </c:strCache>
            </c:strRef>
          </c:cat>
          <c:val>
            <c:numRef>
              <c:f>'fig B.11'!$C$22:$K$22</c:f>
              <c:numCache>
                <c:formatCode>0.0</c:formatCode>
                <c:ptCount val="9"/>
                <c:pt idx="0">
                  <c:v>67.400000000000006</c:v>
                </c:pt>
                <c:pt idx="1">
                  <c:v>65.400000000000006</c:v>
                </c:pt>
                <c:pt idx="2">
                  <c:v>66.3</c:v>
                </c:pt>
                <c:pt idx="3">
                  <c:v>69</c:v>
                </c:pt>
                <c:pt idx="4">
                  <c:v>62.6</c:v>
                </c:pt>
                <c:pt idx="5">
                  <c:v>58.9</c:v>
                </c:pt>
                <c:pt idx="6">
                  <c:v>73.5</c:v>
                </c:pt>
                <c:pt idx="7">
                  <c:v>75.400000000000006</c:v>
                </c:pt>
                <c:pt idx="8">
                  <c:v>66.5</c:v>
                </c:pt>
              </c:numCache>
            </c:numRef>
          </c:val>
        </c:ser>
        <c:dLbls>
          <c:showLegendKey val="0"/>
          <c:showVal val="0"/>
          <c:showCatName val="0"/>
          <c:showSerName val="0"/>
          <c:showPercent val="0"/>
          <c:showBubbleSize val="0"/>
        </c:dLbls>
        <c:gapWidth val="150"/>
        <c:axId val="141046528"/>
        <c:axId val="141048064"/>
      </c:barChart>
      <c:catAx>
        <c:axId val="141046528"/>
        <c:scaling>
          <c:orientation val="minMax"/>
        </c:scaling>
        <c:delete val="0"/>
        <c:axPos val="b"/>
        <c:majorTickMark val="out"/>
        <c:minorTickMark val="none"/>
        <c:tickLblPos val="nextTo"/>
        <c:crossAx val="141048064"/>
        <c:crosses val="autoZero"/>
        <c:auto val="1"/>
        <c:lblAlgn val="ctr"/>
        <c:lblOffset val="100"/>
        <c:noMultiLvlLbl val="0"/>
      </c:catAx>
      <c:valAx>
        <c:axId val="141048064"/>
        <c:scaling>
          <c:orientation val="minMax"/>
          <c:max val="100"/>
        </c:scaling>
        <c:delete val="0"/>
        <c:axPos val="l"/>
        <c:majorGridlines/>
        <c:title>
          <c:tx>
            <c:rich>
              <a:bodyPr rot="-5400000" vert="horz"/>
              <a:lstStyle/>
              <a:p>
                <a:pPr>
                  <a:defRPr/>
                </a:pPr>
                <a:r>
                  <a:rPr lang="en-US"/>
                  <a:t>Per cent</a:t>
                </a:r>
              </a:p>
            </c:rich>
          </c:tx>
          <c:layout/>
          <c:overlay val="0"/>
        </c:title>
        <c:numFmt formatCode="0" sourceLinked="0"/>
        <c:majorTickMark val="out"/>
        <c:minorTickMark val="none"/>
        <c:tickLblPos val="nextTo"/>
        <c:spPr>
          <a:ln>
            <a:solidFill>
              <a:schemeClr val="tx1"/>
            </a:solidFill>
          </a:ln>
        </c:spPr>
        <c:crossAx val="141046528"/>
        <c:crosses val="autoZero"/>
        <c:crossBetween val="between"/>
        <c:majorUnit val="20"/>
      </c:valAx>
      <c:spPr>
        <a:noFill/>
        <a:ln>
          <a:solidFill>
            <a:schemeClr val="tx1"/>
          </a:solidFill>
        </a:ln>
      </c:spPr>
    </c:plotArea>
    <c:legend>
      <c:legendPos val="t"/>
      <c:layout>
        <c:manualLayout>
          <c:xMode val="edge"/>
          <c:yMode val="edge"/>
          <c:x val="0.21945481481481482"/>
          <c:y val="3.0868055555555555E-2"/>
          <c:w val="0.64105333333333336"/>
          <c:h val="7.5244097222222223E-2"/>
        </c:manualLayout>
      </c:layout>
      <c:overlay val="0"/>
      <c:spPr>
        <a:ln>
          <a:solidFill>
            <a:sysClr val="windowText" lastClr="000000"/>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spPr>
            <a:solidFill>
              <a:sysClr val="window" lastClr="FFFFFF">
                <a:lumMod val="75000"/>
              </a:sysClr>
            </a:solidFill>
            <a:ln>
              <a:solidFill>
                <a:srgbClr val="000000"/>
              </a:solidFill>
            </a:ln>
          </c:spPr>
          <c:invertIfNegative val="0"/>
          <c:errBars>
            <c:errBarType val="both"/>
            <c:errValType val="cust"/>
            <c:noEndCap val="0"/>
            <c:plus>
              <c:numRef>
                <c:f>'fig B.13 CENSUS'!$B$4:$J$4</c:f>
                <c:numCache>
                  <c:formatCode>General</c:formatCode>
                  <c:ptCount val="9"/>
                </c:numCache>
              </c:numRef>
            </c:plus>
            <c:minus>
              <c:numRef>
                <c:f>'fig B.13 CENSUS'!$B$4:$J$4</c:f>
                <c:numCache>
                  <c:formatCode>General</c:formatCode>
                  <c:ptCount val="9"/>
                </c:numCache>
              </c:numRef>
            </c:minus>
          </c:errBars>
          <c:cat>
            <c:strRef>
              <c:f>'fig B.13 CENSUS'!$B$2:$J$2</c:f>
              <c:strCache>
                <c:ptCount val="9"/>
                <c:pt idx="0">
                  <c:v>NSW</c:v>
                </c:pt>
                <c:pt idx="1">
                  <c:v>Vic</c:v>
                </c:pt>
                <c:pt idx="2">
                  <c:v>Qld</c:v>
                </c:pt>
                <c:pt idx="3">
                  <c:v>WA</c:v>
                </c:pt>
                <c:pt idx="4">
                  <c:v>SA</c:v>
                </c:pt>
                <c:pt idx="5">
                  <c:v>Tas</c:v>
                </c:pt>
                <c:pt idx="6">
                  <c:v>ACT</c:v>
                </c:pt>
                <c:pt idx="7">
                  <c:v>NT</c:v>
                </c:pt>
                <c:pt idx="8">
                  <c:v>Aust</c:v>
                </c:pt>
              </c:strCache>
            </c:strRef>
          </c:cat>
          <c:val>
            <c:numRef>
              <c:f>'fig B.13 CENSUS'!$B$3:$J$3</c:f>
              <c:numCache>
                <c:formatCode>#\ ###\ ##0.0;\-#\ ###\ ##0.0;"–"</c:formatCode>
                <c:ptCount val="9"/>
                <c:pt idx="0">
                  <c:v>73.3</c:v>
                </c:pt>
                <c:pt idx="1">
                  <c:v>75.7</c:v>
                </c:pt>
                <c:pt idx="2">
                  <c:v>69.099999999999994</c:v>
                </c:pt>
                <c:pt idx="3">
                  <c:v>74.099999999999994</c:v>
                </c:pt>
                <c:pt idx="4">
                  <c:v>69.5</c:v>
                </c:pt>
                <c:pt idx="5">
                  <c:v>66.599999999999994</c:v>
                </c:pt>
                <c:pt idx="6">
                  <c:v>83.3</c:v>
                </c:pt>
                <c:pt idx="7">
                  <c:v>57.7</c:v>
                </c:pt>
                <c:pt idx="8">
                  <c:v>72.7</c:v>
                </c:pt>
              </c:numCache>
            </c:numRef>
          </c:val>
        </c:ser>
        <c:dLbls>
          <c:showLegendKey val="0"/>
          <c:showVal val="0"/>
          <c:showCatName val="0"/>
          <c:showSerName val="0"/>
          <c:showPercent val="0"/>
          <c:showBubbleSize val="0"/>
        </c:dLbls>
        <c:gapWidth val="150"/>
        <c:axId val="141060736"/>
        <c:axId val="141078912"/>
      </c:barChart>
      <c:catAx>
        <c:axId val="141060736"/>
        <c:scaling>
          <c:orientation val="minMax"/>
        </c:scaling>
        <c:delete val="0"/>
        <c:axPos val="b"/>
        <c:majorTickMark val="out"/>
        <c:minorTickMark val="none"/>
        <c:tickLblPos val="nextTo"/>
        <c:crossAx val="141078912"/>
        <c:crosses val="autoZero"/>
        <c:auto val="1"/>
        <c:lblAlgn val="ctr"/>
        <c:lblOffset val="100"/>
        <c:noMultiLvlLbl val="0"/>
      </c:catAx>
      <c:valAx>
        <c:axId val="141078912"/>
        <c:scaling>
          <c:orientation val="minMax"/>
        </c:scaling>
        <c:delete val="0"/>
        <c:axPos val="l"/>
        <c:majorGridlines/>
        <c:title>
          <c:tx>
            <c:rich>
              <a:bodyPr rot="-5400000" vert="horz"/>
              <a:lstStyle/>
              <a:p>
                <a:pPr>
                  <a:defRPr/>
                </a:pPr>
                <a:r>
                  <a:rPr lang="en-US"/>
                  <a:t>Per cent</a:t>
                </a:r>
              </a:p>
            </c:rich>
          </c:tx>
          <c:layout/>
          <c:overlay val="0"/>
        </c:title>
        <c:numFmt formatCode="#,##0" sourceLinked="0"/>
        <c:majorTickMark val="out"/>
        <c:minorTickMark val="none"/>
        <c:tickLblPos val="nextTo"/>
        <c:spPr>
          <a:ln>
            <a:solidFill>
              <a:schemeClr val="tx1"/>
            </a:solidFill>
          </a:ln>
        </c:spPr>
        <c:crossAx val="141060736"/>
        <c:crosses val="autoZero"/>
        <c:crossBetween val="between"/>
        <c:majorUnit val="20"/>
      </c:valAx>
      <c:spPr>
        <a:noFill/>
        <a:ln>
          <a:solidFill>
            <a:schemeClr val="tx1"/>
          </a:solidFill>
        </a:ln>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'fig B.12'!$A$6</c:f>
              <c:strCache>
                <c:ptCount val="1"/>
                <c:pt idx="0">
                  <c:v>Indigenous</c:v>
                </c:pt>
              </c:strCache>
            </c:strRef>
          </c:tx>
          <c:spPr>
            <a:solidFill>
              <a:sysClr val="window" lastClr="FFFFFF">
                <a:lumMod val="75000"/>
              </a:sysClr>
            </a:solidFill>
            <a:ln>
              <a:solidFill>
                <a:srgbClr val="000000"/>
              </a:solidFill>
            </a:ln>
          </c:spPr>
          <c:invertIfNegative val="0"/>
          <c:cat>
            <c:strRef>
              <c:f>'fig B.12'!$B$5:$J$5</c:f>
              <c:strCache>
                <c:ptCount val="9"/>
                <c:pt idx="0">
                  <c:v>NSW</c:v>
                </c:pt>
                <c:pt idx="1">
                  <c:v>Vic</c:v>
                </c:pt>
                <c:pt idx="2">
                  <c:v>Qld</c:v>
                </c:pt>
                <c:pt idx="3">
                  <c:v>WA</c:v>
                </c:pt>
                <c:pt idx="4">
                  <c:v>SA</c:v>
                </c:pt>
                <c:pt idx="5">
                  <c:v>Tas</c:v>
                </c:pt>
                <c:pt idx="6">
                  <c:v>ACT</c:v>
                </c:pt>
                <c:pt idx="7">
                  <c:v>NT</c:v>
                </c:pt>
                <c:pt idx="8">
                  <c:v>Aust </c:v>
                </c:pt>
              </c:strCache>
            </c:strRef>
          </c:cat>
          <c:val>
            <c:numRef>
              <c:f>'fig B.12'!$B$6:$J$6</c:f>
              <c:numCache>
                <c:formatCode>General</c:formatCode>
                <c:ptCount val="9"/>
                <c:pt idx="0">
                  <c:v>44.1</c:v>
                </c:pt>
                <c:pt idx="1">
                  <c:v>49.5</c:v>
                </c:pt>
                <c:pt idx="2">
                  <c:v>38.700000000000003</c:v>
                </c:pt>
                <c:pt idx="3">
                  <c:v>34.4</c:v>
                </c:pt>
                <c:pt idx="4">
                  <c:v>36.9</c:v>
                </c:pt>
                <c:pt idx="5">
                  <c:v>50.7</c:v>
                </c:pt>
                <c:pt idx="6">
                  <c:v>62.3</c:v>
                </c:pt>
                <c:pt idx="7">
                  <c:v>21.3</c:v>
                </c:pt>
                <c:pt idx="8">
                  <c:v>39.4</c:v>
                </c:pt>
              </c:numCache>
            </c:numRef>
          </c:val>
        </c:ser>
        <c:ser>
          <c:idx val="1"/>
          <c:order val="1"/>
          <c:tx>
            <c:strRef>
              <c:f>'fig B.12'!$A$7</c:f>
              <c:strCache>
                <c:ptCount val="1"/>
                <c:pt idx="0">
                  <c:v>Non-Indigenous </c:v>
                </c:pt>
              </c:strCache>
            </c:strRef>
          </c:tx>
          <c:spPr>
            <a:pattFill prst="wdUpDiag">
              <a:fgClr>
                <a:schemeClr val="tx1"/>
              </a:fgClr>
              <a:bgClr>
                <a:schemeClr val="bg1"/>
              </a:bgClr>
            </a:pattFill>
            <a:ln>
              <a:solidFill>
                <a:sysClr val="windowText" lastClr="000000"/>
              </a:solidFill>
            </a:ln>
          </c:spPr>
          <c:invertIfNegative val="0"/>
          <c:cat>
            <c:strRef>
              <c:f>'fig B.12'!$B$5:$J$5</c:f>
              <c:strCache>
                <c:ptCount val="9"/>
                <c:pt idx="0">
                  <c:v>NSW</c:v>
                </c:pt>
                <c:pt idx="1">
                  <c:v>Vic</c:v>
                </c:pt>
                <c:pt idx="2">
                  <c:v>Qld</c:v>
                </c:pt>
                <c:pt idx="3">
                  <c:v>WA</c:v>
                </c:pt>
                <c:pt idx="4">
                  <c:v>SA</c:v>
                </c:pt>
                <c:pt idx="5">
                  <c:v>Tas</c:v>
                </c:pt>
                <c:pt idx="6">
                  <c:v>ACT</c:v>
                </c:pt>
                <c:pt idx="7">
                  <c:v>NT</c:v>
                </c:pt>
                <c:pt idx="8">
                  <c:v>Aust </c:v>
                </c:pt>
              </c:strCache>
            </c:strRef>
          </c:cat>
          <c:val>
            <c:numRef>
              <c:f>'fig B.12'!$B$7:$J$7</c:f>
              <c:numCache>
                <c:formatCode>General</c:formatCode>
                <c:ptCount val="9"/>
                <c:pt idx="0">
                  <c:v>74.400000000000006</c:v>
                </c:pt>
                <c:pt idx="1">
                  <c:v>76</c:v>
                </c:pt>
                <c:pt idx="2">
                  <c:v>70.599999999999994</c:v>
                </c:pt>
                <c:pt idx="3">
                  <c:v>75.7</c:v>
                </c:pt>
                <c:pt idx="4">
                  <c:v>70.400000000000006</c:v>
                </c:pt>
                <c:pt idx="5">
                  <c:v>67.8</c:v>
                </c:pt>
                <c:pt idx="6">
                  <c:v>83.8</c:v>
                </c:pt>
                <c:pt idx="7">
                  <c:v>77.3</c:v>
                </c:pt>
                <c:pt idx="8">
                  <c:v>74</c:v>
                </c:pt>
              </c:numCache>
            </c:numRef>
          </c:val>
        </c:ser>
        <c:dLbls>
          <c:showLegendKey val="0"/>
          <c:showVal val="0"/>
          <c:showCatName val="0"/>
          <c:showSerName val="0"/>
          <c:showPercent val="0"/>
          <c:showBubbleSize val="0"/>
        </c:dLbls>
        <c:gapWidth val="150"/>
        <c:axId val="143999360"/>
        <c:axId val="144000896"/>
      </c:barChart>
      <c:catAx>
        <c:axId val="143999360"/>
        <c:scaling>
          <c:orientation val="minMax"/>
        </c:scaling>
        <c:delete val="0"/>
        <c:axPos val="b"/>
        <c:majorTickMark val="out"/>
        <c:minorTickMark val="none"/>
        <c:tickLblPos val="nextTo"/>
        <c:crossAx val="144000896"/>
        <c:crosses val="autoZero"/>
        <c:auto val="1"/>
        <c:lblAlgn val="ctr"/>
        <c:lblOffset val="100"/>
        <c:noMultiLvlLbl val="0"/>
      </c:catAx>
      <c:valAx>
        <c:axId val="144000896"/>
        <c:scaling>
          <c:orientation val="minMax"/>
          <c:max val="100"/>
        </c:scaling>
        <c:delete val="0"/>
        <c:axPos val="l"/>
        <c:majorGridlines/>
        <c:title>
          <c:tx>
            <c:rich>
              <a:bodyPr rot="-5400000" vert="horz"/>
              <a:lstStyle/>
              <a:p>
                <a:pPr>
                  <a:defRPr/>
                </a:pPr>
                <a:r>
                  <a:rPr lang="en-AU"/>
                  <a:t>Per</a:t>
                </a:r>
                <a:r>
                  <a:rPr lang="en-AU" baseline="0"/>
                  <a:t> cent</a:t>
                </a:r>
                <a:endParaRPr lang="en-AU"/>
              </a:p>
            </c:rich>
          </c:tx>
          <c:layout/>
          <c:overlay val="0"/>
        </c:title>
        <c:numFmt formatCode="General" sourceLinked="1"/>
        <c:majorTickMark val="out"/>
        <c:minorTickMark val="none"/>
        <c:tickLblPos val="nextTo"/>
        <c:spPr>
          <a:ln>
            <a:solidFill>
              <a:schemeClr val="tx1"/>
            </a:solidFill>
          </a:ln>
        </c:spPr>
        <c:crossAx val="143999360"/>
        <c:crosses val="autoZero"/>
        <c:crossBetween val="between"/>
        <c:majorUnit val="20"/>
      </c:valAx>
      <c:spPr>
        <a:noFill/>
        <a:ln>
          <a:solidFill>
            <a:schemeClr val="tx1"/>
          </a:solidFill>
        </a:ln>
      </c:spPr>
    </c:plotArea>
    <c:legend>
      <c:legendPos val="t"/>
      <c:layout/>
      <c:overlay val="0"/>
      <c:spPr>
        <a:ln>
          <a:solidFill>
            <a:schemeClr val="tx1"/>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0"/>
          <c:order val="0"/>
          <c:tx>
            <c:strRef>
              <c:f>'fig B.13'!$A$5</c:f>
              <c:strCache>
                <c:ptCount val="1"/>
                <c:pt idx="0">
                  <c:v>Bachelor degree or higher</c:v>
                </c:pt>
              </c:strCache>
            </c:strRef>
          </c:tx>
          <c:spPr>
            <a:solidFill>
              <a:sysClr val="window" lastClr="FFFFFF">
                <a:lumMod val="75000"/>
              </a:sysClr>
            </a:solidFill>
            <a:ln>
              <a:solidFill>
                <a:srgbClr val="000000"/>
              </a:solidFill>
            </a:ln>
          </c:spPr>
          <c:invertIfNegative val="0"/>
          <c:cat>
            <c:strRef>
              <c:f>'fig B.13'!$B$4:$J$4</c:f>
              <c:strCache>
                <c:ptCount val="9"/>
                <c:pt idx="0">
                  <c:v>NSW</c:v>
                </c:pt>
                <c:pt idx="1">
                  <c:v>Vic</c:v>
                </c:pt>
                <c:pt idx="2">
                  <c:v>Qld</c:v>
                </c:pt>
                <c:pt idx="3">
                  <c:v>WA</c:v>
                </c:pt>
                <c:pt idx="4">
                  <c:v>SA</c:v>
                </c:pt>
                <c:pt idx="5">
                  <c:v>Tas</c:v>
                </c:pt>
                <c:pt idx="6">
                  <c:v>ACT</c:v>
                </c:pt>
                <c:pt idx="7">
                  <c:v>NT</c:v>
                </c:pt>
                <c:pt idx="8">
                  <c:v>Aust</c:v>
                </c:pt>
              </c:strCache>
            </c:strRef>
          </c:cat>
          <c:val>
            <c:numRef>
              <c:f>'fig B.13'!$B$5:$J$5</c:f>
              <c:numCache>
                <c:formatCode>###\ ###\ ##0.0;\-###\ ###\ ##0.0;"–"</c:formatCode>
                <c:ptCount val="9"/>
                <c:pt idx="0">
                  <c:v>27</c:v>
                </c:pt>
                <c:pt idx="1">
                  <c:v>28.2</c:v>
                </c:pt>
                <c:pt idx="2">
                  <c:v>21.5</c:v>
                </c:pt>
                <c:pt idx="3">
                  <c:v>23.8</c:v>
                </c:pt>
                <c:pt idx="4">
                  <c:v>20</c:v>
                </c:pt>
                <c:pt idx="5">
                  <c:v>20.8</c:v>
                </c:pt>
                <c:pt idx="6">
                  <c:v>40.200000000000003</c:v>
                </c:pt>
                <c:pt idx="7">
                  <c:v>23.1</c:v>
                </c:pt>
                <c:pt idx="8">
                  <c:v>25.4</c:v>
                </c:pt>
              </c:numCache>
            </c:numRef>
          </c:val>
        </c:ser>
        <c:ser>
          <c:idx val="1"/>
          <c:order val="1"/>
          <c:tx>
            <c:strRef>
              <c:f>'fig B.13'!$A$6</c:f>
              <c:strCache>
                <c:ptCount val="1"/>
                <c:pt idx="0">
                  <c:v>Diploma/Advanced Diploma</c:v>
                </c:pt>
              </c:strCache>
            </c:strRef>
          </c:tx>
          <c:spPr>
            <a:pattFill prst="wdUpDiag">
              <a:fgClr>
                <a:schemeClr val="tx1"/>
              </a:fgClr>
              <a:bgClr>
                <a:schemeClr val="bg1"/>
              </a:bgClr>
            </a:pattFill>
            <a:ln>
              <a:solidFill>
                <a:sysClr val="windowText" lastClr="000000"/>
              </a:solidFill>
            </a:ln>
          </c:spPr>
          <c:invertIfNegative val="0"/>
          <c:cat>
            <c:strRef>
              <c:f>'fig B.13'!$B$4:$J$4</c:f>
              <c:strCache>
                <c:ptCount val="9"/>
                <c:pt idx="0">
                  <c:v>NSW</c:v>
                </c:pt>
                <c:pt idx="1">
                  <c:v>Vic</c:v>
                </c:pt>
                <c:pt idx="2">
                  <c:v>Qld</c:v>
                </c:pt>
                <c:pt idx="3">
                  <c:v>WA</c:v>
                </c:pt>
                <c:pt idx="4">
                  <c:v>SA</c:v>
                </c:pt>
                <c:pt idx="5">
                  <c:v>Tas</c:v>
                </c:pt>
                <c:pt idx="6">
                  <c:v>ACT</c:v>
                </c:pt>
                <c:pt idx="7">
                  <c:v>NT</c:v>
                </c:pt>
                <c:pt idx="8">
                  <c:v>Aust</c:v>
                </c:pt>
              </c:strCache>
            </c:strRef>
          </c:cat>
          <c:val>
            <c:numRef>
              <c:f>'fig B.13'!$B$6:$J$6</c:f>
              <c:numCache>
                <c:formatCode>###\ ###\ ##0.0;\-###\ ###\ ##0.0;"–"</c:formatCode>
                <c:ptCount val="9"/>
                <c:pt idx="0">
                  <c:v>10.3</c:v>
                </c:pt>
                <c:pt idx="1">
                  <c:v>10.8</c:v>
                </c:pt>
                <c:pt idx="2">
                  <c:v>9.1999999999999993</c:v>
                </c:pt>
                <c:pt idx="3">
                  <c:v>9.9</c:v>
                </c:pt>
                <c:pt idx="4">
                  <c:v>9.1</c:v>
                </c:pt>
                <c:pt idx="5">
                  <c:v>7.4</c:v>
                </c:pt>
                <c:pt idx="6">
                  <c:v>7.6</c:v>
                </c:pt>
                <c:pt idx="7">
                  <c:v>10.1</c:v>
                </c:pt>
                <c:pt idx="8">
                  <c:v>10</c:v>
                </c:pt>
              </c:numCache>
            </c:numRef>
          </c:val>
        </c:ser>
        <c:ser>
          <c:idx val="2"/>
          <c:order val="2"/>
          <c:tx>
            <c:strRef>
              <c:f>'fig B.13'!$A$7</c:f>
              <c:strCache>
                <c:ptCount val="1"/>
                <c:pt idx="0">
                  <c:v>Certificate III or IV</c:v>
                </c:pt>
              </c:strCache>
            </c:strRef>
          </c:tx>
          <c:spPr>
            <a:solidFill>
              <a:schemeClr val="bg1">
                <a:lumMod val="50000"/>
              </a:schemeClr>
            </a:solidFill>
            <a:ln>
              <a:solidFill>
                <a:sysClr val="windowText" lastClr="000000"/>
              </a:solidFill>
            </a:ln>
          </c:spPr>
          <c:invertIfNegative val="0"/>
          <c:cat>
            <c:strRef>
              <c:f>'fig B.13'!$B$4:$J$4</c:f>
              <c:strCache>
                <c:ptCount val="9"/>
                <c:pt idx="0">
                  <c:v>NSW</c:v>
                </c:pt>
                <c:pt idx="1">
                  <c:v>Vic</c:v>
                </c:pt>
                <c:pt idx="2">
                  <c:v>Qld</c:v>
                </c:pt>
                <c:pt idx="3">
                  <c:v>WA</c:v>
                </c:pt>
                <c:pt idx="4">
                  <c:v>SA</c:v>
                </c:pt>
                <c:pt idx="5">
                  <c:v>Tas</c:v>
                </c:pt>
                <c:pt idx="6">
                  <c:v>ACT</c:v>
                </c:pt>
                <c:pt idx="7">
                  <c:v>NT</c:v>
                </c:pt>
                <c:pt idx="8">
                  <c:v>Aust</c:v>
                </c:pt>
              </c:strCache>
            </c:strRef>
          </c:cat>
          <c:val>
            <c:numRef>
              <c:f>'fig B.13'!$B$7:$J$7</c:f>
              <c:numCache>
                <c:formatCode>###\ ###\ ##0.0;\-###\ ###\ ##0.0;"–"</c:formatCode>
                <c:ptCount val="9"/>
                <c:pt idx="0">
                  <c:v>17.5</c:v>
                </c:pt>
                <c:pt idx="1">
                  <c:v>15.5</c:v>
                </c:pt>
                <c:pt idx="2">
                  <c:v>18.7</c:v>
                </c:pt>
                <c:pt idx="3">
                  <c:v>19</c:v>
                </c:pt>
                <c:pt idx="4">
                  <c:v>18.899999999999999</c:v>
                </c:pt>
                <c:pt idx="5">
                  <c:v>20.6</c:v>
                </c:pt>
                <c:pt idx="6">
                  <c:v>13.4</c:v>
                </c:pt>
                <c:pt idx="7">
                  <c:v>17</c:v>
                </c:pt>
                <c:pt idx="8">
                  <c:v>17.5</c:v>
                </c:pt>
              </c:numCache>
            </c:numRef>
          </c:val>
        </c:ser>
        <c:ser>
          <c:idx val="3"/>
          <c:order val="3"/>
          <c:tx>
            <c:strRef>
              <c:f>'fig B.13'!$A$8</c:f>
              <c:strCache>
                <c:ptCount val="1"/>
                <c:pt idx="0">
                  <c:v>Certificate I, II or nfd</c:v>
                </c:pt>
              </c:strCache>
            </c:strRef>
          </c:tx>
          <c:spPr>
            <a:pattFill prst="openDmnd">
              <a:fgClr>
                <a:schemeClr val="tx1"/>
              </a:fgClr>
              <a:bgClr>
                <a:schemeClr val="bg1"/>
              </a:bgClr>
            </a:pattFill>
            <a:ln>
              <a:solidFill>
                <a:sysClr val="windowText" lastClr="000000"/>
              </a:solidFill>
            </a:ln>
          </c:spPr>
          <c:invertIfNegative val="0"/>
          <c:cat>
            <c:strRef>
              <c:f>'fig B.13'!$B$4:$J$4</c:f>
              <c:strCache>
                <c:ptCount val="9"/>
                <c:pt idx="0">
                  <c:v>NSW</c:v>
                </c:pt>
                <c:pt idx="1">
                  <c:v>Vic</c:v>
                </c:pt>
                <c:pt idx="2">
                  <c:v>Qld</c:v>
                </c:pt>
                <c:pt idx="3">
                  <c:v>WA</c:v>
                </c:pt>
                <c:pt idx="4">
                  <c:v>SA</c:v>
                </c:pt>
                <c:pt idx="5">
                  <c:v>Tas</c:v>
                </c:pt>
                <c:pt idx="6">
                  <c:v>ACT</c:v>
                </c:pt>
                <c:pt idx="7">
                  <c:v>NT</c:v>
                </c:pt>
                <c:pt idx="8">
                  <c:v>Aust</c:v>
                </c:pt>
              </c:strCache>
            </c:strRef>
          </c:cat>
          <c:val>
            <c:numRef>
              <c:f>'fig B.13'!$B$8:$J$8</c:f>
              <c:numCache>
                <c:formatCode>###\ ###\ ##0.0;\-###\ ###\ ##0.0;"–"</c:formatCode>
                <c:ptCount val="9"/>
                <c:pt idx="0">
                  <c:v>4.7</c:v>
                </c:pt>
                <c:pt idx="1">
                  <c:v>4.2</c:v>
                </c:pt>
                <c:pt idx="2">
                  <c:v>5.0999999999999996</c:v>
                </c:pt>
                <c:pt idx="3">
                  <c:v>5.0999999999999996</c:v>
                </c:pt>
                <c:pt idx="4">
                  <c:v>5.0999999999999996</c:v>
                </c:pt>
                <c:pt idx="5">
                  <c:v>5.0999999999999996</c:v>
                </c:pt>
                <c:pt idx="6">
                  <c:v>2.8</c:v>
                </c:pt>
                <c:pt idx="7">
                  <c:v>2.7</c:v>
                </c:pt>
                <c:pt idx="8">
                  <c:v>4.7</c:v>
                </c:pt>
              </c:numCache>
            </c:numRef>
          </c:val>
        </c:ser>
        <c:ser>
          <c:idx val="4"/>
          <c:order val="4"/>
          <c:tx>
            <c:strRef>
              <c:f>'fig B.13'!$A$9</c:f>
              <c:strCache>
                <c:ptCount val="1"/>
                <c:pt idx="0">
                  <c:v>Level not determined</c:v>
                </c:pt>
              </c:strCache>
            </c:strRef>
          </c:tx>
          <c:spPr>
            <a:pattFill prst="ltVert">
              <a:fgClr>
                <a:schemeClr val="tx1"/>
              </a:fgClr>
              <a:bgClr>
                <a:schemeClr val="bg1"/>
              </a:bgClr>
            </a:pattFill>
            <a:ln>
              <a:solidFill>
                <a:sysClr val="windowText" lastClr="000000"/>
              </a:solidFill>
            </a:ln>
          </c:spPr>
          <c:invertIfNegative val="0"/>
          <c:cat>
            <c:strRef>
              <c:f>'fig B.13'!$B$4:$J$4</c:f>
              <c:strCache>
                <c:ptCount val="9"/>
                <c:pt idx="0">
                  <c:v>NSW</c:v>
                </c:pt>
                <c:pt idx="1">
                  <c:v>Vic</c:v>
                </c:pt>
                <c:pt idx="2">
                  <c:v>Qld</c:v>
                </c:pt>
                <c:pt idx="3">
                  <c:v>WA</c:v>
                </c:pt>
                <c:pt idx="4">
                  <c:v>SA</c:v>
                </c:pt>
                <c:pt idx="5">
                  <c:v>Tas</c:v>
                </c:pt>
                <c:pt idx="6">
                  <c:v>ACT</c:v>
                </c:pt>
                <c:pt idx="7">
                  <c:v>NT</c:v>
                </c:pt>
                <c:pt idx="8">
                  <c:v>Aust</c:v>
                </c:pt>
              </c:strCache>
            </c:strRef>
          </c:cat>
          <c:val>
            <c:numRef>
              <c:f>'fig B.13'!$B$9:$J$9</c:f>
              <c:numCache>
                <c:formatCode>0.0</c:formatCode>
                <c:ptCount val="9"/>
                <c:pt idx="0">
                  <c:v>1</c:v>
                </c:pt>
                <c:pt idx="1">
                  <c:v>1.1000000000000001</c:v>
                </c:pt>
                <c:pt idx="2">
                  <c:v>1.4</c:v>
                </c:pt>
                <c:pt idx="3">
                  <c:v>1.6</c:v>
                </c:pt>
                <c:pt idx="4">
                  <c:v>1.3</c:v>
                </c:pt>
                <c:pt idx="5">
                  <c:v>1.1000000000000001</c:v>
                </c:pt>
                <c:pt idx="6">
                  <c:v>1.9</c:v>
                </c:pt>
                <c:pt idx="7">
                  <c:v>1.2</c:v>
                </c:pt>
                <c:pt idx="8">
                  <c:v>1.2</c:v>
                </c:pt>
              </c:numCache>
            </c:numRef>
          </c:val>
        </c:ser>
        <c:ser>
          <c:idx val="5"/>
          <c:order val="5"/>
          <c:tx>
            <c:strRef>
              <c:f>'fig B.13'!$A$10</c:f>
              <c:strCache>
                <c:ptCount val="1"/>
                <c:pt idx="0">
                  <c:v>Without a non-school qualification</c:v>
                </c:pt>
              </c:strCache>
            </c:strRef>
          </c:tx>
          <c:spPr>
            <a:pattFill prst="wdDnDiag">
              <a:fgClr>
                <a:sysClr val="windowText" lastClr="000000"/>
              </a:fgClr>
              <a:bgClr>
                <a:sysClr val="window" lastClr="FFFFFF"/>
              </a:bgClr>
            </a:pattFill>
            <a:ln>
              <a:solidFill>
                <a:sysClr val="windowText" lastClr="000000"/>
              </a:solidFill>
            </a:ln>
          </c:spPr>
          <c:invertIfNegative val="0"/>
          <c:cat>
            <c:strRef>
              <c:f>'fig B.13'!$B$4:$J$4</c:f>
              <c:strCache>
                <c:ptCount val="9"/>
                <c:pt idx="0">
                  <c:v>NSW</c:v>
                </c:pt>
                <c:pt idx="1">
                  <c:v>Vic</c:v>
                </c:pt>
                <c:pt idx="2">
                  <c:v>Qld</c:v>
                </c:pt>
                <c:pt idx="3">
                  <c:v>WA</c:v>
                </c:pt>
                <c:pt idx="4">
                  <c:v>SA</c:v>
                </c:pt>
                <c:pt idx="5">
                  <c:v>Tas</c:v>
                </c:pt>
                <c:pt idx="6">
                  <c:v>ACT</c:v>
                </c:pt>
                <c:pt idx="7">
                  <c:v>NT</c:v>
                </c:pt>
                <c:pt idx="8">
                  <c:v>Aust</c:v>
                </c:pt>
              </c:strCache>
            </c:strRef>
          </c:cat>
          <c:val>
            <c:numRef>
              <c:f>'fig B.13'!$B$10:$J$10</c:f>
              <c:numCache>
                <c:formatCode>###\ ###\ ##0.0;\-###\ ###\ ##0.0;"–"</c:formatCode>
                <c:ptCount val="9"/>
                <c:pt idx="0">
                  <c:v>39.4</c:v>
                </c:pt>
                <c:pt idx="1">
                  <c:v>40.200000000000003</c:v>
                </c:pt>
                <c:pt idx="2">
                  <c:v>44.1</c:v>
                </c:pt>
                <c:pt idx="3">
                  <c:v>40.700000000000003</c:v>
                </c:pt>
                <c:pt idx="4">
                  <c:v>45.6</c:v>
                </c:pt>
                <c:pt idx="5">
                  <c:v>45.1</c:v>
                </c:pt>
                <c:pt idx="6">
                  <c:v>34.1</c:v>
                </c:pt>
                <c:pt idx="7">
                  <c:v>45.9</c:v>
                </c:pt>
                <c:pt idx="8">
                  <c:v>41.2</c:v>
                </c:pt>
              </c:numCache>
            </c:numRef>
          </c:val>
        </c:ser>
        <c:dLbls>
          <c:showLegendKey val="0"/>
          <c:showVal val="0"/>
          <c:showCatName val="0"/>
          <c:showSerName val="0"/>
          <c:showPercent val="0"/>
          <c:showBubbleSize val="0"/>
        </c:dLbls>
        <c:gapWidth val="150"/>
        <c:overlap val="100"/>
        <c:axId val="167032704"/>
        <c:axId val="167034240"/>
      </c:barChart>
      <c:catAx>
        <c:axId val="167032704"/>
        <c:scaling>
          <c:orientation val="minMax"/>
        </c:scaling>
        <c:delete val="0"/>
        <c:axPos val="b"/>
        <c:majorTickMark val="out"/>
        <c:minorTickMark val="none"/>
        <c:tickLblPos val="nextTo"/>
        <c:crossAx val="167034240"/>
        <c:crosses val="autoZero"/>
        <c:auto val="1"/>
        <c:lblAlgn val="ctr"/>
        <c:lblOffset val="100"/>
        <c:noMultiLvlLbl val="0"/>
      </c:catAx>
      <c:valAx>
        <c:axId val="167034240"/>
        <c:scaling>
          <c:orientation val="minMax"/>
          <c:max val="100"/>
        </c:scaling>
        <c:delete val="0"/>
        <c:axPos val="l"/>
        <c:majorGridlines/>
        <c:title>
          <c:tx>
            <c:rich>
              <a:bodyPr rot="-5400000" vert="horz"/>
              <a:lstStyle/>
              <a:p>
                <a:pPr>
                  <a:defRPr/>
                </a:pPr>
                <a:r>
                  <a:rPr lang="en-US"/>
                  <a:t>Per cent</a:t>
                </a:r>
              </a:p>
            </c:rich>
          </c:tx>
          <c:layout/>
          <c:overlay val="0"/>
        </c:title>
        <c:numFmt formatCode="#,##0" sourceLinked="0"/>
        <c:majorTickMark val="out"/>
        <c:minorTickMark val="none"/>
        <c:tickLblPos val="nextTo"/>
        <c:spPr>
          <a:ln>
            <a:solidFill>
              <a:schemeClr val="tx1"/>
            </a:solidFill>
          </a:ln>
        </c:spPr>
        <c:crossAx val="167032704"/>
        <c:crosses val="autoZero"/>
        <c:crossBetween val="between"/>
        <c:majorUnit val="20"/>
      </c:valAx>
      <c:spPr>
        <a:noFill/>
        <a:ln>
          <a:solidFill>
            <a:schemeClr val="tx1"/>
          </a:solidFill>
        </a:ln>
      </c:spPr>
    </c:plotArea>
    <c:legend>
      <c:legendPos val="t"/>
      <c:layout>
        <c:manualLayout>
          <c:xMode val="edge"/>
          <c:yMode val="edge"/>
          <c:x val="0.12472092592592593"/>
          <c:y val="2.6458333333333334E-2"/>
          <c:w val="0.79994703703703707"/>
          <c:h val="0.21911770833333333"/>
        </c:manualLayout>
      </c:layout>
      <c:overlay val="0"/>
      <c:spPr>
        <a:ln>
          <a:solidFill>
            <a:sysClr val="windowText" lastClr="000000"/>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'fig B.14 CENSUS'!$A$3</c:f>
              <c:strCache>
                <c:ptCount val="1"/>
                <c:pt idx="0">
                  <c:v>2006</c:v>
                </c:pt>
              </c:strCache>
            </c:strRef>
          </c:tx>
          <c:spPr>
            <a:solidFill>
              <a:sysClr val="window" lastClr="FFFFFF">
                <a:lumMod val="75000"/>
              </a:sysClr>
            </a:solidFill>
            <a:ln>
              <a:solidFill>
                <a:srgbClr val="000000"/>
              </a:solidFill>
            </a:ln>
          </c:spPr>
          <c:invertIfNegative val="0"/>
          <c:cat>
            <c:strRef>
              <c:f>'fig B.14 CENSUS'!$B$2:$J$2</c:f>
              <c:strCache>
                <c:ptCount val="9"/>
                <c:pt idx="0">
                  <c:v>NSW</c:v>
                </c:pt>
                <c:pt idx="1">
                  <c:v>Vic</c:v>
                </c:pt>
                <c:pt idx="2">
                  <c:v>Qld</c:v>
                </c:pt>
                <c:pt idx="3">
                  <c:v>WA</c:v>
                </c:pt>
                <c:pt idx="4">
                  <c:v>SA</c:v>
                </c:pt>
                <c:pt idx="5">
                  <c:v>Tas</c:v>
                </c:pt>
                <c:pt idx="6">
                  <c:v>ACT</c:v>
                </c:pt>
                <c:pt idx="7">
                  <c:v>NT</c:v>
                </c:pt>
                <c:pt idx="8">
                  <c:v>Aust</c:v>
                </c:pt>
              </c:strCache>
            </c:strRef>
          </c:cat>
          <c:val>
            <c:numRef>
              <c:f>'fig B.14 CENSUS'!$B$3:$J$3</c:f>
              <c:numCache>
                <c:formatCode>#,##0.0</c:formatCode>
                <c:ptCount val="9"/>
                <c:pt idx="0">
                  <c:v>61.2</c:v>
                </c:pt>
                <c:pt idx="1">
                  <c:v>59.4</c:v>
                </c:pt>
                <c:pt idx="2">
                  <c:v>54.8</c:v>
                </c:pt>
                <c:pt idx="3">
                  <c:v>58</c:v>
                </c:pt>
                <c:pt idx="4">
                  <c:v>54.3</c:v>
                </c:pt>
                <c:pt idx="5">
                  <c:v>52.4</c:v>
                </c:pt>
                <c:pt idx="6">
                  <c:v>71.400000000000006</c:v>
                </c:pt>
                <c:pt idx="7">
                  <c:v>52.1</c:v>
                </c:pt>
                <c:pt idx="8">
                  <c:v>58.5</c:v>
                </c:pt>
              </c:numCache>
            </c:numRef>
          </c:val>
        </c:ser>
        <c:ser>
          <c:idx val="1"/>
          <c:order val="1"/>
          <c:tx>
            <c:strRef>
              <c:f>'fig B.14 CENSUS'!$A$4</c:f>
              <c:strCache>
                <c:ptCount val="1"/>
                <c:pt idx="0">
                  <c:v>2011</c:v>
                </c:pt>
              </c:strCache>
            </c:strRef>
          </c:tx>
          <c:spPr>
            <a:pattFill prst="wdUpDiag">
              <a:fgClr>
                <a:schemeClr val="tx1"/>
              </a:fgClr>
              <a:bgClr>
                <a:schemeClr val="bg1"/>
              </a:bgClr>
            </a:pattFill>
            <a:ln>
              <a:solidFill>
                <a:sysClr val="windowText" lastClr="000000"/>
              </a:solidFill>
            </a:ln>
          </c:spPr>
          <c:invertIfNegative val="0"/>
          <c:cat>
            <c:strRef>
              <c:f>'fig B.14 CENSUS'!$B$2:$J$2</c:f>
              <c:strCache>
                <c:ptCount val="9"/>
                <c:pt idx="0">
                  <c:v>NSW</c:v>
                </c:pt>
                <c:pt idx="1">
                  <c:v>Vic</c:v>
                </c:pt>
                <c:pt idx="2">
                  <c:v>Qld</c:v>
                </c:pt>
                <c:pt idx="3">
                  <c:v>WA</c:v>
                </c:pt>
                <c:pt idx="4">
                  <c:v>SA</c:v>
                </c:pt>
                <c:pt idx="5">
                  <c:v>Tas</c:v>
                </c:pt>
                <c:pt idx="6">
                  <c:v>ACT</c:v>
                </c:pt>
                <c:pt idx="7">
                  <c:v>NT</c:v>
                </c:pt>
                <c:pt idx="8">
                  <c:v>Aust</c:v>
                </c:pt>
              </c:strCache>
            </c:strRef>
          </c:cat>
          <c:val>
            <c:numRef>
              <c:f>'fig B.14 CENSUS'!$B$4:$J$4</c:f>
              <c:numCache>
                <c:formatCode>#,##0.0</c:formatCode>
                <c:ptCount val="9"/>
                <c:pt idx="0">
                  <c:v>66.2</c:v>
                </c:pt>
                <c:pt idx="1">
                  <c:v>65.400000000000006</c:v>
                </c:pt>
                <c:pt idx="2">
                  <c:v>60.9</c:v>
                </c:pt>
                <c:pt idx="3">
                  <c:v>63.4</c:v>
                </c:pt>
                <c:pt idx="4">
                  <c:v>60.2</c:v>
                </c:pt>
                <c:pt idx="5">
                  <c:v>57.9</c:v>
                </c:pt>
                <c:pt idx="6">
                  <c:v>75.5</c:v>
                </c:pt>
                <c:pt idx="7">
                  <c:v>57.3</c:v>
                </c:pt>
                <c:pt idx="8">
                  <c:v>64.099999999999994</c:v>
                </c:pt>
              </c:numCache>
            </c:numRef>
          </c:val>
        </c:ser>
        <c:dLbls>
          <c:showLegendKey val="0"/>
          <c:showVal val="0"/>
          <c:showCatName val="0"/>
          <c:showSerName val="0"/>
          <c:showPercent val="0"/>
          <c:showBubbleSize val="0"/>
        </c:dLbls>
        <c:gapWidth val="150"/>
        <c:axId val="167408000"/>
        <c:axId val="167409536"/>
      </c:barChart>
      <c:catAx>
        <c:axId val="167408000"/>
        <c:scaling>
          <c:orientation val="minMax"/>
        </c:scaling>
        <c:delete val="0"/>
        <c:axPos val="b"/>
        <c:majorTickMark val="out"/>
        <c:minorTickMark val="none"/>
        <c:tickLblPos val="nextTo"/>
        <c:crossAx val="167409536"/>
        <c:crosses val="autoZero"/>
        <c:auto val="1"/>
        <c:lblAlgn val="ctr"/>
        <c:lblOffset val="100"/>
        <c:noMultiLvlLbl val="0"/>
      </c:catAx>
      <c:valAx>
        <c:axId val="167409536"/>
        <c:scaling>
          <c:orientation val="minMax"/>
          <c:max val="100"/>
        </c:scaling>
        <c:delete val="0"/>
        <c:axPos val="l"/>
        <c:majorGridlines/>
        <c:title>
          <c:tx>
            <c:rich>
              <a:bodyPr rot="-5400000" vert="horz"/>
              <a:lstStyle/>
              <a:p>
                <a:pPr>
                  <a:defRPr/>
                </a:pPr>
                <a:r>
                  <a:rPr lang="en-AU"/>
                  <a:t>Per</a:t>
                </a:r>
                <a:r>
                  <a:rPr lang="en-AU" baseline="0"/>
                  <a:t> cent</a:t>
                </a:r>
                <a:endParaRPr lang="en-AU"/>
              </a:p>
            </c:rich>
          </c:tx>
          <c:layout/>
          <c:overlay val="0"/>
        </c:title>
        <c:numFmt formatCode="#,##0" sourceLinked="0"/>
        <c:majorTickMark val="out"/>
        <c:minorTickMark val="none"/>
        <c:tickLblPos val="nextTo"/>
        <c:spPr>
          <a:ln>
            <a:solidFill>
              <a:schemeClr val="tx1"/>
            </a:solidFill>
          </a:ln>
        </c:spPr>
        <c:crossAx val="167408000"/>
        <c:crosses val="autoZero"/>
        <c:crossBetween val="between"/>
        <c:majorUnit val="20"/>
      </c:valAx>
      <c:spPr>
        <a:noFill/>
        <a:ln>
          <a:solidFill>
            <a:schemeClr val="tx1"/>
          </a:solidFill>
        </a:ln>
      </c:spPr>
    </c:plotArea>
    <c:legend>
      <c:legendPos val="t"/>
      <c:layout>
        <c:manualLayout>
          <c:xMode val="edge"/>
          <c:yMode val="edge"/>
          <c:x val="0.34065996761679268"/>
          <c:y val="2.6422763522854824E-2"/>
          <c:w val="0.32798299071842174"/>
          <c:h val="7.5142941255816387E-2"/>
        </c:manualLayout>
      </c:layout>
      <c:overlay val="0"/>
      <c:spPr>
        <a:ln>
          <a:solidFill>
            <a:schemeClr val="tx1"/>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'fig B.14'!$B$7</c:f>
              <c:strCache>
                <c:ptCount val="1"/>
                <c:pt idx="0">
                  <c:v>2009</c:v>
                </c:pt>
              </c:strCache>
            </c:strRef>
          </c:tx>
          <c:spPr>
            <a:solidFill>
              <a:sysClr val="window" lastClr="FFFFFF">
                <a:lumMod val="75000"/>
              </a:sysClr>
            </a:solidFill>
            <a:ln>
              <a:solidFill>
                <a:srgbClr val="000000"/>
              </a:solidFill>
            </a:ln>
          </c:spPr>
          <c:invertIfNegative val="0"/>
          <c:errBars>
            <c:errBarType val="both"/>
            <c:errValType val="cust"/>
            <c:noEndCap val="0"/>
            <c:plus>
              <c:numRef>
                <c:f>'fig B.14'!$C$8:$K$8</c:f>
                <c:numCache>
                  <c:formatCode>General</c:formatCode>
                  <c:ptCount val="9"/>
                  <c:pt idx="0">
                    <c:v>2.4</c:v>
                  </c:pt>
                  <c:pt idx="1">
                    <c:v>4.2</c:v>
                  </c:pt>
                  <c:pt idx="2">
                    <c:v>3.4</c:v>
                  </c:pt>
                  <c:pt idx="3">
                    <c:v>6.1</c:v>
                  </c:pt>
                  <c:pt idx="4">
                    <c:v>3.5</c:v>
                  </c:pt>
                  <c:pt idx="5">
                    <c:v>7.8</c:v>
                  </c:pt>
                  <c:pt idx="6">
                    <c:v>3.9</c:v>
                  </c:pt>
                  <c:pt idx="7">
                    <c:v>9.9</c:v>
                  </c:pt>
                  <c:pt idx="8">
                    <c:v>1.6</c:v>
                  </c:pt>
                </c:numCache>
              </c:numRef>
            </c:plus>
            <c:minus>
              <c:numRef>
                <c:f>'fig B.14'!$C$8:$K$8</c:f>
                <c:numCache>
                  <c:formatCode>General</c:formatCode>
                  <c:ptCount val="9"/>
                  <c:pt idx="0">
                    <c:v>2.4</c:v>
                  </c:pt>
                  <c:pt idx="1">
                    <c:v>4.2</c:v>
                  </c:pt>
                  <c:pt idx="2">
                    <c:v>3.4</c:v>
                  </c:pt>
                  <c:pt idx="3">
                    <c:v>6.1</c:v>
                  </c:pt>
                  <c:pt idx="4">
                    <c:v>3.5</c:v>
                  </c:pt>
                  <c:pt idx="5">
                    <c:v>7.8</c:v>
                  </c:pt>
                  <c:pt idx="6">
                    <c:v>3.9</c:v>
                  </c:pt>
                  <c:pt idx="7">
                    <c:v>9.9</c:v>
                  </c:pt>
                  <c:pt idx="8">
                    <c:v>1.6</c:v>
                  </c:pt>
                </c:numCache>
              </c:numRef>
            </c:minus>
          </c:errBars>
          <c:cat>
            <c:strRef>
              <c:f>'fig B.14'!$C$6:$K$6</c:f>
              <c:strCache>
                <c:ptCount val="9"/>
                <c:pt idx="0">
                  <c:v>NSW</c:v>
                </c:pt>
                <c:pt idx="1">
                  <c:v>Vic</c:v>
                </c:pt>
                <c:pt idx="2">
                  <c:v>Qld</c:v>
                </c:pt>
                <c:pt idx="3">
                  <c:v>WA</c:v>
                </c:pt>
                <c:pt idx="4">
                  <c:v>SA</c:v>
                </c:pt>
                <c:pt idx="5">
                  <c:v>Tas</c:v>
                </c:pt>
                <c:pt idx="6">
                  <c:v>ACT</c:v>
                </c:pt>
                <c:pt idx="7">
                  <c:v>NT</c:v>
                </c:pt>
                <c:pt idx="8">
                  <c:v>Aust</c:v>
                </c:pt>
              </c:strCache>
            </c:strRef>
          </c:cat>
          <c:val>
            <c:numRef>
              <c:f>'fig B.14'!$C$7:$K$7</c:f>
              <c:numCache>
                <c:formatCode>0.0</c:formatCode>
                <c:ptCount val="9"/>
                <c:pt idx="0">
                  <c:v>86.2</c:v>
                </c:pt>
                <c:pt idx="1">
                  <c:v>86.8</c:v>
                </c:pt>
                <c:pt idx="2">
                  <c:v>85.6</c:v>
                </c:pt>
                <c:pt idx="3">
                  <c:v>77.3</c:v>
                </c:pt>
                <c:pt idx="4">
                  <c:v>79.400000000000006</c:v>
                </c:pt>
                <c:pt idx="5">
                  <c:v>70.7</c:v>
                </c:pt>
                <c:pt idx="6">
                  <c:v>95.1</c:v>
                </c:pt>
                <c:pt idx="7">
                  <c:v>69</c:v>
                </c:pt>
                <c:pt idx="8">
                  <c:v>84.5</c:v>
                </c:pt>
              </c:numCache>
            </c:numRef>
          </c:val>
        </c:ser>
        <c:ser>
          <c:idx val="1"/>
          <c:order val="1"/>
          <c:tx>
            <c:strRef>
              <c:f>'fig B.14'!$B$9</c:f>
              <c:strCache>
                <c:ptCount val="1"/>
                <c:pt idx="0">
                  <c:v>2010</c:v>
                </c:pt>
              </c:strCache>
            </c:strRef>
          </c:tx>
          <c:spPr>
            <a:pattFill prst="wdUpDiag">
              <a:fgClr>
                <a:schemeClr val="tx1"/>
              </a:fgClr>
              <a:bgClr>
                <a:schemeClr val="bg1"/>
              </a:bgClr>
            </a:pattFill>
            <a:ln>
              <a:solidFill>
                <a:sysClr val="windowText" lastClr="000000"/>
              </a:solidFill>
            </a:ln>
          </c:spPr>
          <c:invertIfNegative val="0"/>
          <c:errBars>
            <c:errBarType val="both"/>
            <c:errValType val="cust"/>
            <c:noEndCap val="0"/>
            <c:plus>
              <c:numRef>
                <c:f>'fig B.14'!$C$10:$K$10</c:f>
                <c:numCache>
                  <c:formatCode>General</c:formatCode>
                  <c:ptCount val="9"/>
                  <c:pt idx="0">
                    <c:v>2.4</c:v>
                  </c:pt>
                  <c:pt idx="1">
                    <c:v>2.1</c:v>
                  </c:pt>
                  <c:pt idx="2">
                    <c:v>2.5</c:v>
                  </c:pt>
                  <c:pt idx="3">
                    <c:v>4.5</c:v>
                  </c:pt>
                  <c:pt idx="4">
                    <c:v>4.2</c:v>
                  </c:pt>
                  <c:pt idx="5">
                    <c:v>7.9</c:v>
                  </c:pt>
                  <c:pt idx="6">
                    <c:v>4.5</c:v>
                  </c:pt>
                  <c:pt idx="7">
                    <c:v>6.9</c:v>
                  </c:pt>
                  <c:pt idx="8">
                    <c:v>1.3</c:v>
                  </c:pt>
                </c:numCache>
              </c:numRef>
            </c:plus>
            <c:minus>
              <c:numRef>
                <c:f>'fig B.14'!$C$10:$K$10</c:f>
                <c:numCache>
                  <c:formatCode>General</c:formatCode>
                  <c:ptCount val="9"/>
                  <c:pt idx="0">
                    <c:v>2.4</c:v>
                  </c:pt>
                  <c:pt idx="1">
                    <c:v>2.1</c:v>
                  </c:pt>
                  <c:pt idx="2">
                    <c:v>2.5</c:v>
                  </c:pt>
                  <c:pt idx="3">
                    <c:v>4.5</c:v>
                  </c:pt>
                  <c:pt idx="4">
                    <c:v>4.2</c:v>
                  </c:pt>
                  <c:pt idx="5">
                    <c:v>7.9</c:v>
                  </c:pt>
                  <c:pt idx="6">
                    <c:v>4.5</c:v>
                  </c:pt>
                  <c:pt idx="7">
                    <c:v>6.9</c:v>
                  </c:pt>
                  <c:pt idx="8">
                    <c:v>1.3</c:v>
                  </c:pt>
                </c:numCache>
              </c:numRef>
            </c:minus>
          </c:errBars>
          <c:cat>
            <c:strRef>
              <c:f>'fig B.14'!$C$6:$K$6</c:f>
              <c:strCache>
                <c:ptCount val="9"/>
                <c:pt idx="0">
                  <c:v>NSW</c:v>
                </c:pt>
                <c:pt idx="1">
                  <c:v>Vic</c:v>
                </c:pt>
                <c:pt idx="2">
                  <c:v>Qld</c:v>
                </c:pt>
                <c:pt idx="3">
                  <c:v>WA</c:v>
                </c:pt>
                <c:pt idx="4">
                  <c:v>SA</c:v>
                </c:pt>
                <c:pt idx="5">
                  <c:v>Tas</c:v>
                </c:pt>
                <c:pt idx="6">
                  <c:v>ACT</c:v>
                </c:pt>
                <c:pt idx="7">
                  <c:v>NT</c:v>
                </c:pt>
                <c:pt idx="8">
                  <c:v>Aust</c:v>
                </c:pt>
              </c:strCache>
            </c:strRef>
          </c:cat>
          <c:val>
            <c:numRef>
              <c:f>'fig B.14'!$C$9:$K$9</c:f>
              <c:numCache>
                <c:formatCode>0.0</c:formatCode>
                <c:ptCount val="9"/>
                <c:pt idx="0">
                  <c:v>86</c:v>
                </c:pt>
                <c:pt idx="1">
                  <c:v>88.1</c:v>
                </c:pt>
                <c:pt idx="2">
                  <c:v>87.9</c:v>
                </c:pt>
                <c:pt idx="3">
                  <c:v>79.5</c:v>
                </c:pt>
                <c:pt idx="4">
                  <c:v>80.2</c:v>
                </c:pt>
                <c:pt idx="5">
                  <c:v>77.099999999999994</c:v>
                </c:pt>
                <c:pt idx="6">
                  <c:v>89.5</c:v>
                </c:pt>
                <c:pt idx="7">
                  <c:v>73.099999999999994</c:v>
                </c:pt>
                <c:pt idx="8">
                  <c:v>85.6</c:v>
                </c:pt>
              </c:numCache>
            </c:numRef>
          </c:val>
        </c:ser>
        <c:ser>
          <c:idx val="2"/>
          <c:order val="2"/>
          <c:tx>
            <c:strRef>
              <c:f>'fig B.14'!$B$11</c:f>
              <c:strCache>
                <c:ptCount val="1"/>
                <c:pt idx="0">
                  <c:v>2011</c:v>
                </c:pt>
              </c:strCache>
            </c:strRef>
          </c:tx>
          <c:spPr>
            <a:solidFill>
              <a:schemeClr val="bg1">
                <a:lumMod val="50000"/>
              </a:schemeClr>
            </a:solidFill>
            <a:ln>
              <a:solidFill>
                <a:sysClr val="windowText" lastClr="000000"/>
              </a:solidFill>
            </a:ln>
          </c:spPr>
          <c:invertIfNegative val="0"/>
          <c:errBars>
            <c:errBarType val="both"/>
            <c:errValType val="cust"/>
            <c:noEndCap val="0"/>
            <c:plus>
              <c:numRef>
                <c:f>'fig B.14'!$C$12:$K$12</c:f>
                <c:numCache>
                  <c:formatCode>General</c:formatCode>
                  <c:ptCount val="9"/>
                  <c:pt idx="0">
                    <c:v>2.7</c:v>
                  </c:pt>
                  <c:pt idx="1">
                    <c:v>2.8</c:v>
                  </c:pt>
                  <c:pt idx="2">
                    <c:v>3.4</c:v>
                  </c:pt>
                  <c:pt idx="3">
                    <c:v>3.2</c:v>
                  </c:pt>
                  <c:pt idx="4">
                    <c:v>3.3</c:v>
                  </c:pt>
                  <c:pt idx="5">
                    <c:v>5.9</c:v>
                  </c:pt>
                  <c:pt idx="6">
                    <c:v>4.3</c:v>
                  </c:pt>
                  <c:pt idx="7">
                    <c:v>8.4</c:v>
                  </c:pt>
                  <c:pt idx="8">
                    <c:v>1.3</c:v>
                  </c:pt>
                </c:numCache>
              </c:numRef>
            </c:plus>
            <c:minus>
              <c:numRef>
                <c:f>'fig B.14'!$C$12:$K$12</c:f>
                <c:numCache>
                  <c:formatCode>General</c:formatCode>
                  <c:ptCount val="9"/>
                  <c:pt idx="0">
                    <c:v>2.7</c:v>
                  </c:pt>
                  <c:pt idx="1">
                    <c:v>2.8</c:v>
                  </c:pt>
                  <c:pt idx="2">
                    <c:v>3.4</c:v>
                  </c:pt>
                  <c:pt idx="3">
                    <c:v>3.2</c:v>
                  </c:pt>
                  <c:pt idx="4">
                    <c:v>3.3</c:v>
                  </c:pt>
                  <c:pt idx="5">
                    <c:v>5.9</c:v>
                  </c:pt>
                  <c:pt idx="6">
                    <c:v>4.3</c:v>
                  </c:pt>
                  <c:pt idx="7">
                    <c:v>8.4</c:v>
                  </c:pt>
                  <c:pt idx="8">
                    <c:v>1.3</c:v>
                  </c:pt>
                </c:numCache>
              </c:numRef>
            </c:minus>
          </c:errBars>
          <c:cat>
            <c:strRef>
              <c:f>'fig B.14'!$C$6:$K$6</c:f>
              <c:strCache>
                <c:ptCount val="9"/>
                <c:pt idx="0">
                  <c:v>NSW</c:v>
                </c:pt>
                <c:pt idx="1">
                  <c:v>Vic</c:v>
                </c:pt>
                <c:pt idx="2">
                  <c:v>Qld</c:v>
                </c:pt>
                <c:pt idx="3">
                  <c:v>WA</c:v>
                </c:pt>
                <c:pt idx="4">
                  <c:v>SA</c:v>
                </c:pt>
                <c:pt idx="5">
                  <c:v>Tas</c:v>
                </c:pt>
                <c:pt idx="6">
                  <c:v>ACT</c:v>
                </c:pt>
                <c:pt idx="7">
                  <c:v>NT</c:v>
                </c:pt>
                <c:pt idx="8">
                  <c:v>Aust</c:v>
                </c:pt>
              </c:strCache>
            </c:strRef>
          </c:cat>
          <c:val>
            <c:numRef>
              <c:f>'fig B.14'!$C$11:$K$11</c:f>
              <c:numCache>
                <c:formatCode>0.0</c:formatCode>
                <c:ptCount val="9"/>
                <c:pt idx="0">
                  <c:v>83.5</c:v>
                </c:pt>
                <c:pt idx="1">
                  <c:v>86.1</c:v>
                </c:pt>
                <c:pt idx="2">
                  <c:v>83</c:v>
                </c:pt>
                <c:pt idx="3">
                  <c:v>83.8</c:v>
                </c:pt>
                <c:pt idx="4">
                  <c:v>84</c:v>
                </c:pt>
                <c:pt idx="5">
                  <c:v>78.2</c:v>
                </c:pt>
                <c:pt idx="6">
                  <c:v>90.1</c:v>
                </c:pt>
                <c:pt idx="7">
                  <c:v>72.8</c:v>
                </c:pt>
                <c:pt idx="8">
                  <c:v>84.1</c:v>
                </c:pt>
              </c:numCache>
            </c:numRef>
          </c:val>
        </c:ser>
        <c:ser>
          <c:idx val="3"/>
          <c:order val="3"/>
          <c:tx>
            <c:strRef>
              <c:f>'fig B.14'!$B$13</c:f>
              <c:strCache>
                <c:ptCount val="1"/>
                <c:pt idx="0">
                  <c:v>2012</c:v>
                </c:pt>
              </c:strCache>
            </c:strRef>
          </c:tx>
          <c:spPr>
            <a:pattFill prst="openDmnd">
              <a:fgClr>
                <a:schemeClr val="tx1"/>
              </a:fgClr>
              <a:bgClr>
                <a:schemeClr val="bg1"/>
              </a:bgClr>
            </a:pattFill>
            <a:ln>
              <a:solidFill>
                <a:sysClr val="windowText" lastClr="000000"/>
              </a:solidFill>
            </a:ln>
          </c:spPr>
          <c:invertIfNegative val="0"/>
          <c:errBars>
            <c:errBarType val="both"/>
            <c:errValType val="cust"/>
            <c:noEndCap val="0"/>
            <c:plus>
              <c:numRef>
                <c:f>'fig B.14'!$C$14:$K$14</c:f>
                <c:numCache>
                  <c:formatCode>General</c:formatCode>
                  <c:ptCount val="9"/>
                  <c:pt idx="0">
                    <c:v>2.4</c:v>
                  </c:pt>
                  <c:pt idx="1">
                    <c:v>2.4</c:v>
                  </c:pt>
                  <c:pt idx="2">
                    <c:v>3</c:v>
                  </c:pt>
                  <c:pt idx="3">
                    <c:v>2.8</c:v>
                  </c:pt>
                  <c:pt idx="4">
                    <c:v>3.6</c:v>
                  </c:pt>
                  <c:pt idx="5">
                    <c:v>7.9</c:v>
                  </c:pt>
                  <c:pt idx="6">
                    <c:v>4</c:v>
                  </c:pt>
                  <c:pt idx="7">
                    <c:v>8.1</c:v>
                  </c:pt>
                  <c:pt idx="8">
                    <c:v>1.3</c:v>
                  </c:pt>
                </c:numCache>
              </c:numRef>
            </c:plus>
            <c:minus>
              <c:numRef>
                <c:f>'fig B.14'!$C$14:$K$14</c:f>
                <c:numCache>
                  <c:formatCode>General</c:formatCode>
                  <c:ptCount val="9"/>
                  <c:pt idx="0">
                    <c:v>2.4</c:v>
                  </c:pt>
                  <c:pt idx="1">
                    <c:v>2.4</c:v>
                  </c:pt>
                  <c:pt idx="2">
                    <c:v>3</c:v>
                  </c:pt>
                  <c:pt idx="3">
                    <c:v>2.8</c:v>
                  </c:pt>
                  <c:pt idx="4">
                    <c:v>3.6</c:v>
                  </c:pt>
                  <c:pt idx="5">
                    <c:v>7.9</c:v>
                  </c:pt>
                  <c:pt idx="6">
                    <c:v>4</c:v>
                  </c:pt>
                  <c:pt idx="7">
                    <c:v>8.1</c:v>
                  </c:pt>
                  <c:pt idx="8">
                    <c:v>1.3</c:v>
                  </c:pt>
                </c:numCache>
              </c:numRef>
            </c:minus>
          </c:errBars>
          <c:cat>
            <c:strRef>
              <c:f>'fig B.14'!$C$6:$K$6</c:f>
              <c:strCache>
                <c:ptCount val="9"/>
                <c:pt idx="0">
                  <c:v>NSW</c:v>
                </c:pt>
                <c:pt idx="1">
                  <c:v>Vic</c:v>
                </c:pt>
                <c:pt idx="2">
                  <c:v>Qld</c:v>
                </c:pt>
                <c:pt idx="3">
                  <c:v>WA</c:v>
                </c:pt>
                <c:pt idx="4">
                  <c:v>SA</c:v>
                </c:pt>
                <c:pt idx="5">
                  <c:v>Tas</c:v>
                </c:pt>
                <c:pt idx="6">
                  <c:v>ACT</c:v>
                </c:pt>
                <c:pt idx="7">
                  <c:v>NT</c:v>
                </c:pt>
                <c:pt idx="8">
                  <c:v>Aust</c:v>
                </c:pt>
              </c:strCache>
            </c:strRef>
          </c:cat>
          <c:val>
            <c:numRef>
              <c:f>'fig B.14'!$C$13:$K$13</c:f>
              <c:numCache>
                <c:formatCode>0.0</c:formatCode>
                <c:ptCount val="9"/>
                <c:pt idx="0">
                  <c:v>87.9</c:v>
                </c:pt>
                <c:pt idx="1">
                  <c:v>88</c:v>
                </c:pt>
                <c:pt idx="2">
                  <c:v>85.8</c:v>
                </c:pt>
                <c:pt idx="3">
                  <c:v>81.3</c:v>
                </c:pt>
                <c:pt idx="4">
                  <c:v>81</c:v>
                </c:pt>
                <c:pt idx="5">
                  <c:v>71.2</c:v>
                </c:pt>
                <c:pt idx="6">
                  <c:v>93.7</c:v>
                </c:pt>
                <c:pt idx="7">
                  <c:v>68.8</c:v>
                </c:pt>
                <c:pt idx="8">
                  <c:v>85.9</c:v>
                </c:pt>
              </c:numCache>
            </c:numRef>
          </c:val>
        </c:ser>
        <c:dLbls>
          <c:showLegendKey val="0"/>
          <c:showVal val="0"/>
          <c:showCatName val="0"/>
          <c:showSerName val="0"/>
          <c:showPercent val="0"/>
          <c:showBubbleSize val="0"/>
        </c:dLbls>
        <c:gapWidth val="150"/>
        <c:axId val="170055936"/>
        <c:axId val="174764032"/>
      </c:barChart>
      <c:catAx>
        <c:axId val="170055936"/>
        <c:scaling>
          <c:orientation val="minMax"/>
        </c:scaling>
        <c:delete val="0"/>
        <c:axPos val="b"/>
        <c:majorTickMark val="out"/>
        <c:minorTickMark val="none"/>
        <c:tickLblPos val="nextTo"/>
        <c:crossAx val="174764032"/>
        <c:crosses val="autoZero"/>
        <c:auto val="1"/>
        <c:lblAlgn val="ctr"/>
        <c:lblOffset val="100"/>
        <c:noMultiLvlLbl val="0"/>
      </c:catAx>
      <c:valAx>
        <c:axId val="174764032"/>
        <c:scaling>
          <c:orientation val="minMax"/>
          <c:max val="100"/>
        </c:scaling>
        <c:delete val="0"/>
        <c:axPos val="l"/>
        <c:majorGridlines/>
        <c:title>
          <c:tx>
            <c:rich>
              <a:bodyPr rot="-5400000" vert="horz"/>
              <a:lstStyle/>
              <a:p>
                <a:pPr>
                  <a:defRPr/>
                </a:pPr>
                <a:r>
                  <a:rPr lang="en-AU"/>
                  <a:t>Per cent</a:t>
                </a:r>
              </a:p>
            </c:rich>
          </c:tx>
          <c:layout/>
          <c:overlay val="0"/>
        </c:title>
        <c:numFmt formatCode="0" sourceLinked="0"/>
        <c:majorTickMark val="out"/>
        <c:minorTickMark val="none"/>
        <c:tickLblPos val="nextTo"/>
        <c:spPr>
          <a:ln>
            <a:solidFill>
              <a:schemeClr val="tx1"/>
            </a:solidFill>
          </a:ln>
        </c:spPr>
        <c:crossAx val="170055936"/>
        <c:crosses val="autoZero"/>
        <c:crossBetween val="between"/>
        <c:majorUnit val="20"/>
      </c:valAx>
      <c:spPr>
        <a:noFill/>
        <a:ln>
          <a:solidFill>
            <a:schemeClr val="tx1"/>
          </a:solidFill>
        </a:ln>
      </c:spPr>
    </c:plotArea>
    <c:legend>
      <c:legendPos val="t"/>
      <c:layout>
        <c:manualLayout>
          <c:xMode val="edge"/>
          <c:yMode val="edge"/>
          <c:x val="0.24479129629629626"/>
          <c:y val="2.6520989170248043E-2"/>
          <c:w val="0.50571370370370372"/>
          <c:h val="7.5422282364307897E-2"/>
        </c:manualLayout>
      </c:layout>
      <c:overlay val="0"/>
      <c:spPr>
        <a:ln>
          <a:solidFill>
            <a:schemeClr val="tx1"/>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'fig B.14'!$B$20</c:f>
              <c:strCache>
                <c:ptCount val="1"/>
                <c:pt idx="0">
                  <c:v>2009</c:v>
                </c:pt>
              </c:strCache>
            </c:strRef>
          </c:tx>
          <c:spPr>
            <a:solidFill>
              <a:sysClr val="window" lastClr="FFFFFF">
                <a:lumMod val="75000"/>
              </a:sysClr>
            </a:solidFill>
            <a:ln>
              <a:solidFill>
                <a:srgbClr val="000000"/>
              </a:solidFill>
            </a:ln>
          </c:spPr>
          <c:invertIfNegative val="0"/>
          <c:errBars>
            <c:errBarType val="both"/>
            <c:errValType val="cust"/>
            <c:noEndCap val="0"/>
            <c:plus>
              <c:numRef>
                <c:f>'fig B.14'!$C$21:$K$21</c:f>
                <c:numCache>
                  <c:formatCode>General</c:formatCode>
                  <c:ptCount val="9"/>
                  <c:pt idx="0">
                    <c:v>1.4</c:v>
                  </c:pt>
                  <c:pt idx="1">
                    <c:v>1.5</c:v>
                  </c:pt>
                  <c:pt idx="2">
                    <c:v>1.4</c:v>
                  </c:pt>
                  <c:pt idx="3">
                    <c:v>1.6</c:v>
                  </c:pt>
                  <c:pt idx="4">
                    <c:v>2.2000000000000002</c:v>
                  </c:pt>
                  <c:pt idx="5">
                    <c:v>3.7</c:v>
                  </c:pt>
                  <c:pt idx="6">
                    <c:v>2.2000000000000002</c:v>
                  </c:pt>
                  <c:pt idx="7">
                    <c:v>3</c:v>
                  </c:pt>
                  <c:pt idx="8">
                    <c:v>0.7</c:v>
                  </c:pt>
                </c:numCache>
              </c:numRef>
            </c:plus>
            <c:minus>
              <c:numRef>
                <c:f>'fig B.14'!$C$21:$K$21</c:f>
                <c:numCache>
                  <c:formatCode>General</c:formatCode>
                  <c:ptCount val="9"/>
                  <c:pt idx="0">
                    <c:v>1.4</c:v>
                  </c:pt>
                  <c:pt idx="1">
                    <c:v>1.5</c:v>
                  </c:pt>
                  <c:pt idx="2">
                    <c:v>1.4</c:v>
                  </c:pt>
                  <c:pt idx="3">
                    <c:v>1.6</c:v>
                  </c:pt>
                  <c:pt idx="4">
                    <c:v>2.2000000000000002</c:v>
                  </c:pt>
                  <c:pt idx="5">
                    <c:v>3.7</c:v>
                  </c:pt>
                  <c:pt idx="6">
                    <c:v>2.2000000000000002</c:v>
                  </c:pt>
                  <c:pt idx="7">
                    <c:v>3</c:v>
                  </c:pt>
                  <c:pt idx="8">
                    <c:v>0.7</c:v>
                  </c:pt>
                </c:numCache>
              </c:numRef>
            </c:minus>
          </c:errBars>
          <c:cat>
            <c:strRef>
              <c:f>'fig B.14'!$C$19:$K$19</c:f>
              <c:strCache>
                <c:ptCount val="9"/>
                <c:pt idx="0">
                  <c:v>NSW</c:v>
                </c:pt>
                <c:pt idx="1">
                  <c:v>Vic</c:v>
                </c:pt>
                <c:pt idx="2">
                  <c:v>Qld</c:v>
                </c:pt>
                <c:pt idx="3">
                  <c:v>WA</c:v>
                </c:pt>
                <c:pt idx="4">
                  <c:v>SA</c:v>
                </c:pt>
                <c:pt idx="5">
                  <c:v>Tas</c:v>
                </c:pt>
                <c:pt idx="6">
                  <c:v>ACT</c:v>
                </c:pt>
                <c:pt idx="7">
                  <c:v>NT</c:v>
                </c:pt>
                <c:pt idx="8">
                  <c:v>Aust</c:v>
                </c:pt>
              </c:strCache>
            </c:strRef>
          </c:cat>
          <c:val>
            <c:numRef>
              <c:f>'fig B.14'!$C$20:$K$20</c:f>
              <c:numCache>
                <c:formatCode>0.0</c:formatCode>
                <c:ptCount val="9"/>
                <c:pt idx="0">
                  <c:v>77.5</c:v>
                </c:pt>
                <c:pt idx="1">
                  <c:v>75</c:v>
                </c:pt>
                <c:pt idx="2">
                  <c:v>75.3</c:v>
                </c:pt>
                <c:pt idx="3">
                  <c:v>73.5</c:v>
                </c:pt>
                <c:pt idx="4">
                  <c:v>69.3</c:v>
                </c:pt>
                <c:pt idx="5">
                  <c:v>64.8</c:v>
                </c:pt>
                <c:pt idx="6">
                  <c:v>88</c:v>
                </c:pt>
                <c:pt idx="7">
                  <c:v>70.400000000000006</c:v>
                </c:pt>
                <c:pt idx="8">
                  <c:v>75.2</c:v>
                </c:pt>
              </c:numCache>
            </c:numRef>
          </c:val>
        </c:ser>
        <c:ser>
          <c:idx val="1"/>
          <c:order val="1"/>
          <c:tx>
            <c:strRef>
              <c:f>'fig B.14'!$B$22</c:f>
              <c:strCache>
                <c:ptCount val="1"/>
                <c:pt idx="0">
                  <c:v>2010</c:v>
                </c:pt>
              </c:strCache>
            </c:strRef>
          </c:tx>
          <c:spPr>
            <a:pattFill prst="wdUpDiag">
              <a:fgClr>
                <a:schemeClr val="tx1"/>
              </a:fgClr>
              <a:bgClr>
                <a:schemeClr val="bg1"/>
              </a:bgClr>
            </a:pattFill>
            <a:ln>
              <a:solidFill>
                <a:sysClr val="windowText" lastClr="000000"/>
              </a:solidFill>
            </a:ln>
          </c:spPr>
          <c:invertIfNegative val="0"/>
          <c:errBars>
            <c:errBarType val="both"/>
            <c:errValType val="cust"/>
            <c:noEndCap val="0"/>
            <c:plus>
              <c:numRef>
                <c:f>'fig B.14'!$C$23:$K$23</c:f>
                <c:numCache>
                  <c:formatCode>General</c:formatCode>
                  <c:ptCount val="9"/>
                  <c:pt idx="0">
                    <c:v>1.1000000000000001</c:v>
                  </c:pt>
                  <c:pt idx="1">
                    <c:v>1.1000000000000001</c:v>
                  </c:pt>
                  <c:pt idx="2">
                    <c:v>1.4</c:v>
                  </c:pt>
                  <c:pt idx="3">
                    <c:v>1.4</c:v>
                  </c:pt>
                  <c:pt idx="4">
                    <c:v>1.6</c:v>
                  </c:pt>
                  <c:pt idx="5">
                    <c:v>2.5</c:v>
                  </c:pt>
                  <c:pt idx="6">
                    <c:v>1.6</c:v>
                  </c:pt>
                  <c:pt idx="7">
                    <c:v>2.6</c:v>
                  </c:pt>
                  <c:pt idx="8">
                    <c:v>0.6</c:v>
                  </c:pt>
                </c:numCache>
              </c:numRef>
            </c:plus>
            <c:minus>
              <c:numRef>
                <c:f>'fig B.14'!$C$10:$K$10</c:f>
                <c:numCache>
                  <c:formatCode>General</c:formatCode>
                  <c:ptCount val="9"/>
                  <c:pt idx="0">
                    <c:v>2.4</c:v>
                  </c:pt>
                  <c:pt idx="1">
                    <c:v>2.1</c:v>
                  </c:pt>
                  <c:pt idx="2">
                    <c:v>2.5</c:v>
                  </c:pt>
                  <c:pt idx="3">
                    <c:v>4.5</c:v>
                  </c:pt>
                  <c:pt idx="4">
                    <c:v>4.2</c:v>
                  </c:pt>
                  <c:pt idx="5">
                    <c:v>7.9</c:v>
                  </c:pt>
                  <c:pt idx="6">
                    <c:v>4.5</c:v>
                  </c:pt>
                  <c:pt idx="7">
                    <c:v>6.9</c:v>
                  </c:pt>
                  <c:pt idx="8">
                    <c:v>1.3</c:v>
                  </c:pt>
                </c:numCache>
              </c:numRef>
            </c:minus>
          </c:errBars>
          <c:cat>
            <c:strRef>
              <c:f>'fig B.14'!$C$19:$K$19</c:f>
              <c:strCache>
                <c:ptCount val="9"/>
                <c:pt idx="0">
                  <c:v>NSW</c:v>
                </c:pt>
                <c:pt idx="1">
                  <c:v>Vic</c:v>
                </c:pt>
                <c:pt idx="2">
                  <c:v>Qld</c:v>
                </c:pt>
                <c:pt idx="3">
                  <c:v>WA</c:v>
                </c:pt>
                <c:pt idx="4">
                  <c:v>SA</c:v>
                </c:pt>
                <c:pt idx="5">
                  <c:v>Tas</c:v>
                </c:pt>
                <c:pt idx="6">
                  <c:v>ACT</c:v>
                </c:pt>
                <c:pt idx="7">
                  <c:v>NT</c:v>
                </c:pt>
                <c:pt idx="8">
                  <c:v>Aust</c:v>
                </c:pt>
              </c:strCache>
            </c:strRef>
          </c:cat>
          <c:val>
            <c:numRef>
              <c:f>'fig B.14'!$C$22:$K$22</c:f>
              <c:numCache>
                <c:formatCode>0.0</c:formatCode>
                <c:ptCount val="9"/>
                <c:pt idx="0">
                  <c:v>77.599999999999994</c:v>
                </c:pt>
                <c:pt idx="1">
                  <c:v>78</c:v>
                </c:pt>
                <c:pt idx="2">
                  <c:v>75.7</c:v>
                </c:pt>
                <c:pt idx="3">
                  <c:v>75.7</c:v>
                </c:pt>
                <c:pt idx="4">
                  <c:v>73.3</c:v>
                </c:pt>
                <c:pt idx="5">
                  <c:v>67.400000000000006</c:v>
                </c:pt>
                <c:pt idx="6">
                  <c:v>87.7</c:v>
                </c:pt>
                <c:pt idx="7">
                  <c:v>75.8</c:v>
                </c:pt>
                <c:pt idx="8">
                  <c:v>76.7</c:v>
                </c:pt>
              </c:numCache>
            </c:numRef>
          </c:val>
        </c:ser>
        <c:ser>
          <c:idx val="2"/>
          <c:order val="2"/>
          <c:tx>
            <c:strRef>
              <c:f>'fig B.14'!$B$24</c:f>
              <c:strCache>
                <c:ptCount val="1"/>
                <c:pt idx="0">
                  <c:v>2011</c:v>
                </c:pt>
              </c:strCache>
            </c:strRef>
          </c:tx>
          <c:spPr>
            <a:solidFill>
              <a:schemeClr val="bg1">
                <a:lumMod val="50000"/>
              </a:schemeClr>
            </a:solidFill>
            <a:ln>
              <a:solidFill>
                <a:sysClr val="windowText" lastClr="000000"/>
              </a:solidFill>
            </a:ln>
          </c:spPr>
          <c:invertIfNegative val="0"/>
          <c:errBars>
            <c:errBarType val="both"/>
            <c:errValType val="cust"/>
            <c:noEndCap val="0"/>
            <c:plus>
              <c:numRef>
                <c:f>'fig B.14'!$C$25:$K$25</c:f>
                <c:numCache>
                  <c:formatCode>General</c:formatCode>
                  <c:ptCount val="9"/>
                  <c:pt idx="0">
                    <c:v>1</c:v>
                  </c:pt>
                  <c:pt idx="1">
                    <c:v>1.2</c:v>
                  </c:pt>
                  <c:pt idx="2">
                    <c:v>1.5</c:v>
                  </c:pt>
                  <c:pt idx="3">
                    <c:v>1.6</c:v>
                  </c:pt>
                  <c:pt idx="4">
                    <c:v>1.7</c:v>
                  </c:pt>
                  <c:pt idx="5">
                    <c:v>2.2000000000000002</c:v>
                  </c:pt>
                  <c:pt idx="6">
                    <c:v>2</c:v>
                  </c:pt>
                  <c:pt idx="7">
                    <c:v>3.2</c:v>
                  </c:pt>
                  <c:pt idx="8">
                    <c:v>0.5</c:v>
                  </c:pt>
                </c:numCache>
              </c:numRef>
            </c:plus>
            <c:minus>
              <c:numRef>
                <c:f>'fig B.14'!$C$12:$K$12</c:f>
                <c:numCache>
                  <c:formatCode>General</c:formatCode>
                  <c:ptCount val="9"/>
                  <c:pt idx="0">
                    <c:v>2.7</c:v>
                  </c:pt>
                  <c:pt idx="1">
                    <c:v>2.8</c:v>
                  </c:pt>
                  <c:pt idx="2">
                    <c:v>3.4</c:v>
                  </c:pt>
                  <c:pt idx="3">
                    <c:v>3.2</c:v>
                  </c:pt>
                  <c:pt idx="4">
                    <c:v>3.3</c:v>
                  </c:pt>
                  <c:pt idx="5">
                    <c:v>5.9</c:v>
                  </c:pt>
                  <c:pt idx="6">
                    <c:v>4.3</c:v>
                  </c:pt>
                  <c:pt idx="7">
                    <c:v>8.4</c:v>
                  </c:pt>
                  <c:pt idx="8">
                    <c:v>1.3</c:v>
                  </c:pt>
                </c:numCache>
              </c:numRef>
            </c:minus>
          </c:errBars>
          <c:cat>
            <c:strRef>
              <c:f>'fig B.14'!$C$19:$K$19</c:f>
              <c:strCache>
                <c:ptCount val="9"/>
                <c:pt idx="0">
                  <c:v>NSW</c:v>
                </c:pt>
                <c:pt idx="1">
                  <c:v>Vic</c:v>
                </c:pt>
                <c:pt idx="2">
                  <c:v>Qld</c:v>
                </c:pt>
                <c:pt idx="3">
                  <c:v>WA</c:v>
                </c:pt>
                <c:pt idx="4">
                  <c:v>SA</c:v>
                </c:pt>
                <c:pt idx="5">
                  <c:v>Tas</c:v>
                </c:pt>
                <c:pt idx="6">
                  <c:v>ACT</c:v>
                </c:pt>
                <c:pt idx="7">
                  <c:v>NT</c:v>
                </c:pt>
                <c:pt idx="8">
                  <c:v>Aust</c:v>
                </c:pt>
              </c:strCache>
            </c:strRef>
          </c:cat>
          <c:val>
            <c:numRef>
              <c:f>'fig B.14'!$C$24:$K$24</c:f>
              <c:numCache>
                <c:formatCode>0.0</c:formatCode>
                <c:ptCount val="9"/>
                <c:pt idx="0">
                  <c:v>78.2</c:v>
                </c:pt>
                <c:pt idx="1">
                  <c:v>78.599999999999994</c:v>
                </c:pt>
                <c:pt idx="2">
                  <c:v>75.3</c:v>
                </c:pt>
                <c:pt idx="3">
                  <c:v>75.8</c:v>
                </c:pt>
                <c:pt idx="4">
                  <c:v>73.7</c:v>
                </c:pt>
                <c:pt idx="5">
                  <c:v>68.5</c:v>
                </c:pt>
                <c:pt idx="6">
                  <c:v>88.4</c:v>
                </c:pt>
                <c:pt idx="7">
                  <c:v>68.8</c:v>
                </c:pt>
                <c:pt idx="8">
                  <c:v>77</c:v>
                </c:pt>
              </c:numCache>
            </c:numRef>
          </c:val>
        </c:ser>
        <c:ser>
          <c:idx val="3"/>
          <c:order val="3"/>
          <c:tx>
            <c:strRef>
              <c:f>'fig B.14'!$B$26</c:f>
              <c:strCache>
                <c:ptCount val="1"/>
                <c:pt idx="0">
                  <c:v>2012</c:v>
                </c:pt>
              </c:strCache>
            </c:strRef>
          </c:tx>
          <c:spPr>
            <a:pattFill prst="openDmnd">
              <a:fgClr>
                <a:schemeClr val="tx1"/>
              </a:fgClr>
              <a:bgClr>
                <a:schemeClr val="bg1"/>
              </a:bgClr>
            </a:pattFill>
            <a:ln>
              <a:solidFill>
                <a:sysClr val="windowText" lastClr="000000"/>
              </a:solidFill>
            </a:ln>
          </c:spPr>
          <c:invertIfNegative val="0"/>
          <c:errBars>
            <c:errBarType val="both"/>
            <c:errValType val="cust"/>
            <c:noEndCap val="0"/>
            <c:plus>
              <c:numRef>
                <c:f>'fig B.14'!$C$27:$K$27</c:f>
                <c:numCache>
                  <c:formatCode>General</c:formatCode>
                  <c:ptCount val="9"/>
                  <c:pt idx="0">
                    <c:v>0.8</c:v>
                  </c:pt>
                  <c:pt idx="1">
                    <c:v>1.3</c:v>
                  </c:pt>
                  <c:pt idx="2">
                    <c:v>1.3</c:v>
                  </c:pt>
                  <c:pt idx="3">
                    <c:v>1.3</c:v>
                  </c:pt>
                  <c:pt idx="4">
                    <c:v>1.5</c:v>
                  </c:pt>
                  <c:pt idx="5">
                    <c:v>2.4</c:v>
                  </c:pt>
                  <c:pt idx="6">
                    <c:v>1.8</c:v>
                  </c:pt>
                  <c:pt idx="7">
                    <c:v>3.2</c:v>
                  </c:pt>
                  <c:pt idx="8">
                    <c:v>0.5</c:v>
                  </c:pt>
                </c:numCache>
              </c:numRef>
            </c:plus>
            <c:minus>
              <c:numRef>
                <c:f>'fig B.14'!$C$27:$K$27</c:f>
                <c:numCache>
                  <c:formatCode>General</c:formatCode>
                  <c:ptCount val="9"/>
                  <c:pt idx="0">
                    <c:v>0.8</c:v>
                  </c:pt>
                  <c:pt idx="1">
                    <c:v>1.3</c:v>
                  </c:pt>
                  <c:pt idx="2">
                    <c:v>1.3</c:v>
                  </c:pt>
                  <c:pt idx="3">
                    <c:v>1.3</c:v>
                  </c:pt>
                  <c:pt idx="4">
                    <c:v>1.5</c:v>
                  </c:pt>
                  <c:pt idx="5">
                    <c:v>2.4</c:v>
                  </c:pt>
                  <c:pt idx="6">
                    <c:v>1.8</c:v>
                  </c:pt>
                  <c:pt idx="7">
                    <c:v>3.2</c:v>
                  </c:pt>
                  <c:pt idx="8">
                    <c:v>0.5</c:v>
                  </c:pt>
                </c:numCache>
              </c:numRef>
            </c:minus>
          </c:errBars>
          <c:cat>
            <c:strRef>
              <c:f>'fig B.14'!$C$19:$K$19</c:f>
              <c:strCache>
                <c:ptCount val="9"/>
                <c:pt idx="0">
                  <c:v>NSW</c:v>
                </c:pt>
                <c:pt idx="1">
                  <c:v>Vic</c:v>
                </c:pt>
                <c:pt idx="2">
                  <c:v>Qld</c:v>
                </c:pt>
                <c:pt idx="3">
                  <c:v>WA</c:v>
                </c:pt>
                <c:pt idx="4">
                  <c:v>SA</c:v>
                </c:pt>
                <c:pt idx="5">
                  <c:v>Tas</c:v>
                </c:pt>
                <c:pt idx="6">
                  <c:v>ACT</c:v>
                </c:pt>
                <c:pt idx="7">
                  <c:v>NT</c:v>
                </c:pt>
                <c:pt idx="8">
                  <c:v>Aust</c:v>
                </c:pt>
              </c:strCache>
            </c:strRef>
          </c:cat>
          <c:val>
            <c:numRef>
              <c:f>'fig B.14'!$C$26:$K$26</c:f>
              <c:numCache>
                <c:formatCode>0.0</c:formatCode>
                <c:ptCount val="9"/>
                <c:pt idx="0">
                  <c:v>80.8</c:v>
                </c:pt>
                <c:pt idx="1">
                  <c:v>80.900000000000006</c:v>
                </c:pt>
                <c:pt idx="2">
                  <c:v>78</c:v>
                </c:pt>
                <c:pt idx="3">
                  <c:v>78.2</c:v>
                </c:pt>
                <c:pt idx="4">
                  <c:v>74.099999999999994</c:v>
                </c:pt>
                <c:pt idx="5">
                  <c:v>69.599999999999994</c:v>
                </c:pt>
                <c:pt idx="6">
                  <c:v>90.6</c:v>
                </c:pt>
                <c:pt idx="7">
                  <c:v>73.7</c:v>
                </c:pt>
                <c:pt idx="8">
                  <c:v>79.3</c:v>
                </c:pt>
              </c:numCache>
            </c:numRef>
          </c:val>
        </c:ser>
        <c:dLbls>
          <c:showLegendKey val="0"/>
          <c:showVal val="0"/>
          <c:showCatName val="0"/>
          <c:showSerName val="0"/>
          <c:showPercent val="0"/>
          <c:showBubbleSize val="0"/>
        </c:dLbls>
        <c:gapWidth val="150"/>
        <c:axId val="175100672"/>
        <c:axId val="175102208"/>
      </c:barChart>
      <c:catAx>
        <c:axId val="175100672"/>
        <c:scaling>
          <c:orientation val="minMax"/>
        </c:scaling>
        <c:delete val="0"/>
        <c:axPos val="b"/>
        <c:majorTickMark val="out"/>
        <c:minorTickMark val="none"/>
        <c:tickLblPos val="nextTo"/>
        <c:crossAx val="175102208"/>
        <c:crosses val="autoZero"/>
        <c:auto val="1"/>
        <c:lblAlgn val="ctr"/>
        <c:lblOffset val="100"/>
        <c:noMultiLvlLbl val="0"/>
      </c:catAx>
      <c:valAx>
        <c:axId val="175102208"/>
        <c:scaling>
          <c:orientation val="minMax"/>
          <c:max val="100"/>
        </c:scaling>
        <c:delete val="0"/>
        <c:axPos val="l"/>
        <c:majorGridlines/>
        <c:title>
          <c:tx>
            <c:rich>
              <a:bodyPr rot="-5400000" vert="horz"/>
              <a:lstStyle/>
              <a:p>
                <a:pPr>
                  <a:defRPr/>
                </a:pPr>
                <a:r>
                  <a:rPr lang="en-AU"/>
                  <a:t>Per cent</a:t>
                </a:r>
              </a:p>
            </c:rich>
          </c:tx>
          <c:layout/>
          <c:overlay val="0"/>
        </c:title>
        <c:numFmt formatCode="0" sourceLinked="0"/>
        <c:majorTickMark val="out"/>
        <c:minorTickMark val="none"/>
        <c:tickLblPos val="nextTo"/>
        <c:spPr>
          <a:ln>
            <a:solidFill>
              <a:schemeClr val="tx1"/>
            </a:solidFill>
          </a:ln>
        </c:spPr>
        <c:crossAx val="175100672"/>
        <c:crosses val="autoZero"/>
        <c:crossBetween val="between"/>
        <c:majorUnit val="20"/>
      </c:valAx>
      <c:spPr>
        <a:noFill/>
        <a:ln>
          <a:solidFill>
            <a:schemeClr val="tx1"/>
          </a:solidFill>
        </a:ln>
      </c:spPr>
    </c:plotArea>
    <c:legend>
      <c:legendPos val="t"/>
      <c:layout>
        <c:manualLayout>
          <c:xMode val="edge"/>
          <c:yMode val="edge"/>
          <c:x val="0.24479129629629626"/>
          <c:y val="2.6520989170248043E-2"/>
          <c:w val="0.50571370370370372"/>
          <c:h val="7.5422282364307897E-2"/>
        </c:manualLayout>
      </c:layout>
      <c:overlay val="0"/>
      <c:spPr>
        <a:ln>
          <a:solidFill>
            <a:schemeClr val="tx1"/>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'fig B.15'!$A$5</c:f>
              <c:strCache>
                <c:ptCount val="1"/>
                <c:pt idx="0">
                  <c:v>Indigenous </c:v>
                </c:pt>
              </c:strCache>
            </c:strRef>
          </c:tx>
          <c:spPr>
            <a:solidFill>
              <a:sysClr val="window" lastClr="FFFFFF">
                <a:lumMod val="75000"/>
              </a:sysClr>
            </a:solidFill>
            <a:ln>
              <a:solidFill>
                <a:srgbClr val="000000"/>
              </a:solidFill>
            </a:ln>
          </c:spPr>
          <c:invertIfNegative val="0"/>
          <c:cat>
            <c:strRef>
              <c:f>'fig B.15'!$B$4:$J$4</c:f>
              <c:strCache>
                <c:ptCount val="9"/>
                <c:pt idx="0">
                  <c:v>NSW</c:v>
                </c:pt>
                <c:pt idx="1">
                  <c:v>Vic</c:v>
                </c:pt>
                <c:pt idx="2">
                  <c:v>Qld</c:v>
                </c:pt>
                <c:pt idx="3">
                  <c:v>WA</c:v>
                </c:pt>
                <c:pt idx="4">
                  <c:v>SA</c:v>
                </c:pt>
                <c:pt idx="5">
                  <c:v>Tas</c:v>
                </c:pt>
                <c:pt idx="6">
                  <c:v>ACT</c:v>
                </c:pt>
                <c:pt idx="7">
                  <c:v>NT</c:v>
                </c:pt>
                <c:pt idx="8">
                  <c:v>Aust</c:v>
                </c:pt>
              </c:strCache>
            </c:strRef>
          </c:cat>
          <c:val>
            <c:numRef>
              <c:f>'fig B.15'!$B$5:$J$5</c:f>
              <c:numCache>
                <c:formatCode>General</c:formatCode>
                <c:ptCount val="9"/>
                <c:pt idx="0">
                  <c:v>55.9</c:v>
                </c:pt>
                <c:pt idx="1">
                  <c:v>61.5</c:v>
                </c:pt>
                <c:pt idx="2">
                  <c:v>62.5</c:v>
                </c:pt>
                <c:pt idx="3">
                  <c:v>45.3</c:v>
                </c:pt>
                <c:pt idx="4">
                  <c:v>50.7</c:v>
                </c:pt>
                <c:pt idx="5">
                  <c:v>57.9</c:v>
                </c:pt>
                <c:pt idx="6">
                  <c:v>71.099999999999994</c:v>
                </c:pt>
                <c:pt idx="7">
                  <c:v>28.7</c:v>
                </c:pt>
                <c:pt idx="8">
                  <c:v>53.9</c:v>
                </c:pt>
              </c:numCache>
            </c:numRef>
          </c:val>
        </c:ser>
        <c:ser>
          <c:idx val="1"/>
          <c:order val="1"/>
          <c:tx>
            <c:strRef>
              <c:f>'fig B.15'!$A$6</c:f>
              <c:strCache>
                <c:ptCount val="1"/>
                <c:pt idx="0">
                  <c:v>Non-Indigenous</c:v>
                </c:pt>
              </c:strCache>
            </c:strRef>
          </c:tx>
          <c:spPr>
            <a:pattFill prst="wdUpDiag">
              <a:fgClr>
                <a:schemeClr val="tx1"/>
              </a:fgClr>
              <a:bgClr>
                <a:schemeClr val="bg1"/>
              </a:bgClr>
            </a:pattFill>
            <a:ln>
              <a:solidFill>
                <a:sysClr val="windowText" lastClr="000000"/>
              </a:solidFill>
            </a:ln>
          </c:spPr>
          <c:invertIfNegative val="0"/>
          <c:cat>
            <c:strRef>
              <c:f>'fig B.15'!$B$4:$J$4</c:f>
              <c:strCache>
                <c:ptCount val="9"/>
                <c:pt idx="0">
                  <c:v>NSW</c:v>
                </c:pt>
                <c:pt idx="1">
                  <c:v>Vic</c:v>
                </c:pt>
                <c:pt idx="2">
                  <c:v>Qld</c:v>
                </c:pt>
                <c:pt idx="3">
                  <c:v>WA</c:v>
                </c:pt>
                <c:pt idx="4">
                  <c:v>SA</c:v>
                </c:pt>
                <c:pt idx="5">
                  <c:v>Tas</c:v>
                </c:pt>
                <c:pt idx="6">
                  <c:v>ACT</c:v>
                </c:pt>
                <c:pt idx="7">
                  <c:v>NT</c:v>
                </c:pt>
                <c:pt idx="8">
                  <c:v>Aust</c:v>
                </c:pt>
              </c:strCache>
            </c:strRef>
          </c:cat>
          <c:val>
            <c:numRef>
              <c:f>'fig B.15'!$B$6:$J$6</c:f>
              <c:numCache>
                <c:formatCode>General</c:formatCode>
                <c:ptCount val="9"/>
                <c:pt idx="0">
                  <c:v>85.8</c:v>
                </c:pt>
                <c:pt idx="1">
                  <c:v>88.3</c:v>
                </c:pt>
                <c:pt idx="2">
                  <c:v>85.7</c:v>
                </c:pt>
                <c:pt idx="3">
                  <c:v>84.5</c:v>
                </c:pt>
                <c:pt idx="4">
                  <c:v>82.6</c:v>
                </c:pt>
                <c:pt idx="5">
                  <c:v>78.400000000000006</c:v>
                </c:pt>
                <c:pt idx="6">
                  <c:v>91.5</c:v>
                </c:pt>
                <c:pt idx="7">
                  <c:v>80.599999999999994</c:v>
                </c:pt>
                <c:pt idx="8">
                  <c:v>86</c:v>
                </c:pt>
              </c:numCache>
            </c:numRef>
          </c:val>
        </c:ser>
        <c:dLbls>
          <c:showLegendKey val="0"/>
          <c:showVal val="0"/>
          <c:showCatName val="0"/>
          <c:showSerName val="0"/>
          <c:showPercent val="0"/>
          <c:showBubbleSize val="0"/>
        </c:dLbls>
        <c:gapWidth val="150"/>
        <c:axId val="140217344"/>
        <c:axId val="140219136"/>
      </c:barChart>
      <c:catAx>
        <c:axId val="140217344"/>
        <c:scaling>
          <c:orientation val="minMax"/>
        </c:scaling>
        <c:delete val="0"/>
        <c:axPos val="b"/>
        <c:majorTickMark val="out"/>
        <c:minorTickMark val="none"/>
        <c:tickLblPos val="nextTo"/>
        <c:crossAx val="140219136"/>
        <c:crosses val="autoZero"/>
        <c:auto val="1"/>
        <c:lblAlgn val="ctr"/>
        <c:lblOffset val="100"/>
        <c:noMultiLvlLbl val="0"/>
      </c:catAx>
      <c:valAx>
        <c:axId val="140219136"/>
        <c:scaling>
          <c:orientation val="minMax"/>
        </c:scaling>
        <c:delete val="0"/>
        <c:axPos val="l"/>
        <c:majorGridlines/>
        <c:title>
          <c:tx>
            <c:rich>
              <a:bodyPr rot="-5400000" vert="horz"/>
              <a:lstStyle/>
              <a:p>
                <a:pPr>
                  <a:defRPr/>
                </a:pPr>
                <a:r>
                  <a:rPr lang="en-AU"/>
                  <a:t>Per</a:t>
                </a:r>
                <a:r>
                  <a:rPr lang="en-AU" baseline="0"/>
                  <a:t> cent</a:t>
                </a:r>
                <a:endParaRPr lang="en-AU"/>
              </a:p>
            </c:rich>
          </c:tx>
          <c:layout/>
          <c:overlay val="0"/>
        </c:title>
        <c:numFmt formatCode="General" sourceLinked="1"/>
        <c:majorTickMark val="out"/>
        <c:minorTickMark val="none"/>
        <c:tickLblPos val="nextTo"/>
        <c:spPr>
          <a:ln>
            <a:solidFill>
              <a:schemeClr val="tx1"/>
            </a:solidFill>
          </a:ln>
        </c:spPr>
        <c:crossAx val="140217344"/>
        <c:crosses val="autoZero"/>
        <c:crossBetween val="between"/>
        <c:majorUnit val="20"/>
      </c:valAx>
      <c:spPr>
        <a:noFill/>
        <a:ln>
          <a:solidFill>
            <a:schemeClr val="tx1"/>
          </a:solidFill>
        </a:ln>
      </c:spPr>
    </c:plotArea>
    <c:legend>
      <c:legendPos val="t"/>
      <c:layout/>
      <c:overlay val="0"/>
      <c:spPr>
        <a:ln>
          <a:solidFill>
            <a:schemeClr val="tx1"/>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4"/>
          <c:order val="0"/>
          <c:tx>
            <c:strRef>
              <c:f>'fig B.2'!$B$34</c:f>
              <c:strCache>
                <c:ptCount val="1"/>
                <c:pt idx="0">
                  <c:v>Transportation &amp; other education                                        </c:v>
                </c:pt>
              </c:strCache>
            </c:strRef>
          </c:tx>
          <c:spPr>
            <a:pattFill prst="ltVert">
              <a:fgClr>
                <a:schemeClr val="tx1"/>
              </a:fgClr>
              <a:bgClr>
                <a:schemeClr val="bg1"/>
              </a:bgClr>
            </a:pattFill>
            <a:ln>
              <a:solidFill>
                <a:sysClr val="windowText" lastClr="000000"/>
              </a:solidFill>
            </a:ln>
          </c:spPr>
          <c:invertIfNegative val="0"/>
          <c:cat>
            <c:strRef>
              <c:f>'fig B.2'!$C$29:$M$29</c:f>
              <c:strCache>
                <c:ptCount val="11"/>
                <c:pt idx="0">
                  <c:v>NSW</c:v>
                </c:pt>
                <c:pt idx="1">
                  <c:v>Vic </c:v>
                </c:pt>
                <c:pt idx="2">
                  <c:v>Qld</c:v>
                </c:pt>
                <c:pt idx="3">
                  <c:v>WA  </c:v>
                </c:pt>
                <c:pt idx="4">
                  <c:v>SA</c:v>
                </c:pt>
                <c:pt idx="5">
                  <c:v>Tas </c:v>
                </c:pt>
                <c:pt idx="6">
                  <c:v>ACT</c:v>
                </c:pt>
                <c:pt idx="7">
                  <c:v>NT</c:v>
                </c:pt>
                <c:pt idx="8">
                  <c:v>Total S/T</c:v>
                </c:pt>
                <c:pt idx="9">
                  <c:v>Aus Gov</c:v>
                </c:pt>
                <c:pt idx="10">
                  <c:v>Total</c:v>
                </c:pt>
              </c:strCache>
            </c:strRef>
          </c:cat>
          <c:val>
            <c:numRef>
              <c:f>'fig B.2'!$C$34:$M$34</c:f>
              <c:numCache>
                <c:formatCode>###\ ###\ ##0.0;\-###\ ###\ ##0.0;"–"</c:formatCode>
                <c:ptCount val="11"/>
                <c:pt idx="0">
                  <c:v>5.2739902238229996</c:v>
                </c:pt>
                <c:pt idx="1">
                  <c:v>3.4608958548810569</c:v>
                </c:pt>
                <c:pt idx="2">
                  <c:v>2.1847070506454815</c:v>
                </c:pt>
                <c:pt idx="3">
                  <c:v>1.8389238889834836</c:v>
                </c:pt>
                <c:pt idx="4">
                  <c:v>0.76238881829733163</c:v>
                </c:pt>
                <c:pt idx="5">
                  <c:v>2.7182866556836904</c:v>
                </c:pt>
                <c:pt idx="6">
                  <c:v>0.34129692832764508</c:v>
                </c:pt>
                <c:pt idx="7">
                  <c:v>1.7875920084121977</c:v>
                </c:pt>
                <c:pt idx="8">
                  <c:v>3.2669619409712696</c:v>
                </c:pt>
                <c:pt idx="9">
                  <c:v>13.206627680311891</c:v>
                </c:pt>
                <c:pt idx="10">
                  <c:v>7.1992617493902848</c:v>
                </c:pt>
              </c:numCache>
            </c:numRef>
          </c:val>
        </c:ser>
        <c:ser>
          <c:idx val="3"/>
          <c:order val="1"/>
          <c:tx>
            <c:strRef>
              <c:f>'fig B.2'!$B$33</c:f>
              <c:strCache>
                <c:ptCount val="1"/>
                <c:pt idx="0">
                  <c:v>University &amp; other tertiary nec</c:v>
                </c:pt>
              </c:strCache>
            </c:strRef>
          </c:tx>
          <c:spPr>
            <a:pattFill prst="openDmnd">
              <a:fgClr>
                <a:schemeClr val="tx1"/>
              </a:fgClr>
              <a:bgClr>
                <a:schemeClr val="bg1"/>
              </a:bgClr>
            </a:pattFill>
            <a:ln>
              <a:solidFill>
                <a:sysClr val="windowText" lastClr="000000"/>
              </a:solidFill>
            </a:ln>
          </c:spPr>
          <c:invertIfNegative val="0"/>
          <c:cat>
            <c:strRef>
              <c:f>'fig B.2'!$C$29:$M$29</c:f>
              <c:strCache>
                <c:ptCount val="11"/>
                <c:pt idx="0">
                  <c:v>NSW</c:v>
                </c:pt>
                <c:pt idx="1">
                  <c:v>Vic </c:v>
                </c:pt>
                <c:pt idx="2">
                  <c:v>Qld</c:v>
                </c:pt>
                <c:pt idx="3">
                  <c:v>WA  </c:v>
                </c:pt>
                <c:pt idx="4">
                  <c:v>SA</c:v>
                </c:pt>
                <c:pt idx="5">
                  <c:v>Tas </c:v>
                </c:pt>
                <c:pt idx="6">
                  <c:v>ACT</c:v>
                </c:pt>
                <c:pt idx="7">
                  <c:v>NT</c:v>
                </c:pt>
                <c:pt idx="8">
                  <c:v>Total S/T</c:v>
                </c:pt>
                <c:pt idx="9">
                  <c:v>Aus Gov</c:v>
                </c:pt>
                <c:pt idx="10">
                  <c:v>Total</c:v>
                </c:pt>
              </c:strCache>
            </c:strRef>
          </c:cat>
          <c:val>
            <c:numRef>
              <c:f>'fig B.2'!$C$33:$M$33</c:f>
              <c:numCache>
                <c:formatCode>###\ ###\ ##0.0;\-###\ ###\ ##0.0;"–"</c:formatCode>
                <c:ptCount val="11"/>
                <c:pt idx="0">
                  <c:v>0.4759454592230512</c:v>
                </c:pt>
                <c:pt idx="1">
                  <c:v>0.76378391280133662</c:v>
                </c:pt>
                <c:pt idx="2">
                  <c:v>3.9721946375372394E-2</c:v>
                </c:pt>
                <c:pt idx="3">
                  <c:v>0.2554060956921505</c:v>
                </c:pt>
                <c:pt idx="4">
                  <c:v>2.5412960609911055</c:v>
                </c:pt>
                <c:pt idx="5">
                  <c:v>0.16474464579901155</c:v>
                </c:pt>
                <c:pt idx="6">
                  <c:v>0.79635949943117168</c:v>
                </c:pt>
                <c:pt idx="7">
                  <c:v>4.1009463722397479</c:v>
                </c:pt>
                <c:pt idx="8">
                  <c:v>0.65848782973386122</c:v>
                </c:pt>
                <c:pt idx="9">
                  <c:v>30.43372319688109</c:v>
                </c:pt>
                <c:pt idx="10">
                  <c:v>27.350866785314089</c:v>
                </c:pt>
              </c:numCache>
            </c:numRef>
          </c:val>
        </c:ser>
        <c:ser>
          <c:idx val="2"/>
          <c:order val="2"/>
          <c:tx>
            <c:strRef>
              <c:f>'fig B.2'!$B$32</c:f>
              <c:strCache>
                <c:ptCount val="1"/>
                <c:pt idx="0">
                  <c:v>TAFE</c:v>
                </c:pt>
              </c:strCache>
            </c:strRef>
          </c:tx>
          <c:spPr>
            <a:solidFill>
              <a:schemeClr val="bg1">
                <a:lumMod val="50000"/>
              </a:schemeClr>
            </a:solidFill>
            <a:ln>
              <a:solidFill>
                <a:sysClr val="windowText" lastClr="000000"/>
              </a:solidFill>
            </a:ln>
          </c:spPr>
          <c:invertIfNegative val="0"/>
          <c:cat>
            <c:strRef>
              <c:f>'fig B.2'!$C$29:$M$29</c:f>
              <c:strCache>
                <c:ptCount val="11"/>
                <c:pt idx="0">
                  <c:v>NSW</c:v>
                </c:pt>
                <c:pt idx="1">
                  <c:v>Vic </c:v>
                </c:pt>
                <c:pt idx="2">
                  <c:v>Qld</c:v>
                </c:pt>
                <c:pt idx="3">
                  <c:v>WA  </c:v>
                </c:pt>
                <c:pt idx="4">
                  <c:v>SA</c:v>
                </c:pt>
                <c:pt idx="5">
                  <c:v>Tas </c:v>
                </c:pt>
                <c:pt idx="6">
                  <c:v>ACT</c:v>
                </c:pt>
                <c:pt idx="7">
                  <c:v>NT</c:v>
                </c:pt>
                <c:pt idx="8">
                  <c:v>Total S/T</c:v>
                </c:pt>
                <c:pt idx="9">
                  <c:v>Aus Gov</c:v>
                </c:pt>
                <c:pt idx="10">
                  <c:v>Total</c:v>
                </c:pt>
              </c:strCache>
            </c:strRef>
          </c:cat>
          <c:val>
            <c:numRef>
              <c:f>'fig B.2'!$C$32:$M$32</c:f>
              <c:numCache>
                <c:formatCode>###\ ###\ ##0.0;\-###\ ###\ ##0.0;"–"</c:formatCode>
                <c:ptCount val="11"/>
                <c:pt idx="0">
                  <c:v>11.139696423977361</c:v>
                </c:pt>
                <c:pt idx="1">
                  <c:v>19.53218235340918</c:v>
                </c:pt>
                <c:pt idx="2">
                  <c:v>8.4111221449851037</c:v>
                </c:pt>
                <c:pt idx="3">
                  <c:v>9.8246211476247236</c:v>
                </c:pt>
                <c:pt idx="4">
                  <c:v>12.07115628970775</c:v>
                </c:pt>
                <c:pt idx="5">
                  <c:v>11.28500823723229</c:v>
                </c:pt>
                <c:pt idx="6">
                  <c:v>10.921501706484642</c:v>
                </c:pt>
                <c:pt idx="7">
                  <c:v>10.199789695057834</c:v>
                </c:pt>
                <c:pt idx="8">
                  <c:v>12.544585113471562</c:v>
                </c:pt>
                <c:pt idx="9">
                  <c:v>6.9061542745753268</c:v>
                </c:pt>
                <c:pt idx="10">
                  <c:v>8.8260497000856883</c:v>
                </c:pt>
              </c:numCache>
            </c:numRef>
          </c:val>
        </c:ser>
        <c:ser>
          <c:idx val="1"/>
          <c:order val="3"/>
          <c:tx>
            <c:strRef>
              <c:f>'fig B.2'!$B$31</c:f>
              <c:strCache>
                <c:ptCount val="1"/>
                <c:pt idx="0">
                  <c:v>School education</c:v>
                </c:pt>
              </c:strCache>
            </c:strRef>
          </c:tx>
          <c:spPr>
            <a:pattFill prst="wdUpDiag">
              <a:fgClr>
                <a:schemeClr val="tx1"/>
              </a:fgClr>
              <a:bgClr>
                <a:schemeClr val="bg1"/>
              </a:bgClr>
            </a:pattFill>
            <a:ln>
              <a:solidFill>
                <a:sysClr val="windowText" lastClr="000000"/>
              </a:solidFill>
            </a:ln>
          </c:spPr>
          <c:invertIfNegative val="0"/>
          <c:cat>
            <c:strRef>
              <c:f>'fig B.2'!$C$29:$M$29</c:f>
              <c:strCache>
                <c:ptCount val="11"/>
                <c:pt idx="0">
                  <c:v>NSW</c:v>
                </c:pt>
                <c:pt idx="1">
                  <c:v>Vic </c:v>
                </c:pt>
                <c:pt idx="2">
                  <c:v>Qld</c:v>
                </c:pt>
                <c:pt idx="3">
                  <c:v>WA  </c:v>
                </c:pt>
                <c:pt idx="4">
                  <c:v>SA</c:v>
                </c:pt>
                <c:pt idx="5">
                  <c:v>Tas </c:v>
                </c:pt>
                <c:pt idx="6">
                  <c:v>ACT</c:v>
                </c:pt>
                <c:pt idx="7">
                  <c:v>NT</c:v>
                </c:pt>
                <c:pt idx="8">
                  <c:v>Total S/T</c:v>
                </c:pt>
                <c:pt idx="9">
                  <c:v>Aus Gov</c:v>
                </c:pt>
                <c:pt idx="10">
                  <c:v>Total</c:v>
                </c:pt>
              </c:strCache>
            </c:strRef>
          </c:cat>
          <c:val>
            <c:numRef>
              <c:f>'fig B.2'!$C$31:$M$31</c:f>
              <c:numCache>
                <c:formatCode>###\ ###\ ##0.0;\-###\ ###\ ##0.0;"–"</c:formatCode>
                <c:ptCount val="11"/>
                <c:pt idx="0">
                  <c:v>72.536660663750965</c:v>
                </c:pt>
                <c:pt idx="1">
                  <c:v>70.284032142572997</c:v>
                </c:pt>
                <c:pt idx="2">
                  <c:v>78.937437934458785</c:v>
                </c:pt>
                <c:pt idx="3">
                  <c:v>81.031840626596292</c:v>
                </c:pt>
                <c:pt idx="4">
                  <c:v>80.127064803049549</c:v>
                </c:pt>
                <c:pt idx="5">
                  <c:v>81.466227347611195</c:v>
                </c:pt>
                <c:pt idx="6">
                  <c:v>82.025028441410697</c:v>
                </c:pt>
                <c:pt idx="7">
                  <c:v>74.55310199789696</c:v>
                </c:pt>
                <c:pt idx="8">
                  <c:v>75.238113902716265</c:v>
                </c:pt>
                <c:pt idx="9">
                  <c:v>48.207323865218605</c:v>
                </c:pt>
                <c:pt idx="10">
                  <c:v>51.067167622437552</c:v>
                </c:pt>
              </c:numCache>
            </c:numRef>
          </c:val>
        </c:ser>
        <c:ser>
          <c:idx val="0"/>
          <c:order val="4"/>
          <c:tx>
            <c:strRef>
              <c:f>'fig B.2'!$B$30</c:f>
              <c:strCache>
                <c:ptCount val="1"/>
                <c:pt idx="0">
                  <c:v>Pre-school </c:v>
                </c:pt>
              </c:strCache>
            </c:strRef>
          </c:tx>
          <c:spPr>
            <a:solidFill>
              <a:sysClr val="window" lastClr="FFFFFF">
                <a:lumMod val="75000"/>
              </a:sysClr>
            </a:solidFill>
            <a:ln>
              <a:solidFill>
                <a:srgbClr val="000000"/>
              </a:solidFill>
            </a:ln>
          </c:spPr>
          <c:invertIfNegative val="0"/>
          <c:cat>
            <c:strRef>
              <c:f>'fig B.2'!$C$29:$M$29</c:f>
              <c:strCache>
                <c:ptCount val="11"/>
                <c:pt idx="0">
                  <c:v>NSW</c:v>
                </c:pt>
                <c:pt idx="1">
                  <c:v>Vic </c:v>
                </c:pt>
                <c:pt idx="2">
                  <c:v>Qld</c:v>
                </c:pt>
                <c:pt idx="3">
                  <c:v>WA  </c:v>
                </c:pt>
                <c:pt idx="4">
                  <c:v>SA</c:v>
                </c:pt>
                <c:pt idx="5">
                  <c:v>Tas </c:v>
                </c:pt>
                <c:pt idx="6">
                  <c:v>ACT</c:v>
                </c:pt>
                <c:pt idx="7">
                  <c:v>NT</c:v>
                </c:pt>
                <c:pt idx="8">
                  <c:v>Total S/T</c:v>
                </c:pt>
                <c:pt idx="9">
                  <c:v>Aus Gov</c:v>
                </c:pt>
                <c:pt idx="10">
                  <c:v>Total</c:v>
                </c:pt>
              </c:strCache>
            </c:strRef>
          </c:cat>
          <c:val>
            <c:numRef>
              <c:f>'fig B.2'!$C$30:$M$30</c:f>
              <c:numCache>
                <c:formatCode>###\ ###\ ##0.0;\-###\ ###\ ##0.0;"–"</c:formatCode>
                <c:ptCount val="11"/>
                <c:pt idx="0">
                  <c:v>10.580138924620531</c:v>
                </c:pt>
                <c:pt idx="1">
                  <c:v>5.9750179011854563</c:v>
                </c:pt>
                <c:pt idx="2">
                  <c:v>10.427010923535253</c:v>
                </c:pt>
                <c:pt idx="3">
                  <c:v>7.0662353141494982</c:v>
                </c:pt>
                <c:pt idx="4">
                  <c:v>4.4980940279542567</c:v>
                </c:pt>
                <c:pt idx="5">
                  <c:v>4.365733113673806</c:v>
                </c:pt>
                <c:pt idx="6">
                  <c:v>5.9158134243458473</c:v>
                </c:pt>
                <c:pt idx="7">
                  <c:v>9.3585699263932707</c:v>
                </c:pt>
                <c:pt idx="8">
                  <c:v>8.2938109983145853</c:v>
                </c:pt>
                <c:pt idx="9">
                  <c:v>1.2461709830130883</c:v>
                </c:pt>
                <c:pt idx="10">
                  <c:v>5.5579724474326024</c:v>
                </c:pt>
              </c:numCache>
            </c:numRef>
          </c:val>
        </c:ser>
        <c:dLbls>
          <c:showLegendKey val="0"/>
          <c:showVal val="0"/>
          <c:showCatName val="0"/>
          <c:showSerName val="0"/>
          <c:showPercent val="0"/>
          <c:showBubbleSize val="0"/>
        </c:dLbls>
        <c:gapWidth val="150"/>
        <c:overlap val="100"/>
        <c:axId val="130946944"/>
        <c:axId val="130948480"/>
      </c:barChart>
      <c:catAx>
        <c:axId val="130946944"/>
        <c:scaling>
          <c:orientation val="minMax"/>
        </c:scaling>
        <c:delete val="0"/>
        <c:axPos val="b"/>
        <c:majorTickMark val="out"/>
        <c:minorTickMark val="none"/>
        <c:tickLblPos val="nextTo"/>
        <c:crossAx val="130948480"/>
        <c:crosses val="autoZero"/>
        <c:auto val="1"/>
        <c:lblAlgn val="ctr"/>
        <c:lblOffset val="100"/>
        <c:noMultiLvlLbl val="0"/>
      </c:catAx>
      <c:valAx>
        <c:axId val="130948480"/>
        <c:scaling>
          <c:orientation val="minMax"/>
          <c:max val="100"/>
        </c:scaling>
        <c:delete val="0"/>
        <c:axPos val="l"/>
        <c:majorGridlines/>
        <c:title>
          <c:tx>
            <c:rich>
              <a:bodyPr rot="-5400000" vert="horz"/>
              <a:lstStyle/>
              <a:p>
                <a:pPr>
                  <a:defRPr/>
                </a:pPr>
                <a:r>
                  <a:rPr lang="en-US"/>
                  <a:t>Per cent</a:t>
                </a:r>
              </a:p>
            </c:rich>
          </c:tx>
          <c:layout/>
          <c:overlay val="0"/>
        </c:title>
        <c:numFmt formatCode="#,##0" sourceLinked="0"/>
        <c:majorTickMark val="out"/>
        <c:minorTickMark val="none"/>
        <c:tickLblPos val="nextTo"/>
        <c:spPr>
          <a:ln>
            <a:solidFill>
              <a:schemeClr val="tx1"/>
            </a:solidFill>
          </a:ln>
        </c:spPr>
        <c:crossAx val="130946944"/>
        <c:crosses val="autoZero"/>
        <c:crossBetween val="between"/>
        <c:majorUnit val="20"/>
      </c:valAx>
      <c:spPr>
        <a:noFill/>
        <a:ln>
          <a:solidFill>
            <a:schemeClr val="tx1"/>
          </a:solidFill>
        </a:ln>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spPr>
            <a:solidFill>
              <a:sysClr val="window" lastClr="FFFFFF">
                <a:lumMod val="75000"/>
              </a:sysClr>
            </a:solidFill>
            <a:ln>
              <a:solidFill>
                <a:srgbClr val="000000"/>
              </a:solidFill>
            </a:ln>
          </c:spPr>
          <c:invertIfNegative val="0"/>
          <c:errBars>
            <c:errBarType val="both"/>
            <c:errValType val="cust"/>
            <c:noEndCap val="0"/>
            <c:plus>
              <c:numRef>
                <c:f>'fig B.16'!$B$4:$J$4</c:f>
                <c:numCache>
                  <c:formatCode>General</c:formatCode>
                  <c:ptCount val="9"/>
                  <c:pt idx="0">
                    <c:v>2.4</c:v>
                  </c:pt>
                  <c:pt idx="1">
                    <c:v>2.6</c:v>
                  </c:pt>
                  <c:pt idx="2">
                    <c:v>3.9</c:v>
                  </c:pt>
                  <c:pt idx="3">
                    <c:v>2.9</c:v>
                  </c:pt>
                  <c:pt idx="4">
                    <c:v>4.2</c:v>
                  </c:pt>
                  <c:pt idx="5">
                    <c:v>7.8</c:v>
                  </c:pt>
                  <c:pt idx="6">
                    <c:v>4.2</c:v>
                  </c:pt>
                  <c:pt idx="7">
                    <c:v>7.9</c:v>
                  </c:pt>
                  <c:pt idx="8">
                    <c:v>1.3</c:v>
                  </c:pt>
                </c:numCache>
              </c:numRef>
            </c:plus>
            <c:minus>
              <c:numRef>
                <c:f>'fig B.16'!$B$4:$J$4</c:f>
                <c:numCache>
                  <c:formatCode>General</c:formatCode>
                  <c:ptCount val="9"/>
                  <c:pt idx="0">
                    <c:v>2.4</c:v>
                  </c:pt>
                  <c:pt idx="1">
                    <c:v>2.6</c:v>
                  </c:pt>
                  <c:pt idx="2">
                    <c:v>3.9</c:v>
                  </c:pt>
                  <c:pt idx="3">
                    <c:v>2.9</c:v>
                  </c:pt>
                  <c:pt idx="4">
                    <c:v>4.2</c:v>
                  </c:pt>
                  <c:pt idx="5">
                    <c:v>7.8</c:v>
                  </c:pt>
                  <c:pt idx="6">
                    <c:v>4.2</c:v>
                  </c:pt>
                  <c:pt idx="7">
                    <c:v>7.9</c:v>
                  </c:pt>
                  <c:pt idx="8">
                    <c:v>1.3</c:v>
                  </c:pt>
                </c:numCache>
              </c:numRef>
            </c:minus>
          </c:errBars>
          <c:cat>
            <c:strRef>
              <c:f>'fig B.16'!$B$2:$J$2</c:f>
              <c:strCache>
                <c:ptCount val="9"/>
                <c:pt idx="0">
                  <c:v>NSW</c:v>
                </c:pt>
                <c:pt idx="1">
                  <c:v>Vic</c:v>
                </c:pt>
                <c:pt idx="2">
                  <c:v>Qld</c:v>
                </c:pt>
                <c:pt idx="3">
                  <c:v>WA</c:v>
                </c:pt>
                <c:pt idx="4">
                  <c:v>SA</c:v>
                </c:pt>
                <c:pt idx="5">
                  <c:v>Tas</c:v>
                </c:pt>
                <c:pt idx="6">
                  <c:v>ACT</c:v>
                </c:pt>
                <c:pt idx="7">
                  <c:v>NT</c:v>
                </c:pt>
                <c:pt idx="8">
                  <c:v>Aust</c:v>
                </c:pt>
              </c:strCache>
            </c:strRef>
          </c:cat>
          <c:val>
            <c:numRef>
              <c:f>'fig B.16'!$B$3:$J$3</c:f>
              <c:numCache>
                <c:formatCode>0.0</c:formatCode>
                <c:ptCount val="9"/>
                <c:pt idx="0">
                  <c:v>87</c:v>
                </c:pt>
                <c:pt idx="1">
                  <c:v>87.3</c:v>
                </c:pt>
                <c:pt idx="2">
                  <c:v>83.3</c:v>
                </c:pt>
                <c:pt idx="3">
                  <c:v>80.400000000000006</c:v>
                </c:pt>
                <c:pt idx="4">
                  <c:v>78.7</c:v>
                </c:pt>
                <c:pt idx="5">
                  <c:v>68.400000000000006</c:v>
                </c:pt>
                <c:pt idx="6">
                  <c:v>92.9</c:v>
                </c:pt>
                <c:pt idx="7">
                  <c:v>68.2</c:v>
                </c:pt>
                <c:pt idx="8">
                  <c:v>84.6</c:v>
                </c:pt>
              </c:numCache>
            </c:numRef>
          </c:val>
        </c:ser>
        <c:dLbls>
          <c:showLegendKey val="0"/>
          <c:showVal val="0"/>
          <c:showCatName val="0"/>
          <c:showSerName val="0"/>
          <c:showPercent val="0"/>
          <c:showBubbleSize val="0"/>
        </c:dLbls>
        <c:gapWidth val="150"/>
        <c:axId val="140240384"/>
        <c:axId val="140241920"/>
      </c:barChart>
      <c:catAx>
        <c:axId val="140240384"/>
        <c:scaling>
          <c:orientation val="minMax"/>
        </c:scaling>
        <c:delete val="0"/>
        <c:axPos val="b"/>
        <c:majorTickMark val="out"/>
        <c:minorTickMark val="none"/>
        <c:tickLblPos val="nextTo"/>
        <c:crossAx val="140241920"/>
        <c:crosses val="autoZero"/>
        <c:auto val="1"/>
        <c:lblAlgn val="ctr"/>
        <c:lblOffset val="100"/>
        <c:noMultiLvlLbl val="0"/>
      </c:catAx>
      <c:valAx>
        <c:axId val="140241920"/>
        <c:scaling>
          <c:orientation val="minMax"/>
          <c:max val="100"/>
        </c:scaling>
        <c:delete val="0"/>
        <c:axPos val="l"/>
        <c:majorGridlines/>
        <c:title>
          <c:tx>
            <c:rich>
              <a:bodyPr rot="-5400000" vert="horz"/>
              <a:lstStyle/>
              <a:p>
                <a:pPr>
                  <a:defRPr/>
                </a:pPr>
                <a:r>
                  <a:rPr lang="en-US"/>
                  <a:t>Per cent</a:t>
                </a:r>
              </a:p>
            </c:rich>
          </c:tx>
          <c:layout/>
          <c:overlay val="0"/>
        </c:title>
        <c:numFmt formatCode="0" sourceLinked="0"/>
        <c:majorTickMark val="out"/>
        <c:minorTickMark val="none"/>
        <c:tickLblPos val="nextTo"/>
        <c:spPr>
          <a:ln>
            <a:solidFill>
              <a:schemeClr val="tx1"/>
            </a:solidFill>
          </a:ln>
        </c:spPr>
        <c:crossAx val="140240384"/>
        <c:crosses val="autoZero"/>
        <c:crossBetween val="between"/>
        <c:majorUnit val="20"/>
      </c:valAx>
      <c:spPr>
        <a:noFill/>
        <a:ln>
          <a:solidFill>
            <a:schemeClr val="tx1"/>
          </a:solidFill>
        </a:ln>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'fig B.17 CENSUS'!$A$3</c:f>
              <c:strCache>
                <c:ptCount val="1"/>
                <c:pt idx="0">
                  <c:v>2006</c:v>
                </c:pt>
              </c:strCache>
            </c:strRef>
          </c:tx>
          <c:spPr>
            <a:solidFill>
              <a:sysClr val="window" lastClr="FFFFFF">
                <a:lumMod val="75000"/>
              </a:sysClr>
            </a:solidFill>
            <a:ln>
              <a:solidFill>
                <a:srgbClr val="000000"/>
              </a:solidFill>
            </a:ln>
          </c:spPr>
          <c:invertIfNegative val="0"/>
          <c:cat>
            <c:strRef>
              <c:f>'fig B.17 CENSUS'!$B$2:$J$2</c:f>
              <c:strCache>
                <c:ptCount val="9"/>
                <c:pt idx="0">
                  <c:v>NSW</c:v>
                </c:pt>
                <c:pt idx="1">
                  <c:v>Vic</c:v>
                </c:pt>
                <c:pt idx="2">
                  <c:v>Qld</c:v>
                </c:pt>
                <c:pt idx="3">
                  <c:v>WA</c:v>
                </c:pt>
                <c:pt idx="4">
                  <c:v>SA</c:v>
                </c:pt>
                <c:pt idx="5">
                  <c:v>Tas</c:v>
                </c:pt>
                <c:pt idx="6">
                  <c:v>ACT</c:v>
                </c:pt>
                <c:pt idx="7">
                  <c:v>NT</c:v>
                </c:pt>
                <c:pt idx="8">
                  <c:v>Aust</c:v>
                </c:pt>
              </c:strCache>
            </c:strRef>
          </c:cat>
          <c:val>
            <c:numRef>
              <c:f>'fig B.17 CENSUS'!$B$3:$J$3</c:f>
              <c:numCache>
                <c:formatCode>###\ ###\ ##0.0;\-###\ ###\ ##0.0;"–"</c:formatCode>
                <c:ptCount val="9"/>
                <c:pt idx="0">
                  <c:v>81.900000000000006</c:v>
                </c:pt>
                <c:pt idx="1">
                  <c:v>85.4</c:v>
                </c:pt>
                <c:pt idx="2">
                  <c:v>82.2</c:v>
                </c:pt>
                <c:pt idx="3">
                  <c:v>79.3</c:v>
                </c:pt>
                <c:pt idx="4">
                  <c:v>76.400000000000006</c:v>
                </c:pt>
                <c:pt idx="5">
                  <c:v>72.900000000000006</c:v>
                </c:pt>
                <c:pt idx="6">
                  <c:v>90.2</c:v>
                </c:pt>
                <c:pt idx="7">
                  <c:v>56.5</c:v>
                </c:pt>
                <c:pt idx="8">
                  <c:v>81.900000000000006</c:v>
                </c:pt>
              </c:numCache>
            </c:numRef>
          </c:val>
        </c:ser>
        <c:ser>
          <c:idx val="1"/>
          <c:order val="1"/>
          <c:tx>
            <c:strRef>
              <c:f>'fig B.17 CENSUS'!$A$4</c:f>
              <c:strCache>
                <c:ptCount val="1"/>
                <c:pt idx="0">
                  <c:v>2011</c:v>
                </c:pt>
              </c:strCache>
            </c:strRef>
          </c:tx>
          <c:spPr>
            <a:pattFill prst="wdUpDiag">
              <a:fgClr>
                <a:schemeClr val="tx1"/>
              </a:fgClr>
              <a:bgClr>
                <a:schemeClr val="bg1"/>
              </a:bgClr>
            </a:pattFill>
            <a:ln>
              <a:solidFill>
                <a:sysClr val="windowText" lastClr="000000"/>
              </a:solidFill>
            </a:ln>
          </c:spPr>
          <c:invertIfNegative val="0"/>
          <c:cat>
            <c:strRef>
              <c:f>'fig B.17 CENSUS'!$B$2:$J$2</c:f>
              <c:strCache>
                <c:ptCount val="9"/>
                <c:pt idx="0">
                  <c:v>NSW</c:v>
                </c:pt>
                <c:pt idx="1">
                  <c:v>Vic</c:v>
                </c:pt>
                <c:pt idx="2">
                  <c:v>Qld</c:v>
                </c:pt>
                <c:pt idx="3">
                  <c:v>WA</c:v>
                </c:pt>
                <c:pt idx="4">
                  <c:v>SA</c:v>
                </c:pt>
                <c:pt idx="5">
                  <c:v>Tas</c:v>
                </c:pt>
                <c:pt idx="6">
                  <c:v>ACT</c:v>
                </c:pt>
                <c:pt idx="7">
                  <c:v>NT</c:v>
                </c:pt>
                <c:pt idx="8">
                  <c:v>Aust</c:v>
                </c:pt>
              </c:strCache>
            </c:strRef>
          </c:cat>
          <c:val>
            <c:numRef>
              <c:f>'fig B.17 CENSUS'!$B$4:$J$4</c:f>
              <c:numCache>
                <c:formatCode>#,##0.0</c:formatCode>
                <c:ptCount val="9"/>
                <c:pt idx="0">
                  <c:v>84.1</c:v>
                </c:pt>
                <c:pt idx="1">
                  <c:v>87.4</c:v>
                </c:pt>
                <c:pt idx="2">
                  <c:v>83.9</c:v>
                </c:pt>
                <c:pt idx="3">
                  <c:v>82.2</c:v>
                </c:pt>
                <c:pt idx="4">
                  <c:v>80.599999999999994</c:v>
                </c:pt>
                <c:pt idx="5">
                  <c:v>75.599999999999994</c:v>
                </c:pt>
                <c:pt idx="6">
                  <c:v>90.6</c:v>
                </c:pt>
                <c:pt idx="7">
                  <c:v>63.1</c:v>
                </c:pt>
                <c:pt idx="8">
                  <c:v>84.2</c:v>
                </c:pt>
              </c:numCache>
            </c:numRef>
          </c:val>
        </c:ser>
        <c:dLbls>
          <c:showLegendKey val="0"/>
          <c:showVal val="0"/>
          <c:showCatName val="0"/>
          <c:showSerName val="0"/>
          <c:showPercent val="0"/>
          <c:showBubbleSize val="0"/>
        </c:dLbls>
        <c:gapWidth val="150"/>
        <c:axId val="168005632"/>
        <c:axId val="168007168"/>
      </c:barChart>
      <c:catAx>
        <c:axId val="168005632"/>
        <c:scaling>
          <c:orientation val="minMax"/>
        </c:scaling>
        <c:delete val="0"/>
        <c:axPos val="b"/>
        <c:majorTickMark val="out"/>
        <c:minorTickMark val="none"/>
        <c:tickLblPos val="nextTo"/>
        <c:crossAx val="168007168"/>
        <c:crosses val="autoZero"/>
        <c:auto val="1"/>
        <c:lblAlgn val="ctr"/>
        <c:lblOffset val="100"/>
        <c:noMultiLvlLbl val="0"/>
      </c:catAx>
      <c:valAx>
        <c:axId val="168007168"/>
        <c:scaling>
          <c:orientation val="minMax"/>
          <c:max val="100"/>
        </c:scaling>
        <c:delete val="0"/>
        <c:axPos val="l"/>
        <c:majorGridlines/>
        <c:title>
          <c:tx>
            <c:rich>
              <a:bodyPr rot="-5400000" vert="horz"/>
              <a:lstStyle/>
              <a:p>
                <a:pPr>
                  <a:defRPr/>
                </a:pPr>
                <a:r>
                  <a:rPr lang="en-AU"/>
                  <a:t>Per</a:t>
                </a:r>
                <a:r>
                  <a:rPr lang="en-AU" baseline="0"/>
                  <a:t> cent</a:t>
                </a:r>
                <a:endParaRPr lang="en-AU"/>
              </a:p>
            </c:rich>
          </c:tx>
          <c:layout/>
          <c:overlay val="0"/>
        </c:title>
        <c:numFmt formatCode="#,##0" sourceLinked="0"/>
        <c:majorTickMark val="out"/>
        <c:minorTickMark val="none"/>
        <c:tickLblPos val="nextTo"/>
        <c:spPr>
          <a:ln>
            <a:solidFill>
              <a:schemeClr val="tx1"/>
            </a:solidFill>
          </a:ln>
        </c:spPr>
        <c:crossAx val="168005632"/>
        <c:crosses val="autoZero"/>
        <c:crossBetween val="between"/>
        <c:majorUnit val="20"/>
      </c:valAx>
      <c:spPr>
        <a:noFill/>
        <a:ln>
          <a:solidFill>
            <a:schemeClr val="tx1"/>
          </a:solidFill>
        </a:ln>
      </c:spPr>
    </c:plotArea>
    <c:legend>
      <c:legendPos val="t"/>
      <c:layout>
        <c:manualLayout>
          <c:xMode val="edge"/>
          <c:yMode val="edge"/>
          <c:x val="0.35236326838106374"/>
          <c:y val="2.6422763522854824E-2"/>
          <c:w val="0.29992693639391749"/>
          <c:h val="7.5142941255816387E-2"/>
        </c:manualLayout>
      </c:layout>
      <c:overlay val="0"/>
      <c:spPr>
        <a:ln>
          <a:solidFill>
            <a:schemeClr val="tx1"/>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'fig B.18 CENSUS'!$A$3</c:f>
              <c:strCache>
                <c:ptCount val="1"/>
                <c:pt idx="0">
                  <c:v>2006</c:v>
                </c:pt>
              </c:strCache>
            </c:strRef>
          </c:tx>
          <c:spPr>
            <a:solidFill>
              <a:sysClr val="window" lastClr="FFFFFF">
                <a:lumMod val="75000"/>
              </a:sysClr>
            </a:solidFill>
            <a:ln>
              <a:solidFill>
                <a:srgbClr val="000000"/>
              </a:solidFill>
            </a:ln>
          </c:spPr>
          <c:invertIfNegative val="0"/>
          <c:cat>
            <c:strRef>
              <c:f>'fig B.18 CENSUS'!$B$2:$J$2</c:f>
              <c:strCache>
                <c:ptCount val="9"/>
                <c:pt idx="0">
                  <c:v>NSW</c:v>
                </c:pt>
                <c:pt idx="1">
                  <c:v>Vic</c:v>
                </c:pt>
                <c:pt idx="2">
                  <c:v>Qld</c:v>
                </c:pt>
                <c:pt idx="3">
                  <c:v>WA</c:v>
                </c:pt>
                <c:pt idx="4">
                  <c:v>SA</c:v>
                </c:pt>
                <c:pt idx="5">
                  <c:v>Tas</c:v>
                </c:pt>
                <c:pt idx="6">
                  <c:v>ACT</c:v>
                </c:pt>
                <c:pt idx="7">
                  <c:v>NT</c:v>
                </c:pt>
                <c:pt idx="8">
                  <c:v>Aust</c:v>
                </c:pt>
              </c:strCache>
            </c:strRef>
          </c:cat>
          <c:val>
            <c:numRef>
              <c:f>'fig B.18 CENSUS'!$B$3:$J$3</c:f>
              <c:numCache>
                <c:formatCode>0.0</c:formatCode>
                <c:ptCount val="9"/>
                <c:pt idx="0">
                  <c:v>50</c:v>
                </c:pt>
                <c:pt idx="1">
                  <c:v>49.6</c:v>
                </c:pt>
                <c:pt idx="2">
                  <c:v>45.5</c:v>
                </c:pt>
                <c:pt idx="3">
                  <c:v>48.1</c:v>
                </c:pt>
                <c:pt idx="4">
                  <c:v>44.1</c:v>
                </c:pt>
                <c:pt idx="5">
                  <c:v>42.7</c:v>
                </c:pt>
                <c:pt idx="6">
                  <c:v>59.9</c:v>
                </c:pt>
                <c:pt idx="7">
                  <c:v>43.1</c:v>
                </c:pt>
                <c:pt idx="8">
                  <c:v>48.3</c:v>
                </c:pt>
              </c:numCache>
            </c:numRef>
          </c:val>
        </c:ser>
        <c:ser>
          <c:idx val="1"/>
          <c:order val="1"/>
          <c:tx>
            <c:strRef>
              <c:f>'fig B.18 CENSUS'!$A$4</c:f>
              <c:strCache>
                <c:ptCount val="1"/>
                <c:pt idx="0">
                  <c:v>2011</c:v>
                </c:pt>
              </c:strCache>
            </c:strRef>
          </c:tx>
          <c:spPr>
            <a:pattFill prst="wdUpDiag">
              <a:fgClr>
                <a:schemeClr val="tx1"/>
              </a:fgClr>
              <a:bgClr>
                <a:schemeClr val="bg1"/>
              </a:bgClr>
            </a:pattFill>
            <a:ln>
              <a:solidFill>
                <a:sysClr val="windowText" lastClr="000000"/>
              </a:solidFill>
            </a:ln>
          </c:spPr>
          <c:invertIfNegative val="0"/>
          <c:cat>
            <c:strRef>
              <c:f>'fig B.18 CENSUS'!$B$2:$J$2</c:f>
              <c:strCache>
                <c:ptCount val="9"/>
                <c:pt idx="0">
                  <c:v>NSW</c:v>
                </c:pt>
                <c:pt idx="1">
                  <c:v>Vic</c:v>
                </c:pt>
                <c:pt idx="2">
                  <c:v>Qld</c:v>
                </c:pt>
                <c:pt idx="3">
                  <c:v>WA</c:v>
                </c:pt>
                <c:pt idx="4">
                  <c:v>SA</c:v>
                </c:pt>
                <c:pt idx="5">
                  <c:v>Tas</c:v>
                </c:pt>
                <c:pt idx="6">
                  <c:v>ACT</c:v>
                </c:pt>
                <c:pt idx="7">
                  <c:v>NT</c:v>
                </c:pt>
                <c:pt idx="8">
                  <c:v>Aust</c:v>
                </c:pt>
              </c:strCache>
            </c:strRef>
          </c:cat>
          <c:val>
            <c:numRef>
              <c:f>'fig B.18 CENSUS'!$B$4:$J$4</c:f>
              <c:numCache>
                <c:formatCode>0.0</c:formatCode>
                <c:ptCount val="9"/>
                <c:pt idx="0">
                  <c:v>55.5</c:v>
                </c:pt>
                <c:pt idx="1">
                  <c:v>55.8</c:v>
                </c:pt>
                <c:pt idx="2">
                  <c:v>51.9</c:v>
                </c:pt>
                <c:pt idx="3">
                  <c:v>53.5</c:v>
                </c:pt>
                <c:pt idx="4">
                  <c:v>50.1</c:v>
                </c:pt>
                <c:pt idx="5">
                  <c:v>48.8</c:v>
                </c:pt>
                <c:pt idx="6">
                  <c:v>64.8</c:v>
                </c:pt>
                <c:pt idx="7">
                  <c:v>49.1</c:v>
                </c:pt>
                <c:pt idx="8">
                  <c:v>54.2</c:v>
                </c:pt>
              </c:numCache>
            </c:numRef>
          </c:val>
        </c:ser>
        <c:dLbls>
          <c:showLegendKey val="0"/>
          <c:showVal val="0"/>
          <c:showCatName val="0"/>
          <c:showSerName val="0"/>
          <c:showPercent val="0"/>
          <c:showBubbleSize val="0"/>
        </c:dLbls>
        <c:gapWidth val="150"/>
        <c:axId val="168036992"/>
        <c:axId val="168038784"/>
      </c:barChart>
      <c:catAx>
        <c:axId val="168036992"/>
        <c:scaling>
          <c:orientation val="minMax"/>
        </c:scaling>
        <c:delete val="0"/>
        <c:axPos val="b"/>
        <c:majorTickMark val="out"/>
        <c:minorTickMark val="none"/>
        <c:tickLblPos val="nextTo"/>
        <c:crossAx val="168038784"/>
        <c:crosses val="autoZero"/>
        <c:auto val="1"/>
        <c:lblAlgn val="ctr"/>
        <c:lblOffset val="100"/>
        <c:noMultiLvlLbl val="0"/>
      </c:catAx>
      <c:valAx>
        <c:axId val="168038784"/>
        <c:scaling>
          <c:orientation val="minMax"/>
          <c:max val="100"/>
        </c:scaling>
        <c:delete val="0"/>
        <c:axPos val="l"/>
        <c:majorGridlines/>
        <c:title>
          <c:tx>
            <c:rich>
              <a:bodyPr rot="-5400000" vert="horz"/>
              <a:lstStyle/>
              <a:p>
                <a:pPr>
                  <a:defRPr/>
                </a:pPr>
                <a:r>
                  <a:rPr lang="en-AU"/>
                  <a:t>Per</a:t>
                </a:r>
                <a:r>
                  <a:rPr lang="en-AU" baseline="0"/>
                  <a:t> cent</a:t>
                </a:r>
                <a:endParaRPr lang="en-AU"/>
              </a:p>
            </c:rich>
          </c:tx>
          <c:layout/>
          <c:overlay val="0"/>
        </c:title>
        <c:numFmt formatCode="#,##0" sourceLinked="0"/>
        <c:majorTickMark val="out"/>
        <c:minorTickMark val="none"/>
        <c:tickLblPos val="nextTo"/>
        <c:spPr>
          <a:ln>
            <a:solidFill>
              <a:schemeClr val="tx1"/>
            </a:solidFill>
          </a:ln>
        </c:spPr>
        <c:crossAx val="168036992"/>
        <c:crosses val="autoZero"/>
        <c:crossBetween val="between"/>
        <c:majorUnit val="20"/>
      </c:valAx>
      <c:spPr>
        <a:noFill/>
        <a:ln>
          <a:solidFill>
            <a:schemeClr val="tx1"/>
          </a:solidFill>
        </a:ln>
      </c:spPr>
    </c:plotArea>
    <c:legend>
      <c:legendPos val="t"/>
      <c:layout>
        <c:manualLayout>
          <c:xMode val="edge"/>
          <c:yMode val="edge"/>
          <c:x val="0.34765823768444321"/>
          <c:y val="2.6422763522854824E-2"/>
          <c:w val="0.32109593557067856"/>
          <c:h val="7.5142941255816387E-2"/>
        </c:manualLayout>
      </c:layout>
      <c:overlay val="0"/>
      <c:spPr>
        <a:ln>
          <a:solidFill>
            <a:schemeClr val="tx1"/>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'fig B.17'!$A$3</c:f>
              <c:strCache>
                <c:ptCount val="1"/>
                <c:pt idx="0">
                  <c:v>15-64</c:v>
                </c:pt>
              </c:strCache>
            </c:strRef>
          </c:tx>
          <c:spPr>
            <a:solidFill>
              <a:sysClr val="window" lastClr="FFFFFF">
                <a:lumMod val="75000"/>
              </a:sysClr>
            </a:solidFill>
            <a:ln>
              <a:solidFill>
                <a:srgbClr val="000000"/>
              </a:solidFill>
            </a:ln>
          </c:spPr>
          <c:invertIfNegative val="0"/>
          <c:errBars>
            <c:errBarType val="both"/>
            <c:errValType val="cust"/>
            <c:noEndCap val="0"/>
            <c:plus>
              <c:numRef>
                <c:f>'fig B.17'!$B$4:$J$4</c:f>
                <c:numCache>
                  <c:formatCode>General</c:formatCode>
                  <c:ptCount val="9"/>
                  <c:pt idx="0">
                    <c:v>1.1000000000000001</c:v>
                  </c:pt>
                  <c:pt idx="1">
                    <c:v>1.5</c:v>
                  </c:pt>
                  <c:pt idx="2">
                    <c:v>1.9</c:v>
                  </c:pt>
                  <c:pt idx="3">
                    <c:v>1.7</c:v>
                  </c:pt>
                  <c:pt idx="4">
                    <c:v>1.7</c:v>
                  </c:pt>
                  <c:pt idx="5">
                    <c:v>2.2999999999999998</c:v>
                  </c:pt>
                  <c:pt idx="6">
                    <c:v>2.6</c:v>
                  </c:pt>
                  <c:pt idx="7">
                    <c:v>3.5</c:v>
                  </c:pt>
                  <c:pt idx="8">
                    <c:v>0.6</c:v>
                  </c:pt>
                </c:numCache>
              </c:numRef>
            </c:plus>
            <c:minus>
              <c:numRef>
                <c:f>'fig B.17'!$B$4:$J$4</c:f>
                <c:numCache>
                  <c:formatCode>General</c:formatCode>
                  <c:ptCount val="9"/>
                  <c:pt idx="0">
                    <c:v>1.1000000000000001</c:v>
                  </c:pt>
                  <c:pt idx="1">
                    <c:v>1.5</c:v>
                  </c:pt>
                  <c:pt idx="2">
                    <c:v>1.9</c:v>
                  </c:pt>
                  <c:pt idx="3">
                    <c:v>1.7</c:v>
                  </c:pt>
                  <c:pt idx="4">
                    <c:v>1.7</c:v>
                  </c:pt>
                  <c:pt idx="5">
                    <c:v>2.2999999999999998</c:v>
                  </c:pt>
                  <c:pt idx="6">
                    <c:v>2.6</c:v>
                  </c:pt>
                  <c:pt idx="7">
                    <c:v>3.5</c:v>
                  </c:pt>
                  <c:pt idx="8">
                    <c:v>0.6</c:v>
                  </c:pt>
                </c:numCache>
              </c:numRef>
            </c:minus>
          </c:errBars>
          <c:cat>
            <c:strRef>
              <c:f>'fig B.17'!$B$2:$J$2</c:f>
              <c:strCache>
                <c:ptCount val="9"/>
                <c:pt idx="0">
                  <c:v>NSW</c:v>
                </c:pt>
                <c:pt idx="1">
                  <c:v>Vic</c:v>
                </c:pt>
                <c:pt idx="2">
                  <c:v>Qld</c:v>
                </c:pt>
                <c:pt idx="3">
                  <c:v>WA</c:v>
                </c:pt>
                <c:pt idx="4">
                  <c:v>SA</c:v>
                </c:pt>
                <c:pt idx="5">
                  <c:v>Tas</c:v>
                </c:pt>
                <c:pt idx="6">
                  <c:v>ACT</c:v>
                </c:pt>
                <c:pt idx="7">
                  <c:v>NT</c:v>
                </c:pt>
                <c:pt idx="8">
                  <c:v>Aust</c:v>
                </c:pt>
              </c:strCache>
            </c:strRef>
          </c:cat>
          <c:val>
            <c:numRef>
              <c:f>'fig B.17'!$B$3:$J$3</c:f>
              <c:numCache>
                <c:formatCode>General</c:formatCode>
                <c:ptCount val="9"/>
                <c:pt idx="0">
                  <c:v>60.5</c:v>
                </c:pt>
                <c:pt idx="1">
                  <c:v>59.7</c:v>
                </c:pt>
                <c:pt idx="2">
                  <c:v>54.5</c:v>
                </c:pt>
                <c:pt idx="3">
                  <c:v>57.6</c:v>
                </c:pt>
                <c:pt idx="4">
                  <c:v>53</c:v>
                </c:pt>
                <c:pt idx="5">
                  <c:v>54.1</c:v>
                </c:pt>
                <c:pt idx="6">
                  <c:v>67</c:v>
                </c:pt>
                <c:pt idx="7">
                  <c:v>54.9</c:v>
                </c:pt>
                <c:pt idx="8">
                  <c:v>58.1</c:v>
                </c:pt>
              </c:numCache>
            </c:numRef>
          </c:val>
        </c:ser>
        <c:dLbls>
          <c:showLegendKey val="0"/>
          <c:showVal val="0"/>
          <c:showCatName val="0"/>
          <c:showSerName val="0"/>
          <c:showPercent val="0"/>
          <c:showBubbleSize val="0"/>
        </c:dLbls>
        <c:gapWidth val="150"/>
        <c:axId val="168064128"/>
        <c:axId val="168065664"/>
      </c:barChart>
      <c:catAx>
        <c:axId val="168064128"/>
        <c:scaling>
          <c:orientation val="minMax"/>
        </c:scaling>
        <c:delete val="0"/>
        <c:axPos val="b"/>
        <c:majorTickMark val="out"/>
        <c:minorTickMark val="none"/>
        <c:tickLblPos val="nextTo"/>
        <c:crossAx val="168065664"/>
        <c:crosses val="autoZero"/>
        <c:auto val="1"/>
        <c:lblAlgn val="ctr"/>
        <c:lblOffset val="100"/>
        <c:noMultiLvlLbl val="0"/>
      </c:catAx>
      <c:valAx>
        <c:axId val="168065664"/>
        <c:scaling>
          <c:orientation val="minMax"/>
          <c:max val="100"/>
        </c:scaling>
        <c:delete val="0"/>
        <c:axPos val="l"/>
        <c:majorGridlines/>
        <c:title>
          <c:tx>
            <c:rich>
              <a:bodyPr rot="-5400000" vert="horz"/>
              <a:lstStyle/>
              <a:p>
                <a:pPr>
                  <a:defRPr/>
                </a:pPr>
                <a:r>
                  <a:rPr lang="en-US"/>
                  <a:t>Per cent</a:t>
                </a:r>
              </a:p>
            </c:rich>
          </c:tx>
          <c:layout/>
          <c:overlay val="0"/>
        </c:title>
        <c:numFmt formatCode="General" sourceLinked="1"/>
        <c:majorTickMark val="out"/>
        <c:minorTickMark val="none"/>
        <c:tickLblPos val="nextTo"/>
        <c:spPr>
          <a:ln>
            <a:solidFill>
              <a:schemeClr val="tx1"/>
            </a:solidFill>
          </a:ln>
        </c:spPr>
        <c:crossAx val="168064128"/>
        <c:crosses val="autoZero"/>
        <c:crossBetween val="between"/>
        <c:majorUnit val="20"/>
      </c:valAx>
      <c:spPr>
        <a:noFill/>
        <a:ln>
          <a:solidFill>
            <a:schemeClr val="tx1"/>
          </a:solidFill>
        </a:ln>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'fig B.18'!$B$4</c:f>
              <c:strCache>
                <c:ptCount val="1"/>
                <c:pt idx="0">
                  <c:v>Indigenous</c:v>
                </c:pt>
              </c:strCache>
            </c:strRef>
          </c:tx>
          <c:spPr>
            <a:solidFill>
              <a:sysClr val="window" lastClr="FFFFFF">
                <a:lumMod val="75000"/>
              </a:sysClr>
            </a:solidFill>
            <a:ln>
              <a:solidFill>
                <a:srgbClr val="000000"/>
              </a:solidFill>
            </a:ln>
          </c:spPr>
          <c:invertIfNegative val="0"/>
          <c:errBars>
            <c:errBarType val="both"/>
            <c:errValType val="cust"/>
            <c:noEndCap val="0"/>
            <c:plus>
              <c:numRef>
                <c:f>'fig B.18'!$C$5:$K$5</c:f>
                <c:numCache>
                  <c:formatCode>General</c:formatCode>
                  <c:ptCount val="9"/>
                </c:numCache>
              </c:numRef>
            </c:plus>
            <c:minus>
              <c:numRef>
                <c:f>'fig B.18'!$C$5:$K$5</c:f>
                <c:numCache>
                  <c:formatCode>General</c:formatCode>
                  <c:ptCount val="9"/>
                </c:numCache>
              </c:numRef>
            </c:minus>
          </c:errBars>
          <c:cat>
            <c:strRef>
              <c:f>'fig B.18'!$C$3:$K$3</c:f>
              <c:strCache>
                <c:ptCount val="9"/>
                <c:pt idx="0">
                  <c:v>NSW</c:v>
                </c:pt>
                <c:pt idx="1">
                  <c:v>Vic</c:v>
                </c:pt>
                <c:pt idx="2">
                  <c:v>Qld</c:v>
                </c:pt>
                <c:pt idx="3">
                  <c:v>WA</c:v>
                </c:pt>
                <c:pt idx="4">
                  <c:v>SA</c:v>
                </c:pt>
                <c:pt idx="5">
                  <c:v>Tas</c:v>
                </c:pt>
                <c:pt idx="6">
                  <c:v>ACT</c:v>
                </c:pt>
                <c:pt idx="7">
                  <c:v>NT</c:v>
                </c:pt>
                <c:pt idx="8">
                  <c:v>Aust </c:v>
                </c:pt>
              </c:strCache>
            </c:strRef>
          </c:cat>
          <c:val>
            <c:numRef>
              <c:f>'fig B.18'!$C$4:$K$4</c:f>
              <c:numCache>
                <c:formatCode>General</c:formatCode>
                <c:ptCount val="9"/>
                <c:pt idx="0">
                  <c:v>33.4</c:v>
                </c:pt>
                <c:pt idx="1">
                  <c:v>38.299999999999997</c:v>
                </c:pt>
                <c:pt idx="2">
                  <c:v>30.2</c:v>
                </c:pt>
                <c:pt idx="3">
                  <c:v>23.6</c:v>
                </c:pt>
                <c:pt idx="4">
                  <c:v>28.5</c:v>
                </c:pt>
                <c:pt idx="5">
                  <c:v>34.299999999999997</c:v>
                </c:pt>
                <c:pt idx="6">
                  <c:v>46.1</c:v>
                </c:pt>
                <c:pt idx="7">
                  <c:v>15.8</c:v>
                </c:pt>
                <c:pt idx="8">
                  <c:v>29.6</c:v>
                </c:pt>
              </c:numCache>
            </c:numRef>
          </c:val>
        </c:ser>
        <c:ser>
          <c:idx val="1"/>
          <c:order val="1"/>
          <c:tx>
            <c:strRef>
              <c:f>'fig B.18'!$B$6</c:f>
              <c:strCache>
                <c:ptCount val="1"/>
                <c:pt idx="0">
                  <c:v>Non-Indigenous </c:v>
                </c:pt>
              </c:strCache>
            </c:strRef>
          </c:tx>
          <c:spPr>
            <a:pattFill prst="wdUpDiag">
              <a:fgClr>
                <a:schemeClr val="tx1"/>
              </a:fgClr>
              <a:bgClr>
                <a:schemeClr val="bg1"/>
              </a:bgClr>
            </a:pattFill>
            <a:ln>
              <a:solidFill>
                <a:sysClr val="windowText" lastClr="000000"/>
              </a:solidFill>
            </a:ln>
          </c:spPr>
          <c:invertIfNegative val="0"/>
          <c:errBars>
            <c:errBarType val="both"/>
            <c:errValType val="cust"/>
            <c:noEndCap val="0"/>
            <c:plus>
              <c:numRef>
                <c:f>'fig B.18'!$C$7:$K$7</c:f>
                <c:numCache>
                  <c:formatCode>General</c:formatCode>
                  <c:ptCount val="9"/>
                </c:numCache>
              </c:numRef>
            </c:plus>
            <c:minus>
              <c:numRef>
                <c:f>'fig B.18'!$C$7:$K$7</c:f>
                <c:numCache>
                  <c:formatCode>General</c:formatCode>
                  <c:ptCount val="9"/>
                </c:numCache>
              </c:numRef>
            </c:minus>
          </c:errBars>
          <c:cat>
            <c:strRef>
              <c:f>'fig B.18'!$C$3:$K$3</c:f>
              <c:strCache>
                <c:ptCount val="9"/>
                <c:pt idx="0">
                  <c:v>NSW</c:v>
                </c:pt>
                <c:pt idx="1">
                  <c:v>Vic</c:v>
                </c:pt>
                <c:pt idx="2">
                  <c:v>Qld</c:v>
                </c:pt>
                <c:pt idx="3">
                  <c:v>WA</c:v>
                </c:pt>
                <c:pt idx="4">
                  <c:v>SA</c:v>
                </c:pt>
                <c:pt idx="5">
                  <c:v>Tas</c:v>
                </c:pt>
                <c:pt idx="6">
                  <c:v>ACT</c:v>
                </c:pt>
                <c:pt idx="7">
                  <c:v>NT</c:v>
                </c:pt>
                <c:pt idx="8">
                  <c:v>Aust </c:v>
                </c:pt>
              </c:strCache>
            </c:strRef>
          </c:cat>
          <c:val>
            <c:numRef>
              <c:f>'fig B.18'!$C$6:$K$6</c:f>
              <c:numCache>
                <c:formatCode>General</c:formatCode>
                <c:ptCount val="9"/>
                <c:pt idx="0">
                  <c:v>56</c:v>
                </c:pt>
                <c:pt idx="1">
                  <c:v>56</c:v>
                </c:pt>
                <c:pt idx="2">
                  <c:v>52.6</c:v>
                </c:pt>
                <c:pt idx="3">
                  <c:v>54.3</c:v>
                </c:pt>
                <c:pt idx="4">
                  <c:v>50.6</c:v>
                </c:pt>
                <c:pt idx="5">
                  <c:v>49.4</c:v>
                </c:pt>
                <c:pt idx="6">
                  <c:v>65.099999999999994</c:v>
                </c:pt>
                <c:pt idx="7">
                  <c:v>58.6</c:v>
                </c:pt>
                <c:pt idx="8">
                  <c:v>54.8</c:v>
                </c:pt>
              </c:numCache>
            </c:numRef>
          </c:val>
        </c:ser>
        <c:dLbls>
          <c:showLegendKey val="0"/>
          <c:showVal val="0"/>
          <c:showCatName val="0"/>
          <c:showSerName val="0"/>
          <c:showPercent val="0"/>
          <c:showBubbleSize val="0"/>
        </c:dLbls>
        <c:gapWidth val="150"/>
        <c:axId val="168170240"/>
        <c:axId val="168171776"/>
      </c:barChart>
      <c:catAx>
        <c:axId val="168170240"/>
        <c:scaling>
          <c:orientation val="minMax"/>
        </c:scaling>
        <c:delete val="0"/>
        <c:axPos val="b"/>
        <c:majorTickMark val="out"/>
        <c:minorTickMark val="none"/>
        <c:tickLblPos val="nextTo"/>
        <c:crossAx val="168171776"/>
        <c:crosses val="autoZero"/>
        <c:auto val="1"/>
        <c:lblAlgn val="ctr"/>
        <c:lblOffset val="100"/>
        <c:noMultiLvlLbl val="0"/>
      </c:catAx>
      <c:valAx>
        <c:axId val="168171776"/>
        <c:scaling>
          <c:orientation val="minMax"/>
          <c:max val="100"/>
        </c:scaling>
        <c:delete val="0"/>
        <c:axPos val="l"/>
        <c:majorGridlines/>
        <c:title>
          <c:tx>
            <c:rich>
              <a:bodyPr rot="-5400000" vert="horz"/>
              <a:lstStyle/>
              <a:p>
                <a:pPr>
                  <a:defRPr/>
                </a:pPr>
                <a:r>
                  <a:rPr lang="en-US"/>
                  <a:t>Per cent</a:t>
                </a:r>
              </a:p>
            </c:rich>
          </c:tx>
          <c:layout/>
          <c:overlay val="0"/>
        </c:title>
        <c:numFmt formatCode="#,##0" sourceLinked="0"/>
        <c:majorTickMark val="out"/>
        <c:minorTickMark val="none"/>
        <c:tickLblPos val="nextTo"/>
        <c:spPr>
          <a:ln>
            <a:solidFill>
              <a:schemeClr val="tx1"/>
            </a:solidFill>
          </a:ln>
        </c:spPr>
        <c:crossAx val="168170240"/>
        <c:crosses val="autoZero"/>
        <c:crossBetween val="between"/>
        <c:majorUnit val="20"/>
      </c:valAx>
      <c:spPr>
        <a:noFill/>
        <a:ln>
          <a:solidFill>
            <a:schemeClr val="tx1"/>
          </a:solidFill>
        </a:ln>
      </c:spPr>
    </c:plotArea>
    <c:legend>
      <c:legendPos val="t"/>
      <c:layout>
        <c:manualLayout>
          <c:xMode val="edge"/>
          <c:yMode val="edge"/>
          <c:x val="0.20732851851851852"/>
          <c:y val="3.0868055555555555E-2"/>
          <c:w val="0.68412055555555551"/>
          <c:h val="7.5244097222222223E-2"/>
        </c:manualLayout>
      </c:layout>
      <c:overlay val="0"/>
      <c:spPr>
        <a:ln>
          <a:solidFill>
            <a:sysClr val="windowText" lastClr="000000"/>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'fig B.19(a)'!$B$3</c:f>
              <c:strCache>
                <c:ptCount val="1"/>
                <c:pt idx="0">
                  <c:v>Missing</c:v>
                </c:pt>
              </c:strCache>
            </c:strRef>
          </c:tx>
          <c:spPr>
            <a:solidFill>
              <a:sysClr val="window" lastClr="FFFFFF">
                <a:lumMod val="75000"/>
              </a:sysClr>
            </a:solidFill>
            <a:ln>
              <a:solidFill>
                <a:srgbClr val="000000"/>
              </a:solidFill>
            </a:ln>
          </c:spPr>
          <c:invertIfNegative val="0"/>
          <c:errBars>
            <c:errBarType val="both"/>
            <c:errValType val="cust"/>
            <c:noEndCap val="0"/>
            <c:plus>
              <c:numRef>
                <c:f>'fig B.19(a)'!$C$4:$K$4</c:f>
                <c:numCache>
                  <c:formatCode>General</c:formatCode>
                  <c:ptCount val="9"/>
                  <c:pt idx="0">
                    <c:v>0.95660920000000005</c:v>
                  </c:pt>
                  <c:pt idx="1">
                    <c:v>0.88066719999999998</c:v>
                  </c:pt>
                  <c:pt idx="2">
                    <c:v>0.83860800000000002</c:v>
                  </c:pt>
                  <c:pt idx="3">
                    <c:v>0.51321079999999997</c:v>
                  </c:pt>
                  <c:pt idx="4">
                    <c:v>1.3784988</c:v>
                  </c:pt>
                  <c:pt idx="7">
                    <c:v>1.0275824</c:v>
                  </c:pt>
                  <c:pt idx="8">
                    <c:v>0.45546769999999998</c:v>
                  </c:pt>
                </c:numCache>
              </c:numRef>
            </c:plus>
            <c:minus>
              <c:numRef>
                <c:f>'fig B.19(a)'!$C$4:$K$4</c:f>
                <c:numCache>
                  <c:formatCode>General</c:formatCode>
                  <c:ptCount val="9"/>
                  <c:pt idx="0">
                    <c:v>0.95660920000000005</c:v>
                  </c:pt>
                  <c:pt idx="1">
                    <c:v>0.88066719999999998</c:v>
                  </c:pt>
                  <c:pt idx="2">
                    <c:v>0.83860800000000002</c:v>
                  </c:pt>
                  <c:pt idx="3">
                    <c:v>0.51321079999999997</c:v>
                  </c:pt>
                  <c:pt idx="4">
                    <c:v>1.3784988</c:v>
                  </c:pt>
                  <c:pt idx="7">
                    <c:v>1.0275824</c:v>
                  </c:pt>
                  <c:pt idx="8">
                    <c:v>0.45546769999999998</c:v>
                  </c:pt>
                </c:numCache>
              </c:numRef>
            </c:minus>
          </c:errBars>
          <c:cat>
            <c:strRef>
              <c:f>'fig B.19(a)'!$C$2:$K$2</c:f>
              <c:strCache>
                <c:ptCount val="9"/>
                <c:pt idx="0">
                  <c:v>NSW</c:v>
                </c:pt>
                <c:pt idx="1">
                  <c:v>Vic</c:v>
                </c:pt>
                <c:pt idx="2">
                  <c:v>Qld</c:v>
                </c:pt>
                <c:pt idx="3">
                  <c:v>WA</c:v>
                </c:pt>
                <c:pt idx="4">
                  <c:v>SA</c:v>
                </c:pt>
                <c:pt idx="5">
                  <c:v>Tas</c:v>
                </c:pt>
                <c:pt idx="6">
                  <c:v>ACT</c:v>
                </c:pt>
                <c:pt idx="7">
                  <c:v>NT</c:v>
                </c:pt>
                <c:pt idx="8">
                  <c:v>Aust</c:v>
                </c:pt>
              </c:strCache>
            </c:strRef>
          </c:cat>
          <c:val>
            <c:numRef>
              <c:f>'fig B.19(a)'!$C$3:$K$3</c:f>
              <c:numCache>
                <c:formatCode>0.0</c:formatCode>
                <c:ptCount val="9"/>
                <c:pt idx="0">
                  <c:v>2.8015981999999999</c:v>
                </c:pt>
                <c:pt idx="1">
                  <c:v>2.2480617000000001</c:v>
                </c:pt>
                <c:pt idx="2">
                  <c:v>1.563062</c:v>
                </c:pt>
                <c:pt idx="3">
                  <c:v>0.57045069999999998</c:v>
                </c:pt>
                <c:pt idx="4">
                  <c:v>1.7732722000000001</c:v>
                </c:pt>
                <c:pt idx="7">
                  <c:v>1.0816068000000001</c:v>
                </c:pt>
                <c:pt idx="8">
                  <c:v>2.0499755</c:v>
                </c:pt>
              </c:numCache>
            </c:numRef>
          </c:val>
        </c:ser>
        <c:ser>
          <c:idx val="1"/>
          <c:order val="1"/>
          <c:tx>
            <c:strRef>
              <c:f>'fig B.19(a)'!$B$5</c:f>
              <c:strCache>
                <c:ptCount val="1"/>
                <c:pt idx="0">
                  <c:v>Below level 1/Level 1</c:v>
                </c:pt>
              </c:strCache>
            </c:strRef>
          </c:tx>
          <c:spPr>
            <a:pattFill prst="wdUpDiag">
              <a:fgClr>
                <a:schemeClr val="tx1"/>
              </a:fgClr>
              <a:bgClr>
                <a:schemeClr val="bg1"/>
              </a:bgClr>
            </a:pattFill>
            <a:ln>
              <a:solidFill>
                <a:sysClr val="windowText" lastClr="000000"/>
              </a:solidFill>
            </a:ln>
          </c:spPr>
          <c:invertIfNegative val="0"/>
          <c:errBars>
            <c:errBarType val="both"/>
            <c:errValType val="cust"/>
            <c:noEndCap val="0"/>
            <c:plus>
              <c:numRef>
                <c:f>'fig B.19(a)'!$C$6:$K$6</c:f>
                <c:numCache>
                  <c:formatCode>General</c:formatCode>
                  <c:ptCount val="9"/>
                  <c:pt idx="0">
                    <c:v>2.4542739</c:v>
                  </c:pt>
                  <c:pt idx="1">
                    <c:v>2.2908846999999999</c:v>
                  </c:pt>
                  <c:pt idx="2">
                    <c:v>2.4239801000000001</c:v>
                  </c:pt>
                  <c:pt idx="3">
                    <c:v>2.8710825999999998</c:v>
                  </c:pt>
                  <c:pt idx="4">
                    <c:v>2.4683902</c:v>
                  </c:pt>
                  <c:pt idx="5">
                    <c:v>4.4228211000000002</c:v>
                  </c:pt>
                  <c:pt idx="6">
                    <c:v>5.1235488</c:v>
                  </c:pt>
                  <c:pt idx="7">
                    <c:v>6.1778145999999996</c:v>
                  </c:pt>
                  <c:pt idx="8">
                    <c:v>1.0963486</c:v>
                  </c:pt>
                </c:numCache>
              </c:numRef>
            </c:plus>
            <c:minus>
              <c:numRef>
                <c:f>'fig B.19(a)'!$C$6:$K$6</c:f>
                <c:numCache>
                  <c:formatCode>General</c:formatCode>
                  <c:ptCount val="9"/>
                  <c:pt idx="0">
                    <c:v>2.4542739</c:v>
                  </c:pt>
                  <c:pt idx="1">
                    <c:v>2.2908846999999999</c:v>
                  </c:pt>
                  <c:pt idx="2">
                    <c:v>2.4239801000000001</c:v>
                  </c:pt>
                  <c:pt idx="3">
                    <c:v>2.8710825999999998</c:v>
                  </c:pt>
                  <c:pt idx="4">
                    <c:v>2.4683902</c:v>
                  </c:pt>
                  <c:pt idx="5">
                    <c:v>4.4228211000000002</c:v>
                  </c:pt>
                  <c:pt idx="6">
                    <c:v>5.1235488</c:v>
                  </c:pt>
                  <c:pt idx="7">
                    <c:v>6.1778145999999996</c:v>
                  </c:pt>
                  <c:pt idx="8">
                    <c:v>1.0963486</c:v>
                  </c:pt>
                </c:numCache>
              </c:numRef>
            </c:minus>
          </c:errBars>
          <c:cat>
            <c:strRef>
              <c:f>'fig B.19(a)'!$C$2:$K$2</c:f>
              <c:strCache>
                <c:ptCount val="9"/>
                <c:pt idx="0">
                  <c:v>NSW</c:v>
                </c:pt>
                <c:pt idx="1">
                  <c:v>Vic</c:v>
                </c:pt>
                <c:pt idx="2">
                  <c:v>Qld</c:v>
                </c:pt>
                <c:pt idx="3">
                  <c:v>WA</c:v>
                </c:pt>
                <c:pt idx="4">
                  <c:v>SA</c:v>
                </c:pt>
                <c:pt idx="5">
                  <c:v>Tas</c:v>
                </c:pt>
                <c:pt idx="6">
                  <c:v>ACT</c:v>
                </c:pt>
                <c:pt idx="7">
                  <c:v>NT</c:v>
                </c:pt>
                <c:pt idx="8">
                  <c:v>Aust</c:v>
                </c:pt>
              </c:strCache>
            </c:strRef>
          </c:cat>
          <c:val>
            <c:numRef>
              <c:f>'fig B.19(a)'!$C$5:$K$5</c:f>
              <c:numCache>
                <c:formatCode>0.0</c:formatCode>
                <c:ptCount val="9"/>
                <c:pt idx="0">
                  <c:v>11.678948</c:v>
                </c:pt>
                <c:pt idx="1">
                  <c:v>13.9484373</c:v>
                </c:pt>
                <c:pt idx="2">
                  <c:v>11.9189767</c:v>
                </c:pt>
                <c:pt idx="3">
                  <c:v>14.2181189</c:v>
                </c:pt>
                <c:pt idx="4">
                  <c:v>10.7431328</c:v>
                </c:pt>
                <c:pt idx="5">
                  <c:v>14.4716285</c:v>
                </c:pt>
                <c:pt idx="6">
                  <c:v>7.3397363999999996</c:v>
                </c:pt>
                <c:pt idx="7">
                  <c:v>13.5988358</c:v>
                </c:pt>
                <c:pt idx="8">
                  <c:v>12.5046687</c:v>
                </c:pt>
              </c:numCache>
            </c:numRef>
          </c:val>
        </c:ser>
        <c:ser>
          <c:idx val="2"/>
          <c:order val="2"/>
          <c:tx>
            <c:strRef>
              <c:f>'fig B.19(a)'!$B$7</c:f>
              <c:strCache>
                <c:ptCount val="1"/>
                <c:pt idx="0">
                  <c:v>Level 2</c:v>
                </c:pt>
              </c:strCache>
            </c:strRef>
          </c:tx>
          <c:spPr>
            <a:solidFill>
              <a:schemeClr val="bg1">
                <a:lumMod val="50000"/>
              </a:schemeClr>
            </a:solidFill>
            <a:ln>
              <a:solidFill>
                <a:sysClr val="windowText" lastClr="000000"/>
              </a:solidFill>
            </a:ln>
          </c:spPr>
          <c:invertIfNegative val="0"/>
          <c:errBars>
            <c:errBarType val="both"/>
            <c:errValType val="cust"/>
            <c:noEndCap val="0"/>
            <c:plus>
              <c:numRef>
                <c:f>'fig B.19(a)'!$C$8:$K$8</c:f>
                <c:numCache>
                  <c:formatCode>General</c:formatCode>
                  <c:ptCount val="9"/>
                  <c:pt idx="0">
                    <c:v>3.0675444000000001</c:v>
                  </c:pt>
                  <c:pt idx="1">
                    <c:v>3.1658401999999999</c:v>
                  </c:pt>
                  <c:pt idx="2">
                    <c:v>3.2672355</c:v>
                  </c:pt>
                  <c:pt idx="3">
                    <c:v>4.1336746</c:v>
                  </c:pt>
                  <c:pt idx="4">
                    <c:v>4.2768454</c:v>
                  </c:pt>
                  <c:pt idx="5">
                    <c:v>6.3799599999999996</c:v>
                  </c:pt>
                  <c:pt idx="6">
                    <c:v>9.3119659000000006</c:v>
                  </c:pt>
                  <c:pt idx="7">
                    <c:v>8.6677581999999997</c:v>
                  </c:pt>
                  <c:pt idx="8">
                    <c:v>1.3552862000000001</c:v>
                  </c:pt>
                </c:numCache>
              </c:numRef>
            </c:plus>
            <c:minus>
              <c:numRef>
                <c:f>'fig B.19(a)'!$C$8:$K$8</c:f>
                <c:numCache>
                  <c:formatCode>General</c:formatCode>
                  <c:ptCount val="9"/>
                  <c:pt idx="0">
                    <c:v>3.0675444000000001</c:v>
                  </c:pt>
                  <c:pt idx="1">
                    <c:v>3.1658401999999999</c:v>
                  </c:pt>
                  <c:pt idx="2">
                    <c:v>3.2672355</c:v>
                  </c:pt>
                  <c:pt idx="3">
                    <c:v>4.1336746</c:v>
                  </c:pt>
                  <c:pt idx="4">
                    <c:v>4.2768454</c:v>
                  </c:pt>
                  <c:pt idx="5">
                    <c:v>6.3799599999999996</c:v>
                  </c:pt>
                  <c:pt idx="6">
                    <c:v>9.3119659000000006</c:v>
                  </c:pt>
                  <c:pt idx="7">
                    <c:v>8.6677581999999997</c:v>
                  </c:pt>
                  <c:pt idx="8">
                    <c:v>1.3552862000000001</c:v>
                  </c:pt>
                </c:numCache>
              </c:numRef>
            </c:minus>
          </c:errBars>
          <c:cat>
            <c:strRef>
              <c:f>'fig B.19(a)'!$C$2:$K$2</c:f>
              <c:strCache>
                <c:ptCount val="9"/>
                <c:pt idx="0">
                  <c:v>NSW</c:v>
                </c:pt>
                <c:pt idx="1">
                  <c:v>Vic</c:v>
                </c:pt>
                <c:pt idx="2">
                  <c:v>Qld</c:v>
                </c:pt>
                <c:pt idx="3">
                  <c:v>WA</c:v>
                </c:pt>
                <c:pt idx="4">
                  <c:v>SA</c:v>
                </c:pt>
                <c:pt idx="5">
                  <c:v>Tas</c:v>
                </c:pt>
                <c:pt idx="6">
                  <c:v>ACT</c:v>
                </c:pt>
                <c:pt idx="7">
                  <c:v>NT</c:v>
                </c:pt>
                <c:pt idx="8">
                  <c:v>Aust</c:v>
                </c:pt>
              </c:strCache>
            </c:strRef>
          </c:cat>
          <c:val>
            <c:numRef>
              <c:f>'fig B.19(a)'!$C$7:$K$7</c:f>
              <c:numCache>
                <c:formatCode>0.0</c:formatCode>
                <c:ptCount val="9"/>
                <c:pt idx="0">
                  <c:v>28.399265400000001</c:v>
                </c:pt>
                <c:pt idx="1">
                  <c:v>29.529606000000001</c:v>
                </c:pt>
                <c:pt idx="2">
                  <c:v>26.631631299999999</c:v>
                </c:pt>
                <c:pt idx="3">
                  <c:v>30.496113300000001</c:v>
                </c:pt>
                <c:pt idx="4">
                  <c:v>31.820905700000001</c:v>
                </c:pt>
                <c:pt idx="5">
                  <c:v>32.072037100000003</c:v>
                </c:pt>
                <c:pt idx="6">
                  <c:v>20.602629100000001</c:v>
                </c:pt>
                <c:pt idx="7">
                  <c:v>28.415170499999999</c:v>
                </c:pt>
                <c:pt idx="8">
                  <c:v>28.746885299999999</c:v>
                </c:pt>
              </c:numCache>
            </c:numRef>
          </c:val>
        </c:ser>
        <c:ser>
          <c:idx val="4"/>
          <c:order val="3"/>
          <c:tx>
            <c:strRef>
              <c:f>'fig B.19(a)'!$B$9</c:f>
              <c:strCache>
                <c:ptCount val="1"/>
                <c:pt idx="0">
                  <c:v>Level 3</c:v>
                </c:pt>
              </c:strCache>
            </c:strRef>
          </c:tx>
          <c:spPr>
            <a:pattFill prst="ltVert">
              <a:fgClr>
                <a:schemeClr val="tx1"/>
              </a:fgClr>
              <a:bgClr>
                <a:schemeClr val="bg1"/>
              </a:bgClr>
            </a:pattFill>
            <a:ln>
              <a:solidFill>
                <a:sysClr val="windowText" lastClr="000000"/>
              </a:solidFill>
            </a:ln>
          </c:spPr>
          <c:invertIfNegative val="0"/>
          <c:errBars>
            <c:errBarType val="both"/>
            <c:errValType val="cust"/>
            <c:noEndCap val="0"/>
            <c:plus>
              <c:numRef>
                <c:f>'fig B.19(a)'!$C$10:$K$10</c:f>
                <c:numCache>
                  <c:formatCode>General</c:formatCode>
                  <c:ptCount val="9"/>
                  <c:pt idx="0">
                    <c:v>3.2247324000000002</c:v>
                  </c:pt>
                  <c:pt idx="1">
                    <c:v>3.8106013999999999</c:v>
                  </c:pt>
                  <c:pt idx="2">
                    <c:v>4.1381911999999996</c:v>
                  </c:pt>
                  <c:pt idx="3">
                    <c:v>4.4857003999999998</c:v>
                  </c:pt>
                  <c:pt idx="4">
                    <c:v>4.5016977000000002</c:v>
                  </c:pt>
                  <c:pt idx="5">
                    <c:v>6.7780905999999996</c:v>
                  </c:pt>
                  <c:pt idx="6">
                    <c:v>10.2242807</c:v>
                  </c:pt>
                  <c:pt idx="7">
                    <c:v>8.9458333000000003</c:v>
                  </c:pt>
                  <c:pt idx="8">
                    <c:v>1.8405142000000001</c:v>
                  </c:pt>
                </c:numCache>
              </c:numRef>
            </c:plus>
            <c:minus>
              <c:numRef>
                <c:f>'fig B.19(a)'!$C$10:$K$10</c:f>
                <c:numCache>
                  <c:formatCode>General</c:formatCode>
                  <c:ptCount val="9"/>
                  <c:pt idx="0">
                    <c:v>3.2247324000000002</c:v>
                  </c:pt>
                  <c:pt idx="1">
                    <c:v>3.8106013999999999</c:v>
                  </c:pt>
                  <c:pt idx="2">
                    <c:v>4.1381911999999996</c:v>
                  </c:pt>
                  <c:pt idx="3">
                    <c:v>4.4857003999999998</c:v>
                  </c:pt>
                  <c:pt idx="4">
                    <c:v>4.5016977000000002</c:v>
                  </c:pt>
                  <c:pt idx="5">
                    <c:v>6.7780905999999996</c:v>
                  </c:pt>
                  <c:pt idx="6">
                    <c:v>10.2242807</c:v>
                  </c:pt>
                  <c:pt idx="7">
                    <c:v>8.9458333000000003</c:v>
                  </c:pt>
                  <c:pt idx="8">
                    <c:v>1.8405142000000001</c:v>
                  </c:pt>
                </c:numCache>
              </c:numRef>
            </c:minus>
          </c:errBars>
          <c:cat>
            <c:strRef>
              <c:f>'fig B.19(a)'!$C$2:$K$2</c:f>
              <c:strCache>
                <c:ptCount val="9"/>
                <c:pt idx="0">
                  <c:v>NSW</c:v>
                </c:pt>
                <c:pt idx="1">
                  <c:v>Vic</c:v>
                </c:pt>
                <c:pt idx="2">
                  <c:v>Qld</c:v>
                </c:pt>
                <c:pt idx="3">
                  <c:v>WA</c:v>
                </c:pt>
                <c:pt idx="4">
                  <c:v>SA</c:v>
                </c:pt>
                <c:pt idx="5">
                  <c:v>Tas</c:v>
                </c:pt>
                <c:pt idx="6">
                  <c:v>ACT</c:v>
                </c:pt>
                <c:pt idx="7">
                  <c:v>NT</c:v>
                </c:pt>
                <c:pt idx="8">
                  <c:v>Aust</c:v>
                </c:pt>
              </c:strCache>
            </c:strRef>
          </c:cat>
          <c:val>
            <c:numRef>
              <c:f>'fig B.19(a)'!$C$9:$K$9</c:f>
              <c:numCache>
                <c:formatCode>0.0</c:formatCode>
                <c:ptCount val="9"/>
                <c:pt idx="0">
                  <c:v>39.499589200000003</c:v>
                </c:pt>
                <c:pt idx="1">
                  <c:v>38.9248659</c:v>
                </c:pt>
                <c:pt idx="2">
                  <c:v>41.019375699999998</c:v>
                </c:pt>
                <c:pt idx="3">
                  <c:v>39.1800645</c:v>
                </c:pt>
                <c:pt idx="4">
                  <c:v>38.640025399999999</c:v>
                </c:pt>
                <c:pt idx="5">
                  <c:v>36.037646100000003</c:v>
                </c:pt>
                <c:pt idx="6">
                  <c:v>42.519126300000003</c:v>
                </c:pt>
                <c:pt idx="7">
                  <c:v>38.0873469</c:v>
                </c:pt>
                <c:pt idx="8">
                  <c:v>39.525820600000003</c:v>
                </c:pt>
              </c:numCache>
            </c:numRef>
          </c:val>
        </c:ser>
        <c:ser>
          <c:idx val="5"/>
          <c:order val="4"/>
          <c:tx>
            <c:strRef>
              <c:f>'fig B.19(a)'!$B$11</c:f>
              <c:strCache>
                <c:ptCount val="1"/>
                <c:pt idx="0">
                  <c:v>Level 4/5</c:v>
                </c:pt>
              </c:strCache>
            </c:strRef>
          </c:tx>
          <c:spPr>
            <a:pattFill prst="wdDnDiag">
              <a:fgClr>
                <a:sysClr val="windowText" lastClr="000000"/>
              </a:fgClr>
              <a:bgClr>
                <a:sysClr val="window" lastClr="FFFFFF"/>
              </a:bgClr>
            </a:pattFill>
            <a:ln>
              <a:solidFill>
                <a:sysClr val="windowText" lastClr="000000"/>
              </a:solidFill>
            </a:ln>
          </c:spPr>
          <c:invertIfNegative val="0"/>
          <c:errBars>
            <c:errBarType val="both"/>
            <c:errValType val="cust"/>
            <c:noEndCap val="0"/>
            <c:plus>
              <c:numRef>
                <c:f>'fig B.19(a)'!$C$12:$K$12</c:f>
                <c:numCache>
                  <c:formatCode>General</c:formatCode>
                  <c:ptCount val="9"/>
                  <c:pt idx="0">
                    <c:v>2.8733330000000001</c:v>
                  </c:pt>
                  <c:pt idx="1">
                    <c:v>2.7581226999999999</c:v>
                  </c:pt>
                  <c:pt idx="2">
                    <c:v>3.0119357</c:v>
                  </c:pt>
                  <c:pt idx="3">
                    <c:v>3.5167852000000002</c:v>
                  </c:pt>
                  <c:pt idx="4">
                    <c:v>3.3433358000000002</c:v>
                  </c:pt>
                  <c:pt idx="5">
                    <c:v>4.8001421999999998</c:v>
                  </c:pt>
                  <c:pt idx="6">
                    <c:v>8.6884992000000008</c:v>
                  </c:pt>
                  <c:pt idx="7">
                    <c:v>6.0036338000000002</c:v>
                  </c:pt>
                  <c:pt idx="8">
                    <c:v>1.5094467</c:v>
                  </c:pt>
                </c:numCache>
              </c:numRef>
            </c:plus>
            <c:minus>
              <c:numRef>
                <c:f>'fig B.19(a)'!$C$12:$K$12</c:f>
                <c:numCache>
                  <c:formatCode>General</c:formatCode>
                  <c:ptCount val="9"/>
                  <c:pt idx="0">
                    <c:v>2.8733330000000001</c:v>
                  </c:pt>
                  <c:pt idx="1">
                    <c:v>2.7581226999999999</c:v>
                  </c:pt>
                  <c:pt idx="2">
                    <c:v>3.0119357</c:v>
                  </c:pt>
                  <c:pt idx="3">
                    <c:v>3.5167852000000002</c:v>
                  </c:pt>
                  <c:pt idx="4">
                    <c:v>3.3433358000000002</c:v>
                  </c:pt>
                  <c:pt idx="5">
                    <c:v>4.8001421999999998</c:v>
                  </c:pt>
                  <c:pt idx="6">
                    <c:v>8.6884992000000008</c:v>
                  </c:pt>
                  <c:pt idx="7">
                    <c:v>6.0036338000000002</c:v>
                  </c:pt>
                  <c:pt idx="8">
                    <c:v>1.5094467</c:v>
                  </c:pt>
                </c:numCache>
              </c:numRef>
            </c:minus>
          </c:errBars>
          <c:cat>
            <c:strRef>
              <c:f>'fig B.19(a)'!$C$2:$K$2</c:f>
              <c:strCache>
                <c:ptCount val="9"/>
                <c:pt idx="0">
                  <c:v>NSW</c:v>
                </c:pt>
                <c:pt idx="1">
                  <c:v>Vic</c:v>
                </c:pt>
                <c:pt idx="2">
                  <c:v>Qld</c:v>
                </c:pt>
                <c:pt idx="3">
                  <c:v>WA</c:v>
                </c:pt>
                <c:pt idx="4">
                  <c:v>SA</c:v>
                </c:pt>
                <c:pt idx="5">
                  <c:v>Tas</c:v>
                </c:pt>
                <c:pt idx="6">
                  <c:v>ACT</c:v>
                </c:pt>
                <c:pt idx="7">
                  <c:v>NT</c:v>
                </c:pt>
                <c:pt idx="8">
                  <c:v>Aust</c:v>
                </c:pt>
              </c:strCache>
            </c:strRef>
          </c:cat>
          <c:val>
            <c:numRef>
              <c:f>'fig B.19(a)'!$C$11:$K$11</c:f>
              <c:numCache>
                <c:formatCode>0.0</c:formatCode>
                <c:ptCount val="9"/>
                <c:pt idx="0">
                  <c:v>17.620599200000001</c:v>
                </c:pt>
                <c:pt idx="1">
                  <c:v>15.349029099999999</c:v>
                </c:pt>
                <c:pt idx="2">
                  <c:v>18.8669543</c:v>
                </c:pt>
                <c:pt idx="3">
                  <c:v>15.5352526</c:v>
                </c:pt>
                <c:pt idx="4">
                  <c:v>17.0226638</c:v>
                </c:pt>
                <c:pt idx="5">
                  <c:v>15.748583699999999</c:v>
                </c:pt>
                <c:pt idx="6">
                  <c:v>27.7936263</c:v>
                </c:pt>
                <c:pt idx="7">
                  <c:v>18.817039999999999</c:v>
                </c:pt>
                <c:pt idx="8">
                  <c:v>17.1726499</c:v>
                </c:pt>
              </c:numCache>
            </c:numRef>
          </c:val>
        </c:ser>
        <c:dLbls>
          <c:showLegendKey val="0"/>
          <c:showVal val="0"/>
          <c:showCatName val="0"/>
          <c:showSerName val="0"/>
          <c:showPercent val="0"/>
          <c:showBubbleSize val="0"/>
        </c:dLbls>
        <c:gapWidth val="150"/>
        <c:axId val="168217984"/>
        <c:axId val="168227968"/>
      </c:barChart>
      <c:catAx>
        <c:axId val="168217984"/>
        <c:scaling>
          <c:orientation val="minMax"/>
        </c:scaling>
        <c:delete val="0"/>
        <c:axPos val="b"/>
        <c:majorTickMark val="out"/>
        <c:minorTickMark val="none"/>
        <c:tickLblPos val="nextTo"/>
        <c:crossAx val="168227968"/>
        <c:crosses val="autoZero"/>
        <c:auto val="1"/>
        <c:lblAlgn val="ctr"/>
        <c:lblOffset val="100"/>
        <c:noMultiLvlLbl val="0"/>
      </c:catAx>
      <c:valAx>
        <c:axId val="168227968"/>
        <c:scaling>
          <c:orientation val="minMax"/>
          <c:max val="100"/>
        </c:scaling>
        <c:delete val="0"/>
        <c:axPos val="l"/>
        <c:majorGridlines/>
        <c:title>
          <c:tx>
            <c:rich>
              <a:bodyPr rot="-5400000" vert="horz"/>
              <a:lstStyle/>
              <a:p>
                <a:pPr>
                  <a:defRPr/>
                </a:pPr>
                <a:r>
                  <a:rPr lang="en-US"/>
                  <a:t>Per cent</a:t>
                </a:r>
              </a:p>
            </c:rich>
          </c:tx>
          <c:overlay val="0"/>
        </c:title>
        <c:numFmt formatCode="0" sourceLinked="0"/>
        <c:majorTickMark val="out"/>
        <c:minorTickMark val="none"/>
        <c:tickLblPos val="nextTo"/>
        <c:spPr>
          <a:ln>
            <a:solidFill>
              <a:schemeClr val="tx1"/>
            </a:solidFill>
          </a:ln>
        </c:spPr>
        <c:crossAx val="168217984"/>
        <c:crosses val="autoZero"/>
        <c:crossBetween val="between"/>
        <c:majorUnit val="20"/>
      </c:valAx>
      <c:spPr>
        <a:noFill/>
        <a:ln>
          <a:solidFill>
            <a:schemeClr val="tx1"/>
          </a:solidFill>
        </a:ln>
      </c:spPr>
    </c:plotArea>
    <c:legend>
      <c:legendPos val="t"/>
      <c:overlay val="0"/>
      <c:spPr>
        <a:ln>
          <a:solidFill>
            <a:sysClr val="windowText" lastClr="000000"/>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'fig B.19(b)'!$B$3</c:f>
              <c:strCache>
                <c:ptCount val="1"/>
                <c:pt idx="0">
                  <c:v>Missing</c:v>
                </c:pt>
              </c:strCache>
            </c:strRef>
          </c:tx>
          <c:spPr>
            <a:solidFill>
              <a:sysClr val="window" lastClr="FFFFFF">
                <a:lumMod val="75000"/>
              </a:sysClr>
            </a:solidFill>
            <a:ln>
              <a:solidFill>
                <a:srgbClr val="000000"/>
              </a:solidFill>
            </a:ln>
          </c:spPr>
          <c:invertIfNegative val="0"/>
          <c:errBars>
            <c:errBarType val="both"/>
            <c:errValType val="cust"/>
            <c:noEndCap val="0"/>
            <c:plus>
              <c:numRef>
                <c:f>'fig B.19(b)'!$C$4:$K$4</c:f>
                <c:numCache>
                  <c:formatCode>General</c:formatCode>
                  <c:ptCount val="9"/>
                  <c:pt idx="0">
                    <c:v>0.95660920000000005</c:v>
                  </c:pt>
                  <c:pt idx="1">
                    <c:v>0.88066719999999998</c:v>
                  </c:pt>
                  <c:pt idx="2">
                    <c:v>0.83860800000000002</c:v>
                  </c:pt>
                  <c:pt idx="3">
                    <c:v>0.51321079999999997</c:v>
                  </c:pt>
                  <c:pt idx="4">
                    <c:v>1.3784988</c:v>
                  </c:pt>
                  <c:pt idx="7">
                    <c:v>1.0275824</c:v>
                  </c:pt>
                  <c:pt idx="8">
                    <c:v>0.45546769999999998</c:v>
                  </c:pt>
                </c:numCache>
              </c:numRef>
            </c:plus>
            <c:minus>
              <c:numRef>
                <c:f>'fig B.19(b)'!$C$4:$K$4</c:f>
                <c:numCache>
                  <c:formatCode>General</c:formatCode>
                  <c:ptCount val="9"/>
                  <c:pt idx="0">
                    <c:v>0.95660920000000005</c:v>
                  </c:pt>
                  <c:pt idx="1">
                    <c:v>0.88066719999999998</c:v>
                  </c:pt>
                  <c:pt idx="2">
                    <c:v>0.83860800000000002</c:v>
                  </c:pt>
                  <c:pt idx="3">
                    <c:v>0.51321079999999997</c:v>
                  </c:pt>
                  <c:pt idx="4">
                    <c:v>1.3784988</c:v>
                  </c:pt>
                  <c:pt idx="7">
                    <c:v>1.0275824</c:v>
                  </c:pt>
                  <c:pt idx="8">
                    <c:v>0.45546769999999998</c:v>
                  </c:pt>
                </c:numCache>
              </c:numRef>
            </c:minus>
          </c:errBars>
          <c:cat>
            <c:strRef>
              <c:f>'fig B.19(b)'!$C$2:$K$2</c:f>
              <c:strCache>
                <c:ptCount val="9"/>
                <c:pt idx="0">
                  <c:v>NSW</c:v>
                </c:pt>
                <c:pt idx="1">
                  <c:v>Vic</c:v>
                </c:pt>
                <c:pt idx="2">
                  <c:v>Qld</c:v>
                </c:pt>
                <c:pt idx="3">
                  <c:v>WA</c:v>
                </c:pt>
                <c:pt idx="4">
                  <c:v>SA</c:v>
                </c:pt>
                <c:pt idx="5">
                  <c:v>Tas</c:v>
                </c:pt>
                <c:pt idx="6">
                  <c:v>ACT</c:v>
                </c:pt>
                <c:pt idx="7">
                  <c:v>NT</c:v>
                </c:pt>
                <c:pt idx="8">
                  <c:v>Aust</c:v>
                </c:pt>
              </c:strCache>
            </c:strRef>
          </c:cat>
          <c:val>
            <c:numRef>
              <c:f>'fig B.19(b)'!$C$3:$K$3</c:f>
              <c:numCache>
                <c:formatCode>0.0</c:formatCode>
                <c:ptCount val="9"/>
                <c:pt idx="0">
                  <c:v>2.8015981999999999</c:v>
                </c:pt>
                <c:pt idx="1">
                  <c:v>2.2480617000000001</c:v>
                </c:pt>
                <c:pt idx="2">
                  <c:v>1.563062</c:v>
                </c:pt>
                <c:pt idx="3">
                  <c:v>0.57045069999999998</c:v>
                </c:pt>
                <c:pt idx="4">
                  <c:v>1.7732722000000001</c:v>
                </c:pt>
                <c:pt idx="7">
                  <c:v>1.0816068000000001</c:v>
                </c:pt>
                <c:pt idx="8">
                  <c:v>2.0499755</c:v>
                </c:pt>
              </c:numCache>
            </c:numRef>
          </c:val>
        </c:ser>
        <c:ser>
          <c:idx val="1"/>
          <c:order val="1"/>
          <c:tx>
            <c:strRef>
              <c:f>'fig B.19(b)'!$B$5</c:f>
              <c:strCache>
                <c:ptCount val="1"/>
                <c:pt idx="0">
                  <c:v>Below level 1/Level 1</c:v>
                </c:pt>
              </c:strCache>
            </c:strRef>
          </c:tx>
          <c:spPr>
            <a:pattFill prst="wdUpDiag">
              <a:fgClr>
                <a:schemeClr val="tx1"/>
              </a:fgClr>
              <a:bgClr>
                <a:schemeClr val="bg1"/>
              </a:bgClr>
            </a:pattFill>
            <a:ln>
              <a:solidFill>
                <a:sysClr val="windowText" lastClr="000000"/>
              </a:solidFill>
            </a:ln>
          </c:spPr>
          <c:invertIfNegative val="0"/>
          <c:errBars>
            <c:errBarType val="both"/>
            <c:errValType val="cust"/>
            <c:noEndCap val="0"/>
            <c:plus>
              <c:numRef>
                <c:f>'fig B.19(b)'!$C$6:$K$6</c:f>
                <c:numCache>
                  <c:formatCode>General</c:formatCode>
                  <c:ptCount val="9"/>
                  <c:pt idx="0">
                    <c:v>2.9793769000000001</c:v>
                  </c:pt>
                  <c:pt idx="1">
                    <c:v>2.8969775000000002</c:v>
                  </c:pt>
                  <c:pt idx="2">
                    <c:v>2.9387009000000002</c:v>
                  </c:pt>
                  <c:pt idx="3">
                    <c:v>3.3854682999999999</c:v>
                  </c:pt>
                  <c:pt idx="4">
                    <c:v>4.0070243000000003</c:v>
                  </c:pt>
                  <c:pt idx="5">
                    <c:v>5.2699620999999999</c:v>
                  </c:pt>
                  <c:pt idx="6">
                    <c:v>5.7875721999999996</c:v>
                  </c:pt>
                  <c:pt idx="7">
                    <c:v>6.4139074000000003</c:v>
                  </c:pt>
                  <c:pt idx="8">
                    <c:v>1.4316986</c:v>
                  </c:pt>
                </c:numCache>
              </c:numRef>
            </c:plus>
            <c:minus>
              <c:numRef>
                <c:f>'fig B.19(b)'!$C$6:$K$6</c:f>
                <c:numCache>
                  <c:formatCode>General</c:formatCode>
                  <c:ptCount val="9"/>
                  <c:pt idx="0">
                    <c:v>2.9793769000000001</c:v>
                  </c:pt>
                  <c:pt idx="1">
                    <c:v>2.8969775000000002</c:v>
                  </c:pt>
                  <c:pt idx="2">
                    <c:v>2.9387009000000002</c:v>
                  </c:pt>
                  <c:pt idx="3">
                    <c:v>3.3854682999999999</c:v>
                  </c:pt>
                  <c:pt idx="4">
                    <c:v>4.0070243000000003</c:v>
                  </c:pt>
                  <c:pt idx="5">
                    <c:v>5.2699620999999999</c:v>
                  </c:pt>
                  <c:pt idx="6">
                    <c:v>5.7875721999999996</c:v>
                  </c:pt>
                  <c:pt idx="7">
                    <c:v>6.4139074000000003</c:v>
                  </c:pt>
                  <c:pt idx="8">
                    <c:v>1.4316986</c:v>
                  </c:pt>
                </c:numCache>
              </c:numRef>
            </c:minus>
          </c:errBars>
          <c:cat>
            <c:strRef>
              <c:f>'fig B.19(b)'!$C$2:$K$2</c:f>
              <c:strCache>
                <c:ptCount val="9"/>
                <c:pt idx="0">
                  <c:v>NSW</c:v>
                </c:pt>
                <c:pt idx="1">
                  <c:v>Vic</c:v>
                </c:pt>
                <c:pt idx="2">
                  <c:v>Qld</c:v>
                </c:pt>
                <c:pt idx="3">
                  <c:v>WA</c:v>
                </c:pt>
                <c:pt idx="4">
                  <c:v>SA</c:v>
                </c:pt>
                <c:pt idx="5">
                  <c:v>Tas</c:v>
                </c:pt>
                <c:pt idx="6">
                  <c:v>ACT</c:v>
                </c:pt>
                <c:pt idx="7">
                  <c:v>NT</c:v>
                </c:pt>
                <c:pt idx="8">
                  <c:v>Aust</c:v>
                </c:pt>
              </c:strCache>
            </c:strRef>
          </c:cat>
          <c:val>
            <c:numRef>
              <c:f>'fig B.19(b)'!$C$5:$K$5</c:f>
              <c:numCache>
                <c:formatCode>#,##0.0</c:formatCode>
                <c:ptCount val="9"/>
                <c:pt idx="0">
                  <c:v>19.8934113</c:v>
                </c:pt>
                <c:pt idx="1">
                  <c:v>21.4824518</c:v>
                </c:pt>
                <c:pt idx="2">
                  <c:v>17.877358000000001</c:v>
                </c:pt>
                <c:pt idx="3">
                  <c:v>21.3737545</c:v>
                </c:pt>
                <c:pt idx="4">
                  <c:v>19.3048465</c:v>
                </c:pt>
                <c:pt idx="5">
                  <c:v>22.839586000000001</c:v>
                </c:pt>
                <c:pt idx="6">
                  <c:v>12.9537689</c:v>
                </c:pt>
                <c:pt idx="7">
                  <c:v>22.803597100000001</c:v>
                </c:pt>
                <c:pt idx="8">
                  <c:v>19.976707099999999</c:v>
                </c:pt>
              </c:numCache>
            </c:numRef>
          </c:val>
        </c:ser>
        <c:ser>
          <c:idx val="2"/>
          <c:order val="2"/>
          <c:tx>
            <c:strRef>
              <c:f>'fig B.19(b)'!$B$7</c:f>
              <c:strCache>
                <c:ptCount val="1"/>
                <c:pt idx="0">
                  <c:v>Level 2</c:v>
                </c:pt>
              </c:strCache>
            </c:strRef>
          </c:tx>
          <c:spPr>
            <a:solidFill>
              <a:schemeClr val="bg1">
                <a:lumMod val="50000"/>
              </a:schemeClr>
            </a:solidFill>
            <a:ln>
              <a:solidFill>
                <a:sysClr val="windowText" lastClr="000000"/>
              </a:solidFill>
            </a:ln>
          </c:spPr>
          <c:invertIfNegative val="0"/>
          <c:errBars>
            <c:errBarType val="both"/>
            <c:errValType val="cust"/>
            <c:noEndCap val="0"/>
            <c:plus>
              <c:numRef>
                <c:f>'fig B.19(b)'!$C$8:$K$8</c:f>
                <c:numCache>
                  <c:formatCode>General</c:formatCode>
                  <c:ptCount val="9"/>
                  <c:pt idx="0">
                    <c:v>3.8563573</c:v>
                  </c:pt>
                  <c:pt idx="1">
                    <c:v>3.6286763</c:v>
                  </c:pt>
                  <c:pt idx="2">
                    <c:v>3.5207951999999998</c:v>
                  </c:pt>
                  <c:pt idx="3">
                    <c:v>5.0393165</c:v>
                  </c:pt>
                  <c:pt idx="4">
                    <c:v>4.5327215000000001</c:v>
                  </c:pt>
                  <c:pt idx="5">
                    <c:v>6.6256468000000002</c:v>
                  </c:pt>
                  <c:pt idx="6">
                    <c:v>8.4317100000000007</c:v>
                  </c:pt>
                  <c:pt idx="7">
                    <c:v>7.7966362</c:v>
                  </c:pt>
                  <c:pt idx="8">
                    <c:v>1.7728531999999999</c:v>
                  </c:pt>
                </c:numCache>
              </c:numRef>
            </c:plus>
            <c:minus>
              <c:numRef>
                <c:f>'fig B.19(b)'!$C$8:$K$8</c:f>
                <c:numCache>
                  <c:formatCode>General</c:formatCode>
                  <c:ptCount val="9"/>
                  <c:pt idx="0">
                    <c:v>3.8563573</c:v>
                  </c:pt>
                  <c:pt idx="1">
                    <c:v>3.6286763</c:v>
                  </c:pt>
                  <c:pt idx="2">
                    <c:v>3.5207951999999998</c:v>
                  </c:pt>
                  <c:pt idx="3">
                    <c:v>5.0393165</c:v>
                  </c:pt>
                  <c:pt idx="4">
                    <c:v>4.5327215000000001</c:v>
                  </c:pt>
                  <c:pt idx="5">
                    <c:v>6.6256468000000002</c:v>
                  </c:pt>
                  <c:pt idx="6">
                    <c:v>8.4317100000000007</c:v>
                  </c:pt>
                  <c:pt idx="7">
                    <c:v>7.7966362</c:v>
                  </c:pt>
                  <c:pt idx="8">
                    <c:v>1.7728531999999999</c:v>
                  </c:pt>
                </c:numCache>
              </c:numRef>
            </c:minus>
          </c:errBars>
          <c:cat>
            <c:strRef>
              <c:f>'fig B.19(b)'!$C$2:$K$2</c:f>
              <c:strCache>
                <c:ptCount val="9"/>
                <c:pt idx="0">
                  <c:v>NSW</c:v>
                </c:pt>
                <c:pt idx="1">
                  <c:v>Vic</c:v>
                </c:pt>
                <c:pt idx="2">
                  <c:v>Qld</c:v>
                </c:pt>
                <c:pt idx="3">
                  <c:v>WA</c:v>
                </c:pt>
                <c:pt idx="4">
                  <c:v>SA</c:v>
                </c:pt>
                <c:pt idx="5">
                  <c:v>Tas</c:v>
                </c:pt>
                <c:pt idx="6">
                  <c:v>ACT</c:v>
                </c:pt>
                <c:pt idx="7">
                  <c:v>NT</c:v>
                </c:pt>
                <c:pt idx="8">
                  <c:v>Aust</c:v>
                </c:pt>
              </c:strCache>
            </c:strRef>
          </c:cat>
          <c:val>
            <c:numRef>
              <c:f>'fig B.19(b)'!$C$7:$K$7</c:f>
              <c:numCache>
                <c:formatCode>#,##0.0</c:formatCode>
                <c:ptCount val="9"/>
                <c:pt idx="0">
                  <c:v>32.052533500000003</c:v>
                </c:pt>
                <c:pt idx="1">
                  <c:v>31.318253299999999</c:v>
                </c:pt>
                <c:pt idx="2">
                  <c:v>31.344580000000001</c:v>
                </c:pt>
                <c:pt idx="3">
                  <c:v>32.862419799999998</c:v>
                </c:pt>
                <c:pt idx="4">
                  <c:v>32.637269000000003</c:v>
                </c:pt>
                <c:pt idx="5">
                  <c:v>32.641714999999998</c:v>
                </c:pt>
                <c:pt idx="6">
                  <c:v>24.212373299999999</c:v>
                </c:pt>
                <c:pt idx="7">
                  <c:v>29.565809099999999</c:v>
                </c:pt>
                <c:pt idx="8">
                  <c:v>31.709723499999999</c:v>
                </c:pt>
              </c:numCache>
            </c:numRef>
          </c:val>
        </c:ser>
        <c:ser>
          <c:idx val="4"/>
          <c:order val="3"/>
          <c:tx>
            <c:strRef>
              <c:f>'fig B.19(b)'!$B$9</c:f>
              <c:strCache>
                <c:ptCount val="1"/>
                <c:pt idx="0">
                  <c:v>Level 3</c:v>
                </c:pt>
              </c:strCache>
            </c:strRef>
          </c:tx>
          <c:spPr>
            <a:pattFill prst="ltVert">
              <a:fgClr>
                <a:schemeClr val="tx1"/>
              </a:fgClr>
              <a:bgClr>
                <a:schemeClr val="bg1"/>
              </a:bgClr>
            </a:pattFill>
            <a:ln>
              <a:solidFill>
                <a:sysClr val="windowText" lastClr="000000"/>
              </a:solidFill>
            </a:ln>
          </c:spPr>
          <c:invertIfNegative val="0"/>
          <c:errBars>
            <c:errBarType val="both"/>
            <c:errValType val="cust"/>
            <c:noEndCap val="0"/>
            <c:plus>
              <c:numRef>
                <c:f>'fig B.19(b)'!$C$10:$K$10</c:f>
                <c:numCache>
                  <c:formatCode>General</c:formatCode>
                  <c:ptCount val="9"/>
                  <c:pt idx="0">
                    <c:v>3.5389431999999998</c:v>
                  </c:pt>
                  <c:pt idx="1">
                    <c:v>4.2451604999999999</c:v>
                  </c:pt>
                  <c:pt idx="2">
                    <c:v>3.7686744000000001</c:v>
                  </c:pt>
                  <c:pt idx="3">
                    <c:v>4.8066382000000001</c:v>
                  </c:pt>
                  <c:pt idx="4">
                    <c:v>4.4310859999999996</c:v>
                  </c:pt>
                  <c:pt idx="5">
                    <c:v>6.0287984000000003</c:v>
                  </c:pt>
                  <c:pt idx="6">
                    <c:v>9.2157537000000005</c:v>
                  </c:pt>
                  <c:pt idx="7">
                    <c:v>8.0386945999999995</c:v>
                  </c:pt>
                  <c:pt idx="8">
                    <c:v>1.7254843</c:v>
                  </c:pt>
                </c:numCache>
              </c:numRef>
            </c:plus>
            <c:minus>
              <c:numRef>
                <c:f>'fig B.19(b)'!$C$10:$K$10</c:f>
                <c:numCache>
                  <c:formatCode>General</c:formatCode>
                  <c:ptCount val="9"/>
                  <c:pt idx="0">
                    <c:v>3.5389431999999998</c:v>
                  </c:pt>
                  <c:pt idx="1">
                    <c:v>4.2451604999999999</c:v>
                  </c:pt>
                  <c:pt idx="2">
                    <c:v>3.7686744000000001</c:v>
                  </c:pt>
                  <c:pt idx="3">
                    <c:v>4.8066382000000001</c:v>
                  </c:pt>
                  <c:pt idx="4">
                    <c:v>4.4310859999999996</c:v>
                  </c:pt>
                  <c:pt idx="5">
                    <c:v>6.0287984000000003</c:v>
                  </c:pt>
                  <c:pt idx="6">
                    <c:v>9.2157537000000005</c:v>
                  </c:pt>
                  <c:pt idx="7">
                    <c:v>8.0386945999999995</c:v>
                  </c:pt>
                  <c:pt idx="8">
                    <c:v>1.7254843</c:v>
                  </c:pt>
                </c:numCache>
              </c:numRef>
            </c:minus>
          </c:errBars>
          <c:cat>
            <c:strRef>
              <c:f>'fig B.19(b)'!$C$2:$K$2</c:f>
              <c:strCache>
                <c:ptCount val="9"/>
                <c:pt idx="0">
                  <c:v>NSW</c:v>
                </c:pt>
                <c:pt idx="1">
                  <c:v>Vic</c:v>
                </c:pt>
                <c:pt idx="2">
                  <c:v>Qld</c:v>
                </c:pt>
                <c:pt idx="3">
                  <c:v>WA</c:v>
                </c:pt>
                <c:pt idx="4">
                  <c:v>SA</c:v>
                </c:pt>
                <c:pt idx="5">
                  <c:v>Tas</c:v>
                </c:pt>
                <c:pt idx="6">
                  <c:v>ACT</c:v>
                </c:pt>
                <c:pt idx="7">
                  <c:v>NT</c:v>
                </c:pt>
                <c:pt idx="8">
                  <c:v>Aust</c:v>
                </c:pt>
              </c:strCache>
            </c:strRef>
          </c:cat>
          <c:val>
            <c:numRef>
              <c:f>'fig B.19(b)'!$C$9:$K$9</c:f>
              <c:numCache>
                <c:formatCode>#,##0.0</c:formatCode>
                <c:ptCount val="9"/>
                <c:pt idx="0">
                  <c:v>31.856491299999998</c:v>
                </c:pt>
                <c:pt idx="1">
                  <c:v>31.818361299999999</c:v>
                </c:pt>
                <c:pt idx="2">
                  <c:v>35.533242100000002</c:v>
                </c:pt>
                <c:pt idx="3">
                  <c:v>32.195759199999998</c:v>
                </c:pt>
                <c:pt idx="4">
                  <c:v>32.936606300000001</c:v>
                </c:pt>
                <c:pt idx="5">
                  <c:v>30.1853284</c:v>
                </c:pt>
                <c:pt idx="6">
                  <c:v>37.219060399999996</c:v>
                </c:pt>
                <c:pt idx="7">
                  <c:v>34.245700399999997</c:v>
                </c:pt>
                <c:pt idx="8">
                  <c:v>32.768425499999999</c:v>
                </c:pt>
              </c:numCache>
            </c:numRef>
          </c:val>
        </c:ser>
        <c:ser>
          <c:idx val="5"/>
          <c:order val="4"/>
          <c:tx>
            <c:strRef>
              <c:f>'fig B.19(b)'!$B$11</c:f>
              <c:strCache>
                <c:ptCount val="1"/>
                <c:pt idx="0">
                  <c:v>Level 4/5</c:v>
                </c:pt>
              </c:strCache>
            </c:strRef>
          </c:tx>
          <c:spPr>
            <a:pattFill prst="wdDnDiag">
              <a:fgClr>
                <a:sysClr val="windowText" lastClr="000000"/>
              </a:fgClr>
              <a:bgClr>
                <a:sysClr val="window" lastClr="FFFFFF"/>
              </a:bgClr>
            </a:pattFill>
            <a:ln>
              <a:solidFill>
                <a:sysClr val="windowText" lastClr="000000"/>
              </a:solidFill>
            </a:ln>
          </c:spPr>
          <c:invertIfNegative val="0"/>
          <c:errBars>
            <c:errBarType val="both"/>
            <c:errValType val="cust"/>
            <c:noEndCap val="0"/>
            <c:plus>
              <c:numRef>
                <c:f>'fig B.19(b)'!$C$12:$K$12</c:f>
                <c:numCache>
                  <c:formatCode>General</c:formatCode>
                  <c:ptCount val="9"/>
                  <c:pt idx="0">
                    <c:v>2.2830244999999998</c:v>
                  </c:pt>
                  <c:pt idx="1">
                    <c:v>2.3805923</c:v>
                  </c:pt>
                  <c:pt idx="2">
                    <c:v>2.7740200000000002</c:v>
                  </c:pt>
                  <c:pt idx="3">
                    <c:v>3.1778689999999998</c:v>
                  </c:pt>
                  <c:pt idx="4">
                    <c:v>3.2715871000000001</c:v>
                  </c:pt>
                  <c:pt idx="5">
                    <c:v>4.5300178000000004</c:v>
                  </c:pt>
                  <c:pt idx="6">
                    <c:v>8.3145439000000003</c:v>
                  </c:pt>
                  <c:pt idx="7">
                    <c:v>5.4424273000000003</c:v>
                  </c:pt>
                  <c:pt idx="8">
                    <c:v>1.2074308</c:v>
                  </c:pt>
                </c:numCache>
              </c:numRef>
            </c:plus>
            <c:minus>
              <c:numRef>
                <c:f>'fig B.19(b)'!$C$12:$K$12</c:f>
                <c:numCache>
                  <c:formatCode>General</c:formatCode>
                  <c:ptCount val="9"/>
                  <c:pt idx="0">
                    <c:v>2.2830244999999998</c:v>
                  </c:pt>
                  <c:pt idx="1">
                    <c:v>2.3805923</c:v>
                  </c:pt>
                  <c:pt idx="2">
                    <c:v>2.7740200000000002</c:v>
                  </c:pt>
                  <c:pt idx="3">
                    <c:v>3.1778689999999998</c:v>
                  </c:pt>
                  <c:pt idx="4">
                    <c:v>3.2715871000000001</c:v>
                  </c:pt>
                  <c:pt idx="5">
                    <c:v>4.5300178000000004</c:v>
                  </c:pt>
                  <c:pt idx="6">
                    <c:v>8.3145439000000003</c:v>
                  </c:pt>
                  <c:pt idx="7">
                    <c:v>5.4424273000000003</c:v>
                  </c:pt>
                  <c:pt idx="8">
                    <c:v>1.2074308</c:v>
                  </c:pt>
                </c:numCache>
              </c:numRef>
            </c:minus>
          </c:errBars>
          <c:cat>
            <c:strRef>
              <c:f>'fig B.19(b)'!$C$2:$K$2</c:f>
              <c:strCache>
                <c:ptCount val="9"/>
                <c:pt idx="0">
                  <c:v>NSW</c:v>
                </c:pt>
                <c:pt idx="1">
                  <c:v>Vic</c:v>
                </c:pt>
                <c:pt idx="2">
                  <c:v>Qld</c:v>
                </c:pt>
                <c:pt idx="3">
                  <c:v>WA</c:v>
                </c:pt>
                <c:pt idx="4">
                  <c:v>SA</c:v>
                </c:pt>
                <c:pt idx="5">
                  <c:v>Tas</c:v>
                </c:pt>
                <c:pt idx="6">
                  <c:v>ACT</c:v>
                </c:pt>
                <c:pt idx="7">
                  <c:v>NT</c:v>
                </c:pt>
                <c:pt idx="8">
                  <c:v>Aust</c:v>
                </c:pt>
              </c:strCache>
            </c:strRef>
          </c:cat>
          <c:val>
            <c:numRef>
              <c:f>'fig B.19(b)'!$C$11:$K$11</c:f>
              <c:numCache>
                <c:formatCode>#,##0.0</c:formatCode>
                <c:ptCount val="9"/>
                <c:pt idx="0">
                  <c:v>13.3959657</c:v>
                </c:pt>
                <c:pt idx="1">
                  <c:v>13.1328719</c:v>
                </c:pt>
                <c:pt idx="2">
                  <c:v>13.681757899999999</c:v>
                </c:pt>
                <c:pt idx="3">
                  <c:v>12.9976158</c:v>
                </c:pt>
                <c:pt idx="4">
                  <c:v>13.348006</c:v>
                </c:pt>
                <c:pt idx="5">
                  <c:v>12.663265900000001</c:v>
                </c:pt>
                <c:pt idx="6">
                  <c:v>23.869915500000001</c:v>
                </c:pt>
                <c:pt idx="7">
                  <c:v>12.303286699999999</c:v>
                </c:pt>
                <c:pt idx="8">
                  <c:v>13.495168400000001</c:v>
                </c:pt>
              </c:numCache>
            </c:numRef>
          </c:val>
        </c:ser>
        <c:dLbls>
          <c:showLegendKey val="0"/>
          <c:showVal val="0"/>
          <c:showCatName val="0"/>
          <c:showSerName val="0"/>
          <c:showPercent val="0"/>
          <c:showBubbleSize val="0"/>
        </c:dLbls>
        <c:gapWidth val="150"/>
        <c:axId val="93628672"/>
        <c:axId val="93638656"/>
      </c:barChart>
      <c:catAx>
        <c:axId val="93628672"/>
        <c:scaling>
          <c:orientation val="minMax"/>
        </c:scaling>
        <c:delete val="0"/>
        <c:axPos val="b"/>
        <c:majorTickMark val="out"/>
        <c:minorTickMark val="none"/>
        <c:tickLblPos val="nextTo"/>
        <c:crossAx val="93638656"/>
        <c:crosses val="autoZero"/>
        <c:auto val="1"/>
        <c:lblAlgn val="ctr"/>
        <c:lblOffset val="100"/>
        <c:noMultiLvlLbl val="0"/>
      </c:catAx>
      <c:valAx>
        <c:axId val="93638656"/>
        <c:scaling>
          <c:orientation val="minMax"/>
          <c:max val="100"/>
        </c:scaling>
        <c:delete val="0"/>
        <c:axPos val="l"/>
        <c:majorGridlines/>
        <c:title>
          <c:tx>
            <c:rich>
              <a:bodyPr rot="-5400000" vert="horz"/>
              <a:lstStyle/>
              <a:p>
                <a:pPr>
                  <a:defRPr/>
                </a:pPr>
                <a:r>
                  <a:rPr lang="en-US"/>
                  <a:t>Per cent</a:t>
                </a:r>
              </a:p>
            </c:rich>
          </c:tx>
          <c:overlay val="0"/>
        </c:title>
        <c:numFmt formatCode="0" sourceLinked="0"/>
        <c:majorTickMark val="out"/>
        <c:minorTickMark val="none"/>
        <c:tickLblPos val="nextTo"/>
        <c:spPr>
          <a:ln>
            <a:solidFill>
              <a:schemeClr val="tx1"/>
            </a:solidFill>
          </a:ln>
        </c:spPr>
        <c:crossAx val="93628672"/>
        <c:crosses val="autoZero"/>
        <c:crossBetween val="between"/>
        <c:majorUnit val="20"/>
      </c:valAx>
      <c:spPr>
        <a:noFill/>
        <a:ln>
          <a:solidFill>
            <a:schemeClr val="tx1"/>
          </a:solidFill>
        </a:ln>
      </c:spPr>
    </c:plotArea>
    <c:legend>
      <c:legendPos val="t"/>
      <c:overlay val="0"/>
      <c:spPr>
        <a:ln>
          <a:solidFill>
            <a:sysClr val="windowText" lastClr="000000"/>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'fig B.19(c)'!$B$3</c:f>
              <c:strCache>
                <c:ptCount val="1"/>
                <c:pt idx="0">
                  <c:v>Missing/Not classified</c:v>
                </c:pt>
              </c:strCache>
            </c:strRef>
          </c:tx>
          <c:spPr>
            <a:solidFill>
              <a:sysClr val="window" lastClr="FFFFFF">
                <a:lumMod val="75000"/>
              </a:sysClr>
            </a:solidFill>
            <a:ln>
              <a:solidFill>
                <a:srgbClr val="000000"/>
              </a:solidFill>
            </a:ln>
          </c:spPr>
          <c:invertIfNegative val="0"/>
          <c:errBars>
            <c:errBarType val="both"/>
            <c:errValType val="cust"/>
            <c:noEndCap val="0"/>
            <c:plus>
              <c:numRef>
                <c:f>'fig B.19(c)'!$C$4:$K$4</c:f>
                <c:numCache>
                  <c:formatCode>General</c:formatCode>
                  <c:ptCount val="9"/>
                  <c:pt idx="0">
                    <c:v>2.5136737</c:v>
                  </c:pt>
                  <c:pt idx="1">
                    <c:v>2.4268976000000002</c:v>
                  </c:pt>
                  <c:pt idx="2">
                    <c:v>3.6254748999999999</c:v>
                  </c:pt>
                  <c:pt idx="3">
                    <c:v>3.8015205999999999</c:v>
                  </c:pt>
                  <c:pt idx="4">
                    <c:v>4.4537063000000003</c:v>
                  </c:pt>
                  <c:pt idx="5">
                    <c:v>4.6936581999999998</c:v>
                  </c:pt>
                  <c:pt idx="6">
                    <c:v>6.7000878999999998</c:v>
                  </c:pt>
                  <c:pt idx="7">
                    <c:v>6.4082189999999999</c:v>
                  </c:pt>
                  <c:pt idx="8">
                    <c:v>1.4115095</c:v>
                  </c:pt>
                </c:numCache>
              </c:numRef>
            </c:plus>
            <c:minus>
              <c:numRef>
                <c:f>'fig B.19(c)'!$C$4:$K$4</c:f>
                <c:numCache>
                  <c:formatCode>General</c:formatCode>
                  <c:ptCount val="9"/>
                  <c:pt idx="0">
                    <c:v>2.5136737</c:v>
                  </c:pt>
                  <c:pt idx="1">
                    <c:v>2.4268976000000002</c:v>
                  </c:pt>
                  <c:pt idx="2">
                    <c:v>3.6254748999999999</c:v>
                  </c:pt>
                  <c:pt idx="3">
                    <c:v>3.8015205999999999</c:v>
                  </c:pt>
                  <c:pt idx="4">
                    <c:v>4.4537063000000003</c:v>
                  </c:pt>
                  <c:pt idx="5">
                    <c:v>4.6936581999999998</c:v>
                  </c:pt>
                  <c:pt idx="6">
                    <c:v>6.7000878999999998</c:v>
                  </c:pt>
                  <c:pt idx="7">
                    <c:v>6.4082189999999999</c:v>
                  </c:pt>
                  <c:pt idx="8">
                    <c:v>1.4115095</c:v>
                  </c:pt>
                </c:numCache>
              </c:numRef>
            </c:minus>
          </c:errBars>
          <c:cat>
            <c:strRef>
              <c:f>'fig B.19(c)'!$C$2:$K$2</c:f>
              <c:strCache>
                <c:ptCount val="9"/>
                <c:pt idx="0">
                  <c:v>NSW</c:v>
                </c:pt>
                <c:pt idx="1">
                  <c:v>Vic</c:v>
                </c:pt>
                <c:pt idx="2">
                  <c:v>Qld</c:v>
                </c:pt>
                <c:pt idx="3">
                  <c:v>WA</c:v>
                </c:pt>
                <c:pt idx="4">
                  <c:v>SA</c:v>
                </c:pt>
                <c:pt idx="5">
                  <c:v>Tas</c:v>
                </c:pt>
                <c:pt idx="6">
                  <c:v>ACT</c:v>
                </c:pt>
                <c:pt idx="7">
                  <c:v>NT</c:v>
                </c:pt>
                <c:pt idx="8">
                  <c:v>Aust</c:v>
                </c:pt>
              </c:strCache>
            </c:strRef>
          </c:cat>
          <c:val>
            <c:numRef>
              <c:f>'fig B.19(c)'!$C$3:$K$3</c:f>
              <c:numCache>
                <c:formatCode>0.0</c:formatCode>
                <c:ptCount val="9"/>
                <c:pt idx="0">
                  <c:v>24.841969200000001</c:v>
                </c:pt>
                <c:pt idx="1">
                  <c:v>22.561713000000001</c:v>
                </c:pt>
                <c:pt idx="2">
                  <c:v>24.903325299999999</c:v>
                </c:pt>
                <c:pt idx="3">
                  <c:v>22.7340388</c:v>
                </c:pt>
                <c:pt idx="4">
                  <c:v>29.104722800000001</c:v>
                </c:pt>
                <c:pt idx="5">
                  <c:v>28.415602499999999</c:v>
                </c:pt>
                <c:pt idx="6">
                  <c:v>18.406050799999999</c:v>
                </c:pt>
                <c:pt idx="7">
                  <c:v>31.563239899999999</c:v>
                </c:pt>
                <c:pt idx="8">
                  <c:v>24.383093899999999</c:v>
                </c:pt>
              </c:numCache>
            </c:numRef>
          </c:val>
        </c:ser>
        <c:ser>
          <c:idx val="1"/>
          <c:order val="1"/>
          <c:tx>
            <c:strRef>
              <c:f>'fig B.19(c)'!$B$5</c:f>
              <c:strCache>
                <c:ptCount val="1"/>
                <c:pt idx="0">
                  <c:v>Below level 1/Level 1</c:v>
                </c:pt>
              </c:strCache>
            </c:strRef>
          </c:tx>
          <c:spPr>
            <a:pattFill prst="wdUpDiag">
              <a:fgClr>
                <a:schemeClr val="tx1"/>
              </a:fgClr>
              <a:bgClr>
                <a:schemeClr val="bg1"/>
              </a:bgClr>
            </a:pattFill>
            <a:ln>
              <a:solidFill>
                <a:sysClr val="windowText" lastClr="000000"/>
              </a:solidFill>
            </a:ln>
          </c:spPr>
          <c:invertIfNegative val="0"/>
          <c:errBars>
            <c:errBarType val="both"/>
            <c:errValType val="cust"/>
            <c:noEndCap val="0"/>
            <c:plus>
              <c:numRef>
                <c:f>'fig B.19(c)'!$C$6:$K$6</c:f>
                <c:numCache>
                  <c:formatCode>General</c:formatCode>
                  <c:ptCount val="9"/>
                  <c:pt idx="0">
                    <c:v>3.4560297000000002</c:v>
                  </c:pt>
                  <c:pt idx="1">
                    <c:v>3.8561849000000001</c:v>
                  </c:pt>
                  <c:pt idx="2">
                    <c:v>3.7388707999999999</c:v>
                  </c:pt>
                  <c:pt idx="3">
                    <c:v>4.4383176000000004</c:v>
                  </c:pt>
                  <c:pt idx="4">
                    <c:v>4.9443821000000003</c:v>
                  </c:pt>
                  <c:pt idx="5">
                    <c:v>5.4100827000000002</c:v>
                  </c:pt>
                  <c:pt idx="6">
                    <c:v>8.6072631000000008</c:v>
                  </c:pt>
                  <c:pt idx="7">
                    <c:v>7.5604819000000001</c:v>
                  </c:pt>
                  <c:pt idx="8">
                    <c:v>1.8841912999999999</c:v>
                  </c:pt>
                </c:numCache>
              </c:numRef>
            </c:plus>
            <c:minus>
              <c:numRef>
                <c:f>'fig B.19(c)'!$C$6:$K$6</c:f>
                <c:numCache>
                  <c:formatCode>General</c:formatCode>
                  <c:ptCount val="9"/>
                  <c:pt idx="0">
                    <c:v>3.4560297000000002</c:v>
                  </c:pt>
                  <c:pt idx="1">
                    <c:v>3.8561849000000001</c:v>
                  </c:pt>
                  <c:pt idx="2">
                    <c:v>3.7388707999999999</c:v>
                  </c:pt>
                  <c:pt idx="3">
                    <c:v>4.4383176000000004</c:v>
                  </c:pt>
                  <c:pt idx="4">
                    <c:v>4.9443821000000003</c:v>
                  </c:pt>
                  <c:pt idx="5">
                    <c:v>5.4100827000000002</c:v>
                  </c:pt>
                  <c:pt idx="6">
                    <c:v>8.6072631000000008</c:v>
                  </c:pt>
                  <c:pt idx="7">
                    <c:v>7.5604819000000001</c:v>
                  </c:pt>
                  <c:pt idx="8">
                    <c:v>1.8841912999999999</c:v>
                  </c:pt>
                </c:numCache>
              </c:numRef>
            </c:minus>
          </c:errBars>
          <c:cat>
            <c:strRef>
              <c:f>'fig B.19(c)'!$C$2:$K$2</c:f>
              <c:strCache>
                <c:ptCount val="9"/>
                <c:pt idx="0">
                  <c:v>NSW</c:v>
                </c:pt>
                <c:pt idx="1">
                  <c:v>Vic</c:v>
                </c:pt>
                <c:pt idx="2">
                  <c:v>Qld</c:v>
                </c:pt>
                <c:pt idx="3">
                  <c:v>WA</c:v>
                </c:pt>
                <c:pt idx="4">
                  <c:v>SA</c:v>
                </c:pt>
                <c:pt idx="5">
                  <c:v>Tas</c:v>
                </c:pt>
                <c:pt idx="6">
                  <c:v>ACT</c:v>
                </c:pt>
                <c:pt idx="7">
                  <c:v>NT</c:v>
                </c:pt>
                <c:pt idx="8">
                  <c:v>Aust</c:v>
                </c:pt>
              </c:strCache>
            </c:strRef>
          </c:cat>
          <c:val>
            <c:numRef>
              <c:f>'fig B.19(c)'!$C$5:$K$5</c:f>
              <c:numCache>
                <c:formatCode>0.0</c:formatCode>
                <c:ptCount val="9"/>
                <c:pt idx="0">
                  <c:v>45.251683100000001</c:v>
                </c:pt>
                <c:pt idx="1">
                  <c:v>47.0036688</c:v>
                </c:pt>
                <c:pt idx="2">
                  <c:v>45.889092900000001</c:v>
                </c:pt>
                <c:pt idx="3">
                  <c:v>48.422950399999998</c:v>
                </c:pt>
                <c:pt idx="4">
                  <c:v>44.384779399999999</c:v>
                </c:pt>
                <c:pt idx="5">
                  <c:v>45.508889699999997</c:v>
                </c:pt>
                <c:pt idx="6">
                  <c:v>35.670623999999997</c:v>
                </c:pt>
                <c:pt idx="7">
                  <c:v>41.1400504</c:v>
                </c:pt>
                <c:pt idx="8">
                  <c:v>45.902439800000003</c:v>
                </c:pt>
              </c:numCache>
            </c:numRef>
          </c:val>
        </c:ser>
        <c:ser>
          <c:idx val="2"/>
          <c:order val="2"/>
          <c:tx>
            <c:strRef>
              <c:f>'fig B.19(c)'!$B$7</c:f>
              <c:strCache>
                <c:ptCount val="1"/>
                <c:pt idx="0">
                  <c:v>Level 2</c:v>
                </c:pt>
              </c:strCache>
            </c:strRef>
          </c:tx>
          <c:spPr>
            <a:solidFill>
              <a:schemeClr val="bg1">
                <a:lumMod val="50000"/>
              </a:schemeClr>
            </a:solidFill>
            <a:ln>
              <a:solidFill>
                <a:sysClr val="windowText" lastClr="000000"/>
              </a:solidFill>
            </a:ln>
          </c:spPr>
          <c:invertIfNegative val="0"/>
          <c:errBars>
            <c:errBarType val="both"/>
            <c:errValType val="cust"/>
            <c:noEndCap val="0"/>
            <c:plus>
              <c:numRef>
                <c:f>'fig B.19(c)'!$C$8:$K$8</c:f>
                <c:numCache>
                  <c:formatCode>General</c:formatCode>
                  <c:ptCount val="9"/>
                  <c:pt idx="0">
                    <c:v>3.2054456999999998</c:v>
                  </c:pt>
                  <c:pt idx="1">
                    <c:v>3.6758061</c:v>
                  </c:pt>
                  <c:pt idx="2">
                    <c:v>3.1001964000000002</c:v>
                  </c:pt>
                  <c:pt idx="3">
                    <c:v>4.1533201999999996</c:v>
                  </c:pt>
                  <c:pt idx="4">
                    <c:v>3.5717626999999998</c:v>
                  </c:pt>
                  <c:pt idx="5">
                    <c:v>4.6464913000000001</c:v>
                  </c:pt>
                  <c:pt idx="6">
                    <c:v>9.7512603000000002</c:v>
                  </c:pt>
                  <c:pt idx="7">
                    <c:v>7.4525407000000001</c:v>
                  </c:pt>
                  <c:pt idx="8">
                    <c:v>1.7049038999999999</c:v>
                  </c:pt>
                </c:numCache>
              </c:numRef>
            </c:plus>
            <c:minus>
              <c:numRef>
                <c:f>'fig B.19(c)'!$C$8:$K$8</c:f>
                <c:numCache>
                  <c:formatCode>General</c:formatCode>
                  <c:ptCount val="9"/>
                  <c:pt idx="0">
                    <c:v>3.2054456999999998</c:v>
                  </c:pt>
                  <c:pt idx="1">
                    <c:v>3.6758061</c:v>
                  </c:pt>
                  <c:pt idx="2">
                    <c:v>3.1001964000000002</c:v>
                  </c:pt>
                  <c:pt idx="3">
                    <c:v>4.1533201999999996</c:v>
                  </c:pt>
                  <c:pt idx="4">
                    <c:v>3.5717626999999998</c:v>
                  </c:pt>
                  <c:pt idx="5">
                    <c:v>4.6464913000000001</c:v>
                  </c:pt>
                  <c:pt idx="6">
                    <c:v>9.7512603000000002</c:v>
                  </c:pt>
                  <c:pt idx="7">
                    <c:v>7.4525407000000001</c:v>
                  </c:pt>
                  <c:pt idx="8">
                    <c:v>1.7049038999999999</c:v>
                  </c:pt>
                </c:numCache>
              </c:numRef>
            </c:minus>
          </c:errBars>
          <c:cat>
            <c:strRef>
              <c:f>'fig B.19(c)'!$C$2:$K$2</c:f>
              <c:strCache>
                <c:ptCount val="9"/>
                <c:pt idx="0">
                  <c:v>NSW</c:v>
                </c:pt>
                <c:pt idx="1">
                  <c:v>Vic</c:v>
                </c:pt>
                <c:pt idx="2">
                  <c:v>Qld</c:v>
                </c:pt>
                <c:pt idx="3">
                  <c:v>WA</c:v>
                </c:pt>
                <c:pt idx="4">
                  <c:v>SA</c:v>
                </c:pt>
                <c:pt idx="5">
                  <c:v>Tas</c:v>
                </c:pt>
                <c:pt idx="6">
                  <c:v>ACT</c:v>
                </c:pt>
                <c:pt idx="7">
                  <c:v>NT</c:v>
                </c:pt>
                <c:pt idx="8">
                  <c:v>Aust</c:v>
                </c:pt>
              </c:strCache>
            </c:strRef>
          </c:cat>
          <c:val>
            <c:numRef>
              <c:f>'fig B.19(c)'!$C$7:$K$7</c:f>
              <c:numCache>
                <c:formatCode>0.0</c:formatCode>
                <c:ptCount val="9"/>
                <c:pt idx="0">
                  <c:v>25.8835254</c:v>
                </c:pt>
                <c:pt idx="1">
                  <c:v>26.900789</c:v>
                </c:pt>
                <c:pt idx="2">
                  <c:v>25.8659453</c:v>
                </c:pt>
                <c:pt idx="3">
                  <c:v>25.2897602</c:v>
                </c:pt>
                <c:pt idx="4">
                  <c:v>23.765525700000001</c:v>
                </c:pt>
                <c:pt idx="5">
                  <c:v>23.245465899999999</c:v>
                </c:pt>
                <c:pt idx="6">
                  <c:v>39.5898203</c:v>
                </c:pt>
                <c:pt idx="7">
                  <c:v>24.340277</c:v>
                </c:pt>
                <c:pt idx="8">
                  <c:v>26.088565800000001</c:v>
                </c:pt>
              </c:numCache>
            </c:numRef>
          </c:val>
        </c:ser>
        <c:ser>
          <c:idx val="3"/>
          <c:order val="3"/>
          <c:tx>
            <c:strRef>
              <c:f>'fig B.19(c)'!$B$9</c:f>
              <c:strCache>
                <c:ptCount val="1"/>
                <c:pt idx="0">
                  <c:v>Level 3</c:v>
                </c:pt>
              </c:strCache>
            </c:strRef>
          </c:tx>
          <c:spPr>
            <a:pattFill prst="openDmnd">
              <a:fgClr>
                <a:schemeClr val="tx1"/>
              </a:fgClr>
              <a:bgClr>
                <a:schemeClr val="bg1"/>
              </a:bgClr>
            </a:pattFill>
            <a:ln>
              <a:solidFill>
                <a:sysClr val="windowText" lastClr="000000"/>
              </a:solidFill>
            </a:ln>
          </c:spPr>
          <c:invertIfNegative val="0"/>
          <c:errBars>
            <c:errBarType val="both"/>
            <c:errValType val="cust"/>
            <c:noEndCap val="0"/>
            <c:plus>
              <c:numRef>
                <c:f>'fig B.19(c)'!$C$10:$K$10</c:f>
                <c:numCache>
                  <c:formatCode>General</c:formatCode>
                  <c:ptCount val="9"/>
                  <c:pt idx="0">
                    <c:v>1.5961751</c:v>
                  </c:pt>
                  <c:pt idx="1">
                    <c:v>1.4877823999999999</c:v>
                  </c:pt>
                  <c:pt idx="2">
                    <c:v>1.5858478</c:v>
                  </c:pt>
                  <c:pt idx="3">
                    <c:v>2.0404019999999998</c:v>
                  </c:pt>
                  <c:pt idx="4">
                    <c:v>1.8233246000000001</c:v>
                  </c:pt>
                  <c:pt idx="5">
                    <c:v>2.0604070999999999</c:v>
                  </c:pt>
                  <c:pt idx="6">
                    <c:v>4.7880006000000002</c:v>
                  </c:pt>
                  <c:pt idx="8">
                    <c:v>0.85025550000000005</c:v>
                  </c:pt>
                </c:numCache>
              </c:numRef>
            </c:plus>
            <c:minus>
              <c:numRef>
                <c:f>'fig B.19(c)'!$C$10:$K$10</c:f>
                <c:numCache>
                  <c:formatCode>General</c:formatCode>
                  <c:ptCount val="9"/>
                  <c:pt idx="0">
                    <c:v>1.5961751</c:v>
                  </c:pt>
                  <c:pt idx="1">
                    <c:v>1.4877823999999999</c:v>
                  </c:pt>
                  <c:pt idx="2">
                    <c:v>1.5858478</c:v>
                  </c:pt>
                  <c:pt idx="3">
                    <c:v>2.0404019999999998</c:v>
                  </c:pt>
                  <c:pt idx="4">
                    <c:v>1.8233246000000001</c:v>
                  </c:pt>
                  <c:pt idx="5">
                    <c:v>2.0604070999999999</c:v>
                  </c:pt>
                  <c:pt idx="6">
                    <c:v>4.7880006000000002</c:v>
                  </c:pt>
                  <c:pt idx="8">
                    <c:v>0.85025550000000005</c:v>
                  </c:pt>
                </c:numCache>
              </c:numRef>
            </c:minus>
          </c:errBars>
          <c:cat>
            <c:strRef>
              <c:f>'fig B.19(c)'!$C$2:$K$2</c:f>
              <c:strCache>
                <c:ptCount val="9"/>
                <c:pt idx="0">
                  <c:v>NSW</c:v>
                </c:pt>
                <c:pt idx="1">
                  <c:v>Vic</c:v>
                </c:pt>
                <c:pt idx="2">
                  <c:v>Qld</c:v>
                </c:pt>
                <c:pt idx="3">
                  <c:v>WA</c:v>
                </c:pt>
                <c:pt idx="4">
                  <c:v>SA</c:v>
                </c:pt>
                <c:pt idx="5">
                  <c:v>Tas</c:v>
                </c:pt>
                <c:pt idx="6">
                  <c:v>ACT</c:v>
                </c:pt>
                <c:pt idx="7">
                  <c:v>NT</c:v>
                </c:pt>
                <c:pt idx="8">
                  <c:v>Aust</c:v>
                </c:pt>
              </c:strCache>
            </c:strRef>
          </c:cat>
          <c:val>
            <c:numRef>
              <c:f>'fig B.19(c)'!$C$9:$K$9</c:f>
              <c:numCache>
                <c:formatCode>0.0</c:formatCode>
                <c:ptCount val="9"/>
                <c:pt idx="0">
                  <c:v>4.0228222999999996</c:v>
                </c:pt>
                <c:pt idx="1">
                  <c:v>3.5338292</c:v>
                </c:pt>
                <c:pt idx="2">
                  <c:v>3.3416364999999999</c:v>
                </c:pt>
                <c:pt idx="3">
                  <c:v>3.5532506000000001</c:v>
                </c:pt>
                <c:pt idx="4">
                  <c:v>2.7449720000000002</c:v>
                </c:pt>
                <c:pt idx="5">
                  <c:v>2.8300418999999999</c:v>
                </c:pt>
                <c:pt idx="6">
                  <c:v>6.3335049000000003</c:v>
                </c:pt>
                <c:pt idx="8">
                  <c:v>3.6259006</c:v>
                </c:pt>
              </c:numCache>
            </c:numRef>
          </c:val>
        </c:ser>
        <c:dLbls>
          <c:showLegendKey val="0"/>
          <c:showVal val="0"/>
          <c:showCatName val="0"/>
          <c:showSerName val="0"/>
          <c:showPercent val="0"/>
          <c:showBubbleSize val="0"/>
        </c:dLbls>
        <c:gapWidth val="150"/>
        <c:axId val="109154304"/>
        <c:axId val="109155840"/>
      </c:barChart>
      <c:catAx>
        <c:axId val="109154304"/>
        <c:scaling>
          <c:orientation val="minMax"/>
        </c:scaling>
        <c:delete val="0"/>
        <c:axPos val="b"/>
        <c:majorTickMark val="out"/>
        <c:minorTickMark val="none"/>
        <c:tickLblPos val="nextTo"/>
        <c:crossAx val="109155840"/>
        <c:crosses val="autoZero"/>
        <c:auto val="1"/>
        <c:lblAlgn val="ctr"/>
        <c:lblOffset val="100"/>
        <c:noMultiLvlLbl val="0"/>
      </c:catAx>
      <c:valAx>
        <c:axId val="109155840"/>
        <c:scaling>
          <c:orientation val="minMax"/>
          <c:max val="100"/>
        </c:scaling>
        <c:delete val="0"/>
        <c:axPos val="l"/>
        <c:majorGridlines/>
        <c:title>
          <c:tx>
            <c:rich>
              <a:bodyPr rot="-5400000" vert="horz"/>
              <a:lstStyle/>
              <a:p>
                <a:pPr>
                  <a:defRPr/>
                </a:pPr>
                <a:r>
                  <a:rPr lang="en-AU"/>
                  <a:t>Per</a:t>
                </a:r>
                <a:r>
                  <a:rPr lang="en-AU" baseline="0"/>
                  <a:t> cent</a:t>
                </a:r>
                <a:endParaRPr lang="en-AU"/>
              </a:p>
            </c:rich>
          </c:tx>
          <c:overlay val="0"/>
        </c:title>
        <c:numFmt formatCode="0" sourceLinked="0"/>
        <c:majorTickMark val="out"/>
        <c:minorTickMark val="none"/>
        <c:tickLblPos val="nextTo"/>
        <c:spPr>
          <a:ln>
            <a:solidFill>
              <a:schemeClr val="tx1"/>
            </a:solidFill>
          </a:ln>
        </c:spPr>
        <c:crossAx val="109154304"/>
        <c:crosses val="autoZero"/>
        <c:crossBetween val="between"/>
        <c:majorUnit val="20"/>
      </c:valAx>
      <c:spPr>
        <a:noFill/>
        <a:ln>
          <a:solidFill>
            <a:schemeClr val="tx1"/>
          </a:solidFill>
        </a:ln>
      </c:spPr>
    </c:plotArea>
    <c:legend>
      <c:legendPos val="t"/>
      <c:layout>
        <c:manualLayout>
          <c:xMode val="edge"/>
          <c:yMode val="edge"/>
          <c:x val="7.6445938917922257E-2"/>
          <c:y val="2.5888762578303314E-2"/>
          <c:w val="0.86626656061536911"/>
          <c:h val="7.3624311246798732E-2"/>
        </c:manualLayout>
      </c:layout>
      <c:overlay val="0"/>
      <c:spPr>
        <a:ln>
          <a:solidFill>
            <a:schemeClr val="tx1"/>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0"/>
          <c:order val="0"/>
          <c:tx>
            <c:strRef>
              <c:f>'fig B.3'!$A$4</c:f>
              <c:strCache>
                <c:ptCount val="1"/>
                <c:pt idx="0">
                  <c:v>Employed</c:v>
                </c:pt>
              </c:strCache>
            </c:strRef>
          </c:tx>
          <c:spPr>
            <a:solidFill>
              <a:sysClr val="window" lastClr="FFFFFF">
                <a:lumMod val="75000"/>
              </a:sysClr>
            </a:solidFill>
            <a:ln>
              <a:solidFill>
                <a:srgbClr val="000000"/>
              </a:solidFill>
            </a:ln>
          </c:spPr>
          <c:invertIfNegative val="0"/>
          <c:cat>
            <c:multiLvlStrRef>
              <c:f>'fig B.3'!$B$2:$G$3</c:f>
              <c:multiLvlStrCache>
                <c:ptCount val="6"/>
                <c:lvl>
                  <c:pt idx="0">
                    <c:v>Bachelor degree or higher</c:v>
                  </c:pt>
                  <c:pt idx="1">
                    <c:v>Advanced diploma/ diploma</c:v>
                  </c:pt>
                  <c:pt idx="2">
                    <c:v>Certificate III or IV</c:v>
                  </c:pt>
                  <c:pt idx="3">
                    <c:v>Certificate I, II or nfd</c:v>
                  </c:pt>
                  <c:pt idx="4">
                    <c:v>Year 12</c:v>
                  </c:pt>
                  <c:pt idx="5">
                    <c:v>Year 11 or below </c:v>
                  </c:pt>
                </c:lvl>
                <c:lvl>
                  <c:pt idx="0">
                    <c:v>Highest non-school qualification</c:v>
                  </c:pt>
                  <c:pt idx="4">
                    <c:v>Highest school year</c:v>
                  </c:pt>
                </c:lvl>
              </c:multiLvlStrCache>
            </c:multiLvlStrRef>
          </c:cat>
          <c:val>
            <c:numRef>
              <c:f>'fig B.3'!$B$4:$G$4</c:f>
              <c:numCache>
                <c:formatCode>###\ ###\ ##0.0;\-###\ ###\ ##0.0;"–"</c:formatCode>
                <c:ptCount val="6"/>
                <c:pt idx="0">
                  <c:v>85.3</c:v>
                </c:pt>
                <c:pt idx="1">
                  <c:v>81.5</c:v>
                </c:pt>
                <c:pt idx="2">
                  <c:v>83.6</c:v>
                </c:pt>
                <c:pt idx="3">
                  <c:v>73.400000000000006</c:v>
                </c:pt>
                <c:pt idx="4">
                  <c:v>71.5</c:v>
                </c:pt>
                <c:pt idx="5">
                  <c:v>57.6</c:v>
                </c:pt>
              </c:numCache>
            </c:numRef>
          </c:val>
        </c:ser>
        <c:ser>
          <c:idx val="1"/>
          <c:order val="1"/>
          <c:tx>
            <c:strRef>
              <c:f>'fig B.3'!$A$5</c:f>
              <c:strCache>
                <c:ptCount val="1"/>
                <c:pt idx="0">
                  <c:v>Unemployed</c:v>
                </c:pt>
              </c:strCache>
            </c:strRef>
          </c:tx>
          <c:spPr>
            <a:pattFill prst="wdUpDiag">
              <a:fgClr>
                <a:schemeClr val="tx1"/>
              </a:fgClr>
              <a:bgClr>
                <a:schemeClr val="bg1"/>
              </a:bgClr>
            </a:pattFill>
            <a:ln>
              <a:solidFill>
                <a:sysClr val="windowText" lastClr="000000"/>
              </a:solidFill>
            </a:ln>
          </c:spPr>
          <c:invertIfNegative val="0"/>
          <c:cat>
            <c:multiLvlStrRef>
              <c:f>'fig B.3'!$B$2:$G$3</c:f>
              <c:multiLvlStrCache>
                <c:ptCount val="6"/>
                <c:lvl>
                  <c:pt idx="0">
                    <c:v>Bachelor degree or higher</c:v>
                  </c:pt>
                  <c:pt idx="1">
                    <c:v>Advanced diploma/ diploma</c:v>
                  </c:pt>
                  <c:pt idx="2">
                    <c:v>Certificate III or IV</c:v>
                  </c:pt>
                  <c:pt idx="3">
                    <c:v>Certificate I, II or nfd</c:v>
                  </c:pt>
                  <c:pt idx="4">
                    <c:v>Year 12</c:v>
                  </c:pt>
                  <c:pt idx="5">
                    <c:v>Year 11 or below </c:v>
                  </c:pt>
                </c:lvl>
                <c:lvl>
                  <c:pt idx="0">
                    <c:v>Highest non-school qualification</c:v>
                  </c:pt>
                  <c:pt idx="4">
                    <c:v>Highest school year</c:v>
                  </c:pt>
                </c:lvl>
              </c:multiLvlStrCache>
            </c:multiLvlStrRef>
          </c:cat>
          <c:val>
            <c:numRef>
              <c:f>'fig B.3'!$B$5:$G$5</c:f>
              <c:numCache>
                <c:formatCode>###\ ###\ ##0.0;\-###\ ###\ ##0.0;"–"</c:formatCode>
                <c:ptCount val="6"/>
                <c:pt idx="0">
                  <c:v>2.5</c:v>
                </c:pt>
                <c:pt idx="1">
                  <c:v>3.1</c:v>
                </c:pt>
                <c:pt idx="2">
                  <c:v>3.8</c:v>
                </c:pt>
                <c:pt idx="3">
                  <c:v>7.4</c:v>
                </c:pt>
                <c:pt idx="4">
                  <c:v>4.5999999999999996</c:v>
                </c:pt>
                <c:pt idx="5">
                  <c:v>5.9</c:v>
                </c:pt>
              </c:numCache>
            </c:numRef>
          </c:val>
        </c:ser>
        <c:ser>
          <c:idx val="2"/>
          <c:order val="2"/>
          <c:tx>
            <c:strRef>
              <c:f>'fig B.3'!$A$6</c:f>
              <c:strCache>
                <c:ptCount val="1"/>
                <c:pt idx="0">
                  <c:v>Not in labour force</c:v>
                </c:pt>
              </c:strCache>
            </c:strRef>
          </c:tx>
          <c:spPr>
            <a:solidFill>
              <a:schemeClr val="bg1">
                <a:lumMod val="50000"/>
              </a:schemeClr>
            </a:solidFill>
            <a:ln>
              <a:solidFill>
                <a:sysClr val="windowText" lastClr="000000"/>
              </a:solidFill>
            </a:ln>
          </c:spPr>
          <c:invertIfNegative val="0"/>
          <c:cat>
            <c:multiLvlStrRef>
              <c:f>'fig B.3'!$B$2:$G$3</c:f>
              <c:multiLvlStrCache>
                <c:ptCount val="6"/>
                <c:lvl>
                  <c:pt idx="0">
                    <c:v>Bachelor degree or higher</c:v>
                  </c:pt>
                  <c:pt idx="1">
                    <c:v>Advanced diploma/ diploma</c:v>
                  </c:pt>
                  <c:pt idx="2">
                    <c:v>Certificate III or IV</c:v>
                  </c:pt>
                  <c:pt idx="3">
                    <c:v>Certificate I, II or nfd</c:v>
                  </c:pt>
                  <c:pt idx="4">
                    <c:v>Year 12</c:v>
                  </c:pt>
                  <c:pt idx="5">
                    <c:v>Year 11 or below </c:v>
                  </c:pt>
                </c:lvl>
                <c:lvl>
                  <c:pt idx="0">
                    <c:v>Highest non-school qualification</c:v>
                  </c:pt>
                  <c:pt idx="4">
                    <c:v>Highest school year</c:v>
                  </c:pt>
                </c:lvl>
              </c:multiLvlStrCache>
            </c:multiLvlStrRef>
          </c:cat>
          <c:val>
            <c:numRef>
              <c:f>'fig B.3'!$B$6:$G$6</c:f>
              <c:numCache>
                <c:formatCode>###\ ###\ ##0.0;\-###\ ###\ ##0.0;"–"</c:formatCode>
                <c:ptCount val="6"/>
                <c:pt idx="0">
                  <c:v>12.3</c:v>
                </c:pt>
                <c:pt idx="1">
                  <c:v>15.4</c:v>
                </c:pt>
                <c:pt idx="2">
                  <c:v>12.6</c:v>
                </c:pt>
                <c:pt idx="3">
                  <c:v>19.2</c:v>
                </c:pt>
                <c:pt idx="4">
                  <c:v>23.9</c:v>
                </c:pt>
                <c:pt idx="5">
                  <c:v>36.5</c:v>
                </c:pt>
              </c:numCache>
            </c:numRef>
          </c:val>
        </c:ser>
        <c:dLbls>
          <c:showLegendKey val="0"/>
          <c:showVal val="0"/>
          <c:showCatName val="0"/>
          <c:showSerName val="0"/>
          <c:showPercent val="0"/>
          <c:showBubbleSize val="0"/>
        </c:dLbls>
        <c:gapWidth val="150"/>
        <c:overlap val="100"/>
        <c:axId val="130974464"/>
        <c:axId val="130976000"/>
      </c:barChart>
      <c:catAx>
        <c:axId val="130974464"/>
        <c:scaling>
          <c:orientation val="minMax"/>
        </c:scaling>
        <c:delete val="0"/>
        <c:axPos val="b"/>
        <c:majorTickMark val="out"/>
        <c:minorTickMark val="none"/>
        <c:tickLblPos val="nextTo"/>
        <c:crossAx val="130976000"/>
        <c:crosses val="autoZero"/>
        <c:auto val="1"/>
        <c:lblAlgn val="ctr"/>
        <c:lblOffset val="100"/>
        <c:noMultiLvlLbl val="0"/>
      </c:catAx>
      <c:valAx>
        <c:axId val="130976000"/>
        <c:scaling>
          <c:orientation val="minMax"/>
          <c:max val="100"/>
        </c:scaling>
        <c:delete val="0"/>
        <c:axPos val="l"/>
        <c:majorGridlines/>
        <c:title>
          <c:tx>
            <c:rich>
              <a:bodyPr rot="-5400000" vert="horz"/>
              <a:lstStyle/>
              <a:p>
                <a:pPr>
                  <a:defRPr/>
                </a:pPr>
                <a:r>
                  <a:rPr lang="en-US"/>
                  <a:t>Per cent</a:t>
                </a:r>
              </a:p>
            </c:rich>
          </c:tx>
          <c:layout>
            <c:manualLayout>
              <c:xMode val="edge"/>
              <c:yMode val="edge"/>
              <c:x val="3.2925925925925928E-2"/>
              <c:y val="0.32290451388888891"/>
            </c:manualLayout>
          </c:layout>
          <c:overlay val="0"/>
        </c:title>
        <c:numFmt formatCode="#,##0" sourceLinked="0"/>
        <c:majorTickMark val="out"/>
        <c:minorTickMark val="none"/>
        <c:tickLblPos val="nextTo"/>
        <c:spPr>
          <a:ln>
            <a:solidFill>
              <a:schemeClr val="tx1"/>
            </a:solidFill>
          </a:ln>
        </c:spPr>
        <c:crossAx val="130974464"/>
        <c:crosses val="autoZero"/>
        <c:crossBetween val="between"/>
        <c:majorUnit val="20"/>
      </c:valAx>
      <c:spPr>
        <a:noFill/>
        <a:ln>
          <a:solidFill>
            <a:schemeClr val="tx1"/>
          </a:solidFill>
        </a:ln>
      </c:spPr>
    </c:plotArea>
    <c:legend>
      <c:legendPos val="t"/>
      <c:overlay val="0"/>
      <c:spPr>
        <a:ln>
          <a:solidFill>
            <a:sysClr val="windowText" lastClr="000000"/>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0"/>
          <c:order val="0"/>
          <c:tx>
            <c:strRef>
              <c:f>'fig B.4'!$B$3</c:f>
              <c:strCache>
                <c:ptCount val="1"/>
                <c:pt idx="0">
                  <c:v>Bachelor degree or above</c:v>
                </c:pt>
              </c:strCache>
            </c:strRef>
          </c:tx>
          <c:spPr>
            <a:solidFill>
              <a:sysClr val="window" lastClr="FFFFFF">
                <a:lumMod val="75000"/>
              </a:sysClr>
            </a:solidFill>
            <a:ln>
              <a:solidFill>
                <a:srgbClr val="000000"/>
              </a:solidFill>
            </a:ln>
          </c:spPr>
          <c:invertIfNegative val="0"/>
          <c:cat>
            <c:strRef>
              <c:f>'fig B.4'!$A$4:$A$11</c:f>
              <c:strCache>
                <c:ptCount val="8"/>
                <c:pt idx="0">
                  <c:v>Managers</c:v>
                </c:pt>
                <c:pt idx="1">
                  <c:v>Professionals</c:v>
                </c:pt>
                <c:pt idx="2">
                  <c:v>Technicians and Trades Workers</c:v>
                </c:pt>
                <c:pt idx="3">
                  <c:v>Community and Personal Service Workers</c:v>
                </c:pt>
                <c:pt idx="4">
                  <c:v>Clerical and Administrative Workers</c:v>
                </c:pt>
                <c:pt idx="5">
                  <c:v>Sales Workers</c:v>
                </c:pt>
                <c:pt idx="6">
                  <c:v>Machinery Operators And Drivers</c:v>
                </c:pt>
                <c:pt idx="7">
                  <c:v>Labourers</c:v>
                </c:pt>
              </c:strCache>
            </c:strRef>
          </c:cat>
          <c:val>
            <c:numRef>
              <c:f>'fig B.4'!$B$4:$B$11</c:f>
              <c:numCache>
                <c:formatCode>#####\ ###\ ##0.0;\-#####\ ###\ ##0.0;"–"</c:formatCode>
                <c:ptCount val="8"/>
                <c:pt idx="0">
                  <c:v>33.799999999999997</c:v>
                </c:pt>
                <c:pt idx="1">
                  <c:v>72.599999999999994</c:v>
                </c:pt>
                <c:pt idx="2">
                  <c:v>8</c:v>
                </c:pt>
                <c:pt idx="3">
                  <c:v>17.3</c:v>
                </c:pt>
                <c:pt idx="4">
                  <c:v>20.9</c:v>
                </c:pt>
                <c:pt idx="5">
                  <c:v>11.1</c:v>
                </c:pt>
                <c:pt idx="6">
                  <c:v>6.2</c:v>
                </c:pt>
                <c:pt idx="7">
                  <c:v>7</c:v>
                </c:pt>
              </c:numCache>
            </c:numRef>
          </c:val>
        </c:ser>
        <c:ser>
          <c:idx val="1"/>
          <c:order val="1"/>
          <c:tx>
            <c:strRef>
              <c:f>'fig B.4'!$C$3</c:f>
              <c:strCache>
                <c:ptCount val="1"/>
                <c:pt idx="0">
                  <c:v>Advanced Diploma or Diploma</c:v>
                </c:pt>
              </c:strCache>
            </c:strRef>
          </c:tx>
          <c:spPr>
            <a:pattFill prst="wdUpDiag">
              <a:fgClr>
                <a:schemeClr val="tx1"/>
              </a:fgClr>
              <a:bgClr>
                <a:schemeClr val="bg1"/>
              </a:bgClr>
            </a:pattFill>
            <a:ln>
              <a:solidFill>
                <a:sysClr val="windowText" lastClr="000000"/>
              </a:solidFill>
            </a:ln>
          </c:spPr>
          <c:invertIfNegative val="0"/>
          <c:cat>
            <c:strRef>
              <c:f>'fig B.4'!$A$4:$A$11</c:f>
              <c:strCache>
                <c:ptCount val="8"/>
                <c:pt idx="0">
                  <c:v>Managers</c:v>
                </c:pt>
                <c:pt idx="1">
                  <c:v>Professionals</c:v>
                </c:pt>
                <c:pt idx="2">
                  <c:v>Technicians and Trades Workers</c:v>
                </c:pt>
                <c:pt idx="3">
                  <c:v>Community and Personal Service Workers</c:v>
                </c:pt>
                <c:pt idx="4">
                  <c:v>Clerical and Administrative Workers</c:v>
                </c:pt>
                <c:pt idx="5">
                  <c:v>Sales Workers</c:v>
                </c:pt>
                <c:pt idx="6">
                  <c:v>Machinery Operators And Drivers</c:v>
                </c:pt>
                <c:pt idx="7">
                  <c:v>Labourers</c:v>
                </c:pt>
              </c:strCache>
            </c:strRef>
          </c:cat>
          <c:val>
            <c:numRef>
              <c:f>'fig B.4'!$C$4:$C$11</c:f>
              <c:numCache>
                <c:formatCode>#####\ ###\ ##0.0;\-#####\ ###\ ##0.0;"–"</c:formatCode>
                <c:ptCount val="8"/>
                <c:pt idx="0">
                  <c:v>13.2</c:v>
                </c:pt>
                <c:pt idx="1">
                  <c:v>11.4</c:v>
                </c:pt>
                <c:pt idx="2">
                  <c:v>8.9</c:v>
                </c:pt>
                <c:pt idx="3">
                  <c:v>16.2</c:v>
                </c:pt>
                <c:pt idx="4">
                  <c:v>13.3</c:v>
                </c:pt>
                <c:pt idx="5">
                  <c:v>8.6999999999999993</c:v>
                </c:pt>
                <c:pt idx="6">
                  <c:v>5.4</c:v>
                </c:pt>
                <c:pt idx="7">
                  <c:v>6</c:v>
                </c:pt>
              </c:numCache>
            </c:numRef>
          </c:val>
        </c:ser>
        <c:ser>
          <c:idx val="2"/>
          <c:order val="2"/>
          <c:tx>
            <c:strRef>
              <c:f>'fig B.4'!$D$3</c:f>
              <c:strCache>
                <c:ptCount val="1"/>
                <c:pt idx="0">
                  <c:v>Certificate  III and IV</c:v>
                </c:pt>
              </c:strCache>
            </c:strRef>
          </c:tx>
          <c:spPr>
            <a:solidFill>
              <a:schemeClr val="bg1">
                <a:lumMod val="50000"/>
              </a:schemeClr>
            </a:solidFill>
            <a:ln>
              <a:solidFill>
                <a:sysClr val="windowText" lastClr="000000"/>
              </a:solidFill>
            </a:ln>
          </c:spPr>
          <c:invertIfNegative val="0"/>
          <c:cat>
            <c:strRef>
              <c:f>'fig B.4'!$A$4:$A$11</c:f>
              <c:strCache>
                <c:ptCount val="8"/>
                <c:pt idx="0">
                  <c:v>Managers</c:v>
                </c:pt>
                <c:pt idx="1">
                  <c:v>Professionals</c:v>
                </c:pt>
                <c:pt idx="2">
                  <c:v>Technicians and Trades Workers</c:v>
                </c:pt>
                <c:pt idx="3">
                  <c:v>Community and Personal Service Workers</c:v>
                </c:pt>
                <c:pt idx="4">
                  <c:v>Clerical and Administrative Workers</c:v>
                </c:pt>
                <c:pt idx="5">
                  <c:v>Sales Workers</c:v>
                </c:pt>
                <c:pt idx="6">
                  <c:v>Machinery Operators And Drivers</c:v>
                </c:pt>
                <c:pt idx="7">
                  <c:v>Labourers</c:v>
                </c:pt>
              </c:strCache>
            </c:strRef>
          </c:cat>
          <c:val>
            <c:numRef>
              <c:f>'fig B.4'!$D$4:$D$11</c:f>
              <c:numCache>
                <c:formatCode>#####\ ###\ ##0.0;\-#####\ ###\ ##0.0;"–"</c:formatCode>
                <c:ptCount val="8"/>
                <c:pt idx="0">
                  <c:v>16.600000000000001</c:v>
                </c:pt>
                <c:pt idx="1">
                  <c:v>5.3</c:v>
                </c:pt>
                <c:pt idx="2">
                  <c:v>49.2</c:v>
                </c:pt>
                <c:pt idx="3">
                  <c:v>25.4</c:v>
                </c:pt>
                <c:pt idx="4">
                  <c:v>15.7</c:v>
                </c:pt>
                <c:pt idx="5">
                  <c:v>12.5</c:v>
                </c:pt>
                <c:pt idx="6">
                  <c:v>21.3</c:v>
                </c:pt>
                <c:pt idx="7">
                  <c:v>15.9</c:v>
                </c:pt>
              </c:numCache>
            </c:numRef>
          </c:val>
        </c:ser>
        <c:ser>
          <c:idx val="3"/>
          <c:order val="3"/>
          <c:tx>
            <c:strRef>
              <c:f>'fig B.4'!$E$3</c:f>
              <c:strCache>
                <c:ptCount val="1"/>
                <c:pt idx="0">
                  <c:v>Certificate I, II, or nfd or lnd</c:v>
                </c:pt>
              </c:strCache>
            </c:strRef>
          </c:tx>
          <c:spPr>
            <a:pattFill prst="openDmnd">
              <a:fgClr>
                <a:schemeClr val="tx1"/>
              </a:fgClr>
              <a:bgClr>
                <a:schemeClr val="bg1"/>
              </a:bgClr>
            </a:pattFill>
            <a:ln>
              <a:solidFill>
                <a:sysClr val="windowText" lastClr="000000"/>
              </a:solidFill>
            </a:ln>
          </c:spPr>
          <c:invertIfNegative val="0"/>
          <c:cat>
            <c:strRef>
              <c:f>'fig B.4'!$A$4:$A$11</c:f>
              <c:strCache>
                <c:ptCount val="8"/>
                <c:pt idx="0">
                  <c:v>Managers</c:v>
                </c:pt>
                <c:pt idx="1">
                  <c:v>Professionals</c:v>
                </c:pt>
                <c:pt idx="2">
                  <c:v>Technicians and Trades Workers</c:v>
                </c:pt>
                <c:pt idx="3">
                  <c:v>Community and Personal Service Workers</c:v>
                </c:pt>
                <c:pt idx="4">
                  <c:v>Clerical and Administrative Workers</c:v>
                </c:pt>
                <c:pt idx="5">
                  <c:v>Sales Workers</c:v>
                </c:pt>
                <c:pt idx="6">
                  <c:v>Machinery Operators And Drivers</c:v>
                </c:pt>
                <c:pt idx="7">
                  <c:v>Labourers</c:v>
                </c:pt>
              </c:strCache>
            </c:strRef>
          </c:cat>
          <c:val>
            <c:numRef>
              <c:f>'fig B.4'!$E$4:$E$11</c:f>
              <c:numCache>
                <c:formatCode>#####\ ###\ ##0.0;\-#####\ ###\ ##0.0;"–"</c:formatCode>
                <c:ptCount val="8"/>
                <c:pt idx="0">
                  <c:v>5.0999999999999996</c:v>
                </c:pt>
                <c:pt idx="1">
                  <c:v>2.2000000000000002</c:v>
                </c:pt>
                <c:pt idx="2">
                  <c:v>6.8999999999999995</c:v>
                </c:pt>
                <c:pt idx="3">
                  <c:v>6.7</c:v>
                </c:pt>
                <c:pt idx="4">
                  <c:v>7.6999999999999993</c:v>
                </c:pt>
                <c:pt idx="5">
                  <c:v>6.6</c:v>
                </c:pt>
                <c:pt idx="6">
                  <c:v>7.8000000000000007</c:v>
                </c:pt>
                <c:pt idx="7">
                  <c:v>9</c:v>
                </c:pt>
              </c:numCache>
            </c:numRef>
          </c:val>
        </c:ser>
        <c:ser>
          <c:idx val="4"/>
          <c:order val="4"/>
          <c:tx>
            <c:strRef>
              <c:f>'fig B.4'!$F$3</c:f>
              <c:strCache>
                <c:ptCount val="1"/>
                <c:pt idx="0">
                  <c:v>Year 12</c:v>
                </c:pt>
              </c:strCache>
            </c:strRef>
          </c:tx>
          <c:spPr>
            <a:pattFill prst="ltVert">
              <a:fgClr>
                <a:schemeClr val="tx1"/>
              </a:fgClr>
              <a:bgClr>
                <a:schemeClr val="bg1"/>
              </a:bgClr>
            </a:pattFill>
            <a:ln>
              <a:solidFill>
                <a:sysClr val="windowText" lastClr="000000"/>
              </a:solidFill>
            </a:ln>
          </c:spPr>
          <c:invertIfNegative val="0"/>
          <c:cat>
            <c:strRef>
              <c:f>'fig B.4'!$A$4:$A$11</c:f>
              <c:strCache>
                <c:ptCount val="8"/>
                <c:pt idx="0">
                  <c:v>Managers</c:v>
                </c:pt>
                <c:pt idx="1">
                  <c:v>Professionals</c:v>
                </c:pt>
                <c:pt idx="2">
                  <c:v>Technicians and Trades Workers</c:v>
                </c:pt>
                <c:pt idx="3">
                  <c:v>Community and Personal Service Workers</c:v>
                </c:pt>
                <c:pt idx="4">
                  <c:v>Clerical and Administrative Workers</c:v>
                </c:pt>
                <c:pt idx="5">
                  <c:v>Sales Workers</c:v>
                </c:pt>
                <c:pt idx="6">
                  <c:v>Machinery Operators And Drivers</c:v>
                </c:pt>
                <c:pt idx="7">
                  <c:v>Labourers</c:v>
                </c:pt>
              </c:strCache>
            </c:strRef>
          </c:cat>
          <c:val>
            <c:numRef>
              <c:f>'fig B.4'!$F$4:$F$11</c:f>
              <c:numCache>
                <c:formatCode>#####\ ###\ ##0.0;\-#####\ ###\ ##0.0;"–"</c:formatCode>
                <c:ptCount val="8"/>
                <c:pt idx="0">
                  <c:v>15.7</c:v>
                </c:pt>
                <c:pt idx="1">
                  <c:v>5.7</c:v>
                </c:pt>
                <c:pt idx="2">
                  <c:v>12</c:v>
                </c:pt>
                <c:pt idx="3">
                  <c:v>19.2</c:v>
                </c:pt>
                <c:pt idx="4">
                  <c:v>23.5</c:v>
                </c:pt>
                <c:pt idx="5">
                  <c:v>31.5</c:v>
                </c:pt>
                <c:pt idx="6">
                  <c:v>20.2</c:v>
                </c:pt>
                <c:pt idx="7">
                  <c:v>20.3</c:v>
                </c:pt>
              </c:numCache>
            </c:numRef>
          </c:val>
        </c:ser>
        <c:ser>
          <c:idx val="5"/>
          <c:order val="5"/>
          <c:tx>
            <c:strRef>
              <c:f>'fig B.4'!$G$3</c:f>
              <c:strCache>
                <c:ptCount val="1"/>
                <c:pt idx="0">
                  <c:v>Year 11 or below</c:v>
                </c:pt>
              </c:strCache>
            </c:strRef>
          </c:tx>
          <c:spPr>
            <a:pattFill prst="wdDnDiag">
              <a:fgClr>
                <a:sysClr val="windowText" lastClr="000000"/>
              </a:fgClr>
              <a:bgClr>
                <a:sysClr val="window" lastClr="FFFFFF"/>
              </a:bgClr>
            </a:pattFill>
            <a:ln>
              <a:solidFill>
                <a:sysClr val="windowText" lastClr="000000"/>
              </a:solidFill>
            </a:ln>
          </c:spPr>
          <c:invertIfNegative val="0"/>
          <c:cat>
            <c:strRef>
              <c:f>'fig B.4'!$A$4:$A$11</c:f>
              <c:strCache>
                <c:ptCount val="8"/>
                <c:pt idx="0">
                  <c:v>Managers</c:v>
                </c:pt>
                <c:pt idx="1">
                  <c:v>Professionals</c:v>
                </c:pt>
                <c:pt idx="2">
                  <c:v>Technicians and Trades Workers</c:v>
                </c:pt>
                <c:pt idx="3">
                  <c:v>Community and Personal Service Workers</c:v>
                </c:pt>
                <c:pt idx="4">
                  <c:v>Clerical and Administrative Workers</c:v>
                </c:pt>
                <c:pt idx="5">
                  <c:v>Sales Workers</c:v>
                </c:pt>
                <c:pt idx="6">
                  <c:v>Machinery Operators And Drivers</c:v>
                </c:pt>
                <c:pt idx="7">
                  <c:v>Labourers</c:v>
                </c:pt>
              </c:strCache>
            </c:strRef>
          </c:cat>
          <c:val>
            <c:numRef>
              <c:f>'fig B.4'!$G$4:$G$11</c:f>
              <c:numCache>
                <c:formatCode>#####\ ###\ ##0.0;\-#####\ ###\ ##0.0;"–"</c:formatCode>
                <c:ptCount val="8"/>
                <c:pt idx="0">
                  <c:v>15.7</c:v>
                </c:pt>
                <c:pt idx="1">
                  <c:v>2.8</c:v>
                </c:pt>
                <c:pt idx="2">
                  <c:v>15</c:v>
                </c:pt>
                <c:pt idx="3">
                  <c:v>15.2</c:v>
                </c:pt>
                <c:pt idx="4">
                  <c:v>18.899999999999999</c:v>
                </c:pt>
                <c:pt idx="5">
                  <c:v>29.7</c:v>
                </c:pt>
                <c:pt idx="6">
                  <c:v>39.200000000000003</c:v>
                </c:pt>
                <c:pt idx="7">
                  <c:v>41.9</c:v>
                </c:pt>
              </c:numCache>
            </c:numRef>
          </c:val>
        </c:ser>
        <c:dLbls>
          <c:showLegendKey val="0"/>
          <c:showVal val="0"/>
          <c:showCatName val="0"/>
          <c:showSerName val="0"/>
          <c:showPercent val="0"/>
          <c:showBubbleSize val="0"/>
        </c:dLbls>
        <c:gapWidth val="150"/>
        <c:overlap val="100"/>
        <c:axId val="135490176"/>
        <c:axId val="135537024"/>
      </c:barChart>
      <c:catAx>
        <c:axId val="135490176"/>
        <c:scaling>
          <c:orientation val="minMax"/>
        </c:scaling>
        <c:delete val="0"/>
        <c:axPos val="b"/>
        <c:majorTickMark val="out"/>
        <c:minorTickMark val="none"/>
        <c:tickLblPos val="nextTo"/>
        <c:txPr>
          <a:bodyPr rot="0" anchor="ctr" anchorCtr="1"/>
          <a:lstStyle/>
          <a:p>
            <a:pPr>
              <a:defRPr sz="600"/>
            </a:pPr>
            <a:endParaRPr lang="en-US"/>
          </a:p>
        </c:txPr>
        <c:crossAx val="135537024"/>
        <c:crosses val="autoZero"/>
        <c:auto val="1"/>
        <c:lblAlgn val="ctr"/>
        <c:lblOffset val="100"/>
        <c:noMultiLvlLbl val="0"/>
      </c:catAx>
      <c:valAx>
        <c:axId val="135537024"/>
        <c:scaling>
          <c:orientation val="minMax"/>
          <c:max val="100"/>
        </c:scaling>
        <c:delete val="0"/>
        <c:axPos val="l"/>
        <c:majorGridlines/>
        <c:title>
          <c:tx>
            <c:rich>
              <a:bodyPr rot="-5400000" vert="horz"/>
              <a:lstStyle/>
              <a:p>
                <a:pPr>
                  <a:defRPr/>
                </a:pPr>
                <a:r>
                  <a:rPr lang="en-US"/>
                  <a:t>Per cent</a:t>
                </a:r>
              </a:p>
            </c:rich>
          </c:tx>
          <c:overlay val="0"/>
        </c:title>
        <c:numFmt formatCode="#,##0" sourceLinked="0"/>
        <c:majorTickMark val="out"/>
        <c:minorTickMark val="none"/>
        <c:tickLblPos val="nextTo"/>
        <c:spPr>
          <a:ln>
            <a:solidFill>
              <a:schemeClr val="tx1"/>
            </a:solidFill>
          </a:ln>
        </c:spPr>
        <c:crossAx val="135490176"/>
        <c:crosses val="autoZero"/>
        <c:crossBetween val="between"/>
        <c:majorUnit val="20"/>
      </c:valAx>
      <c:spPr>
        <a:noFill/>
        <a:ln>
          <a:solidFill>
            <a:schemeClr val="tx1"/>
          </a:solidFill>
        </a:ln>
      </c:spPr>
    </c:plotArea>
    <c:legend>
      <c:legendPos val="t"/>
      <c:layout>
        <c:manualLayout>
          <c:xMode val="edge"/>
          <c:yMode val="edge"/>
          <c:x val="0.11406703703703704"/>
          <c:y val="2.6458333333333334E-2"/>
          <c:w val="0.85653259259259262"/>
          <c:h val="0.21911770833333333"/>
        </c:manualLayout>
      </c:layout>
      <c:overlay val="0"/>
      <c:spPr>
        <a:ln>
          <a:solidFill>
            <a:sysClr val="windowText" lastClr="000000"/>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'fig B.6'!$B$3</c:f>
              <c:strCache>
                <c:ptCount val="1"/>
                <c:pt idx="0">
                  <c:v>Indigenous children </c:v>
                </c:pt>
              </c:strCache>
            </c:strRef>
          </c:tx>
          <c:spPr>
            <a:solidFill>
              <a:sysClr val="window" lastClr="FFFFFF">
                <a:lumMod val="75000"/>
              </a:sysClr>
            </a:solidFill>
            <a:ln>
              <a:solidFill>
                <a:srgbClr val="000000"/>
              </a:solidFill>
            </a:ln>
          </c:spPr>
          <c:invertIfNegative val="0"/>
          <c:cat>
            <c:strRef>
              <c:f>'fig B.6'!$C$2:$K$2</c:f>
              <c:strCache>
                <c:ptCount val="9"/>
                <c:pt idx="0">
                  <c:v>NSW</c:v>
                </c:pt>
                <c:pt idx="1">
                  <c:v>Vic</c:v>
                </c:pt>
                <c:pt idx="2">
                  <c:v>Qld</c:v>
                </c:pt>
                <c:pt idx="3">
                  <c:v>WA</c:v>
                </c:pt>
                <c:pt idx="4">
                  <c:v>SA</c:v>
                </c:pt>
                <c:pt idx="5">
                  <c:v>Tas</c:v>
                </c:pt>
                <c:pt idx="6">
                  <c:v>ACT</c:v>
                </c:pt>
                <c:pt idx="7">
                  <c:v>NT</c:v>
                </c:pt>
                <c:pt idx="8">
                  <c:v>Aust</c:v>
                </c:pt>
              </c:strCache>
            </c:strRef>
          </c:cat>
          <c:val>
            <c:numRef>
              <c:f>'fig B.6'!$C$3:$K$3</c:f>
              <c:numCache>
                <c:formatCode>0.0</c:formatCode>
                <c:ptCount val="9"/>
                <c:pt idx="0">
                  <c:v>52.835559448215463</c:v>
                </c:pt>
                <c:pt idx="1">
                  <c:v>52.090800477897247</c:v>
                </c:pt>
                <c:pt idx="2">
                  <c:v>47.769784172661872</c:v>
                </c:pt>
                <c:pt idx="3">
                  <c:v>44.015632633121641</c:v>
                </c:pt>
                <c:pt idx="4">
                  <c:v>39.71223021582734</c:v>
                </c:pt>
                <c:pt idx="5">
                  <c:v>54.663774403470711</c:v>
                </c:pt>
                <c:pt idx="6">
                  <c:v>55.670103092783506</c:v>
                </c:pt>
                <c:pt idx="7">
                  <c:v>32.807308970099669</c:v>
                </c:pt>
                <c:pt idx="8">
                  <c:v>47.726949850831083</c:v>
                </c:pt>
              </c:numCache>
            </c:numRef>
          </c:val>
        </c:ser>
        <c:ser>
          <c:idx val="1"/>
          <c:order val="1"/>
          <c:tx>
            <c:strRef>
              <c:f>'fig B.6'!$B$4</c:f>
              <c:strCache>
                <c:ptCount val="1"/>
                <c:pt idx="0">
                  <c:v>Non- Indigenous children </c:v>
                </c:pt>
              </c:strCache>
            </c:strRef>
          </c:tx>
          <c:spPr>
            <a:pattFill prst="wdUpDiag">
              <a:fgClr>
                <a:schemeClr val="tx1"/>
              </a:fgClr>
              <a:bgClr>
                <a:schemeClr val="bg1"/>
              </a:bgClr>
            </a:pattFill>
            <a:ln>
              <a:solidFill>
                <a:sysClr val="windowText" lastClr="000000"/>
              </a:solidFill>
            </a:ln>
          </c:spPr>
          <c:invertIfNegative val="0"/>
          <c:cat>
            <c:strRef>
              <c:f>'fig B.6'!$C$2:$K$2</c:f>
              <c:strCache>
                <c:ptCount val="9"/>
                <c:pt idx="0">
                  <c:v>NSW</c:v>
                </c:pt>
                <c:pt idx="1">
                  <c:v>Vic</c:v>
                </c:pt>
                <c:pt idx="2">
                  <c:v>Qld</c:v>
                </c:pt>
                <c:pt idx="3">
                  <c:v>WA</c:v>
                </c:pt>
                <c:pt idx="4">
                  <c:v>SA</c:v>
                </c:pt>
                <c:pt idx="5">
                  <c:v>Tas</c:v>
                </c:pt>
                <c:pt idx="6">
                  <c:v>ACT</c:v>
                </c:pt>
                <c:pt idx="7">
                  <c:v>NT</c:v>
                </c:pt>
                <c:pt idx="8">
                  <c:v>Aust</c:v>
                </c:pt>
              </c:strCache>
            </c:strRef>
          </c:cat>
          <c:val>
            <c:numRef>
              <c:f>'fig B.6'!$C$4:$K$4</c:f>
              <c:numCache>
                <c:formatCode>0.0</c:formatCode>
                <c:ptCount val="9"/>
                <c:pt idx="0">
                  <c:v>72.341426136029625</c:v>
                </c:pt>
                <c:pt idx="1">
                  <c:v>72.512259346273311</c:v>
                </c:pt>
                <c:pt idx="2">
                  <c:v>65.447755675515779</c:v>
                </c:pt>
                <c:pt idx="3">
                  <c:v>69.820350974543942</c:v>
                </c:pt>
                <c:pt idx="4">
                  <c:v>67.867151630791241</c:v>
                </c:pt>
                <c:pt idx="5">
                  <c:v>70.420315236427328</c:v>
                </c:pt>
                <c:pt idx="6">
                  <c:v>68.114663726571109</c:v>
                </c:pt>
                <c:pt idx="7">
                  <c:v>70.509521358723632</c:v>
                </c:pt>
                <c:pt idx="8">
                  <c:v>70.253993493649205</c:v>
                </c:pt>
              </c:numCache>
            </c:numRef>
          </c:val>
        </c:ser>
        <c:ser>
          <c:idx val="2"/>
          <c:order val="2"/>
          <c:tx>
            <c:strRef>
              <c:f>'fig B.6'!$B$5</c:f>
              <c:strCache>
                <c:ptCount val="1"/>
                <c:pt idx="0">
                  <c:v>All children</c:v>
                </c:pt>
              </c:strCache>
            </c:strRef>
          </c:tx>
          <c:spPr>
            <a:solidFill>
              <a:schemeClr val="bg1">
                <a:lumMod val="50000"/>
              </a:schemeClr>
            </a:solidFill>
            <a:ln>
              <a:solidFill>
                <a:sysClr val="windowText" lastClr="000000"/>
              </a:solidFill>
            </a:ln>
          </c:spPr>
          <c:invertIfNegative val="0"/>
          <c:cat>
            <c:strRef>
              <c:f>'fig B.6'!$C$2:$K$2</c:f>
              <c:strCache>
                <c:ptCount val="9"/>
                <c:pt idx="0">
                  <c:v>NSW</c:v>
                </c:pt>
                <c:pt idx="1">
                  <c:v>Vic</c:v>
                </c:pt>
                <c:pt idx="2">
                  <c:v>Qld</c:v>
                </c:pt>
                <c:pt idx="3">
                  <c:v>WA</c:v>
                </c:pt>
                <c:pt idx="4">
                  <c:v>SA</c:v>
                </c:pt>
                <c:pt idx="5">
                  <c:v>Tas</c:v>
                </c:pt>
                <c:pt idx="6">
                  <c:v>ACT</c:v>
                </c:pt>
                <c:pt idx="7">
                  <c:v>NT</c:v>
                </c:pt>
                <c:pt idx="8">
                  <c:v>Aust</c:v>
                </c:pt>
              </c:strCache>
            </c:strRef>
          </c:cat>
          <c:val>
            <c:numRef>
              <c:f>'fig B.6'!$C$5:$K$5</c:f>
              <c:numCache>
                <c:formatCode>0.0</c:formatCode>
                <c:ptCount val="9"/>
                <c:pt idx="0">
                  <c:v>71.34743701323336</c:v>
                </c:pt>
                <c:pt idx="1">
                  <c:v>72.246257275358701</c:v>
                </c:pt>
                <c:pt idx="2">
                  <c:v>64.182486011465443</c:v>
                </c:pt>
                <c:pt idx="3">
                  <c:v>68.109841002558198</c:v>
                </c:pt>
                <c:pt idx="4">
                  <c:v>66.746822397801438</c:v>
                </c:pt>
                <c:pt idx="5">
                  <c:v>69.243234483876194</c:v>
                </c:pt>
                <c:pt idx="6">
                  <c:v>67.854058721934379</c:v>
                </c:pt>
                <c:pt idx="7">
                  <c:v>56.085160470289161</c:v>
                </c:pt>
                <c:pt idx="8">
                  <c:v>69.098415312692438</c:v>
                </c:pt>
              </c:numCache>
            </c:numRef>
          </c:val>
        </c:ser>
        <c:dLbls>
          <c:showLegendKey val="0"/>
          <c:showVal val="0"/>
          <c:showCatName val="0"/>
          <c:showSerName val="0"/>
          <c:showPercent val="0"/>
          <c:showBubbleSize val="0"/>
        </c:dLbls>
        <c:gapWidth val="150"/>
        <c:axId val="135563904"/>
        <c:axId val="135565696"/>
      </c:barChart>
      <c:catAx>
        <c:axId val="135563904"/>
        <c:scaling>
          <c:orientation val="minMax"/>
        </c:scaling>
        <c:delete val="0"/>
        <c:axPos val="b"/>
        <c:majorTickMark val="out"/>
        <c:minorTickMark val="none"/>
        <c:tickLblPos val="nextTo"/>
        <c:crossAx val="135565696"/>
        <c:crosses val="autoZero"/>
        <c:auto val="1"/>
        <c:lblAlgn val="ctr"/>
        <c:lblOffset val="100"/>
        <c:noMultiLvlLbl val="0"/>
      </c:catAx>
      <c:valAx>
        <c:axId val="135565696"/>
        <c:scaling>
          <c:orientation val="minMax"/>
          <c:max val="100"/>
        </c:scaling>
        <c:delete val="0"/>
        <c:axPos val="l"/>
        <c:majorGridlines/>
        <c:title>
          <c:tx>
            <c:rich>
              <a:bodyPr rot="-5400000" vert="horz"/>
              <a:lstStyle/>
              <a:p>
                <a:pPr>
                  <a:defRPr/>
                </a:pPr>
                <a:r>
                  <a:rPr lang="en-US"/>
                  <a:t>Per cent</a:t>
                </a:r>
              </a:p>
            </c:rich>
          </c:tx>
          <c:layout/>
          <c:overlay val="0"/>
        </c:title>
        <c:numFmt formatCode="0" sourceLinked="0"/>
        <c:majorTickMark val="out"/>
        <c:minorTickMark val="none"/>
        <c:tickLblPos val="nextTo"/>
        <c:spPr>
          <a:ln>
            <a:noFill/>
          </a:ln>
        </c:spPr>
        <c:crossAx val="135563904"/>
        <c:crosses val="autoZero"/>
        <c:crossBetween val="between"/>
        <c:majorUnit val="20"/>
      </c:valAx>
      <c:spPr>
        <a:noFill/>
        <a:ln>
          <a:solidFill>
            <a:schemeClr val="tx1"/>
          </a:solidFill>
        </a:ln>
      </c:spPr>
    </c:plotArea>
    <c:legend>
      <c:legendPos val="t"/>
      <c:layout>
        <c:manualLayout>
          <c:xMode val="edge"/>
          <c:yMode val="edge"/>
          <c:x val="0.14604277777777777"/>
          <c:y val="3.0868055555555555E-2"/>
          <c:w val="0.79728462962962965"/>
          <c:h val="7.5244097222222223E-2"/>
        </c:manualLayout>
      </c:layout>
      <c:overlay val="0"/>
      <c:spPr>
        <a:ln>
          <a:solidFill>
            <a:sysClr val="windowText" lastClr="000000"/>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0"/>
          <c:order val="0"/>
          <c:tx>
            <c:strRef>
              <c:f>'fig B.7'!$A$9</c:f>
              <c:strCache>
                <c:ptCount val="1"/>
                <c:pt idx="0">
                  <c:v>School</c:v>
                </c:pt>
              </c:strCache>
            </c:strRef>
          </c:tx>
          <c:spPr>
            <a:solidFill>
              <a:sysClr val="window" lastClr="FFFFFF">
                <a:lumMod val="75000"/>
              </a:sysClr>
            </a:solidFill>
            <a:ln>
              <a:solidFill>
                <a:srgbClr val="000000"/>
              </a:solidFill>
            </a:ln>
          </c:spPr>
          <c:invertIfNegative val="0"/>
          <c:cat>
            <c:strRef>
              <c:f>'fig B.7'!$B$8:$J$8</c:f>
              <c:strCache>
                <c:ptCount val="9"/>
                <c:pt idx="0">
                  <c:v>NSW</c:v>
                </c:pt>
                <c:pt idx="1">
                  <c:v>Vic</c:v>
                </c:pt>
                <c:pt idx="2">
                  <c:v>Qld</c:v>
                </c:pt>
                <c:pt idx="3">
                  <c:v>WA</c:v>
                </c:pt>
                <c:pt idx="4">
                  <c:v>SA</c:v>
                </c:pt>
                <c:pt idx="5">
                  <c:v>Tas</c:v>
                </c:pt>
                <c:pt idx="6">
                  <c:v>ACT</c:v>
                </c:pt>
                <c:pt idx="7">
                  <c:v>NT</c:v>
                </c:pt>
                <c:pt idx="8">
                  <c:v>Aust</c:v>
                </c:pt>
              </c:strCache>
            </c:strRef>
          </c:cat>
          <c:val>
            <c:numRef>
              <c:f>'fig B.7'!$B$9:$J$9</c:f>
              <c:numCache>
                <c:formatCode>###\ ###\ ##0.0;\-###\ ###\ ##0.0;"–"</c:formatCode>
                <c:ptCount val="9"/>
                <c:pt idx="0" formatCode="0.0">
                  <c:v>54.201590371803135</c:v>
                </c:pt>
                <c:pt idx="1">
                  <c:v>57.396950875211751</c:v>
                </c:pt>
                <c:pt idx="2" formatCode="0.0">
                  <c:v>44.555412371134025</c:v>
                </c:pt>
                <c:pt idx="3">
                  <c:v>44.495715227422551</c:v>
                </c:pt>
                <c:pt idx="4" formatCode="0.0">
                  <c:v>56.067732831608652</c:v>
                </c:pt>
                <c:pt idx="5">
                  <c:v>58.558558558558559</c:v>
                </c:pt>
                <c:pt idx="6" formatCode="0.0">
                  <c:v>58.119658119658126</c:v>
                </c:pt>
                <c:pt idx="7">
                  <c:v>58.518518518518526</c:v>
                </c:pt>
                <c:pt idx="8" formatCode="0.0">
                  <c:v>52.259790137850629</c:v>
                </c:pt>
              </c:numCache>
            </c:numRef>
          </c:val>
        </c:ser>
        <c:ser>
          <c:idx val="1"/>
          <c:order val="1"/>
          <c:tx>
            <c:strRef>
              <c:f>'fig B.7'!$A$10</c:f>
              <c:strCache>
                <c:ptCount val="1"/>
                <c:pt idx="0">
                  <c:v>TAFE</c:v>
                </c:pt>
              </c:strCache>
            </c:strRef>
          </c:tx>
          <c:spPr>
            <a:pattFill prst="wdUpDiag">
              <a:fgClr>
                <a:schemeClr val="tx1"/>
              </a:fgClr>
              <a:bgClr>
                <a:schemeClr val="bg1"/>
              </a:bgClr>
            </a:pattFill>
            <a:ln>
              <a:solidFill>
                <a:sysClr val="windowText" lastClr="000000"/>
              </a:solidFill>
            </a:ln>
          </c:spPr>
          <c:invertIfNegative val="0"/>
          <c:cat>
            <c:strRef>
              <c:f>'fig B.7'!$B$8:$J$8</c:f>
              <c:strCache>
                <c:ptCount val="9"/>
                <c:pt idx="0">
                  <c:v>NSW</c:v>
                </c:pt>
                <c:pt idx="1">
                  <c:v>Vic</c:v>
                </c:pt>
                <c:pt idx="2">
                  <c:v>Qld</c:v>
                </c:pt>
                <c:pt idx="3">
                  <c:v>WA</c:v>
                </c:pt>
                <c:pt idx="4">
                  <c:v>SA</c:v>
                </c:pt>
                <c:pt idx="5">
                  <c:v>Tas</c:v>
                </c:pt>
                <c:pt idx="6">
                  <c:v>ACT</c:v>
                </c:pt>
                <c:pt idx="7">
                  <c:v>NT</c:v>
                </c:pt>
                <c:pt idx="8">
                  <c:v>Aust</c:v>
                </c:pt>
              </c:strCache>
            </c:strRef>
          </c:cat>
          <c:val>
            <c:numRef>
              <c:f>'fig B.7'!$B$10:$J$10</c:f>
              <c:numCache>
                <c:formatCode>0.0</c:formatCode>
                <c:ptCount val="9"/>
                <c:pt idx="0">
                  <c:v>11.433483773909305</c:v>
                </c:pt>
                <c:pt idx="1">
                  <c:v>8.1309994353472614</c:v>
                </c:pt>
                <c:pt idx="2">
                  <c:v>9.8582474226804138</c:v>
                </c:pt>
                <c:pt idx="3">
                  <c:v>11.272247857613712</c:v>
                </c:pt>
                <c:pt idx="4">
                  <c:v>6.4910630291627474</c:v>
                </c:pt>
                <c:pt idx="5">
                  <c:v>9.0090090090090094</c:v>
                </c:pt>
                <c:pt idx="6">
                  <c:v>0</c:v>
                </c:pt>
                <c:pt idx="7">
                  <c:v>0</c:v>
                </c:pt>
                <c:pt idx="8">
                  <c:v>9.7524175296618889</c:v>
                </c:pt>
              </c:numCache>
            </c:numRef>
          </c:val>
        </c:ser>
        <c:ser>
          <c:idx val="2"/>
          <c:order val="2"/>
          <c:tx>
            <c:strRef>
              <c:f>'fig B.7'!$A$11</c:f>
              <c:strCache>
                <c:ptCount val="1"/>
                <c:pt idx="0">
                  <c:v>Higher education</c:v>
                </c:pt>
              </c:strCache>
            </c:strRef>
          </c:tx>
          <c:spPr>
            <a:solidFill>
              <a:schemeClr val="bg1">
                <a:lumMod val="50000"/>
              </a:schemeClr>
            </a:solidFill>
            <a:ln>
              <a:solidFill>
                <a:sysClr val="windowText" lastClr="000000"/>
              </a:solidFill>
            </a:ln>
          </c:spPr>
          <c:invertIfNegative val="0"/>
          <c:cat>
            <c:strRef>
              <c:f>'fig B.7'!$B$8:$J$8</c:f>
              <c:strCache>
                <c:ptCount val="9"/>
                <c:pt idx="0">
                  <c:v>NSW</c:v>
                </c:pt>
                <c:pt idx="1">
                  <c:v>Vic</c:v>
                </c:pt>
                <c:pt idx="2">
                  <c:v>Qld</c:v>
                </c:pt>
                <c:pt idx="3">
                  <c:v>WA</c:v>
                </c:pt>
                <c:pt idx="4">
                  <c:v>SA</c:v>
                </c:pt>
                <c:pt idx="5">
                  <c:v>Tas</c:v>
                </c:pt>
                <c:pt idx="6">
                  <c:v>ACT</c:v>
                </c:pt>
                <c:pt idx="7">
                  <c:v>NT</c:v>
                </c:pt>
                <c:pt idx="8">
                  <c:v>Aust</c:v>
                </c:pt>
              </c:strCache>
            </c:strRef>
          </c:cat>
          <c:val>
            <c:numRef>
              <c:f>'fig B.7'!$B$11:$J$11</c:f>
              <c:numCache>
                <c:formatCode>###\ ###\ ##0.0;\-###\ ###\ ##0.0;"–"</c:formatCode>
                <c:ptCount val="9"/>
                <c:pt idx="0" formatCode="0.0">
                  <c:v>15.065549108102298</c:v>
                </c:pt>
                <c:pt idx="1">
                  <c:v>16.770186335403729</c:v>
                </c:pt>
                <c:pt idx="2" formatCode="0.0">
                  <c:v>17.042525773195877</c:v>
                </c:pt>
                <c:pt idx="3">
                  <c:v>18.918918918918919</c:v>
                </c:pt>
                <c:pt idx="4" formatCode="0.0">
                  <c:v>15.051740357478835</c:v>
                </c:pt>
                <c:pt idx="5">
                  <c:v>10.51051051051051</c:v>
                </c:pt>
                <c:pt idx="6" formatCode="0.0">
                  <c:v>14.529914529914532</c:v>
                </c:pt>
                <c:pt idx="7">
                  <c:v>4.4444444444444446</c:v>
                </c:pt>
                <c:pt idx="8" formatCode="0.0">
                  <c:v>16.089431451889446</c:v>
                </c:pt>
              </c:numCache>
            </c:numRef>
          </c:val>
        </c:ser>
        <c:ser>
          <c:idx val="3"/>
          <c:order val="3"/>
          <c:tx>
            <c:strRef>
              <c:f>'fig B.7'!$A$12</c:f>
              <c:strCache>
                <c:ptCount val="1"/>
                <c:pt idx="0">
                  <c:v>Other education and training</c:v>
                </c:pt>
              </c:strCache>
            </c:strRef>
          </c:tx>
          <c:spPr>
            <a:pattFill prst="openDmnd">
              <a:fgClr>
                <a:schemeClr val="tx1"/>
              </a:fgClr>
              <a:bgClr>
                <a:schemeClr val="bg1"/>
              </a:bgClr>
            </a:pattFill>
            <a:ln>
              <a:solidFill>
                <a:sysClr val="windowText" lastClr="000000"/>
              </a:solidFill>
            </a:ln>
          </c:spPr>
          <c:invertIfNegative val="0"/>
          <c:cat>
            <c:strRef>
              <c:f>'fig B.7'!$B$8:$J$8</c:f>
              <c:strCache>
                <c:ptCount val="9"/>
                <c:pt idx="0">
                  <c:v>NSW</c:v>
                </c:pt>
                <c:pt idx="1">
                  <c:v>Vic</c:v>
                </c:pt>
                <c:pt idx="2">
                  <c:v>Qld</c:v>
                </c:pt>
                <c:pt idx="3">
                  <c:v>WA</c:v>
                </c:pt>
                <c:pt idx="4">
                  <c:v>SA</c:v>
                </c:pt>
                <c:pt idx="5">
                  <c:v>Tas</c:v>
                </c:pt>
                <c:pt idx="6">
                  <c:v>ACT</c:v>
                </c:pt>
                <c:pt idx="7">
                  <c:v>NT</c:v>
                </c:pt>
                <c:pt idx="8">
                  <c:v>Aust</c:v>
                </c:pt>
              </c:strCache>
            </c:strRef>
          </c:cat>
          <c:val>
            <c:numRef>
              <c:f>'fig B.7'!$B$12:$J$12</c:f>
              <c:numCache>
                <c:formatCode>0.0</c:formatCode>
                <c:ptCount val="9"/>
                <c:pt idx="0">
                  <c:v>2.1491510853212983</c:v>
                </c:pt>
                <c:pt idx="1">
                  <c:v>1.9762845849802373</c:v>
                </c:pt>
                <c:pt idx="2">
                  <c:v>2.0296391752577319</c:v>
                </c:pt>
                <c:pt idx="3">
                  <c:v>2.4390243902439028</c:v>
                </c:pt>
                <c:pt idx="4">
                  <c:v>3.2925682031984946</c:v>
                </c:pt>
                <c:pt idx="5">
                  <c:v>2.1021021021021022</c:v>
                </c:pt>
                <c:pt idx="6">
                  <c:v>0</c:v>
                </c:pt>
                <c:pt idx="7">
                  <c:v>0</c:v>
                </c:pt>
                <c:pt idx="8">
                  <c:v>2.1740621356559906</c:v>
                </c:pt>
              </c:numCache>
            </c:numRef>
          </c:val>
        </c:ser>
        <c:ser>
          <c:idx val="4"/>
          <c:order val="4"/>
          <c:tx>
            <c:strRef>
              <c:f>'fig B.7'!$A$13</c:f>
              <c:strCache>
                <c:ptCount val="1"/>
                <c:pt idx="0">
                  <c:v>Not enrolled</c:v>
                </c:pt>
              </c:strCache>
            </c:strRef>
          </c:tx>
          <c:spPr>
            <a:pattFill prst="ltVert">
              <a:fgClr>
                <a:schemeClr val="tx1"/>
              </a:fgClr>
              <a:bgClr>
                <a:schemeClr val="bg1"/>
              </a:bgClr>
            </a:pattFill>
            <a:ln>
              <a:solidFill>
                <a:sysClr val="windowText" lastClr="000000"/>
              </a:solidFill>
            </a:ln>
          </c:spPr>
          <c:invertIfNegative val="0"/>
          <c:cat>
            <c:strRef>
              <c:f>'fig B.7'!$B$8:$J$8</c:f>
              <c:strCache>
                <c:ptCount val="9"/>
                <c:pt idx="0">
                  <c:v>NSW</c:v>
                </c:pt>
                <c:pt idx="1">
                  <c:v>Vic</c:v>
                </c:pt>
                <c:pt idx="2">
                  <c:v>Qld</c:v>
                </c:pt>
                <c:pt idx="3">
                  <c:v>WA</c:v>
                </c:pt>
                <c:pt idx="4">
                  <c:v>SA</c:v>
                </c:pt>
                <c:pt idx="5">
                  <c:v>Tas</c:v>
                </c:pt>
                <c:pt idx="6">
                  <c:v>ACT</c:v>
                </c:pt>
                <c:pt idx="7">
                  <c:v>NT</c:v>
                </c:pt>
                <c:pt idx="8">
                  <c:v>Aust</c:v>
                </c:pt>
              </c:strCache>
            </c:strRef>
          </c:cat>
          <c:val>
            <c:numRef>
              <c:f>'fig B.7'!$B$13:$J$13</c:f>
              <c:numCache>
                <c:formatCode>0.0</c:formatCode>
                <c:ptCount val="9"/>
                <c:pt idx="0">
                  <c:v>17.150225660863956</c:v>
                </c:pt>
                <c:pt idx="1">
                  <c:v>15.697346132128743</c:v>
                </c:pt>
                <c:pt idx="2">
                  <c:v>26.546391752577325</c:v>
                </c:pt>
                <c:pt idx="3">
                  <c:v>22.874093605800926</c:v>
                </c:pt>
                <c:pt idx="4">
                  <c:v>19.190968955785511</c:v>
                </c:pt>
                <c:pt idx="5">
                  <c:v>19.51951951951952</c:v>
                </c:pt>
                <c:pt idx="6">
                  <c:v>18.803418803418808</c:v>
                </c:pt>
                <c:pt idx="7">
                  <c:v>29.629629629629626</c:v>
                </c:pt>
                <c:pt idx="8">
                  <c:v>19.731156985117622</c:v>
                </c:pt>
              </c:numCache>
            </c:numRef>
          </c:val>
        </c:ser>
        <c:ser>
          <c:idx val="5"/>
          <c:order val="5"/>
          <c:tx>
            <c:strRef>
              <c:f>'fig B.7'!$A$14</c:f>
              <c:strCache>
                <c:ptCount val="1"/>
                <c:pt idx="0">
                  <c:v>Enrolled (category breakdown not published)</c:v>
                </c:pt>
              </c:strCache>
            </c:strRef>
          </c:tx>
          <c:spPr>
            <a:pattFill prst="wdDnDiag">
              <a:fgClr>
                <a:sysClr val="windowText" lastClr="000000"/>
              </a:fgClr>
              <a:bgClr>
                <a:sysClr val="window" lastClr="FFFFFF"/>
              </a:bgClr>
            </a:pattFill>
            <a:ln>
              <a:solidFill>
                <a:sysClr val="windowText" lastClr="000000"/>
              </a:solidFill>
            </a:ln>
          </c:spPr>
          <c:invertIfNegative val="0"/>
          <c:cat>
            <c:strRef>
              <c:f>'fig B.7'!$B$8:$J$8</c:f>
              <c:strCache>
                <c:ptCount val="9"/>
                <c:pt idx="0">
                  <c:v>NSW</c:v>
                </c:pt>
                <c:pt idx="1">
                  <c:v>Vic</c:v>
                </c:pt>
                <c:pt idx="2">
                  <c:v>Qld</c:v>
                </c:pt>
                <c:pt idx="3">
                  <c:v>WA</c:v>
                </c:pt>
                <c:pt idx="4">
                  <c:v>SA</c:v>
                </c:pt>
                <c:pt idx="5">
                  <c:v>Tas</c:v>
                </c:pt>
                <c:pt idx="6">
                  <c:v>ACT</c:v>
                </c:pt>
                <c:pt idx="7">
                  <c:v>NT</c:v>
                </c:pt>
                <c:pt idx="8">
                  <c:v>Aust</c:v>
                </c:pt>
              </c:strCache>
            </c:strRef>
          </c:cat>
          <c:val>
            <c:numRef>
              <c:f>'fig B.7'!$B$14:$J$14</c:f>
              <c:numCache>
                <c:formatCode>0.0</c:formatCode>
                <c:ptCount val="9"/>
                <c:pt idx="0">
                  <c:v>0</c:v>
                </c:pt>
                <c:pt idx="1">
                  <c:v>2.8232636928294141E-2</c:v>
                </c:pt>
                <c:pt idx="2">
                  <c:v>-3.2216494845371813E-2</c:v>
                </c:pt>
                <c:pt idx="3">
                  <c:v>0</c:v>
                </c:pt>
                <c:pt idx="4">
                  <c:v>0</c:v>
                </c:pt>
                <c:pt idx="5">
                  <c:v>0.30030030030029309</c:v>
                </c:pt>
                <c:pt idx="6">
                  <c:v>8.5470085470085309</c:v>
                </c:pt>
                <c:pt idx="7">
                  <c:v>7.4074074074074048</c:v>
                </c:pt>
                <c:pt idx="8">
                  <c:v>-6.8582401755747924E-3</c:v>
                </c:pt>
              </c:numCache>
            </c:numRef>
          </c:val>
        </c:ser>
        <c:dLbls>
          <c:showLegendKey val="0"/>
          <c:showVal val="0"/>
          <c:showCatName val="0"/>
          <c:showSerName val="0"/>
          <c:showPercent val="0"/>
          <c:showBubbleSize val="0"/>
        </c:dLbls>
        <c:gapWidth val="150"/>
        <c:overlap val="100"/>
        <c:axId val="136536064"/>
        <c:axId val="136537600"/>
      </c:barChart>
      <c:catAx>
        <c:axId val="136536064"/>
        <c:scaling>
          <c:orientation val="minMax"/>
        </c:scaling>
        <c:delete val="0"/>
        <c:axPos val="b"/>
        <c:majorTickMark val="out"/>
        <c:minorTickMark val="none"/>
        <c:tickLblPos val="nextTo"/>
        <c:crossAx val="136537600"/>
        <c:crosses val="autoZero"/>
        <c:auto val="1"/>
        <c:lblAlgn val="ctr"/>
        <c:lblOffset val="100"/>
        <c:noMultiLvlLbl val="0"/>
      </c:catAx>
      <c:valAx>
        <c:axId val="136537600"/>
        <c:scaling>
          <c:orientation val="minMax"/>
          <c:max val="100"/>
          <c:min val="0"/>
        </c:scaling>
        <c:delete val="0"/>
        <c:axPos val="l"/>
        <c:majorGridlines/>
        <c:title>
          <c:tx>
            <c:rich>
              <a:bodyPr rot="-5400000" vert="horz"/>
              <a:lstStyle/>
              <a:p>
                <a:pPr>
                  <a:defRPr/>
                </a:pPr>
                <a:r>
                  <a:rPr lang="en-US"/>
                  <a:t>Per cent</a:t>
                </a:r>
              </a:p>
            </c:rich>
          </c:tx>
          <c:layout/>
          <c:overlay val="0"/>
        </c:title>
        <c:numFmt formatCode="0" sourceLinked="0"/>
        <c:majorTickMark val="out"/>
        <c:minorTickMark val="none"/>
        <c:tickLblPos val="nextTo"/>
        <c:spPr>
          <a:ln>
            <a:solidFill>
              <a:schemeClr val="tx1"/>
            </a:solidFill>
          </a:ln>
        </c:spPr>
        <c:crossAx val="136536064"/>
        <c:crosses val="autoZero"/>
        <c:crossBetween val="between"/>
        <c:majorUnit val="20"/>
        <c:minorUnit val="4"/>
      </c:valAx>
      <c:spPr>
        <a:noFill/>
        <a:ln>
          <a:solidFill>
            <a:schemeClr val="tx1"/>
          </a:solidFill>
        </a:ln>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0"/>
          <c:order val="0"/>
          <c:tx>
            <c:strRef>
              <c:f>'fig B.7'!$A$32</c:f>
              <c:strCache>
                <c:ptCount val="1"/>
                <c:pt idx="0">
                  <c:v>School</c:v>
                </c:pt>
              </c:strCache>
            </c:strRef>
          </c:tx>
          <c:spPr>
            <a:solidFill>
              <a:sysClr val="window" lastClr="FFFFFF">
                <a:lumMod val="75000"/>
              </a:sysClr>
            </a:solidFill>
            <a:ln>
              <a:solidFill>
                <a:srgbClr val="000000"/>
              </a:solidFill>
            </a:ln>
          </c:spPr>
          <c:invertIfNegative val="0"/>
          <c:cat>
            <c:strRef>
              <c:f>'fig B.7'!$B$31:$J$31</c:f>
              <c:strCache>
                <c:ptCount val="9"/>
                <c:pt idx="0">
                  <c:v>NSW</c:v>
                </c:pt>
                <c:pt idx="1">
                  <c:v>Vic</c:v>
                </c:pt>
                <c:pt idx="2">
                  <c:v>Qld</c:v>
                </c:pt>
                <c:pt idx="3">
                  <c:v>WA</c:v>
                </c:pt>
                <c:pt idx="4">
                  <c:v>SA</c:v>
                </c:pt>
                <c:pt idx="5">
                  <c:v>Tas</c:v>
                </c:pt>
                <c:pt idx="6">
                  <c:v>ACT</c:v>
                </c:pt>
                <c:pt idx="7">
                  <c:v>NT</c:v>
                </c:pt>
                <c:pt idx="8">
                  <c:v>Aust</c:v>
                </c:pt>
              </c:strCache>
            </c:strRef>
          </c:cat>
          <c:val>
            <c:numRef>
              <c:f>'fig B.7'!$B$32:$J$32</c:f>
              <c:numCache>
                <c:formatCode>0.0</c:formatCode>
                <c:ptCount val="9"/>
                <c:pt idx="0">
                  <c:v>0</c:v>
                </c:pt>
                <c:pt idx="1">
                  <c:v>0</c:v>
                </c:pt>
                <c:pt idx="2">
                  <c:v>0</c:v>
                </c:pt>
                <c:pt idx="3">
                  <c:v>0</c:v>
                </c:pt>
                <c:pt idx="4">
                  <c:v>0</c:v>
                </c:pt>
                <c:pt idx="5">
                  <c:v>0</c:v>
                </c:pt>
                <c:pt idx="6">
                  <c:v>0</c:v>
                </c:pt>
                <c:pt idx="7">
                  <c:v>0</c:v>
                </c:pt>
                <c:pt idx="8">
                  <c:v>8.5517072872762806E-2</c:v>
                </c:pt>
              </c:numCache>
            </c:numRef>
          </c:val>
        </c:ser>
        <c:ser>
          <c:idx val="1"/>
          <c:order val="1"/>
          <c:tx>
            <c:strRef>
              <c:f>'fig B.7'!$A$33</c:f>
              <c:strCache>
                <c:ptCount val="1"/>
                <c:pt idx="0">
                  <c:v>TAFE</c:v>
                </c:pt>
              </c:strCache>
            </c:strRef>
          </c:tx>
          <c:spPr>
            <a:pattFill prst="wdUpDiag">
              <a:fgClr>
                <a:schemeClr val="tx1"/>
              </a:fgClr>
              <a:bgClr>
                <a:schemeClr val="bg1"/>
              </a:bgClr>
            </a:pattFill>
            <a:ln>
              <a:solidFill>
                <a:sysClr val="windowText" lastClr="000000"/>
              </a:solidFill>
            </a:ln>
          </c:spPr>
          <c:invertIfNegative val="0"/>
          <c:cat>
            <c:strRef>
              <c:f>'fig B.7'!$B$31:$J$31</c:f>
              <c:strCache>
                <c:ptCount val="9"/>
                <c:pt idx="0">
                  <c:v>NSW</c:v>
                </c:pt>
                <c:pt idx="1">
                  <c:v>Vic</c:v>
                </c:pt>
                <c:pt idx="2">
                  <c:v>Qld</c:v>
                </c:pt>
                <c:pt idx="3">
                  <c:v>WA</c:v>
                </c:pt>
                <c:pt idx="4">
                  <c:v>SA</c:v>
                </c:pt>
                <c:pt idx="5">
                  <c:v>Tas</c:v>
                </c:pt>
                <c:pt idx="6">
                  <c:v>ACT</c:v>
                </c:pt>
                <c:pt idx="7">
                  <c:v>NT</c:v>
                </c:pt>
                <c:pt idx="8">
                  <c:v>Aust</c:v>
                </c:pt>
              </c:strCache>
            </c:strRef>
          </c:cat>
          <c:val>
            <c:numRef>
              <c:f>'fig B.7'!$B$33:$J$33</c:f>
              <c:numCache>
                <c:formatCode>0.0</c:formatCode>
                <c:ptCount val="9"/>
                <c:pt idx="0">
                  <c:v>7.9877112135176658</c:v>
                </c:pt>
                <c:pt idx="1">
                  <c:v>9.2623537837192647</c:v>
                </c:pt>
                <c:pt idx="2">
                  <c:v>8.0134064594759309</c:v>
                </c:pt>
                <c:pt idx="3">
                  <c:v>6.089926010244735</c:v>
                </c:pt>
                <c:pt idx="4">
                  <c:v>7.2538860103626952</c:v>
                </c:pt>
                <c:pt idx="5">
                  <c:v>10.493827160493828</c:v>
                </c:pt>
                <c:pt idx="6">
                  <c:v>0</c:v>
                </c:pt>
                <c:pt idx="7">
                  <c:v>0</c:v>
                </c:pt>
                <c:pt idx="8">
                  <c:v>8.0569299370838685</c:v>
                </c:pt>
              </c:numCache>
            </c:numRef>
          </c:val>
        </c:ser>
        <c:ser>
          <c:idx val="2"/>
          <c:order val="2"/>
          <c:tx>
            <c:strRef>
              <c:f>'fig B.7'!$A$34</c:f>
              <c:strCache>
                <c:ptCount val="1"/>
                <c:pt idx="0">
                  <c:v>Higher education</c:v>
                </c:pt>
              </c:strCache>
            </c:strRef>
          </c:tx>
          <c:spPr>
            <a:solidFill>
              <a:schemeClr val="bg1">
                <a:lumMod val="50000"/>
              </a:schemeClr>
            </a:solidFill>
            <a:ln>
              <a:solidFill>
                <a:sysClr val="windowText" lastClr="000000"/>
              </a:solidFill>
            </a:ln>
          </c:spPr>
          <c:invertIfNegative val="0"/>
          <c:cat>
            <c:strRef>
              <c:f>'fig B.7'!$B$31:$J$31</c:f>
              <c:strCache>
                <c:ptCount val="9"/>
                <c:pt idx="0">
                  <c:v>NSW</c:v>
                </c:pt>
                <c:pt idx="1">
                  <c:v>Vic</c:v>
                </c:pt>
                <c:pt idx="2">
                  <c:v>Qld</c:v>
                </c:pt>
                <c:pt idx="3">
                  <c:v>WA</c:v>
                </c:pt>
                <c:pt idx="4">
                  <c:v>SA</c:v>
                </c:pt>
                <c:pt idx="5">
                  <c:v>Tas</c:v>
                </c:pt>
                <c:pt idx="6">
                  <c:v>ACT</c:v>
                </c:pt>
                <c:pt idx="7">
                  <c:v>NT</c:v>
                </c:pt>
                <c:pt idx="8">
                  <c:v>Aust</c:v>
                </c:pt>
              </c:strCache>
            </c:strRef>
          </c:cat>
          <c:val>
            <c:numRef>
              <c:f>'fig B.7'!$B$34:$J$34</c:f>
              <c:numCache>
                <c:formatCode>0.0</c:formatCode>
                <c:ptCount val="9"/>
                <c:pt idx="0">
                  <c:v>34.17818740399386</c:v>
                </c:pt>
                <c:pt idx="1">
                  <c:v>30.890427309620438</c:v>
                </c:pt>
                <c:pt idx="2">
                  <c:v>22.912858013406463</c:v>
                </c:pt>
                <c:pt idx="3">
                  <c:v>22.936824132043256</c:v>
                </c:pt>
                <c:pt idx="4">
                  <c:v>25.302245250431781</c:v>
                </c:pt>
                <c:pt idx="5">
                  <c:v>23.456790123456788</c:v>
                </c:pt>
                <c:pt idx="6">
                  <c:v>41.776315789473685</c:v>
                </c:pt>
                <c:pt idx="7">
                  <c:v>14.864864864864865</c:v>
                </c:pt>
                <c:pt idx="8">
                  <c:v>29.00861279091076</c:v>
                </c:pt>
              </c:numCache>
            </c:numRef>
          </c:val>
        </c:ser>
        <c:ser>
          <c:idx val="3"/>
          <c:order val="3"/>
          <c:tx>
            <c:strRef>
              <c:f>'fig B.7'!$A$35</c:f>
              <c:strCache>
                <c:ptCount val="1"/>
                <c:pt idx="0">
                  <c:v>Other education and training</c:v>
                </c:pt>
              </c:strCache>
            </c:strRef>
          </c:tx>
          <c:spPr>
            <a:pattFill prst="openDmnd">
              <a:fgClr>
                <a:schemeClr val="tx1"/>
              </a:fgClr>
              <a:bgClr>
                <a:schemeClr val="bg1"/>
              </a:bgClr>
            </a:pattFill>
            <a:ln>
              <a:solidFill>
                <a:sysClr val="windowText" lastClr="000000"/>
              </a:solidFill>
            </a:ln>
          </c:spPr>
          <c:invertIfNegative val="0"/>
          <c:cat>
            <c:strRef>
              <c:f>'fig B.7'!$B$31:$J$31</c:f>
              <c:strCache>
                <c:ptCount val="9"/>
                <c:pt idx="0">
                  <c:v>NSW</c:v>
                </c:pt>
                <c:pt idx="1">
                  <c:v>Vic</c:v>
                </c:pt>
                <c:pt idx="2">
                  <c:v>Qld</c:v>
                </c:pt>
                <c:pt idx="3">
                  <c:v>WA</c:v>
                </c:pt>
                <c:pt idx="4">
                  <c:v>SA</c:v>
                </c:pt>
                <c:pt idx="5">
                  <c:v>Tas</c:v>
                </c:pt>
                <c:pt idx="6">
                  <c:v>ACT</c:v>
                </c:pt>
                <c:pt idx="7">
                  <c:v>NT</c:v>
                </c:pt>
                <c:pt idx="8">
                  <c:v>Aust</c:v>
                </c:pt>
              </c:strCache>
            </c:strRef>
          </c:cat>
          <c:val>
            <c:numRef>
              <c:f>'fig B.7'!$B$35:$J$35</c:f>
              <c:numCache>
                <c:formatCode>0.0</c:formatCode>
                <c:ptCount val="9"/>
                <c:pt idx="0">
                  <c:v>4.0130568356374807</c:v>
                </c:pt>
                <c:pt idx="1">
                  <c:v>4.2014800668417296</c:v>
                </c:pt>
                <c:pt idx="2">
                  <c:v>0</c:v>
                </c:pt>
                <c:pt idx="3">
                  <c:v>3.9271485486624935</c:v>
                </c:pt>
                <c:pt idx="4">
                  <c:v>3.9723661485319512</c:v>
                </c:pt>
                <c:pt idx="5">
                  <c:v>3.3950617283950622</c:v>
                </c:pt>
                <c:pt idx="6">
                  <c:v>0</c:v>
                </c:pt>
                <c:pt idx="7">
                  <c:v>0</c:v>
                </c:pt>
                <c:pt idx="8">
                  <c:v>3.7444261193574002</c:v>
                </c:pt>
              </c:numCache>
            </c:numRef>
          </c:val>
        </c:ser>
        <c:ser>
          <c:idx val="4"/>
          <c:order val="4"/>
          <c:tx>
            <c:strRef>
              <c:f>'fig B.7'!$A$36</c:f>
              <c:strCache>
                <c:ptCount val="1"/>
                <c:pt idx="0">
                  <c:v>Not enrolled</c:v>
                </c:pt>
              </c:strCache>
            </c:strRef>
          </c:tx>
          <c:spPr>
            <a:pattFill prst="ltVert">
              <a:fgClr>
                <a:schemeClr val="tx1"/>
              </a:fgClr>
              <a:bgClr>
                <a:schemeClr val="bg1"/>
              </a:bgClr>
            </a:pattFill>
            <a:ln>
              <a:solidFill>
                <a:sysClr val="windowText" lastClr="000000"/>
              </a:solidFill>
            </a:ln>
          </c:spPr>
          <c:invertIfNegative val="0"/>
          <c:cat>
            <c:strRef>
              <c:f>'fig B.7'!$B$31:$J$31</c:f>
              <c:strCache>
                <c:ptCount val="9"/>
                <c:pt idx="0">
                  <c:v>NSW</c:v>
                </c:pt>
                <c:pt idx="1">
                  <c:v>Vic</c:v>
                </c:pt>
                <c:pt idx="2">
                  <c:v>Qld</c:v>
                </c:pt>
                <c:pt idx="3">
                  <c:v>WA</c:v>
                </c:pt>
                <c:pt idx="4">
                  <c:v>SA</c:v>
                </c:pt>
                <c:pt idx="5">
                  <c:v>Tas</c:v>
                </c:pt>
                <c:pt idx="6">
                  <c:v>ACT</c:v>
                </c:pt>
                <c:pt idx="7">
                  <c:v>NT</c:v>
                </c:pt>
                <c:pt idx="8">
                  <c:v>Aust</c:v>
                </c:pt>
              </c:strCache>
            </c:strRef>
          </c:cat>
          <c:val>
            <c:numRef>
              <c:f>'fig B.7'!$B$36:$J$36</c:f>
              <c:numCache>
                <c:formatCode>0.0</c:formatCode>
                <c:ptCount val="9"/>
                <c:pt idx="0">
                  <c:v>53.821044546851006</c:v>
                </c:pt>
                <c:pt idx="1">
                  <c:v>55.621866793984239</c:v>
                </c:pt>
                <c:pt idx="2">
                  <c:v>66.148689823278488</c:v>
                </c:pt>
                <c:pt idx="3">
                  <c:v>67.046101309049519</c:v>
                </c:pt>
                <c:pt idx="4">
                  <c:v>62.607944732297064</c:v>
                </c:pt>
                <c:pt idx="5">
                  <c:v>62.962962962962962</c:v>
                </c:pt>
                <c:pt idx="6">
                  <c:v>47.039473684210535</c:v>
                </c:pt>
                <c:pt idx="7">
                  <c:v>82.432432432432421</c:v>
                </c:pt>
                <c:pt idx="8">
                  <c:v>59.104514079775214</c:v>
                </c:pt>
              </c:numCache>
            </c:numRef>
          </c:val>
        </c:ser>
        <c:ser>
          <c:idx val="5"/>
          <c:order val="5"/>
          <c:tx>
            <c:strRef>
              <c:f>'fig B.7'!$A$37</c:f>
              <c:strCache>
                <c:ptCount val="1"/>
                <c:pt idx="0">
                  <c:v>Enrolled (category breakdown not published)</c:v>
                </c:pt>
              </c:strCache>
            </c:strRef>
          </c:tx>
          <c:spPr>
            <a:pattFill prst="wdDnDiag">
              <a:fgClr>
                <a:sysClr val="windowText" lastClr="000000"/>
              </a:fgClr>
              <a:bgClr>
                <a:sysClr val="window" lastClr="FFFFFF"/>
              </a:bgClr>
            </a:pattFill>
            <a:ln>
              <a:solidFill>
                <a:sysClr val="windowText" lastClr="000000"/>
              </a:solidFill>
            </a:ln>
          </c:spPr>
          <c:invertIfNegative val="0"/>
          <c:cat>
            <c:strRef>
              <c:f>'fig B.7'!$B$31:$J$31</c:f>
              <c:strCache>
                <c:ptCount val="9"/>
                <c:pt idx="0">
                  <c:v>NSW</c:v>
                </c:pt>
                <c:pt idx="1">
                  <c:v>Vic</c:v>
                </c:pt>
                <c:pt idx="2">
                  <c:v>Qld</c:v>
                </c:pt>
                <c:pt idx="3">
                  <c:v>WA</c:v>
                </c:pt>
                <c:pt idx="4">
                  <c:v>SA</c:v>
                </c:pt>
                <c:pt idx="5">
                  <c:v>Tas</c:v>
                </c:pt>
                <c:pt idx="6">
                  <c:v>ACT</c:v>
                </c:pt>
                <c:pt idx="7">
                  <c:v>NT</c:v>
                </c:pt>
                <c:pt idx="8">
                  <c:v>Aust</c:v>
                </c:pt>
              </c:strCache>
            </c:strRef>
          </c:cat>
          <c:val>
            <c:numRef>
              <c:f>'fig B.7'!$B$37:$J$37</c:f>
              <c:numCache>
                <c:formatCode>0.0</c:formatCode>
                <c:ptCount val="9"/>
                <c:pt idx="0">
                  <c:v>0</c:v>
                </c:pt>
                <c:pt idx="1">
                  <c:v>2.3872045834323785E-2</c:v>
                </c:pt>
                <c:pt idx="2">
                  <c:v>2.9250457038391176</c:v>
                </c:pt>
                <c:pt idx="3">
                  <c:v>0</c:v>
                </c:pt>
                <c:pt idx="4">
                  <c:v>0.86355785837650956</c:v>
                </c:pt>
                <c:pt idx="5">
                  <c:v>0</c:v>
                </c:pt>
                <c:pt idx="6">
                  <c:v>11.18421052631578</c:v>
                </c:pt>
                <c:pt idx="7">
                  <c:v>2.7027027027027088</c:v>
                </c:pt>
                <c:pt idx="8">
                  <c:v>0</c:v>
                </c:pt>
              </c:numCache>
            </c:numRef>
          </c:val>
        </c:ser>
        <c:dLbls>
          <c:showLegendKey val="0"/>
          <c:showVal val="0"/>
          <c:showCatName val="0"/>
          <c:showSerName val="0"/>
          <c:showPercent val="0"/>
          <c:showBubbleSize val="0"/>
        </c:dLbls>
        <c:gapWidth val="150"/>
        <c:overlap val="100"/>
        <c:axId val="137696384"/>
        <c:axId val="137697920"/>
      </c:barChart>
      <c:catAx>
        <c:axId val="137696384"/>
        <c:scaling>
          <c:orientation val="minMax"/>
        </c:scaling>
        <c:delete val="0"/>
        <c:axPos val="b"/>
        <c:majorTickMark val="out"/>
        <c:minorTickMark val="none"/>
        <c:tickLblPos val="nextTo"/>
        <c:crossAx val="137697920"/>
        <c:crosses val="autoZero"/>
        <c:auto val="1"/>
        <c:lblAlgn val="ctr"/>
        <c:lblOffset val="100"/>
        <c:noMultiLvlLbl val="0"/>
      </c:catAx>
      <c:valAx>
        <c:axId val="137697920"/>
        <c:scaling>
          <c:orientation val="minMax"/>
          <c:max val="100"/>
        </c:scaling>
        <c:delete val="0"/>
        <c:axPos val="l"/>
        <c:majorGridlines/>
        <c:title>
          <c:tx>
            <c:rich>
              <a:bodyPr rot="-5400000" vert="horz"/>
              <a:lstStyle/>
              <a:p>
                <a:pPr>
                  <a:defRPr/>
                </a:pPr>
                <a:r>
                  <a:rPr lang="en-US"/>
                  <a:t>Per cent</a:t>
                </a:r>
              </a:p>
            </c:rich>
          </c:tx>
          <c:layout/>
          <c:overlay val="0"/>
        </c:title>
        <c:numFmt formatCode="0" sourceLinked="0"/>
        <c:majorTickMark val="out"/>
        <c:minorTickMark val="none"/>
        <c:tickLblPos val="nextTo"/>
        <c:spPr>
          <a:ln>
            <a:solidFill>
              <a:schemeClr val="tx1"/>
            </a:solidFill>
          </a:ln>
        </c:spPr>
        <c:crossAx val="137696384"/>
        <c:crosses val="autoZero"/>
        <c:crossBetween val="between"/>
        <c:majorUnit val="20"/>
      </c:valAx>
      <c:spPr>
        <a:noFill/>
        <a:ln>
          <a:solidFill>
            <a:schemeClr val="tx1"/>
          </a:solidFill>
        </a:ln>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0"/>
          <c:order val="0"/>
          <c:tx>
            <c:strRef>
              <c:f>'fig B.7'!$A$57</c:f>
              <c:strCache>
                <c:ptCount val="1"/>
                <c:pt idx="0">
                  <c:v>School</c:v>
                </c:pt>
              </c:strCache>
            </c:strRef>
          </c:tx>
          <c:spPr>
            <a:solidFill>
              <a:sysClr val="window" lastClr="FFFFFF">
                <a:lumMod val="75000"/>
              </a:sysClr>
            </a:solidFill>
            <a:ln>
              <a:solidFill>
                <a:srgbClr val="000000"/>
              </a:solidFill>
            </a:ln>
          </c:spPr>
          <c:invertIfNegative val="0"/>
          <c:cat>
            <c:strRef>
              <c:f>'fig B.7'!$B$56:$J$56</c:f>
              <c:strCache>
                <c:ptCount val="9"/>
                <c:pt idx="0">
                  <c:v>NSW</c:v>
                </c:pt>
                <c:pt idx="1">
                  <c:v>Vic</c:v>
                </c:pt>
                <c:pt idx="2">
                  <c:v>Qld</c:v>
                </c:pt>
                <c:pt idx="3">
                  <c:v>WA</c:v>
                </c:pt>
                <c:pt idx="4">
                  <c:v>SA</c:v>
                </c:pt>
                <c:pt idx="5">
                  <c:v>Tas</c:v>
                </c:pt>
                <c:pt idx="6">
                  <c:v>ACT</c:v>
                </c:pt>
                <c:pt idx="7">
                  <c:v>NT</c:v>
                </c:pt>
                <c:pt idx="8">
                  <c:v>Aust</c:v>
                </c:pt>
              </c:strCache>
            </c:strRef>
          </c:cat>
          <c:val>
            <c:numRef>
              <c:f>'fig B.7'!$B$57:$J$57</c:f>
              <c:numCache>
                <c:formatCode>0.0</c:formatCode>
                <c:ptCount val="9"/>
                <c:pt idx="0">
                  <c:v>25.575499442247235</c:v>
                </c:pt>
                <c:pt idx="1">
                  <c:v>26.296727460871814</c:v>
                </c:pt>
                <c:pt idx="2">
                  <c:v>21.719386157218914</c:v>
                </c:pt>
                <c:pt idx="3">
                  <c:v>20.616982284667078</c:v>
                </c:pt>
                <c:pt idx="4">
                  <c:v>27.239981990094552</c:v>
                </c:pt>
                <c:pt idx="5">
                  <c:v>29.68036529680365</c:v>
                </c:pt>
                <c:pt idx="6">
                  <c:v>25.278810408921931</c:v>
                </c:pt>
                <c:pt idx="7">
                  <c:v>28.01418439716312</c:v>
                </c:pt>
                <c:pt idx="8">
                  <c:v>24.664792736906723</c:v>
                </c:pt>
              </c:numCache>
            </c:numRef>
          </c:val>
        </c:ser>
        <c:ser>
          <c:idx val="1"/>
          <c:order val="1"/>
          <c:tx>
            <c:strRef>
              <c:f>'fig B.7'!$A$58</c:f>
              <c:strCache>
                <c:ptCount val="1"/>
                <c:pt idx="0">
                  <c:v>TAFE</c:v>
                </c:pt>
              </c:strCache>
            </c:strRef>
          </c:tx>
          <c:spPr>
            <a:pattFill prst="wdUpDiag">
              <a:fgClr>
                <a:schemeClr val="tx1"/>
              </a:fgClr>
              <a:bgClr>
                <a:schemeClr val="bg1"/>
              </a:bgClr>
            </a:pattFill>
            <a:ln>
              <a:solidFill>
                <a:sysClr val="windowText" lastClr="000000"/>
              </a:solidFill>
            </a:ln>
          </c:spPr>
          <c:invertIfNegative val="0"/>
          <c:cat>
            <c:strRef>
              <c:f>'fig B.7'!$B$56:$J$56</c:f>
              <c:strCache>
                <c:ptCount val="9"/>
                <c:pt idx="0">
                  <c:v>NSW</c:v>
                </c:pt>
                <c:pt idx="1">
                  <c:v>Vic</c:v>
                </c:pt>
                <c:pt idx="2">
                  <c:v>Qld</c:v>
                </c:pt>
                <c:pt idx="3">
                  <c:v>WA</c:v>
                </c:pt>
                <c:pt idx="4">
                  <c:v>SA</c:v>
                </c:pt>
                <c:pt idx="5">
                  <c:v>Tas</c:v>
                </c:pt>
                <c:pt idx="6">
                  <c:v>ACT</c:v>
                </c:pt>
                <c:pt idx="7">
                  <c:v>NT</c:v>
                </c:pt>
                <c:pt idx="8">
                  <c:v>Aust</c:v>
                </c:pt>
              </c:strCache>
            </c:strRef>
          </c:cat>
          <c:val>
            <c:numRef>
              <c:f>'fig B.7'!$B$58:$J$58</c:f>
              <c:numCache>
                <c:formatCode>0.0</c:formatCode>
                <c:ptCount val="9"/>
                <c:pt idx="0">
                  <c:v>9.6136294493459076</c:v>
                </c:pt>
                <c:pt idx="1">
                  <c:v>8.7440175915146803</c:v>
                </c:pt>
                <c:pt idx="2">
                  <c:v>8.9101158784841825</c:v>
                </c:pt>
                <c:pt idx="3">
                  <c:v>8.4911423335369598</c:v>
                </c:pt>
                <c:pt idx="4">
                  <c:v>6.8887888338586221</c:v>
                </c:pt>
                <c:pt idx="5">
                  <c:v>9.7412480974124804</c:v>
                </c:pt>
                <c:pt idx="6">
                  <c:v>0</c:v>
                </c:pt>
                <c:pt idx="7">
                  <c:v>0</c:v>
                </c:pt>
                <c:pt idx="8">
                  <c:v>8.8559335724209234</c:v>
                </c:pt>
              </c:numCache>
            </c:numRef>
          </c:val>
        </c:ser>
        <c:ser>
          <c:idx val="2"/>
          <c:order val="2"/>
          <c:tx>
            <c:strRef>
              <c:f>'fig B.7'!$A$59</c:f>
              <c:strCache>
                <c:ptCount val="1"/>
                <c:pt idx="0">
                  <c:v>Higher education</c:v>
                </c:pt>
              </c:strCache>
            </c:strRef>
          </c:tx>
          <c:spPr>
            <a:solidFill>
              <a:schemeClr val="bg1">
                <a:lumMod val="50000"/>
              </a:schemeClr>
            </a:solidFill>
            <a:ln>
              <a:solidFill>
                <a:sysClr val="windowText" lastClr="000000"/>
              </a:solidFill>
            </a:ln>
          </c:spPr>
          <c:invertIfNegative val="0"/>
          <c:cat>
            <c:strRef>
              <c:f>'fig B.7'!$B$56:$J$56</c:f>
              <c:strCache>
                <c:ptCount val="9"/>
                <c:pt idx="0">
                  <c:v>NSW</c:v>
                </c:pt>
                <c:pt idx="1">
                  <c:v>Vic</c:v>
                </c:pt>
                <c:pt idx="2">
                  <c:v>Qld</c:v>
                </c:pt>
                <c:pt idx="3">
                  <c:v>WA</c:v>
                </c:pt>
                <c:pt idx="4">
                  <c:v>SA</c:v>
                </c:pt>
                <c:pt idx="5">
                  <c:v>Tas</c:v>
                </c:pt>
                <c:pt idx="6">
                  <c:v>ACT</c:v>
                </c:pt>
                <c:pt idx="7">
                  <c:v>NT</c:v>
                </c:pt>
                <c:pt idx="8">
                  <c:v>Aust</c:v>
                </c:pt>
              </c:strCache>
            </c:strRef>
          </c:cat>
          <c:val>
            <c:numRef>
              <c:f>'fig B.7'!$B$59:$J$59</c:f>
              <c:numCache>
                <c:formatCode>0.0</c:formatCode>
                <c:ptCount val="9"/>
                <c:pt idx="0">
                  <c:v>25.159720109522361</c:v>
                </c:pt>
                <c:pt idx="1">
                  <c:v>24.421161557366446</c:v>
                </c:pt>
                <c:pt idx="2">
                  <c:v>20.059505167554022</c:v>
                </c:pt>
                <c:pt idx="3">
                  <c:v>21.105681124007329</c:v>
                </c:pt>
                <c:pt idx="4">
                  <c:v>20.396217919855918</c:v>
                </c:pt>
                <c:pt idx="5">
                  <c:v>17.047184170471841</c:v>
                </c:pt>
                <c:pt idx="6">
                  <c:v>29.739776951672862</c:v>
                </c:pt>
                <c:pt idx="7">
                  <c:v>9.9290780141843964</c:v>
                </c:pt>
                <c:pt idx="8">
                  <c:v>22.920099512132079</c:v>
                </c:pt>
              </c:numCache>
            </c:numRef>
          </c:val>
        </c:ser>
        <c:ser>
          <c:idx val="3"/>
          <c:order val="3"/>
          <c:tx>
            <c:strRef>
              <c:f>'fig B.7'!$A$60</c:f>
              <c:strCache>
                <c:ptCount val="1"/>
                <c:pt idx="0">
                  <c:v>Other education and training</c:v>
                </c:pt>
              </c:strCache>
            </c:strRef>
          </c:tx>
          <c:spPr>
            <a:pattFill prst="openDmnd">
              <a:fgClr>
                <a:schemeClr val="tx1"/>
              </a:fgClr>
              <a:bgClr>
                <a:schemeClr val="bg1"/>
              </a:bgClr>
            </a:pattFill>
            <a:ln>
              <a:solidFill>
                <a:sysClr val="windowText" lastClr="000000"/>
              </a:solidFill>
            </a:ln>
          </c:spPr>
          <c:invertIfNegative val="0"/>
          <c:cat>
            <c:strRef>
              <c:f>'fig B.7'!$B$56:$J$56</c:f>
              <c:strCache>
                <c:ptCount val="9"/>
                <c:pt idx="0">
                  <c:v>NSW</c:v>
                </c:pt>
                <c:pt idx="1">
                  <c:v>Vic</c:v>
                </c:pt>
                <c:pt idx="2">
                  <c:v>Qld</c:v>
                </c:pt>
                <c:pt idx="3">
                  <c:v>WA</c:v>
                </c:pt>
                <c:pt idx="4">
                  <c:v>SA</c:v>
                </c:pt>
                <c:pt idx="5">
                  <c:v>Tas</c:v>
                </c:pt>
                <c:pt idx="6">
                  <c:v>ACT</c:v>
                </c:pt>
                <c:pt idx="7">
                  <c:v>NT</c:v>
                </c:pt>
                <c:pt idx="8">
                  <c:v>Aust</c:v>
                </c:pt>
              </c:strCache>
            </c:strRef>
          </c:cat>
          <c:val>
            <c:numRef>
              <c:f>'fig B.7'!$B$60:$J$60</c:f>
              <c:numCache>
                <c:formatCode>0.0</c:formatCode>
                <c:ptCount val="9"/>
                <c:pt idx="0">
                  <c:v>3.1335564344386975</c:v>
                </c:pt>
                <c:pt idx="1">
                  <c:v>3.1949295045919026</c:v>
                </c:pt>
                <c:pt idx="2">
                  <c:v>2.4271844660194173</c:v>
                </c:pt>
                <c:pt idx="3">
                  <c:v>3.2376298106292003</c:v>
                </c:pt>
                <c:pt idx="4">
                  <c:v>3.6470058532192704</c:v>
                </c:pt>
                <c:pt idx="5">
                  <c:v>2.7397260273972601</c:v>
                </c:pt>
                <c:pt idx="6">
                  <c:v>0</c:v>
                </c:pt>
                <c:pt idx="7">
                  <c:v>0</c:v>
                </c:pt>
                <c:pt idx="8">
                  <c:v>3.0047494426674421</c:v>
                </c:pt>
              </c:numCache>
            </c:numRef>
          </c:val>
        </c:ser>
        <c:ser>
          <c:idx val="4"/>
          <c:order val="4"/>
          <c:tx>
            <c:strRef>
              <c:f>'fig B.7'!$A$61</c:f>
              <c:strCache>
                <c:ptCount val="1"/>
                <c:pt idx="0">
                  <c:v>Not enrolled</c:v>
                </c:pt>
              </c:strCache>
            </c:strRef>
          </c:tx>
          <c:spPr>
            <a:pattFill prst="ltVert">
              <a:fgClr>
                <a:schemeClr val="tx1"/>
              </a:fgClr>
              <a:bgClr>
                <a:schemeClr val="bg1"/>
              </a:bgClr>
            </a:pattFill>
            <a:ln>
              <a:solidFill>
                <a:sysClr val="windowText" lastClr="000000"/>
              </a:solidFill>
            </a:ln>
          </c:spPr>
          <c:invertIfNegative val="0"/>
          <c:cat>
            <c:strRef>
              <c:f>'fig B.7'!$B$56:$J$56</c:f>
              <c:strCache>
                <c:ptCount val="9"/>
                <c:pt idx="0">
                  <c:v>NSW</c:v>
                </c:pt>
                <c:pt idx="1">
                  <c:v>Vic</c:v>
                </c:pt>
                <c:pt idx="2">
                  <c:v>Qld</c:v>
                </c:pt>
                <c:pt idx="3">
                  <c:v>WA</c:v>
                </c:pt>
                <c:pt idx="4">
                  <c:v>SA</c:v>
                </c:pt>
                <c:pt idx="5">
                  <c:v>Tas</c:v>
                </c:pt>
                <c:pt idx="6">
                  <c:v>ACT</c:v>
                </c:pt>
                <c:pt idx="7">
                  <c:v>NT</c:v>
                </c:pt>
                <c:pt idx="8">
                  <c:v>Aust</c:v>
                </c:pt>
              </c:strCache>
            </c:strRef>
          </c:cat>
          <c:val>
            <c:numRef>
              <c:f>'fig B.7'!$B$61:$J$61</c:f>
              <c:numCache>
                <c:formatCode>0.0</c:formatCode>
                <c:ptCount val="9"/>
                <c:pt idx="0">
                  <c:v>36.517594564445801</c:v>
                </c:pt>
                <c:pt idx="1">
                  <c:v>37.330228948389603</c:v>
                </c:pt>
                <c:pt idx="2">
                  <c:v>46.899467585342933</c:v>
                </c:pt>
                <c:pt idx="3">
                  <c:v>46.579108124618209</c:v>
                </c:pt>
                <c:pt idx="4">
                  <c:v>41.782980639351642</c:v>
                </c:pt>
                <c:pt idx="5">
                  <c:v>40.943683409436829</c:v>
                </c:pt>
                <c:pt idx="6">
                  <c:v>34.572490706319705</c:v>
                </c:pt>
                <c:pt idx="7">
                  <c:v>57.446808510638292</c:v>
                </c:pt>
                <c:pt idx="8">
                  <c:v>40.557655649252041</c:v>
                </c:pt>
              </c:numCache>
            </c:numRef>
          </c:val>
        </c:ser>
        <c:ser>
          <c:idx val="5"/>
          <c:order val="5"/>
          <c:tx>
            <c:strRef>
              <c:f>'fig B.7'!$A$62</c:f>
              <c:strCache>
                <c:ptCount val="1"/>
                <c:pt idx="0">
                  <c:v>Enrolled (category breakdown not published)</c:v>
                </c:pt>
              </c:strCache>
            </c:strRef>
          </c:tx>
          <c:spPr>
            <a:pattFill prst="wdDnDiag">
              <a:fgClr>
                <a:sysClr val="windowText" lastClr="000000"/>
              </a:fgClr>
              <a:bgClr>
                <a:sysClr val="window" lastClr="FFFFFF"/>
              </a:bgClr>
            </a:pattFill>
            <a:ln>
              <a:solidFill>
                <a:sysClr val="windowText" lastClr="000000"/>
              </a:solidFill>
            </a:ln>
          </c:spPr>
          <c:invertIfNegative val="0"/>
          <c:cat>
            <c:strRef>
              <c:f>'fig B.7'!$B$56:$J$56</c:f>
              <c:strCache>
                <c:ptCount val="9"/>
                <c:pt idx="0">
                  <c:v>NSW</c:v>
                </c:pt>
                <c:pt idx="1">
                  <c:v>Vic</c:v>
                </c:pt>
                <c:pt idx="2">
                  <c:v>Qld</c:v>
                </c:pt>
                <c:pt idx="3">
                  <c:v>WA</c:v>
                </c:pt>
                <c:pt idx="4">
                  <c:v>SA</c:v>
                </c:pt>
                <c:pt idx="5">
                  <c:v>Tas</c:v>
                </c:pt>
                <c:pt idx="6">
                  <c:v>ACT</c:v>
                </c:pt>
                <c:pt idx="7">
                  <c:v>NT</c:v>
                </c:pt>
                <c:pt idx="8">
                  <c:v>Aust</c:v>
                </c:pt>
              </c:strCache>
            </c:strRef>
          </c:cat>
          <c:val>
            <c:numRef>
              <c:f>'fig B.7'!$B$62:$J$62</c:f>
              <c:numCache>
                <c:formatCode>0.0</c:formatCode>
                <c:ptCount val="9"/>
                <c:pt idx="0">
                  <c:v>0</c:v>
                </c:pt>
                <c:pt idx="1">
                  <c:v>1.2934937265555391E-2</c:v>
                </c:pt>
                <c:pt idx="2">
                  <c:v>-1.5659254619464491E-2</c:v>
                </c:pt>
                <c:pt idx="3">
                  <c:v>-3.0543677458780394E-2</c:v>
                </c:pt>
                <c:pt idx="4">
                  <c:v>4.502476362000607E-2</c:v>
                </c:pt>
                <c:pt idx="5">
                  <c:v>0</c:v>
                </c:pt>
                <c:pt idx="6">
                  <c:v>10.408921933085509</c:v>
                </c:pt>
                <c:pt idx="7">
                  <c:v>4.6099290780141899</c:v>
                </c:pt>
                <c:pt idx="8">
                  <c:v>-3.2309133792125522E-3</c:v>
                </c:pt>
              </c:numCache>
            </c:numRef>
          </c:val>
        </c:ser>
        <c:dLbls>
          <c:showLegendKey val="0"/>
          <c:showVal val="0"/>
          <c:showCatName val="0"/>
          <c:showSerName val="0"/>
          <c:showPercent val="0"/>
          <c:showBubbleSize val="0"/>
        </c:dLbls>
        <c:gapWidth val="150"/>
        <c:overlap val="100"/>
        <c:axId val="137730304"/>
        <c:axId val="137744384"/>
      </c:barChart>
      <c:catAx>
        <c:axId val="137730304"/>
        <c:scaling>
          <c:orientation val="minMax"/>
        </c:scaling>
        <c:delete val="0"/>
        <c:axPos val="b"/>
        <c:majorTickMark val="out"/>
        <c:minorTickMark val="none"/>
        <c:tickLblPos val="nextTo"/>
        <c:crossAx val="137744384"/>
        <c:crosses val="autoZero"/>
        <c:auto val="1"/>
        <c:lblAlgn val="ctr"/>
        <c:lblOffset val="100"/>
        <c:noMultiLvlLbl val="0"/>
      </c:catAx>
      <c:valAx>
        <c:axId val="137744384"/>
        <c:scaling>
          <c:orientation val="minMax"/>
          <c:max val="100"/>
          <c:min val="0"/>
        </c:scaling>
        <c:delete val="0"/>
        <c:axPos val="l"/>
        <c:majorGridlines/>
        <c:title>
          <c:tx>
            <c:rich>
              <a:bodyPr rot="-5400000" vert="horz"/>
              <a:lstStyle/>
              <a:p>
                <a:pPr>
                  <a:defRPr/>
                </a:pPr>
                <a:r>
                  <a:rPr lang="en-US"/>
                  <a:t>Per cent</a:t>
                </a:r>
              </a:p>
            </c:rich>
          </c:tx>
          <c:layout/>
          <c:overlay val="0"/>
        </c:title>
        <c:numFmt formatCode="0" sourceLinked="0"/>
        <c:majorTickMark val="out"/>
        <c:minorTickMark val="none"/>
        <c:tickLblPos val="nextTo"/>
        <c:spPr>
          <a:ln>
            <a:solidFill>
              <a:schemeClr val="tx1"/>
            </a:solidFill>
          </a:ln>
        </c:spPr>
        <c:crossAx val="137730304"/>
        <c:crosses val="autoZero"/>
        <c:crossBetween val="between"/>
        <c:majorUnit val="20"/>
      </c:valAx>
      <c:spPr>
        <a:noFill/>
        <a:ln>
          <a:solidFill>
            <a:schemeClr val="tx1"/>
          </a:solidFill>
        </a:ln>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'fig B.8'!$B$4</c:f>
              <c:strCache>
                <c:ptCount val="1"/>
                <c:pt idx="0">
                  <c:v>Fully participating in education and/or training (d)</c:v>
                </c:pt>
              </c:strCache>
            </c:strRef>
          </c:tx>
          <c:spPr>
            <a:solidFill>
              <a:sysClr val="window" lastClr="FFFFFF">
                <a:lumMod val="75000"/>
              </a:sysClr>
            </a:solidFill>
            <a:ln>
              <a:solidFill>
                <a:srgbClr val="000000"/>
              </a:solidFill>
            </a:ln>
          </c:spPr>
          <c:invertIfNegative val="0"/>
          <c:errBars>
            <c:errBarType val="both"/>
            <c:errValType val="cust"/>
            <c:noEndCap val="0"/>
            <c:plus>
              <c:numRef>
                <c:f>'fig B.8'!$C$5:$K$5</c:f>
                <c:numCache>
                  <c:formatCode>General</c:formatCode>
                  <c:ptCount val="9"/>
                  <c:pt idx="0">
                    <c:v>3.8</c:v>
                  </c:pt>
                  <c:pt idx="1">
                    <c:v>3</c:v>
                  </c:pt>
                  <c:pt idx="2">
                    <c:v>3.6</c:v>
                  </c:pt>
                  <c:pt idx="3">
                    <c:v>4.0999999999999996</c:v>
                  </c:pt>
                  <c:pt idx="4">
                    <c:v>3.8</c:v>
                  </c:pt>
                  <c:pt idx="5">
                    <c:v>5.4</c:v>
                  </c:pt>
                  <c:pt idx="6">
                    <c:v>8</c:v>
                  </c:pt>
                  <c:pt idx="7">
                    <c:v>5.2</c:v>
                  </c:pt>
                  <c:pt idx="8">
                    <c:v>1.5</c:v>
                  </c:pt>
                </c:numCache>
              </c:numRef>
            </c:plus>
            <c:minus>
              <c:numRef>
                <c:f>'fig B.8'!$C$5:$K$5</c:f>
                <c:numCache>
                  <c:formatCode>General</c:formatCode>
                  <c:ptCount val="9"/>
                  <c:pt idx="0">
                    <c:v>3.8</c:v>
                  </c:pt>
                  <c:pt idx="1">
                    <c:v>3</c:v>
                  </c:pt>
                  <c:pt idx="2">
                    <c:v>3.6</c:v>
                  </c:pt>
                  <c:pt idx="3">
                    <c:v>4.0999999999999996</c:v>
                  </c:pt>
                  <c:pt idx="4">
                    <c:v>3.8</c:v>
                  </c:pt>
                  <c:pt idx="5">
                    <c:v>5.4</c:v>
                  </c:pt>
                  <c:pt idx="6">
                    <c:v>8</c:v>
                  </c:pt>
                  <c:pt idx="7">
                    <c:v>5.2</c:v>
                  </c:pt>
                  <c:pt idx="8">
                    <c:v>1.5</c:v>
                  </c:pt>
                </c:numCache>
              </c:numRef>
            </c:minus>
          </c:errBars>
          <c:cat>
            <c:strRef>
              <c:f>'fig B.8'!$C$3:$K$3</c:f>
              <c:strCache>
                <c:ptCount val="9"/>
                <c:pt idx="0">
                  <c:v>NSW</c:v>
                </c:pt>
                <c:pt idx="1">
                  <c:v>Vic</c:v>
                </c:pt>
                <c:pt idx="2">
                  <c:v>Qld</c:v>
                </c:pt>
                <c:pt idx="3">
                  <c:v>WA</c:v>
                </c:pt>
                <c:pt idx="4">
                  <c:v>SA</c:v>
                </c:pt>
                <c:pt idx="5">
                  <c:v>Tas</c:v>
                </c:pt>
                <c:pt idx="6">
                  <c:v>ACT</c:v>
                </c:pt>
                <c:pt idx="7">
                  <c:v>NT</c:v>
                </c:pt>
                <c:pt idx="8">
                  <c:v>Aust</c:v>
                </c:pt>
              </c:strCache>
            </c:strRef>
          </c:cat>
          <c:val>
            <c:numRef>
              <c:f>'fig B.8'!$C$4:$K$4</c:f>
              <c:numCache>
                <c:formatCode>General</c:formatCode>
                <c:ptCount val="9"/>
                <c:pt idx="0">
                  <c:v>38.1</c:v>
                </c:pt>
                <c:pt idx="1">
                  <c:v>38.799999999999997</c:v>
                </c:pt>
                <c:pt idx="2">
                  <c:v>28.8</c:v>
                </c:pt>
                <c:pt idx="3">
                  <c:v>30</c:v>
                </c:pt>
                <c:pt idx="4">
                  <c:v>29.2</c:v>
                </c:pt>
                <c:pt idx="5">
                  <c:v>26.4</c:v>
                </c:pt>
                <c:pt idx="6">
                  <c:v>36.1</c:v>
                </c:pt>
                <c:pt idx="7">
                  <c:v>9.8000000000000007</c:v>
                </c:pt>
                <c:pt idx="8">
                  <c:v>34.200000000000003</c:v>
                </c:pt>
              </c:numCache>
            </c:numRef>
          </c:val>
        </c:ser>
        <c:dLbls>
          <c:showLegendKey val="0"/>
          <c:showVal val="0"/>
          <c:showCatName val="0"/>
          <c:showSerName val="0"/>
          <c:showPercent val="0"/>
          <c:showBubbleSize val="0"/>
        </c:dLbls>
        <c:gapWidth val="150"/>
        <c:axId val="140525952"/>
        <c:axId val="140527488"/>
      </c:barChart>
      <c:catAx>
        <c:axId val="140525952"/>
        <c:scaling>
          <c:orientation val="minMax"/>
        </c:scaling>
        <c:delete val="0"/>
        <c:axPos val="b"/>
        <c:majorTickMark val="out"/>
        <c:minorTickMark val="none"/>
        <c:tickLblPos val="nextTo"/>
        <c:crossAx val="140527488"/>
        <c:crosses val="autoZero"/>
        <c:auto val="1"/>
        <c:lblAlgn val="ctr"/>
        <c:lblOffset val="100"/>
        <c:noMultiLvlLbl val="0"/>
      </c:catAx>
      <c:valAx>
        <c:axId val="140527488"/>
        <c:scaling>
          <c:orientation val="minMax"/>
          <c:max val="100"/>
        </c:scaling>
        <c:delete val="0"/>
        <c:axPos val="l"/>
        <c:majorGridlines/>
        <c:title>
          <c:tx>
            <c:rich>
              <a:bodyPr rot="-5400000" vert="horz"/>
              <a:lstStyle/>
              <a:p>
                <a:pPr>
                  <a:defRPr/>
                </a:pPr>
                <a:r>
                  <a:rPr lang="en-US"/>
                  <a:t>Per cent</a:t>
                </a:r>
              </a:p>
            </c:rich>
          </c:tx>
          <c:overlay val="0"/>
        </c:title>
        <c:numFmt formatCode="#,##0" sourceLinked="0"/>
        <c:majorTickMark val="out"/>
        <c:minorTickMark val="none"/>
        <c:tickLblPos val="nextTo"/>
        <c:spPr>
          <a:ln>
            <a:solidFill>
              <a:schemeClr val="tx1"/>
            </a:solidFill>
          </a:ln>
        </c:spPr>
        <c:crossAx val="140525952"/>
        <c:crosses val="autoZero"/>
        <c:crossBetween val="between"/>
        <c:majorUnit val="20"/>
      </c:valAx>
      <c:spPr>
        <a:noFill/>
        <a:ln>
          <a:solidFill>
            <a:schemeClr val="tx1"/>
          </a:solidFill>
        </a:ln>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A45A7-B8E0-4FE0-8472-8CCFB10D2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17</TotalTime>
  <Pages>67</Pages>
  <Words>18224</Words>
  <Characters>102804</Characters>
  <Application>Microsoft Office Word</Application>
  <DocSecurity>0</DocSecurity>
  <Lines>856</Lines>
  <Paragraphs>241</Paragraphs>
  <ScaleCrop>false</ScaleCrop>
  <HeadingPairs>
    <vt:vector size="2" baseType="variant">
      <vt:variant>
        <vt:lpstr>Title</vt:lpstr>
      </vt:variant>
      <vt:variant>
        <vt:i4>1</vt:i4>
      </vt:variant>
    </vt:vector>
  </HeadingPairs>
  <TitlesOfParts>
    <vt:vector size="1" baseType="lpstr">
      <vt:lpstr>ECET SECTOR SUMMARY</vt:lpstr>
    </vt:vector>
  </TitlesOfParts>
  <Company>GB</Company>
  <LinksUpToDate>false</LinksUpToDate>
  <CharactersWithSpaces>120787</CharactersWithSpaces>
  <SharedDoc>false</SharedDoc>
  <HLinks>
    <vt:vector size="36" baseType="variant">
      <vt:variant>
        <vt:i4>1638452</vt:i4>
      </vt:variant>
      <vt:variant>
        <vt:i4>32</vt:i4>
      </vt:variant>
      <vt:variant>
        <vt:i4>0</vt:i4>
      </vt:variant>
      <vt:variant>
        <vt:i4>5</vt:i4>
      </vt:variant>
      <vt:variant>
        <vt:lpwstr/>
      </vt:variant>
      <vt:variant>
        <vt:lpwstr>_Toc306790890</vt:lpwstr>
      </vt:variant>
      <vt:variant>
        <vt:i4>1572916</vt:i4>
      </vt:variant>
      <vt:variant>
        <vt:i4>26</vt:i4>
      </vt:variant>
      <vt:variant>
        <vt:i4>0</vt:i4>
      </vt:variant>
      <vt:variant>
        <vt:i4>5</vt:i4>
      </vt:variant>
      <vt:variant>
        <vt:lpwstr/>
      </vt:variant>
      <vt:variant>
        <vt:lpwstr>_Toc306790889</vt:lpwstr>
      </vt:variant>
      <vt:variant>
        <vt:i4>1572916</vt:i4>
      </vt:variant>
      <vt:variant>
        <vt:i4>20</vt:i4>
      </vt:variant>
      <vt:variant>
        <vt:i4>0</vt:i4>
      </vt:variant>
      <vt:variant>
        <vt:i4>5</vt:i4>
      </vt:variant>
      <vt:variant>
        <vt:lpwstr/>
      </vt:variant>
      <vt:variant>
        <vt:lpwstr>_Toc306790888</vt:lpwstr>
      </vt:variant>
      <vt:variant>
        <vt:i4>1572916</vt:i4>
      </vt:variant>
      <vt:variant>
        <vt:i4>14</vt:i4>
      </vt:variant>
      <vt:variant>
        <vt:i4>0</vt:i4>
      </vt:variant>
      <vt:variant>
        <vt:i4>5</vt:i4>
      </vt:variant>
      <vt:variant>
        <vt:lpwstr/>
      </vt:variant>
      <vt:variant>
        <vt:lpwstr>_Toc306790887</vt:lpwstr>
      </vt:variant>
      <vt:variant>
        <vt:i4>1572916</vt:i4>
      </vt:variant>
      <vt:variant>
        <vt:i4>8</vt:i4>
      </vt:variant>
      <vt:variant>
        <vt:i4>0</vt:i4>
      </vt:variant>
      <vt:variant>
        <vt:i4>5</vt:i4>
      </vt:variant>
      <vt:variant>
        <vt:lpwstr/>
      </vt:variant>
      <vt:variant>
        <vt:lpwstr>_Toc306790886</vt:lpwstr>
      </vt:variant>
      <vt:variant>
        <vt:i4>1572916</vt:i4>
      </vt:variant>
      <vt:variant>
        <vt:i4>2</vt:i4>
      </vt:variant>
      <vt:variant>
        <vt:i4>0</vt:i4>
      </vt:variant>
      <vt:variant>
        <vt:i4>5</vt:i4>
      </vt:variant>
      <vt:variant>
        <vt:lpwstr/>
      </vt:variant>
      <vt:variant>
        <vt:lpwstr>_Toc306790885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 SECTOR SUMMARY</dc:title>
  <dc:subject>REPORT ON GOVERNMENT SERVICES 2014</dc:subject>
  <dc:creator>Elizabeth</dc:creator>
  <cp:lastModifiedBy>Holzer, Prue</cp:lastModifiedBy>
  <cp:revision>9</cp:revision>
  <cp:lastPrinted>2014-01-15T00:52:00Z</cp:lastPrinted>
  <dcterms:created xsi:type="dcterms:W3CDTF">2014-01-15T00:14:00Z</dcterms:created>
  <dcterms:modified xsi:type="dcterms:W3CDTF">2014-01-22T00:58:00Z</dcterms:modified>
</cp:coreProperties>
</file>