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CE" w:rsidRPr="00520EA5" w:rsidRDefault="00EB256F" w:rsidP="00EB256F">
      <w:pPr>
        <w:keepNext/>
        <w:spacing w:before="160" w:after="1360" w:line="600" w:lineRule="exact"/>
        <w:ind w:left="907" w:hanging="907"/>
        <w:outlineLvl w:val="0"/>
        <w:rPr>
          <w:sz w:val="52"/>
        </w:rPr>
      </w:pPr>
      <w:bookmarkStart w:id="0" w:name="ChapterNumber"/>
      <w:bookmarkStart w:id="1" w:name="_Toc368999409"/>
      <w:bookmarkStart w:id="2" w:name="_Toc374962346"/>
      <w:r>
        <w:rPr>
          <w:sz w:val="52"/>
        </w:rPr>
        <w:t>4</w:t>
      </w:r>
      <w:bookmarkEnd w:id="0"/>
      <w:r>
        <w:rPr>
          <w:sz w:val="52"/>
        </w:rPr>
        <w:tab/>
      </w:r>
      <w:bookmarkStart w:id="3" w:name="ChapterTitle"/>
      <w:r>
        <w:rPr>
          <w:sz w:val="52"/>
        </w:rPr>
        <w:t>School education</w:t>
      </w:r>
      <w:bookmarkEnd w:id="1"/>
      <w:bookmarkEnd w:id="3"/>
      <w:bookmarkEnd w:id="2"/>
    </w:p>
    <w:p w:rsidR="00926D58" w:rsidRPr="00926D58" w:rsidRDefault="00666ECE" w:rsidP="00666ECE">
      <w:pPr>
        <w:tabs>
          <w:tab w:val="right" w:pos="8789"/>
        </w:tabs>
        <w:spacing w:before="480" w:after="60" w:line="320" w:lineRule="exact"/>
        <w:ind w:left="1191" w:right="851" w:hanging="1191"/>
        <w:rPr>
          <w:noProof/>
        </w:rPr>
      </w:pPr>
      <w:r w:rsidRPr="00666ECE">
        <w:rPr>
          <w:b/>
          <w:caps/>
        </w:rPr>
        <w:t>CONTENTS</w:t>
      </w:r>
    </w:p>
    <w:p w:rsidR="00926D58" w:rsidRPr="00926D58" w:rsidRDefault="00926D58">
      <w:pPr>
        <w:pStyle w:val="TOC2"/>
        <w:rPr>
          <w:rFonts w:eastAsiaTheme="minorEastAsia"/>
          <w:b w:val="0"/>
          <w:noProof/>
          <w:sz w:val="22"/>
          <w:szCs w:val="22"/>
        </w:rPr>
      </w:pPr>
      <w:r w:rsidRPr="00C77140">
        <w:rPr>
          <w:noProof/>
        </w:rPr>
        <w:t>4.1</w:t>
      </w:r>
      <w:r w:rsidRPr="00926D58">
        <w:rPr>
          <w:rFonts w:eastAsiaTheme="minorEastAsia"/>
          <w:b w:val="0"/>
          <w:noProof/>
          <w:sz w:val="22"/>
          <w:szCs w:val="22"/>
        </w:rPr>
        <w:tab/>
      </w:r>
      <w:r w:rsidRPr="00C77140">
        <w:rPr>
          <w:noProof/>
        </w:rPr>
        <w:t>Profile of school education</w:t>
      </w:r>
      <w:r w:rsidRPr="00926D58">
        <w:rPr>
          <w:noProof/>
          <w:webHidden/>
        </w:rPr>
        <w:tab/>
      </w:r>
      <w:r>
        <w:rPr>
          <w:noProof/>
          <w:webHidden/>
        </w:rPr>
        <w:t>4.</w:t>
      </w:r>
      <w:r w:rsidR="00EC06F7">
        <w:rPr>
          <w:noProof/>
          <w:webHidden/>
        </w:rPr>
        <w:t>2</w:t>
      </w:r>
    </w:p>
    <w:p w:rsidR="00926D58" w:rsidRPr="00926D58" w:rsidRDefault="00926D58">
      <w:pPr>
        <w:pStyle w:val="TOC2"/>
        <w:rPr>
          <w:rFonts w:eastAsiaTheme="minorEastAsia"/>
          <w:b w:val="0"/>
          <w:noProof/>
          <w:sz w:val="22"/>
          <w:szCs w:val="22"/>
        </w:rPr>
      </w:pPr>
      <w:r w:rsidRPr="00C77140">
        <w:rPr>
          <w:noProof/>
        </w:rPr>
        <w:t>4.2</w:t>
      </w:r>
      <w:r w:rsidRPr="00926D58">
        <w:rPr>
          <w:rFonts w:eastAsiaTheme="minorEastAsia"/>
          <w:b w:val="0"/>
          <w:noProof/>
          <w:sz w:val="22"/>
          <w:szCs w:val="22"/>
        </w:rPr>
        <w:tab/>
      </w:r>
      <w:r w:rsidRPr="00C77140">
        <w:rPr>
          <w:noProof/>
        </w:rPr>
        <w:t>Framework of performance indicators</w:t>
      </w:r>
      <w:r w:rsidRPr="00926D58">
        <w:rPr>
          <w:noProof/>
          <w:webHidden/>
        </w:rPr>
        <w:tab/>
      </w:r>
      <w:r>
        <w:rPr>
          <w:noProof/>
          <w:webHidden/>
        </w:rPr>
        <w:t>4.</w:t>
      </w:r>
      <w:r w:rsidR="00EC06F7">
        <w:rPr>
          <w:noProof/>
          <w:webHidden/>
        </w:rPr>
        <w:t>14</w:t>
      </w:r>
    </w:p>
    <w:p w:rsidR="00926D58" w:rsidRPr="00926D58" w:rsidRDefault="00926D58">
      <w:pPr>
        <w:pStyle w:val="TOC2"/>
        <w:rPr>
          <w:rFonts w:eastAsiaTheme="minorEastAsia"/>
          <w:b w:val="0"/>
          <w:noProof/>
          <w:sz w:val="22"/>
          <w:szCs w:val="22"/>
        </w:rPr>
      </w:pPr>
      <w:r w:rsidRPr="00C77140">
        <w:rPr>
          <w:noProof/>
        </w:rPr>
        <w:t>4.3</w:t>
      </w:r>
      <w:r w:rsidRPr="00926D58">
        <w:rPr>
          <w:rFonts w:eastAsiaTheme="minorEastAsia"/>
          <w:b w:val="0"/>
          <w:noProof/>
          <w:sz w:val="22"/>
          <w:szCs w:val="22"/>
        </w:rPr>
        <w:tab/>
      </w:r>
      <w:r w:rsidRPr="00C77140">
        <w:rPr>
          <w:noProof/>
        </w:rPr>
        <w:t>Key performance indicator results</w:t>
      </w:r>
      <w:r w:rsidRPr="00926D58">
        <w:rPr>
          <w:noProof/>
          <w:webHidden/>
        </w:rPr>
        <w:tab/>
      </w:r>
      <w:r>
        <w:rPr>
          <w:noProof/>
          <w:webHidden/>
        </w:rPr>
        <w:t>4.</w:t>
      </w:r>
      <w:r w:rsidR="00EC06F7">
        <w:rPr>
          <w:noProof/>
          <w:webHidden/>
        </w:rPr>
        <w:t>17</w:t>
      </w:r>
    </w:p>
    <w:p w:rsidR="00926D58" w:rsidRPr="00926D58" w:rsidRDefault="00926D58">
      <w:pPr>
        <w:pStyle w:val="TOC2"/>
        <w:rPr>
          <w:rFonts w:eastAsiaTheme="minorEastAsia"/>
          <w:b w:val="0"/>
          <w:noProof/>
          <w:sz w:val="22"/>
          <w:szCs w:val="22"/>
        </w:rPr>
      </w:pPr>
      <w:r w:rsidRPr="00C77140">
        <w:rPr>
          <w:noProof/>
        </w:rPr>
        <w:t>4.4</w:t>
      </w:r>
      <w:r w:rsidRPr="00926D58">
        <w:rPr>
          <w:rFonts w:eastAsiaTheme="minorEastAsia"/>
          <w:b w:val="0"/>
          <w:noProof/>
          <w:sz w:val="22"/>
          <w:szCs w:val="22"/>
        </w:rPr>
        <w:tab/>
      </w:r>
      <w:r w:rsidRPr="00C77140">
        <w:rPr>
          <w:noProof/>
        </w:rPr>
        <w:t>Future directions in performance reporting</w:t>
      </w:r>
      <w:r w:rsidRPr="00926D58">
        <w:rPr>
          <w:noProof/>
          <w:webHidden/>
        </w:rPr>
        <w:tab/>
      </w:r>
      <w:r>
        <w:rPr>
          <w:noProof/>
          <w:webHidden/>
        </w:rPr>
        <w:t>4.</w:t>
      </w:r>
      <w:r w:rsidR="00EC06F7">
        <w:rPr>
          <w:noProof/>
          <w:webHidden/>
        </w:rPr>
        <w:t>94</w:t>
      </w:r>
    </w:p>
    <w:p w:rsidR="00926D58" w:rsidRPr="00926D58" w:rsidRDefault="00926D58">
      <w:pPr>
        <w:pStyle w:val="TOC2"/>
        <w:rPr>
          <w:rFonts w:eastAsiaTheme="minorEastAsia"/>
          <w:b w:val="0"/>
          <w:noProof/>
          <w:sz w:val="22"/>
          <w:szCs w:val="22"/>
        </w:rPr>
      </w:pPr>
      <w:r w:rsidRPr="00C77140">
        <w:rPr>
          <w:noProof/>
        </w:rPr>
        <w:t>4.5</w:t>
      </w:r>
      <w:r w:rsidRPr="00926D58">
        <w:rPr>
          <w:rFonts w:eastAsiaTheme="minorEastAsia"/>
          <w:b w:val="0"/>
          <w:noProof/>
          <w:sz w:val="22"/>
          <w:szCs w:val="22"/>
        </w:rPr>
        <w:tab/>
      </w:r>
      <w:r w:rsidRPr="00C77140">
        <w:rPr>
          <w:noProof/>
        </w:rPr>
        <w:t>Jurisdictions’ comments</w:t>
      </w:r>
      <w:r w:rsidRPr="00926D58">
        <w:rPr>
          <w:noProof/>
          <w:webHidden/>
        </w:rPr>
        <w:tab/>
      </w:r>
      <w:r>
        <w:rPr>
          <w:noProof/>
          <w:webHidden/>
        </w:rPr>
        <w:t>4.</w:t>
      </w:r>
      <w:r w:rsidR="00EC06F7">
        <w:rPr>
          <w:noProof/>
          <w:webHidden/>
        </w:rPr>
        <w:t>95</w:t>
      </w:r>
    </w:p>
    <w:p w:rsidR="00926D58" w:rsidRPr="00926D58" w:rsidRDefault="00926D58">
      <w:pPr>
        <w:pStyle w:val="TOC2"/>
        <w:rPr>
          <w:rFonts w:eastAsiaTheme="minorEastAsia"/>
          <w:b w:val="0"/>
          <w:noProof/>
          <w:sz w:val="22"/>
          <w:szCs w:val="22"/>
        </w:rPr>
      </w:pPr>
      <w:r w:rsidRPr="00C77140">
        <w:rPr>
          <w:noProof/>
        </w:rPr>
        <w:t>4.6</w:t>
      </w:r>
      <w:r w:rsidRPr="00926D58">
        <w:rPr>
          <w:rFonts w:eastAsiaTheme="minorEastAsia"/>
          <w:b w:val="0"/>
          <w:noProof/>
          <w:sz w:val="22"/>
          <w:szCs w:val="22"/>
        </w:rPr>
        <w:tab/>
      </w:r>
      <w:r w:rsidRPr="00C77140">
        <w:rPr>
          <w:noProof/>
        </w:rPr>
        <w:t>Definitions of key terms</w:t>
      </w:r>
      <w:r w:rsidRPr="00926D58">
        <w:rPr>
          <w:noProof/>
          <w:webHidden/>
        </w:rPr>
        <w:tab/>
      </w:r>
      <w:r>
        <w:rPr>
          <w:noProof/>
          <w:webHidden/>
        </w:rPr>
        <w:t>4.</w:t>
      </w:r>
      <w:r w:rsidR="00EC06F7">
        <w:rPr>
          <w:noProof/>
          <w:webHidden/>
        </w:rPr>
        <w:t>105</w:t>
      </w:r>
    </w:p>
    <w:p w:rsidR="00926D58" w:rsidRPr="00926D58" w:rsidRDefault="00926D58">
      <w:pPr>
        <w:pStyle w:val="TOC2"/>
        <w:rPr>
          <w:rFonts w:eastAsiaTheme="minorEastAsia"/>
          <w:b w:val="0"/>
          <w:noProof/>
          <w:sz w:val="22"/>
          <w:szCs w:val="22"/>
        </w:rPr>
      </w:pPr>
      <w:r w:rsidRPr="00C77140">
        <w:rPr>
          <w:noProof/>
        </w:rPr>
        <w:t>4.7</w:t>
      </w:r>
      <w:r w:rsidRPr="00926D58">
        <w:rPr>
          <w:rFonts w:eastAsiaTheme="minorEastAsia"/>
          <w:b w:val="0"/>
          <w:noProof/>
          <w:sz w:val="22"/>
          <w:szCs w:val="22"/>
        </w:rPr>
        <w:tab/>
      </w:r>
      <w:r w:rsidRPr="00C77140">
        <w:rPr>
          <w:noProof/>
        </w:rPr>
        <w:t>List of attachment tables</w:t>
      </w:r>
      <w:r w:rsidRPr="00926D58">
        <w:rPr>
          <w:noProof/>
          <w:webHidden/>
        </w:rPr>
        <w:tab/>
      </w:r>
      <w:r>
        <w:rPr>
          <w:noProof/>
          <w:webHidden/>
        </w:rPr>
        <w:t>4.</w:t>
      </w:r>
      <w:r w:rsidR="00EC06F7">
        <w:rPr>
          <w:noProof/>
          <w:webHidden/>
        </w:rPr>
        <w:t>108</w:t>
      </w:r>
    </w:p>
    <w:p w:rsidR="00926D58" w:rsidRPr="00926D58" w:rsidRDefault="00926D58">
      <w:pPr>
        <w:pStyle w:val="TOC2"/>
        <w:rPr>
          <w:rFonts w:eastAsiaTheme="minorEastAsia"/>
          <w:b w:val="0"/>
          <w:noProof/>
          <w:sz w:val="22"/>
          <w:szCs w:val="22"/>
        </w:rPr>
      </w:pPr>
      <w:r w:rsidRPr="00C77140">
        <w:rPr>
          <w:noProof/>
        </w:rPr>
        <w:t>4.8</w:t>
      </w:r>
      <w:r w:rsidRPr="00926D58">
        <w:rPr>
          <w:rFonts w:eastAsiaTheme="minorEastAsia"/>
          <w:b w:val="0"/>
          <w:noProof/>
          <w:sz w:val="22"/>
          <w:szCs w:val="22"/>
        </w:rPr>
        <w:tab/>
      </w:r>
      <w:r w:rsidRPr="00C77140">
        <w:rPr>
          <w:noProof/>
        </w:rPr>
        <w:t>References</w:t>
      </w:r>
      <w:r w:rsidRPr="00926D58">
        <w:rPr>
          <w:noProof/>
          <w:webHidden/>
        </w:rPr>
        <w:tab/>
      </w:r>
      <w:r>
        <w:rPr>
          <w:noProof/>
          <w:webHidden/>
        </w:rPr>
        <w:t>4.</w:t>
      </w:r>
      <w:r w:rsidR="00EC06F7">
        <w:rPr>
          <w:noProof/>
          <w:webHidden/>
        </w:rPr>
        <w:t>115</w:t>
      </w:r>
    </w:p>
    <w:p w:rsidR="00666ECE" w:rsidRPr="00666ECE" w:rsidRDefault="00666ECE" w:rsidP="00942105">
      <w:pPr>
        <w:spacing w:before="240" w:line="320" w:lineRule="atLeast"/>
        <w:jc w:val="both"/>
        <w:rPr>
          <w:szCs w:val="20"/>
        </w:rPr>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36281D">
        <w:trPr>
          <w:cantSplit/>
        </w:trPr>
        <w:tc>
          <w:tcPr>
            <w:tcW w:w="8771" w:type="dxa"/>
            <w:shd w:val="clear" w:color="auto" w:fill="E6E6E6"/>
          </w:tcPr>
          <w:p w:rsidR="00666ECE" w:rsidRPr="00666ECE" w:rsidRDefault="00666ECE" w:rsidP="00666ECE">
            <w:pPr>
              <w:keepNext/>
              <w:keepLines/>
              <w:spacing w:before="120" w:line="280" w:lineRule="exact"/>
              <w:ind w:left="1304" w:hanging="1304"/>
              <w:rPr>
                <w:rFonts w:ascii="Arial" w:hAnsi="Arial"/>
                <w:b/>
              </w:rPr>
            </w:pPr>
            <w:r w:rsidRPr="00666ECE">
              <w:rPr>
                <w:rFonts w:ascii="Arial" w:hAnsi="Arial"/>
                <w:b/>
              </w:rPr>
              <w:t xml:space="preserve">Attachment tables </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Attachment tables are identified in references throughout this chapter by a ‘4A’ prefix (for example, table 4A.1). A full list of attachment tables is provided at the end of this chapter, and the attachment tables are available from the Review website at www.pc.gov.au/gsp.</w:t>
            </w:r>
          </w:p>
        </w:tc>
      </w:tr>
      <w:tr w:rsidR="00666ECE" w:rsidRPr="00666ECE" w:rsidTr="0036281D">
        <w:trPr>
          <w:cantSplit/>
        </w:trPr>
        <w:tc>
          <w:tcPr>
            <w:tcW w:w="8771" w:type="dxa"/>
            <w:tcBorders>
              <w:bottom w:val="single" w:sz="4" w:space="0" w:color="auto"/>
            </w:tcBorders>
            <w:shd w:val="clear" w:color="auto" w:fill="E6E6E6"/>
          </w:tcPr>
          <w:p w:rsidR="00666ECE" w:rsidRPr="00666ECE" w:rsidRDefault="00666ECE" w:rsidP="00666ECE">
            <w:pPr>
              <w:keepNext/>
              <w:spacing w:line="120" w:lineRule="exact"/>
              <w:jc w:val="both"/>
              <w:rPr>
                <w:rFonts w:ascii="Arial" w:hAnsi="Arial"/>
                <w:sz w:val="22"/>
                <w:szCs w:val="20"/>
              </w:rPr>
            </w:pPr>
          </w:p>
        </w:tc>
      </w:tr>
      <w:tr w:rsidR="00666ECE" w:rsidRPr="00666ECE" w:rsidTr="0036281D">
        <w:trPr>
          <w:cantSplit/>
        </w:trPr>
        <w:tc>
          <w:tcPr>
            <w:tcW w:w="8771" w:type="dxa"/>
            <w:tcBorders>
              <w:top w:val="single" w:sz="4" w:space="0" w:color="auto"/>
              <w:left w:val="nil"/>
              <w:bottom w:val="nil"/>
              <w:right w:val="nil"/>
            </w:tcBorders>
            <w:shd w:val="clear" w:color="auto" w:fill="auto"/>
          </w:tcPr>
          <w:p w:rsidR="00666ECE" w:rsidRPr="00666ECE" w:rsidRDefault="00666ECE" w:rsidP="00666ECE">
            <w:pPr>
              <w:keepNext/>
              <w:spacing w:before="60" w:after="60" w:line="80" w:lineRule="exact"/>
              <w:jc w:val="both"/>
              <w:rPr>
                <w:rFonts w:ascii="Arial" w:hAnsi="Arial"/>
                <w:sz w:val="14"/>
                <w:szCs w:val="14"/>
              </w:rPr>
            </w:pPr>
          </w:p>
        </w:tc>
      </w:tr>
    </w:tbl>
    <w:p w:rsidR="00666ECE" w:rsidRPr="00666ECE" w:rsidRDefault="00666ECE" w:rsidP="00666ECE">
      <w:pPr>
        <w:spacing w:before="240" w:line="320" w:lineRule="atLeast"/>
        <w:jc w:val="both"/>
        <w:rPr>
          <w:szCs w:val="20"/>
        </w:rPr>
      </w:pPr>
      <w:r w:rsidRPr="00666ECE">
        <w:rPr>
          <w:szCs w:val="20"/>
        </w:rPr>
        <w:t>This chapter focuses on performance information — equity, effectiveness and efficiency — for government funded school education in Australia. Reporting relates to government funding only, not to the full cost to the community of providing school education. Descriptive information and performance indicators are variously reported for:</w:t>
      </w:r>
    </w:p>
    <w:p w:rsidR="00666ECE" w:rsidRPr="00666ECE" w:rsidRDefault="00666ECE" w:rsidP="003B149C">
      <w:pPr>
        <w:pStyle w:val="ListBullet"/>
      </w:pPr>
      <w:r w:rsidRPr="00666ECE">
        <w:t>government primary and secondary schools</w:t>
      </w:r>
    </w:p>
    <w:p w:rsidR="00666ECE" w:rsidRPr="00666ECE" w:rsidRDefault="00666ECE" w:rsidP="003B149C">
      <w:pPr>
        <w:pStyle w:val="ListBullet"/>
      </w:pPr>
      <w:r w:rsidRPr="00666ECE">
        <w:t>non-government primary and secondary schools</w:t>
      </w:r>
    </w:p>
    <w:p w:rsidR="00666ECE" w:rsidRPr="00666ECE" w:rsidRDefault="00666ECE" w:rsidP="003B149C">
      <w:pPr>
        <w:pStyle w:val="ListBullet"/>
      </w:pPr>
      <w:r w:rsidRPr="00666ECE">
        <w:t>school education as a whole (government plus non-government primary and secondary schools).</w:t>
      </w:r>
    </w:p>
    <w:p w:rsidR="00666ECE" w:rsidRPr="00666ECE" w:rsidRDefault="00666ECE" w:rsidP="00666ECE">
      <w:pPr>
        <w:spacing w:before="240" w:line="320" w:lineRule="atLeast"/>
        <w:jc w:val="both"/>
        <w:rPr>
          <w:szCs w:val="20"/>
        </w:rPr>
      </w:pPr>
      <w:r w:rsidRPr="00666ECE">
        <w:rPr>
          <w:szCs w:val="20"/>
        </w:rPr>
        <w:lastRenderedPageBreak/>
        <w:t xml:space="preserve">Data in this chapter </w:t>
      </w:r>
      <w:r w:rsidR="00CA4833">
        <w:rPr>
          <w:szCs w:val="20"/>
        </w:rPr>
        <w:t>most</w:t>
      </w:r>
      <w:r w:rsidRPr="00666ECE">
        <w:rPr>
          <w:szCs w:val="20"/>
        </w:rPr>
        <w:t xml:space="preserve">ly relate to </w:t>
      </w:r>
      <w:r w:rsidR="00CA4833">
        <w:rPr>
          <w:szCs w:val="20"/>
        </w:rPr>
        <w:t xml:space="preserve">the </w:t>
      </w:r>
      <w:r w:rsidRPr="004F2DCF">
        <w:rPr>
          <w:szCs w:val="20"/>
        </w:rPr>
        <w:t>201</w:t>
      </w:r>
      <w:r w:rsidR="00F670A8">
        <w:rPr>
          <w:szCs w:val="20"/>
        </w:rPr>
        <w:t>2</w:t>
      </w:r>
      <w:r w:rsidRPr="00666ECE">
        <w:rPr>
          <w:szCs w:val="20"/>
        </w:rPr>
        <w:t xml:space="preserve"> </w:t>
      </w:r>
      <w:r w:rsidR="00CA4833">
        <w:rPr>
          <w:szCs w:val="20"/>
        </w:rPr>
        <w:t xml:space="preserve">calendar year </w:t>
      </w:r>
      <w:r w:rsidRPr="00666ECE">
        <w:rPr>
          <w:szCs w:val="20"/>
        </w:rPr>
        <w:t xml:space="preserve">and the </w:t>
      </w:r>
      <w:r w:rsidRPr="004F2DCF">
        <w:rPr>
          <w:szCs w:val="20"/>
        </w:rPr>
        <w:t>201</w:t>
      </w:r>
      <w:r w:rsidR="00F670A8">
        <w:rPr>
          <w:szCs w:val="20"/>
        </w:rPr>
        <w:t>1</w:t>
      </w:r>
      <w:r w:rsidRPr="004F2DCF">
        <w:rPr>
          <w:szCs w:val="20"/>
        </w:rPr>
        <w:t>-1</w:t>
      </w:r>
      <w:r w:rsidR="00F670A8">
        <w:rPr>
          <w:szCs w:val="20"/>
        </w:rPr>
        <w:t>2</w:t>
      </w:r>
      <w:r w:rsidRPr="00666ECE">
        <w:rPr>
          <w:szCs w:val="20"/>
        </w:rPr>
        <w:t xml:space="preserve"> financial year.</w:t>
      </w:r>
    </w:p>
    <w:p w:rsidR="00666ECE" w:rsidRPr="00666ECE" w:rsidRDefault="00666ECE" w:rsidP="00666ECE">
      <w:pPr>
        <w:spacing w:before="240" w:line="320" w:lineRule="atLeast"/>
        <w:jc w:val="both"/>
        <w:rPr>
          <w:szCs w:val="20"/>
        </w:rPr>
      </w:pPr>
      <w:r w:rsidRPr="00666ECE">
        <w:rPr>
          <w:szCs w:val="20"/>
        </w:rPr>
        <w:t>Schooling aims to provide education for all young people. The main purposes of school education are to assist students in:</w:t>
      </w:r>
    </w:p>
    <w:p w:rsidR="00666ECE" w:rsidRPr="00666ECE" w:rsidRDefault="00666ECE" w:rsidP="003B149C">
      <w:pPr>
        <w:pStyle w:val="ListBullet"/>
      </w:pPr>
      <w:r w:rsidRPr="00666ECE">
        <w:t>attaining knowledge, skills and understanding in key learning areas</w:t>
      </w:r>
    </w:p>
    <w:p w:rsidR="00666ECE" w:rsidRPr="00666ECE" w:rsidRDefault="00666ECE" w:rsidP="003B149C">
      <w:pPr>
        <w:pStyle w:val="ListBullet"/>
      </w:pPr>
      <w:r w:rsidRPr="00666ECE">
        <w:t>developing their talents, capacities, self-confidence, self-esteem and respect for others</w:t>
      </w:r>
    </w:p>
    <w:p w:rsidR="00666ECE" w:rsidRPr="00666ECE" w:rsidRDefault="00666ECE" w:rsidP="003B149C">
      <w:pPr>
        <w:pStyle w:val="ListBullet"/>
      </w:pPr>
      <w:r w:rsidRPr="00666ECE">
        <w:t>developing their capacity to contribute to Australia’s social, cultural and economic development.</w:t>
      </w:r>
    </w:p>
    <w:p w:rsidR="00666ECE" w:rsidRPr="00C006D3" w:rsidRDefault="00666ECE" w:rsidP="0080263C">
      <w:pPr>
        <w:spacing w:before="240" w:line="320" w:lineRule="atLeast"/>
        <w:jc w:val="both"/>
      </w:pPr>
      <w:r w:rsidRPr="00C006D3">
        <w:rPr>
          <w:szCs w:val="20"/>
        </w:rPr>
        <w:t>Major improvements in reporting on school education this year include</w:t>
      </w:r>
      <w:r w:rsidR="0080263C" w:rsidRPr="00C006D3">
        <w:rPr>
          <w:szCs w:val="20"/>
        </w:rPr>
        <w:t xml:space="preserve"> </w:t>
      </w:r>
      <w:r w:rsidRPr="00C006D3">
        <w:t>further developments in the ‘learning outcomes’ indicator:</w:t>
      </w:r>
    </w:p>
    <w:p w:rsidR="00666ECE" w:rsidRPr="00C006D3" w:rsidRDefault="00666ECE" w:rsidP="0080263C">
      <w:pPr>
        <w:pStyle w:val="ListBullet"/>
      </w:pPr>
      <w:r w:rsidRPr="00C006D3">
        <w:t xml:space="preserve">reporting </w:t>
      </w:r>
      <w:r w:rsidR="00635573" w:rsidRPr="00C006D3">
        <w:t xml:space="preserve">outcomes of the year 6 </w:t>
      </w:r>
      <w:r w:rsidR="0080263C" w:rsidRPr="00C006D3">
        <w:t>Science literacy</w:t>
      </w:r>
      <w:r w:rsidRPr="00C006D3">
        <w:t xml:space="preserve"> National Assessment Program (NAP)</w:t>
      </w:r>
      <w:r w:rsidR="00635573" w:rsidRPr="00C006D3">
        <w:t xml:space="preserve"> in 201</w:t>
      </w:r>
      <w:r w:rsidR="0080263C" w:rsidRPr="00C006D3">
        <w:t>2</w:t>
      </w:r>
    </w:p>
    <w:p w:rsidR="0080263C" w:rsidRPr="00C006D3" w:rsidRDefault="0080263C" w:rsidP="00031DF6">
      <w:pPr>
        <w:pStyle w:val="ListBullet"/>
        <w:shd w:val="clear" w:color="auto" w:fill="FFFFFF" w:themeFill="background1"/>
      </w:pPr>
      <w:r w:rsidRPr="00C006D3">
        <w:t xml:space="preserve">reporting outcomes of the 2012 Programme for International Student Assessment (PISA) </w:t>
      </w:r>
      <w:r w:rsidRPr="00031DF6">
        <w:rPr>
          <w:shd w:val="clear" w:color="auto" w:fill="FFFFFF" w:themeFill="background1"/>
        </w:rPr>
        <w:t>for reading</w:t>
      </w:r>
      <w:r w:rsidR="00031DF6" w:rsidRPr="00031DF6">
        <w:rPr>
          <w:shd w:val="clear" w:color="auto" w:fill="FFFFFF" w:themeFill="background1"/>
        </w:rPr>
        <w:t xml:space="preserve"> literacy</w:t>
      </w:r>
      <w:r w:rsidR="00CE740B" w:rsidRPr="00031DF6">
        <w:rPr>
          <w:shd w:val="clear" w:color="auto" w:fill="FFFFFF" w:themeFill="background1"/>
        </w:rPr>
        <w:t>, mathematical</w:t>
      </w:r>
      <w:r w:rsidR="00031DF6" w:rsidRPr="00031DF6">
        <w:rPr>
          <w:shd w:val="clear" w:color="auto" w:fill="FFFFFF" w:themeFill="background1"/>
        </w:rPr>
        <w:t xml:space="preserve"> literacy</w:t>
      </w:r>
      <w:r w:rsidR="00CE740B" w:rsidRPr="00031DF6">
        <w:rPr>
          <w:shd w:val="clear" w:color="auto" w:fill="FFFFFF" w:themeFill="background1"/>
        </w:rPr>
        <w:t xml:space="preserve"> and scientific</w:t>
      </w:r>
      <w:r w:rsidRPr="00031DF6">
        <w:rPr>
          <w:shd w:val="clear" w:color="auto" w:fill="FFFFFF" w:themeFill="background1"/>
        </w:rPr>
        <w:t xml:space="preserve"> literacy performance.</w:t>
      </w:r>
      <w:r w:rsidRPr="00C006D3">
        <w:t xml:space="preserve"> In PISA 2012, </w:t>
      </w:r>
      <w:r w:rsidR="00CE740B" w:rsidRPr="00031DF6">
        <w:rPr>
          <w:shd w:val="clear" w:color="auto" w:fill="FFFFFF" w:themeFill="background1"/>
        </w:rPr>
        <w:t>mathematical literacy</w:t>
      </w:r>
      <w:r w:rsidRPr="00C006D3">
        <w:t xml:space="preserve"> was the major assessment domain</w:t>
      </w:r>
    </w:p>
    <w:p w:rsidR="00666ECE" w:rsidRDefault="00666ECE" w:rsidP="0080263C">
      <w:pPr>
        <w:pStyle w:val="ListBullet"/>
      </w:pPr>
      <w:r w:rsidRPr="00C006D3">
        <w:t>rep</w:t>
      </w:r>
      <w:r w:rsidR="0080263C" w:rsidRPr="00C006D3">
        <w:t>orting outcomes of the year 4</w:t>
      </w:r>
      <w:r w:rsidRPr="00C006D3">
        <w:t xml:space="preserve"> 2011 </w:t>
      </w:r>
      <w:r w:rsidR="0080263C" w:rsidRPr="00C006D3">
        <w:t>Progress in International Reading Literacy Study (PIRLS)</w:t>
      </w:r>
      <w:r w:rsidR="001E35A6">
        <w:t xml:space="preserve">, </w:t>
      </w:r>
      <w:r w:rsidR="001B6514">
        <w:t>for</w:t>
      </w:r>
      <w:r w:rsidR="001E35A6">
        <w:t xml:space="preserve"> reading performance</w:t>
      </w:r>
    </w:p>
    <w:p w:rsidR="00A1564B" w:rsidRDefault="00A1564B" w:rsidP="00032235">
      <w:pPr>
        <w:pStyle w:val="ListBullet"/>
        <w:numPr>
          <w:ilvl w:val="1"/>
          <w:numId w:val="4"/>
        </w:numPr>
        <w:shd w:val="clear" w:color="auto" w:fill="FFFFFF" w:themeFill="background1"/>
        <w:tabs>
          <w:tab w:val="num" w:pos="1420"/>
        </w:tabs>
      </w:pPr>
      <w:r>
        <w:t>expansion of time series data from five to ten years for aggregate expenditure and expenditure per full time equivalent student in the attachment tables.</w:t>
      </w:r>
    </w:p>
    <w:p w:rsidR="00666ECE" w:rsidRPr="00666ECE" w:rsidRDefault="00666ECE" w:rsidP="00666ECE">
      <w:pPr>
        <w:keepNext/>
        <w:numPr>
          <w:ilvl w:val="1"/>
          <w:numId w:val="19"/>
        </w:numPr>
        <w:spacing w:before="600" w:line="400" w:lineRule="exact"/>
        <w:outlineLvl w:val="1"/>
        <w:rPr>
          <w:rFonts w:ascii="Arial" w:hAnsi="Arial"/>
          <w:b/>
          <w:sz w:val="32"/>
        </w:rPr>
      </w:pPr>
      <w:bookmarkStart w:id="4" w:name="_Toc374962347"/>
      <w:r w:rsidRPr="00666ECE">
        <w:rPr>
          <w:rFonts w:ascii="Arial" w:hAnsi="Arial"/>
          <w:b/>
          <w:sz w:val="32"/>
        </w:rPr>
        <w:t>Profile of school education</w:t>
      </w:r>
      <w:bookmarkEnd w:id="4"/>
    </w:p>
    <w:p w:rsidR="00666ECE" w:rsidRPr="00666ECE" w:rsidRDefault="00666ECE" w:rsidP="00666ECE">
      <w:pPr>
        <w:keepNext/>
        <w:spacing w:before="560" w:line="320" w:lineRule="exact"/>
        <w:outlineLvl w:val="2"/>
        <w:rPr>
          <w:rFonts w:ascii="Arial" w:hAnsi="Arial"/>
          <w:b/>
        </w:rPr>
      </w:pPr>
      <w:r w:rsidRPr="00666ECE">
        <w:rPr>
          <w:rFonts w:ascii="Arial" w:hAnsi="Arial"/>
          <w:b/>
        </w:rPr>
        <w:t>Service overview</w:t>
      </w:r>
    </w:p>
    <w:p w:rsidR="00666ECE" w:rsidRPr="00E87EFD" w:rsidRDefault="00666ECE" w:rsidP="00666ECE">
      <w:pPr>
        <w:spacing w:before="240" w:line="320" w:lineRule="atLeast"/>
        <w:jc w:val="both"/>
        <w:rPr>
          <w:rStyle w:val="DraftingNote"/>
          <w:color w:val="auto"/>
        </w:rPr>
      </w:pPr>
      <w:r w:rsidRPr="00666ECE">
        <w:rPr>
          <w:szCs w:val="20"/>
        </w:rPr>
        <w:t xml:space="preserve">Schools are the institutions within which organised school education takes place. They are differentiated by the type and level of education </w:t>
      </w:r>
      <w:r w:rsidRPr="00E87EFD">
        <w:rPr>
          <w:szCs w:val="20"/>
        </w:rPr>
        <w:t>they provide, their ownership and management, and the characteristics of their student body. The formal statistical definition of schools used for this chapter is:</w:t>
      </w:r>
      <w:r w:rsidR="00AA13D7" w:rsidRPr="00E87EFD">
        <w:rPr>
          <w:szCs w:val="20"/>
        </w:rPr>
        <w:t xml:space="preserve"> </w:t>
      </w:r>
    </w:p>
    <w:p w:rsidR="00666ECE" w:rsidRPr="00666ECE" w:rsidRDefault="00666ECE" w:rsidP="00666ECE">
      <w:pPr>
        <w:spacing w:before="120" w:line="280" w:lineRule="exact"/>
        <w:ind w:left="340"/>
        <w:jc w:val="both"/>
        <w:rPr>
          <w:sz w:val="24"/>
          <w:szCs w:val="20"/>
        </w:rPr>
      </w:pPr>
      <w:r w:rsidRPr="00666ECE">
        <w:rPr>
          <w:sz w:val="24"/>
          <w:szCs w:val="20"/>
        </w:rPr>
        <w:t xml:space="preserve">an establishment </w:t>
      </w:r>
      <w:r w:rsidR="00CC2C02">
        <w:rPr>
          <w:sz w:val="24"/>
          <w:szCs w:val="20"/>
        </w:rPr>
        <w:t>which</w:t>
      </w:r>
      <w:r w:rsidRPr="00666ECE">
        <w:rPr>
          <w:sz w:val="24"/>
          <w:szCs w:val="20"/>
        </w:rPr>
        <w:t xml:space="preserve"> satisfies all of the following criteria:</w:t>
      </w:r>
    </w:p>
    <w:p w:rsidR="00666ECE" w:rsidRPr="00666ECE" w:rsidRDefault="00666ECE" w:rsidP="00AA13D7">
      <w:pPr>
        <w:pStyle w:val="QuoteBullet"/>
      </w:pPr>
      <w:r w:rsidRPr="00666ECE">
        <w:t xml:space="preserve">its major activity is the provision of full time day primary or secondary education or the provision of primary or secondary distance education </w:t>
      </w:r>
    </w:p>
    <w:p w:rsidR="00666ECE" w:rsidRPr="00666ECE" w:rsidRDefault="00666ECE" w:rsidP="00AA13D7">
      <w:pPr>
        <w:pStyle w:val="QuoteBullet"/>
      </w:pPr>
      <w:r w:rsidRPr="00666ECE">
        <w:t>it is headed by a principal (or equivalent) responsible for its internal operation</w:t>
      </w:r>
    </w:p>
    <w:p w:rsidR="00666ECE" w:rsidRPr="00BA0589" w:rsidRDefault="00666ECE" w:rsidP="00AA13D7">
      <w:pPr>
        <w:pStyle w:val="QuoteBullet"/>
      </w:pPr>
      <w:r w:rsidRPr="00666ECE">
        <w:lastRenderedPageBreak/>
        <w:t xml:space="preserve">it is possible for students to enrol for a minimum of four continuous weeks, excluding breaks for school </w:t>
      </w:r>
      <w:r w:rsidRPr="00BA0589">
        <w:t>vacations (ABS 201</w:t>
      </w:r>
      <w:r w:rsidR="00F670A8">
        <w:t>3</w:t>
      </w:r>
      <w:r w:rsidRPr="00BA0589">
        <w:t xml:space="preserve">). </w:t>
      </w:r>
    </w:p>
    <w:p w:rsidR="00666ECE" w:rsidRPr="00666ECE" w:rsidRDefault="00666ECE" w:rsidP="00666ECE">
      <w:pPr>
        <w:spacing w:before="240" w:line="320" w:lineRule="atLeast"/>
        <w:jc w:val="both"/>
        <w:rPr>
          <w:szCs w:val="20"/>
        </w:rPr>
      </w:pPr>
      <w:r w:rsidRPr="00666ECE">
        <w:rPr>
          <w:szCs w:val="20"/>
        </w:rPr>
        <w:t xml:space="preserve">Student performance can be affected by factors that may be partly or totally outside the influence of the school system, such as student commitment, family environment </w:t>
      </w:r>
      <w:r w:rsidR="00635573">
        <w:rPr>
          <w:szCs w:val="20"/>
        </w:rPr>
        <w:t>(including socio</w:t>
      </w:r>
      <w:r w:rsidR="009131A4">
        <w:rPr>
          <w:szCs w:val="20"/>
        </w:rPr>
        <w:t>-</w:t>
      </w:r>
      <w:r w:rsidR="00635573">
        <w:rPr>
          <w:szCs w:val="20"/>
        </w:rPr>
        <w:t>economic status and</w:t>
      </w:r>
      <w:r w:rsidRPr="00666ECE">
        <w:rPr>
          <w:szCs w:val="20"/>
        </w:rPr>
        <w:t xml:space="preserve"> parents’ educational attainment and support for the child) and the proximity of the school to other educational facilities. It is beyond the scope of this Report to consider the effect of all such factors, but this section provides some context for the performance information presented later in the chapter. Further contextual information about population and household characteristics in each State and Territory is provided in </w:t>
      </w:r>
      <w:r w:rsidR="002D7C16">
        <w:rPr>
          <w:szCs w:val="20"/>
        </w:rPr>
        <w:t>chapter 2 ‘</w:t>
      </w:r>
      <w:r w:rsidR="00031DF6">
        <w:rPr>
          <w:szCs w:val="20"/>
        </w:rPr>
        <w:t>S</w:t>
      </w:r>
      <w:r w:rsidR="002D7C16">
        <w:rPr>
          <w:szCs w:val="20"/>
        </w:rPr>
        <w:t>tatistical context’</w:t>
      </w:r>
      <w:r w:rsidRPr="00666ECE">
        <w:rPr>
          <w:szCs w:val="20"/>
        </w:rPr>
        <w:t>.</w:t>
      </w:r>
    </w:p>
    <w:p w:rsidR="00666ECE" w:rsidRPr="00666ECE" w:rsidRDefault="00666ECE" w:rsidP="00666ECE">
      <w:pPr>
        <w:keepNext/>
        <w:spacing w:before="560" w:line="320" w:lineRule="exact"/>
        <w:outlineLvl w:val="2"/>
        <w:rPr>
          <w:rFonts w:ascii="Arial" w:hAnsi="Arial"/>
          <w:b/>
        </w:rPr>
      </w:pPr>
      <w:r w:rsidRPr="00666ECE">
        <w:rPr>
          <w:rFonts w:ascii="Arial" w:hAnsi="Arial"/>
          <w:b/>
        </w:rPr>
        <w:t>Roles and responsibilities</w:t>
      </w:r>
    </w:p>
    <w:p w:rsidR="00666ECE" w:rsidRPr="00666ECE" w:rsidRDefault="00666ECE" w:rsidP="00666ECE">
      <w:pPr>
        <w:spacing w:before="240" w:line="320" w:lineRule="atLeast"/>
        <w:jc w:val="both"/>
        <w:rPr>
          <w:szCs w:val="20"/>
        </w:rPr>
      </w:pPr>
      <w:r w:rsidRPr="00666ECE">
        <w:rPr>
          <w:szCs w:val="20"/>
        </w:rPr>
        <w:t>Under constitutional arrangements, the State and Territory governments have responsibility to ensure the delivery of schooling to all children of school age. They determine curricula, regulate school activities and provide most of the funding. State and Territory governments are directly responsible for the administration of government schools, for which they provide the majority of government funding. Non-government schools operate under conditions determined by State and Territory government registration authorities and also receive State and Territory government funding.</w:t>
      </w:r>
    </w:p>
    <w:p w:rsidR="00666ECE" w:rsidRPr="00666ECE" w:rsidRDefault="00666ECE" w:rsidP="00666ECE">
      <w:pPr>
        <w:spacing w:before="240" w:line="320" w:lineRule="atLeast"/>
        <w:jc w:val="both"/>
        <w:rPr>
          <w:szCs w:val="20"/>
        </w:rPr>
      </w:pPr>
      <w:r w:rsidRPr="00666ECE">
        <w:rPr>
          <w:szCs w:val="20"/>
        </w:rPr>
        <w:t xml:space="preserve">The major element of Australian Government funding is provided through the National Schools Specific Purpose Payment (SPP), which is associated with the </w:t>
      </w:r>
      <w:r w:rsidR="00635573">
        <w:rPr>
          <w:szCs w:val="20"/>
        </w:rPr>
        <w:t>National Education Agreement (</w:t>
      </w:r>
      <w:r w:rsidRPr="00666ECE">
        <w:rPr>
          <w:szCs w:val="20"/>
        </w:rPr>
        <w:t>NEA</w:t>
      </w:r>
      <w:r w:rsidR="00635573">
        <w:rPr>
          <w:szCs w:val="20"/>
        </w:rPr>
        <w:t>)</w:t>
      </w:r>
      <w:r w:rsidRPr="00666ECE">
        <w:rPr>
          <w:szCs w:val="20"/>
        </w:rPr>
        <w:t xml:space="preserve"> under the Intergovernmental Agreement (IGA) on Federal Financial Relations. The non-government schools funding component of the National Schools SPP is determined by the </w:t>
      </w:r>
      <w:r w:rsidRPr="00666ECE">
        <w:rPr>
          <w:i/>
          <w:szCs w:val="20"/>
        </w:rPr>
        <w:t>Schools Assistance Act 2008</w:t>
      </w:r>
      <w:r w:rsidRPr="00666ECE">
        <w:rPr>
          <w:szCs w:val="20"/>
        </w:rPr>
        <w:t xml:space="preserve">. Both the NEA and the </w:t>
      </w:r>
      <w:r w:rsidRPr="00666ECE">
        <w:rPr>
          <w:i/>
          <w:szCs w:val="20"/>
        </w:rPr>
        <w:t>Schools Assistance Act 2008</w:t>
      </w:r>
      <w:r w:rsidRPr="00666ECE">
        <w:rPr>
          <w:szCs w:val="20"/>
        </w:rPr>
        <w:t xml:space="preserve"> came into effect on 1 January 2009. The Australian Government also provides supplementary funding for government schools and non</w:t>
      </w:r>
      <w:r w:rsidRPr="00666ECE">
        <w:rPr>
          <w:szCs w:val="20"/>
        </w:rPr>
        <w:noBreakHyphen/>
        <w:t xml:space="preserve">government schools through National Partnerships associated with the NEA. Other Australian Government payments of a smaller scale are made directly to school communities, students and other organisations to support schooling. </w:t>
      </w:r>
    </w:p>
    <w:p w:rsidR="00666ECE" w:rsidRPr="00666ECE" w:rsidRDefault="00666ECE" w:rsidP="00666ECE">
      <w:pPr>
        <w:spacing w:before="240" w:line="320" w:lineRule="atLeast"/>
        <w:jc w:val="both"/>
        <w:rPr>
          <w:szCs w:val="20"/>
        </w:rPr>
      </w:pPr>
      <w:r w:rsidRPr="000E6F59">
        <w:rPr>
          <w:szCs w:val="20"/>
        </w:rPr>
        <w:t>The Standing Council for School Education and Early Childhood (SCSEEC)</w:t>
      </w:r>
      <w:r w:rsidRPr="000E6F59">
        <w:rPr>
          <w:position w:val="6"/>
          <w:sz w:val="22"/>
          <w:szCs w:val="20"/>
        </w:rPr>
        <w:footnoteReference w:id="1"/>
      </w:r>
      <w:r w:rsidRPr="000E6F59">
        <w:rPr>
          <w:szCs w:val="20"/>
        </w:rPr>
        <w:t xml:space="preserve"> — comprising Australian, State and Territory, and New Zealand education ministers</w:t>
      </w:r>
      <w:r w:rsidRPr="00666ECE">
        <w:rPr>
          <w:szCs w:val="20"/>
        </w:rPr>
        <w:t xml:space="preserve"> </w:t>
      </w:r>
      <w:r w:rsidRPr="00666ECE">
        <w:rPr>
          <w:szCs w:val="20"/>
        </w:rPr>
        <w:lastRenderedPageBreak/>
        <w:t>— is the principal forum for developing national priorities and strategies for schooling.</w:t>
      </w:r>
    </w:p>
    <w:p w:rsidR="00666ECE" w:rsidRPr="00666ECE" w:rsidRDefault="00666ECE" w:rsidP="00666ECE">
      <w:pPr>
        <w:keepNext/>
        <w:spacing w:before="560" w:line="320" w:lineRule="exact"/>
        <w:outlineLvl w:val="2"/>
        <w:rPr>
          <w:rFonts w:ascii="Arial" w:hAnsi="Arial"/>
          <w:b/>
        </w:rPr>
      </w:pPr>
      <w:r w:rsidRPr="00666ECE">
        <w:rPr>
          <w:rFonts w:ascii="Arial" w:hAnsi="Arial"/>
          <w:b/>
        </w:rPr>
        <w:t>Funding</w:t>
      </w:r>
    </w:p>
    <w:p w:rsidR="00666ECE" w:rsidRPr="00BF18A5" w:rsidRDefault="00666ECE" w:rsidP="00666ECE">
      <w:pPr>
        <w:spacing w:before="240" w:line="320" w:lineRule="atLeast"/>
        <w:jc w:val="both"/>
        <w:rPr>
          <w:szCs w:val="20"/>
        </w:rPr>
      </w:pPr>
      <w:r w:rsidRPr="00BF18A5">
        <w:rPr>
          <w:szCs w:val="20"/>
        </w:rPr>
        <w:t xml:space="preserve">Australian, State and Territory government recurrent expenditure on school </w:t>
      </w:r>
      <w:r w:rsidRPr="00032235">
        <w:rPr>
          <w:szCs w:val="20"/>
          <w:shd w:val="clear" w:color="auto" w:fill="FFFFFF" w:themeFill="background1"/>
        </w:rPr>
        <w:t>education was $</w:t>
      </w:r>
      <w:r w:rsidR="00BF18A5" w:rsidRPr="00032235">
        <w:rPr>
          <w:szCs w:val="20"/>
          <w:shd w:val="clear" w:color="auto" w:fill="FFFFFF" w:themeFill="background1"/>
        </w:rPr>
        <w:t>47.</w:t>
      </w:r>
      <w:r w:rsidR="008C6F9C" w:rsidRPr="00032235">
        <w:rPr>
          <w:szCs w:val="20"/>
          <w:shd w:val="clear" w:color="auto" w:fill="FFFFFF" w:themeFill="background1"/>
        </w:rPr>
        <w:t>1</w:t>
      </w:r>
      <w:r w:rsidRPr="00032235">
        <w:rPr>
          <w:szCs w:val="20"/>
          <w:shd w:val="clear" w:color="auto" w:fill="FFFFFF" w:themeFill="background1"/>
        </w:rPr>
        <w:t xml:space="preserve"> billion in 201</w:t>
      </w:r>
      <w:r w:rsidR="00F670A8" w:rsidRPr="00032235">
        <w:rPr>
          <w:szCs w:val="20"/>
          <w:shd w:val="clear" w:color="auto" w:fill="FFFFFF" w:themeFill="background1"/>
        </w:rPr>
        <w:t>1</w:t>
      </w:r>
      <w:r w:rsidRPr="00032235">
        <w:rPr>
          <w:szCs w:val="20"/>
          <w:shd w:val="clear" w:color="auto" w:fill="FFFFFF" w:themeFill="background1"/>
        </w:rPr>
        <w:t>-1</w:t>
      </w:r>
      <w:r w:rsidR="00F670A8" w:rsidRPr="00032235">
        <w:rPr>
          <w:szCs w:val="20"/>
          <w:shd w:val="clear" w:color="auto" w:fill="FFFFFF" w:themeFill="background1"/>
        </w:rPr>
        <w:t>2</w:t>
      </w:r>
      <w:r w:rsidRPr="00032235">
        <w:rPr>
          <w:szCs w:val="20"/>
          <w:shd w:val="clear" w:color="auto" w:fill="FFFFFF" w:themeFill="background1"/>
        </w:rPr>
        <w:t xml:space="preserve"> (table 4.1). Expenditure on government schools was $</w:t>
      </w:r>
      <w:r w:rsidR="00613CE6" w:rsidRPr="00032235">
        <w:rPr>
          <w:szCs w:val="20"/>
          <w:shd w:val="clear" w:color="auto" w:fill="FFFFFF" w:themeFill="background1"/>
        </w:rPr>
        <w:t>3</w:t>
      </w:r>
      <w:r w:rsidR="00A308AF" w:rsidRPr="00032235">
        <w:rPr>
          <w:szCs w:val="20"/>
          <w:shd w:val="clear" w:color="auto" w:fill="FFFFFF" w:themeFill="background1"/>
        </w:rPr>
        <w:t>6</w:t>
      </w:r>
      <w:r w:rsidR="00613CE6" w:rsidRPr="00032235">
        <w:rPr>
          <w:szCs w:val="20"/>
          <w:shd w:val="clear" w:color="auto" w:fill="FFFFFF" w:themeFill="background1"/>
        </w:rPr>
        <w:t>.</w:t>
      </w:r>
      <w:r w:rsidR="003B149C" w:rsidRPr="00032235">
        <w:rPr>
          <w:szCs w:val="20"/>
          <w:shd w:val="clear" w:color="auto" w:fill="FFFFFF" w:themeFill="background1"/>
        </w:rPr>
        <w:t>5</w:t>
      </w:r>
      <w:r w:rsidR="00613CE6" w:rsidRPr="00032235">
        <w:rPr>
          <w:szCs w:val="20"/>
          <w:shd w:val="clear" w:color="auto" w:fill="FFFFFF" w:themeFill="background1"/>
        </w:rPr>
        <w:t xml:space="preserve"> </w:t>
      </w:r>
      <w:r w:rsidRPr="00032235">
        <w:rPr>
          <w:szCs w:val="20"/>
          <w:shd w:val="clear" w:color="auto" w:fill="FFFFFF" w:themeFill="background1"/>
        </w:rPr>
        <w:t xml:space="preserve">billion, or </w:t>
      </w:r>
      <w:r w:rsidR="00043D6D" w:rsidRPr="00032235">
        <w:rPr>
          <w:szCs w:val="20"/>
        </w:rPr>
        <w:t>77.</w:t>
      </w:r>
      <w:r w:rsidR="008C6F9C" w:rsidRPr="00032235">
        <w:rPr>
          <w:szCs w:val="20"/>
        </w:rPr>
        <w:t>6</w:t>
      </w:r>
      <w:r w:rsidRPr="00032235">
        <w:rPr>
          <w:szCs w:val="20"/>
          <w:shd w:val="clear" w:color="auto" w:fill="FFFFFF" w:themeFill="background1"/>
        </w:rPr>
        <w:t xml:space="preserve"> per cent of total</w:t>
      </w:r>
      <w:r w:rsidR="002D7C16" w:rsidRPr="00032235">
        <w:rPr>
          <w:szCs w:val="20"/>
          <w:shd w:val="clear" w:color="auto" w:fill="FFFFFF" w:themeFill="background1"/>
        </w:rPr>
        <w:t xml:space="preserve"> government recurrent expenditure on school education</w:t>
      </w:r>
      <w:r w:rsidRPr="00032235">
        <w:rPr>
          <w:szCs w:val="20"/>
          <w:shd w:val="clear" w:color="auto" w:fill="FFFFFF" w:themeFill="background1"/>
        </w:rPr>
        <w:t>. Government schools account</w:t>
      </w:r>
      <w:r w:rsidRPr="00BF18A5">
        <w:rPr>
          <w:szCs w:val="20"/>
        </w:rPr>
        <w:t xml:space="preserve"> for most of the expenditure by State and Territory governments. These governments also contribute to the funding of non-government schools and provide services used by both government and non-government schools. </w:t>
      </w:r>
    </w:p>
    <w:p w:rsidR="00666ECE" w:rsidRPr="00BF18A5" w:rsidRDefault="00666ECE" w:rsidP="00F4596F">
      <w:pPr>
        <w:spacing w:before="240" w:line="320" w:lineRule="atLeast"/>
        <w:jc w:val="both"/>
        <w:rPr>
          <w:szCs w:val="20"/>
        </w:rPr>
      </w:pPr>
      <w:r w:rsidRPr="00BF18A5">
        <w:rPr>
          <w:szCs w:val="20"/>
        </w:rPr>
        <w:t xml:space="preserve">Nationally, State and Territory governments </w:t>
      </w:r>
      <w:r w:rsidRPr="00BF18A5">
        <w:rPr>
          <w:szCs w:val="20"/>
          <w:shd w:val="clear" w:color="auto" w:fill="FFFFFF" w:themeFill="background1"/>
        </w:rPr>
        <w:t xml:space="preserve">provided </w:t>
      </w:r>
      <w:r w:rsidR="00BF18A5" w:rsidRPr="00032235">
        <w:rPr>
          <w:szCs w:val="20"/>
          <w:shd w:val="clear" w:color="auto" w:fill="FFFFFF" w:themeFill="background1"/>
        </w:rPr>
        <w:t>87.</w:t>
      </w:r>
      <w:r w:rsidR="008C6F9C" w:rsidRPr="00032235">
        <w:rPr>
          <w:szCs w:val="20"/>
          <w:shd w:val="clear" w:color="auto" w:fill="FFFFFF" w:themeFill="background1"/>
        </w:rPr>
        <w:t>5</w:t>
      </w:r>
      <w:r w:rsidRPr="00BF18A5">
        <w:rPr>
          <w:szCs w:val="20"/>
          <w:shd w:val="clear" w:color="auto" w:fill="FFFFFF" w:themeFill="background1"/>
        </w:rPr>
        <w:t xml:space="preserve"> per cent of total government recurrent expenditure on government schools in </w:t>
      </w:r>
      <w:r w:rsidR="004F2DCF" w:rsidRPr="00BF18A5">
        <w:rPr>
          <w:szCs w:val="20"/>
          <w:shd w:val="clear" w:color="auto" w:fill="FFFFFF" w:themeFill="background1"/>
        </w:rPr>
        <w:t>201</w:t>
      </w:r>
      <w:r w:rsidR="00F670A8" w:rsidRPr="00BF18A5">
        <w:rPr>
          <w:szCs w:val="20"/>
          <w:shd w:val="clear" w:color="auto" w:fill="FFFFFF" w:themeFill="background1"/>
        </w:rPr>
        <w:t>1</w:t>
      </w:r>
      <w:r w:rsidR="004F2DCF" w:rsidRPr="00BF18A5">
        <w:rPr>
          <w:szCs w:val="20"/>
          <w:shd w:val="clear" w:color="auto" w:fill="FFFFFF" w:themeFill="background1"/>
        </w:rPr>
        <w:t>-1</w:t>
      </w:r>
      <w:r w:rsidR="00F670A8" w:rsidRPr="00BF18A5">
        <w:rPr>
          <w:szCs w:val="20"/>
          <w:shd w:val="clear" w:color="auto" w:fill="FFFFFF" w:themeFill="background1"/>
        </w:rPr>
        <w:t>2</w:t>
      </w:r>
      <w:r w:rsidRPr="00BF18A5">
        <w:rPr>
          <w:szCs w:val="20"/>
          <w:shd w:val="clear" w:color="auto" w:fill="FFFFFF" w:themeFill="background1"/>
        </w:rPr>
        <w:t xml:space="preserve">, and the Australian Government provided </w:t>
      </w:r>
      <w:r w:rsidR="00BF18A5" w:rsidRPr="00032235">
        <w:rPr>
          <w:szCs w:val="20"/>
          <w:shd w:val="clear" w:color="auto" w:fill="FFFFFF" w:themeFill="background1"/>
        </w:rPr>
        <w:t>12.</w:t>
      </w:r>
      <w:r w:rsidR="008C6F9C" w:rsidRPr="00032235">
        <w:rPr>
          <w:szCs w:val="20"/>
          <w:shd w:val="clear" w:color="auto" w:fill="FFFFFF" w:themeFill="background1"/>
        </w:rPr>
        <w:t>5</w:t>
      </w:r>
      <w:r w:rsidRPr="00BF18A5">
        <w:rPr>
          <w:szCs w:val="20"/>
          <w:shd w:val="clear" w:color="auto" w:fill="FFFFFF" w:themeFill="background1"/>
        </w:rPr>
        <w:t xml:space="preserve"> per cent. In contrast, government expenditure on </w:t>
      </w:r>
      <w:r w:rsidRPr="00032235">
        <w:rPr>
          <w:szCs w:val="20"/>
        </w:rPr>
        <w:t>non-government schools in that year was mainly provided by the Australian Government (</w:t>
      </w:r>
      <w:r w:rsidR="00BF18A5" w:rsidRPr="00032235">
        <w:rPr>
          <w:szCs w:val="20"/>
        </w:rPr>
        <w:t>73.</w:t>
      </w:r>
      <w:r w:rsidR="008C6F9C" w:rsidRPr="00032235">
        <w:rPr>
          <w:szCs w:val="20"/>
        </w:rPr>
        <w:t>4</w:t>
      </w:r>
      <w:r w:rsidRPr="00032235">
        <w:rPr>
          <w:szCs w:val="20"/>
        </w:rPr>
        <w:t xml:space="preserve"> per cent), with State and Territory governments providing </w:t>
      </w:r>
      <w:r w:rsidR="00BF18A5" w:rsidRPr="00032235">
        <w:rPr>
          <w:szCs w:val="20"/>
        </w:rPr>
        <w:t>26.</w:t>
      </w:r>
      <w:r w:rsidR="008C6F9C" w:rsidRPr="00032235">
        <w:rPr>
          <w:szCs w:val="20"/>
        </w:rPr>
        <w:t>6</w:t>
      </w:r>
      <w:r w:rsidRPr="00032235">
        <w:rPr>
          <w:szCs w:val="20"/>
        </w:rPr>
        <w:t> per cent</w:t>
      </w:r>
      <w:r w:rsidRPr="00BF18A5">
        <w:rPr>
          <w:szCs w:val="20"/>
          <w:shd w:val="clear" w:color="auto" w:fill="FFFFFF" w:themeFill="background1"/>
        </w:rPr>
        <w:t xml:space="preserve"> (table 4.1).</w:t>
      </w:r>
    </w:p>
    <w:p w:rsidR="009807CA" w:rsidRDefault="00666ECE" w:rsidP="00F4596F">
      <w:pPr>
        <w:spacing w:before="240" w:line="320" w:lineRule="atLeast"/>
        <w:jc w:val="both"/>
        <w:rPr>
          <w:szCs w:val="20"/>
        </w:rPr>
      </w:pPr>
      <w:r w:rsidRPr="00666ECE">
        <w:rPr>
          <w:szCs w:val="20"/>
        </w:rPr>
        <w:t xml:space="preserve">More information </w:t>
      </w:r>
      <w:r w:rsidR="002D7C16">
        <w:rPr>
          <w:szCs w:val="20"/>
        </w:rPr>
        <w:t xml:space="preserve">on funding and expenditure </w:t>
      </w:r>
      <w:r w:rsidRPr="00666ECE">
        <w:rPr>
          <w:szCs w:val="20"/>
        </w:rPr>
        <w:t xml:space="preserve">can be found in tables </w:t>
      </w:r>
      <w:r w:rsidRPr="002E2217">
        <w:rPr>
          <w:szCs w:val="20"/>
        </w:rPr>
        <w:t>4A.7</w:t>
      </w:r>
      <w:r w:rsidR="009807CA">
        <w:rPr>
          <w:szCs w:val="20"/>
        </w:rPr>
        <w:t>–9.</w:t>
      </w:r>
    </w:p>
    <w:p w:rsidR="003B149C" w:rsidRDefault="003B149C">
      <w:pPr>
        <w:rPr>
          <w:rFonts w:ascii="Arial" w:hAnsi="Arial"/>
        </w:rPr>
      </w:pPr>
      <w:r>
        <w:rPr>
          <w:rFonts w:ascii="Arial" w:hAnsi="Arial"/>
        </w:rPr>
        <w:br w:type="page"/>
      </w:r>
    </w:p>
    <w:p w:rsidR="00666ECE" w:rsidRPr="00F670A8" w:rsidRDefault="00666ECE" w:rsidP="002C3941">
      <w:pPr>
        <w:pStyle w:val="TableTitle"/>
      </w:pPr>
      <w:r w:rsidRPr="007A7568">
        <w:rPr>
          <w:rStyle w:val="BoxTitleChar"/>
        </w:rPr>
        <w:lastRenderedPageBreak/>
        <w:t xml:space="preserve">Table </w:t>
      </w:r>
      <w:r w:rsidR="00EB256F" w:rsidRPr="007A7568">
        <w:rPr>
          <w:rStyle w:val="BoxTitleChar"/>
        </w:rPr>
        <w:t>4.</w:t>
      </w:r>
      <w:r w:rsidR="00EC06F7" w:rsidRPr="007A7568">
        <w:rPr>
          <w:rStyle w:val="BoxTitleChar"/>
        </w:rPr>
        <w:t>1</w:t>
      </w:r>
      <w:r w:rsidRPr="007A7568">
        <w:rPr>
          <w:rStyle w:val="BoxTitleChar"/>
        </w:rPr>
        <w:tab/>
      </w:r>
      <w:r w:rsidRPr="007A7568">
        <w:rPr>
          <w:rStyle w:val="BoxTitleChar"/>
          <w:b/>
        </w:rPr>
        <w:t>Government recurrent expenditure on school education, 201</w:t>
      </w:r>
      <w:r w:rsidR="00F670A8" w:rsidRPr="007A7568">
        <w:rPr>
          <w:rStyle w:val="BoxTitleChar"/>
          <w:b/>
        </w:rPr>
        <w:t>1</w:t>
      </w:r>
      <w:r w:rsidRPr="007A7568">
        <w:rPr>
          <w:rStyle w:val="BoxTitleChar"/>
          <w:b/>
        </w:rPr>
        <w:t>-1</w:t>
      </w:r>
      <w:r w:rsidR="00F670A8" w:rsidRPr="007A7568">
        <w:rPr>
          <w:rStyle w:val="BoxTitleChar"/>
          <w:b/>
        </w:rPr>
        <w:t>2</w:t>
      </w:r>
      <w:r w:rsidRPr="007A7568">
        <w:rPr>
          <w:rStyle w:val="BoxTitleChar"/>
          <w:b/>
        </w:rPr>
        <w:t xml:space="preserve"> ($ million)</w:t>
      </w:r>
      <w:r w:rsidRPr="00F670A8">
        <w:rPr>
          <w:position w:val="6"/>
          <w:sz w:val="18"/>
        </w:rPr>
        <w:t>a, b, c, d</w:t>
      </w:r>
    </w:p>
    <w:tbl>
      <w:tblPr>
        <w:tblW w:w="8790" w:type="dxa"/>
        <w:tblLayout w:type="fixed"/>
        <w:tblCellMar>
          <w:left w:w="0" w:type="dxa"/>
          <w:right w:w="0" w:type="dxa"/>
        </w:tblCellMar>
        <w:tblLook w:val="0000" w:firstRow="0" w:lastRow="0" w:firstColumn="0" w:lastColumn="0" w:noHBand="0" w:noVBand="0"/>
      </w:tblPr>
      <w:tblGrid>
        <w:gridCol w:w="2268"/>
        <w:gridCol w:w="851"/>
        <w:gridCol w:w="850"/>
        <w:gridCol w:w="709"/>
        <w:gridCol w:w="709"/>
        <w:gridCol w:w="709"/>
        <w:gridCol w:w="708"/>
        <w:gridCol w:w="562"/>
        <w:gridCol w:w="572"/>
        <w:gridCol w:w="852"/>
      </w:tblGrid>
      <w:tr w:rsidR="00D612DE" w:rsidRPr="00D612DE" w:rsidTr="005F7911">
        <w:tc>
          <w:tcPr>
            <w:tcW w:w="2268" w:type="dxa"/>
            <w:tcBorders>
              <w:top w:val="single" w:sz="6" w:space="0" w:color="auto"/>
              <w:bottom w:val="single" w:sz="6" w:space="0" w:color="auto"/>
            </w:tcBorders>
            <w:shd w:val="clear" w:color="auto" w:fill="auto"/>
          </w:tcPr>
          <w:p w:rsidR="00666ECE" w:rsidRPr="00D612DE" w:rsidRDefault="00666ECE" w:rsidP="00666ECE">
            <w:pPr>
              <w:keepNext/>
              <w:keepLines/>
              <w:spacing w:before="80" w:after="80" w:line="220" w:lineRule="atLeast"/>
              <w:ind w:left="6" w:right="113"/>
              <w:rPr>
                <w:rFonts w:ascii="Arial" w:hAnsi="Arial"/>
                <w:i/>
                <w:sz w:val="20"/>
                <w:szCs w:val="20"/>
              </w:rPr>
            </w:pPr>
          </w:p>
        </w:tc>
        <w:tc>
          <w:tcPr>
            <w:tcW w:w="851" w:type="dxa"/>
            <w:tcBorders>
              <w:top w:val="single" w:sz="6" w:space="0" w:color="auto"/>
              <w:bottom w:val="single" w:sz="6" w:space="0" w:color="auto"/>
            </w:tcBorders>
            <w:shd w:val="clear" w:color="auto" w:fill="auto"/>
          </w:tcPr>
          <w:p w:rsidR="00666ECE" w:rsidRPr="009A52FC" w:rsidRDefault="00666ECE" w:rsidP="003B149C">
            <w:pPr>
              <w:pStyle w:val="TableColumnHeading"/>
            </w:pPr>
            <w:r w:rsidRPr="009A52FC">
              <w:t>NSW</w:t>
            </w:r>
          </w:p>
        </w:tc>
        <w:tc>
          <w:tcPr>
            <w:tcW w:w="850" w:type="dxa"/>
            <w:tcBorders>
              <w:top w:val="single" w:sz="6" w:space="0" w:color="auto"/>
              <w:bottom w:val="single" w:sz="6" w:space="0" w:color="auto"/>
            </w:tcBorders>
            <w:shd w:val="clear" w:color="auto" w:fill="auto"/>
          </w:tcPr>
          <w:p w:rsidR="00666ECE" w:rsidRPr="009A52FC" w:rsidRDefault="00666ECE" w:rsidP="003B149C">
            <w:pPr>
              <w:pStyle w:val="TableColumnHeading"/>
            </w:pPr>
            <w:r w:rsidRPr="009A52FC">
              <w:t>Vic</w:t>
            </w:r>
          </w:p>
        </w:tc>
        <w:tc>
          <w:tcPr>
            <w:tcW w:w="709" w:type="dxa"/>
            <w:tcBorders>
              <w:top w:val="single" w:sz="6" w:space="0" w:color="auto"/>
              <w:bottom w:val="single" w:sz="6" w:space="0" w:color="auto"/>
            </w:tcBorders>
            <w:shd w:val="clear" w:color="auto" w:fill="auto"/>
          </w:tcPr>
          <w:p w:rsidR="00666ECE" w:rsidRPr="009A52FC" w:rsidRDefault="00666ECE" w:rsidP="003B149C">
            <w:pPr>
              <w:pStyle w:val="TableColumnHeading"/>
            </w:pPr>
            <w:r w:rsidRPr="009A52FC">
              <w:t>Qld</w:t>
            </w:r>
          </w:p>
        </w:tc>
        <w:tc>
          <w:tcPr>
            <w:tcW w:w="709" w:type="dxa"/>
            <w:tcBorders>
              <w:top w:val="single" w:sz="6" w:space="0" w:color="auto"/>
              <w:bottom w:val="single" w:sz="6" w:space="0" w:color="auto"/>
            </w:tcBorders>
            <w:shd w:val="clear" w:color="auto" w:fill="auto"/>
          </w:tcPr>
          <w:p w:rsidR="00666ECE" w:rsidRPr="009A52FC" w:rsidRDefault="00666ECE" w:rsidP="003B149C">
            <w:pPr>
              <w:pStyle w:val="TableColumnHeading"/>
            </w:pPr>
            <w:r w:rsidRPr="009A52FC">
              <w:t>WA</w:t>
            </w:r>
          </w:p>
        </w:tc>
        <w:tc>
          <w:tcPr>
            <w:tcW w:w="709" w:type="dxa"/>
            <w:tcBorders>
              <w:top w:val="single" w:sz="6" w:space="0" w:color="auto"/>
              <w:bottom w:val="single" w:sz="6" w:space="0" w:color="auto"/>
            </w:tcBorders>
            <w:shd w:val="clear" w:color="auto" w:fill="auto"/>
          </w:tcPr>
          <w:p w:rsidR="00666ECE" w:rsidRPr="009A52FC" w:rsidRDefault="00666ECE" w:rsidP="003B149C">
            <w:pPr>
              <w:pStyle w:val="TableColumnHeading"/>
            </w:pPr>
            <w:r w:rsidRPr="009A52FC">
              <w:t>SA</w:t>
            </w:r>
          </w:p>
        </w:tc>
        <w:tc>
          <w:tcPr>
            <w:tcW w:w="708" w:type="dxa"/>
            <w:tcBorders>
              <w:top w:val="single" w:sz="6" w:space="0" w:color="auto"/>
              <w:bottom w:val="single" w:sz="6" w:space="0" w:color="auto"/>
            </w:tcBorders>
            <w:shd w:val="clear" w:color="auto" w:fill="auto"/>
          </w:tcPr>
          <w:p w:rsidR="00666ECE" w:rsidRPr="009A52FC" w:rsidRDefault="00666ECE" w:rsidP="003B149C">
            <w:pPr>
              <w:pStyle w:val="TableColumnHeading"/>
            </w:pPr>
            <w:r w:rsidRPr="009A52FC">
              <w:t>Tas</w:t>
            </w:r>
          </w:p>
        </w:tc>
        <w:tc>
          <w:tcPr>
            <w:tcW w:w="562" w:type="dxa"/>
            <w:tcBorders>
              <w:top w:val="single" w:sz="6" w:space="0" w:color="auto"/>
              <w:bottom w:val="single" w:sz="6" w:space="0" w:color="auto"/>
            </w:tcBorders>
            <w:shd w:val="clear" w:color="auto" w:fill="auto"/>
          </w:tcPr>
          <w:p w:rsidR="00666ECE" w:rsidRPr="009A52FC" w:rsidRDefault="00666ECE" w:rsidP="003B149C">
            <w:pPr>
              <w:pStyle w:val="TableColumnHeading"/>
            </w:pPr>
            <w:r w:rsidRPr="009A52FC">
              <w:t>ACT</w:t>
            </w:r>
          </w:p>
        </w:tc>
        <w:tc>
          <w:tcPr>
            <w:tcW w:w="572" w:type="dxa"/>
            <w:tcBorders>
              <w:top w:val="single" w:sz="6" w:space="0" w:color="auto"/>
              <w:bottom w:val="single" w:sz="6" w:space="0" w:color="auto"/>
            </w:tcBorders>
            <w:shd w:val="clear" w:color="auto" w:fill="auto"/>
          </w:tcPr>
          <w:p w:rsidR="00666ECE" w:rsidRPr="009A52FC" w:rsidRDefault="00666ECE" w:rsidP="003B149C">
            <w:pPr>
              <w:pStyle w:val="TableColumnHeading"/>
            </w:pPr>
            <w:r w:rsidRPr="009A52FC">
              <w:t>NT</w:t>
            </w:r>
          </w:p>
        </w:tc>
        <w:tc>
          <w:tcPr>
            <w:tcW w:w="852" w:type="dxa"/>
            <w:tcBorders>
              <w:top w:val="single" w:sz="6" w:space="0" w:color="auto"/>
              <w:bottom w:val="single" w:sz="6" w:space="0" w:color="auto"/>
            </w:tcBorders>
            <w:shd w:val="clear" w:color="auto" w:fill="auto"/>
          </w:tcPr>
          <w:p w:rsidR="00666ECE" w:rsidRPr="009A52FC" w:rsidRDefault="00666ECE" w:rsidP="003B149C">
            <w:pPr>
              <w:pStyle w:val="TableColumnHeading"/>
            </w:pPr>
            <w:r w:rsidRPr="009A52FC">
              <w:t>Aust</w:t>
            </w:r>
          </w:p>
        </w:tc>
      </w:tr>
      <w:tr w:rsidR="00EB256F" w:rsidRPr="00EB256F" w:rsidTr="005F7911">
        <w:tc>
          <w:tcPr>
            <w:tcW w:w="2268" w:type="dxa"/>
          </w:tcPr>
          <w:p w:rsidR="00666ECE" w:rsidRPr="00D612DE" w:rsidRDefault="00666ECE" w:rsidP="00666ECE">
            <w:pPr>
              <w:keepNext/>
              <w:keepLines/>
              <w:spacing w:after="40" w:line="220" w:lineRule="atLeast"/>
              <w:ind w:left="6" w:right="113"/>
              <w:rPr>
                <w:rFonts w:ascii="Arial" w:hAnsi="Arial"/>
                <w:sz w:val="20"/>
                <w:szCs w:val="20"/>
              </w:rPr>
            </w:pPr>
            <w:r w:rsidRPr="00D612DE">
              <w:rPr>
                <w:rFonts w:ascii="Arial" w:hAnsi="Arial"/>
                <w:sz w:val="20"/>
                <w:szCs w:val="20"/>
              </w:rPr>
              <w:t>Government schools</w:t>
            </w:r>
          </w:p>
        </w:tc>
        <w:tc>
          <w:tcPr>
            <w:tcW w:w="851" w:type="dxa"/>
          </w:tcPr>
          <w:p w:rsidR="00666ECE" w:rsidRPr="009A52FC" w:rsidRDefault="00666ECE" w:rsidP="00666ECE">
            <w:pPr>
              <w:keepNext/>
              <w:keepLines/>
              <w:spacing w:after="40" w:line="220" w:lineRule="atLeast"/>
              <w:ind w:left="6" w:right="113"/>
              <w:jc w:val="right"/>
              <w:rPr>
                <w:rFonts w:ascii="Arial" w:hAnsi="Arial"/>
                <w:sz w:val="20"/>
                <w:szCs w:val="20"/>
                <w:highlight w:val="red"/>
              </w:rPr>
            </w:pPr>
          </w:p>
        </w:tc>
        <w:tc>
          <w:tcPr>
            <w:tcW w:w="850" w:type="dxa"/>
          </w:tcPr>
          <w:p w:rsidR="00666ECE" w:rsidRPr="009A52FC" w:rsidRDefault="00666ECE" w:rsidP="00666ECE">
            <w:pPr>
              <w:keepNext/>
              <w:keepLines/>
              <w:spacing w:after="40" w:line="220" w:lineRule="atLeast"/>
              <w:ind w:left="6" w:right="113"/>
              <w:jc w:val="right"/>
              <w:rPr>
                <w:rFonts w:ascii="Arial" w:hAnsi="Arial"/>
                <w:sz w:val="20"/>
                <w:szCs w:val="20"/>
                <w:highlight w:val="red"/>
              </w:rPr>
            </w:pPr>
          </w:p>
        </w:tc>
        <w:tc>
          <w:tcPr>
            <w:tcW w:w="709" w:type="dxa"/>
          </w:tcPr>
          <w:p w:rsidR="00666ECE" w:rsidRPr="009A52FC" w:rsidRDefault="00666ECE" w:rsidP="00666ECE">
            <w:pPr>
              <w:keepNext/>
              <w:keepLines/>
              <w:spacing w:after="40" w:line="220" w:lineRule="atLeast"/>
              <w:ind w:left="6" w:right="113"/>
              <w:jc w:val="right"/>
              <w:rPr>
                <w:rFonts w:ascii="Arial" w:hAnsi="Arial"/>
                <w:sz w:val="20"/>
                <w:szCs w:val="20"/>
                <w:highlight w:val="red"/>
              </w:rPr>
            </w:pPr>
          </w:p>
        </w:tc>
        <w:tc>
          <w:tcPr>
            <w:tcW w:w="709" w:type="dxa"/>
          </w:tcPr>
          <w:p w:rsidR="00666ECE" w:rsidRPr="009A52FC" w:rsidRDefault="00666ECE" w:rsidP="00666ECE">
            <w:pPr>
              <w:keepNext/>
              <w:keepLines/>
              <w:spacing w:after="40" w:line="220" w:lineRule="atLeast"/>
              <w:ind w:left="6" w:right="113"/>
              <w:jc w:val="right"/>
              <w:rPr>
                <w:rFonts w:ascii="Arial" w:hAnsi="Arial"/>
                <w:sz w:val="20"/>
                <w:szCs w:val="20"/>
                <w:highlight w:val="red"/>
              </w:rPr>
            </w:pPr>
          </w:p>
        </w:tc>
        <w:tc>
          <w:tcPr>
            <w:tcW w:w="709" w:type="dxa"/>
          </w:tcPr>
          <w:p w:rsidR="00666ECE" w:rsidRPr="009A52FC" w:rsidRDefault="00666ECE" w:rsidP="00666ECE">
            <w:pPr>
              <w:keepNext/>
              <w:keepLines/>
              <w:spacing w:after="40" w:line="220" w:lineRule="atLeast"/>
              <w:ind w:left="6" w:right="113"/>
              <w:jc w:val="right"/>
              <w:rPr>
                <w:rFonts w:ascii="Arial" w:hAnsi="Arial"/>
                <w:sz w:val="20"/>
                <w:szCs w:val="20"/>
                <w:highlight w:val="red"/>
              </w:rPr>
            </w:pPr>
          </w:p>
        </w:tc>
        <w:tc>
          <w:tcPr>
            <w:tcW w:w="708" w:type="dxa"/>
          </w:tcPr>
          <w:p w:rsidR="00666ECE" w:rsidRPr="009A52FC" w:rsidRDefault="00666ECE" w:rsidP="00666ECE">
            <w:pPr>
              <w:keepNext/>
              <w:keepLines/>
              <w:spacing w:after="40" w:line="220" w:lineRule="atLeast"/>
              <w:ind w:left="6" w:right="113"/>
              <w:jc w:val="right"/>
              <w:rPr>
                <w:rFonts w:ascii="Arial" w:hAnsi="Arial"/>
                <w:sz w:val="20"/>
                <w:szCs w:val="20"/>
                <w:highlight w:val="red"/>
              </w:rPr>
            </w:pPr>
          </w:p>
        </w:tc>
        <w:tc>
          <w:tcPr>
            <w:tcW w:w="562" w:type="dxa"/>
          </w:tcPr>
          <w:p w:rsidR="00666ECE" w:rsidRPr="009A52FC" w:rsidRDefault="00666ECE" w:rsidP="00666ECE">
            <w:pPr>
              <w:keepNext/>
              <w:keepLines/>
              <w:spacing w:after="40" w:line="220" w:lineRule="atLeast"/>
              <w:ind w:left="6" w:right="113"/>
              <w:jc w:val="right"/>
              <w:rPr>
                <w:rFonts w:ascii="Arial" w:hAnsi="Arial"/>
                <w:sz w:val="20"/>
                <w:szCs w:val="20"/>
                <w:highlight w:val="red"/>
              </w:rPr>
            </w:pPr>
          </w:p>
        </w:tc>
        <w:tc>
          <w:tcPr>
            <w:tcW w:w="572" w:type="dxa"/>
          </w:tcPr>
          <w:p w:rsidR="00666ECE" w:rsidRPr="009A52FC" w:rsidRDefault="00666ECE" w:rsidP="00666ECE">
            <w:pPr>
              <w:keepNext/>
              <w:keepLines/>
              <w:spacing w:after="40" w:line="220" w:lineRule="atLeast"/>
              <w:ind w:left="6" w:right="113"/>
              <w:jc w:val="right"/>
              <w:rPr>
                <w:rFonts w:ascii="Arial" w:hAnsi="Arial"/>
                <w:sz w:val="20"/>
                <w:szCs w:val="20"/>
                <w:highlight w:val="red"/>
              </w:rPr>
            </w:pPr>
          </w:p>
        </w:tc>
        <w:tc>
          <w:tcPr>
            <w:tcW w:w="852" w:type="dxa"/>
          </w:tcPr>
          <w:p w:rsidR="00666ECE" w:rsidRPr="009A52FC" w:rsidRDefault="00666ECE" w:rsidP="00666ECE">
            <w:pPr>
              <w:keepNext/>
              <w:keepLines/>
              <w:spacing w:after="40" w:line="220" w:lineRule="atLeast"/>
              <w:ind w:left="6" w:right="113"/>
              <w:jc w:val="right"/>
              <w:rPr>
                <w:rFonts w:ascii="Arial" w:hAnsi="Arial"/>
                <w:sz w:val="20"/>
                <w:szCs w:val="20"/>
                <w:highlight w:val="red"/>
              </w:rPr>
            </w:pPr>
          </w:p>
        </w:tc>
      </w:tr>
      <w:tr w:rsidR="00A308AF" w:rsidRPr="00EB256F" w:rsidTr="00032235">
        <w:tc>
          <w:tcPr>
            <w:tcW w:w="2268" w:type="dxa"/>
            <w:shd w:val="clear" w:color="auto" w:fill="auto"/>
          </w:tcPr>
          <w:p w:rsidR="00A308AF" w:rsidRPr="00D612DE" w:rsidRDefault="00A308AF" w:rsidP="00666ECE">
            <w:pPr>
              <w:keepNext/>
              <w:keepLines/>
              <w:spacing w:after="40" w:line="220" w:lineRule="atLeast"/>
              <w:ind w:left="137" w:right="113"/>
              <w:rPr>
                <w:rFonts w:ascii="Arial" w:hAnsi="Arial"/>
                <w:sz w:val="20"/>
                <w:szCs w:val="20"/>
              </w:rPr>
            </w:pPr>
            <w:r w:rsidRPr="00D612DE">
              <w:rPr>
                <w:rFonts w:ascii="Arial" w:hAnsi="Arial"/>
                <w:sz w:val="20"/>
                <w:szCs w:val="20"/>
              </w:rPr>
              <w:t>Australian Government</w:t>
            </w:r>
          </w:p>
        </w:tc>
        <w:tc>
          <w:tcPr>
            <w:tcW w:w="851" w:type="dxa"/>
            <w:shd w:val="clear" w:color="auto" w:fill="auto"/>
            <w:vAlign w:val="center"/>
          </w:tcPr>
          <w:p w:rsidR="00A308AF" w:rsidRPr="009A52FC" w:rsidRDefault="00A308AF" w:rsidP="008C6F9C">
            <w:pPr>
              <w:pStyle w:val="TableBodyText"/>
            </w:pPr>
            <w:r w:rsidRPr="009A52FC">
              <w:t xml:space="preserve">1 </w:t>
            </w:r>
            <w:r w:rsidR="008C6F9C">
              <w:t>516</w:t>
            </w:r>
          </w:p>
        </w:tc>
        <w:tc>
          <w:tcPr>
            <w:tcW w:w="850" w:type="dxa"/>
            <w:shd w:val="clear" w:color="auto" w:fill="auto"/>
            <w:vAlign w:val="center"/>
          </w:tcPr>
          <w:p w:rsidR="00A308AF" w:rsidRPr="009A52FC" w:rsidRDefault="00A308AF" w:rsidP="000F0C6D">
            <w:pPr>
              <w:pStyle w:val="TableBodyText"/>
            </w:pPr>
            <w:r w:rsidRPr="009A52FC">
              <w:t>1 0</w:t>
            </w:r>
            <w:r w:rsidR="008C6F9C">
              <w:t>2</w:t>
            </w:r>
            <w:r w:rsidR="000F0C6D">
              <w:t>8</w:t>
            </w:r>
            <w:r w:rsidRPr="009A52FC">
              <w:t xml:space="preserve"> </w:t>
            </w:r>
          </w:p>
        </w:tc>
        <w:tc>
          <w:tcPr>
            <w:tcW w:w="709" w:type="dxa"/>
            <w:shd w:val="clear" w:color="auto" w:fill="auto"/>
            <w:vAlign w:val="center"/>
          </w:tcPr>
          <w:p w:rsidR="00A308AF" w:rsidRPr="009A52FC" w:rsidRDefault="00A308AF" w:rsidP="008C6F9C">
            <w:pPr>
              <w:pStyle w:val="TableBodyText"/>
            </w:pPr>
            <w:r w:rsidRPr="009A52FC">
              <w:t xml:space="preserve"> </w:t>
            </w:r>
            <w:r w:rsidR="008C6F9C">
              <w:t>917</w:t>
            </w:r>
            <w:r w:rsidRPr="009A52FC">
              <w:t xml:space="preserve"> </w:t>
            </w:r>
          </w:p>
        </w:tc>
        <w:tc>
          <w:tcPr>
            <w:tcW w:w="709" w:type="dxa"/>
            <w:shd w:val="clear" w:color="auto" w:fill="auto"/>
            <w:vAlign w:val="center"/>
          </w:tcPr>
          <w:p w:rsidR="00A308AF" w:rsidRPr="009A52FC" w:rsidRDefault="00A308AF" w:rsidP="000F0C6D">
            <w:pPr>
              <w:pStyle w:val="TableBodyText"/>
            </w:pPr>
            <w:r w:rsidRPr="009A52FC">
              <w:t xml:space="preserve"> </w:t>
            </w:r>
            <w:r w:rsidR="00877681" w:rsidRPr="009A52FC">
              <w:t>4</w:t>
            </w:r>
            <w:r w:rsidR="008C6F9C">
              <w:t>5</w:t>
            </w:r>
            <w:r w:rsidR="000F0C6D">
              <w:t>2</w:t>
            </w:r>
          </w:p>
        </w:tc>
        <w:tc>
          <w:tcPr>
            <w:tcW w:w="709" w:type="dxa"/>
            <w:shd w:val="clear" w:color="auto" w:fill="auto"/>
            <w:vAlign w:val="center"/>
          </w:tcPr>
          <w:p w:rsidR="00A308AF" w:rsidRPr="009A52FC" w:rsidRDefault="00982591" w:rsidP="000F0C6D">
            <w:pPr>
              <w:pStyle w:val="TableBodyText"/>
            </w:pPr>
            <w:r w:rsidRPr="009A52FC">
              <w:t>3</w:t>
            </w:r>
            <w:r w:rsidR="008C6F9C">
              <w:t>4</w:t>
            </w:r>
            <w:r w:rsidR="000F0C6D">
              <w:t>7</w:t>
            </w:r>
          </w:p>
        </w:tc>
        <w:tc>
          <w:tcPr>
            <w:tcW w:w="708" w:type="dxa"/>
            <w:shd w:val="clear" w:color="auto" w:fill="auto"/>
            <w:vAlign w:val="center"/>
          </w:tcPr>
          <w:p w:rsidR="00A308AF" w:rsidRPr="009A52FC" w:rsidRDefault="00A308AF" w:rsidP="008C6F9C">
            <w:pPr>
              <w:pStyle w:val="TableBodyText"/>
            </w:pPr>
            <w:r w:rsidRPr="009A52FC">
              <w:t xml:space="preserve"> 1</w:t>
            </w:r>
            <w:r w:rsidR="008C6F9C">
              <w:t>31</w:t>
            </w:r>
          </w:p>
        </w:tc>
        <w:tc>
          <w:tcPr>
            <w:tcW w:w="562" w:type="dxa"/>
            <w:shd w:val="clear" w:color="auto" w:fill="auto"/>
            <w:vAlign w:val="center"/>
          </w:tcPr>
          <w:p w:rsidR="00A308AF" w:rsidRPr="009A52FC" w:rsidRDefault="00A308AF" w:rsidP="008C6F9C">
            <w:pPr>
              <w:pStyle w:val="TableBodyText"/>
            </w:pPr>
            <w:r w:rsidRPr="009A52FC">
              <w:t xml:space="preserve"> 6</w:t>
            </w:r>
            <w:r w:rsidR="008C6F9C">
              <w:t>4</w:t>
            </w:r>
            <w:r w:rsidRPr="009A52FC">
              <w:t xml:space="preserve"> </w:t>
            </w:r>
          </w:p>
        </w:tc>
        <w:tc>
          <w:tcPr>
            <w:tcW w:w="572" w:type="dxa"/>
            <w:shd w:val="clear" w:color="auto" w:fill="auto"/>
            <w:vAlign w:val="center"/>
          </w:tcPr>
          <w:p w:rsidR="00A308AF" w:rsidRPr="009A52FC" w:rsidRDefault="00A308AF" w:rsidP="008C6F9C">
            <w:pPr>
              <w:pStyle w:val="TableBodyText"/>
            </w:pPr>
            <w:r w:rsidRPr="009A52FC">
              <w:t xml:space="preserve"> </w:t>
            </w:r>
            <w:r w:rsidR="00BF18A5" w:rsidRPr="009A52FC">
              <w:t>12</w:t>
            </w:r>
            <w:r w:rsidR="008C6F9C">
              <w:t>4</w:t>
            </w:r>
          </w:p>
        </w:tc>
        <w:tc>
          <w:tcPr>
            <w:tcW w:w="852" w:type="dxa"/>
            <w:shd w:val="clear" w:color="auto" w:fill="auto"/>
            <w:vAlign w:val="center"/>
          </w:tcPr>
          <w:p w:rsidR="00A308AF" w:rsidRPr="009A52FC" w:rsidRDefault="00A308AF" w:rsidP="008C6F9C">
            <w:pPr>
              <w:pStyle w:val="TableBodyText"/>
            </w:pPr>
            <w:r w:rsidRPr="009A52FC">
              <w:t xml:space="preserve">4 </w:t>
            </w:r>
            <w:r w:rsidR="008C6F9C">
              <w:t>57</w:t>
            </w:r>
            <w:r w:rsidR="00BF18A5" w:rsidRPr="009A52FC">
              <w:t>9</w:t>
            </w:r>
          </w:p>
        </w:tc>
      </w:tr>
      <w:tr w:rsidR="00A308AF" w:rsidRPr="00EB256F" w:rsidTr="00032235">
        <w:tc>
          <w:tcPr>
            <w:tcW w:w="2268" w:type="dxa"/>
            <w:shd w:val="clear" w:color="auto" w:fill="auto"/>
          </w:tcPr>
          <w:p w:rsidR="00A308AF" w:rsidRPr="00D612DE" w:rsidRDefault="00A308AF" w:rsidP="00666ECE">
            <w:pPr>
              <w:keepNext/>
              <w:keepLines/>
              <w:spacing w:after="40" w:line="220" w:lineRule="atLeast"/>
              <w:ind w:left="136" w:right="113"/>
              <w:rPr>
                <w:rFonts w:ascii="Arial" w:hAnsi="Arial"/>
                <w:sz w:val="20"/>
                <w:szCs w:val="20"/>
              </w:rPr>
            </w:pPr>
            <w:r w:rsidRPr="00D612DE">
              <w:rPr>
                <w:rFonts w:ascii="Arial" w:hAnsi="Arial"/>
                <w:sz w:val="20"/>
                <w:szCs w:val="20"/>
              </w:rPr>
              <w:t>State and Territory governments</w:t>
            </w:r>
          </w:p>
        </w:tc>
        <w:tc>
          <w:tcPr>
            <w:tcW w:w="851" w:type="dxa"/>
            <w:shd w:val="clear" w:color="auto" w:fill="auto"/>
            <w:vAlign w:val="center"/>
          </w:tcPr>
          <w:p w:rsidR="00A308AF" w:rsidRPr="009A52FC" w:rsidRDefault="00A308AF" w:rsidP="008C6F9C">
            <w:pPr>
              <w:pStyle w:val="TableBodyText"/>
              <w:rPr>
                <w:rFonts w:cs="Arial"/>
              </w:rPr>
            </w:pPr>
            <w:r w:rsidRPr="009A52FC">
              <w:rPr>
                <w:rFonts w:cs="Arial"/>
              </w:rPr>
              <w:t>10 2</w:t>
            </w:r>
            <w:r w:rsidR="008C6F9C">
              <w:rPr>
                <w:rFonts w:cs="Arial"/>
              </w:rPr>
              <w:t>23</w:t>
            </w:r>
            <w:r w:rsidRPr="009A52FC">
              <w:rPr>
                <w:rFonts w:cs="Arial"/>
              </w:rPr>
              <w:t xml:space="preserve"> </w:t>
            </w:r>
          </w:p>
        </w:tc>
        <w:tc>
          <w:tcPr>
            <w:tcW w:w="850" w:type="dxa"/>
            <w:shd w:val="clear" w:color="auto" w:fill="auto"/>
            <w:vAlign w:val="center"/>
          </w:tcPr>
          <w:p w:rsidR="00A308AF" w:rsidRPr="009A52FC" w:rsidRDefault="00A308AF" w:rsidP="008C6F9C">
            <w:pPr>
              <w:pStyle w:val="TableBodyText"/>
              <w:rPr>
                <w:rFonts w:cs="Arial"/>
              </w:rPr>
            </w:pPr>
            <w:r w:rsidRPr="009A52FC">
              <w:rPr>
                <w:rFonts w:cs="Arial"/>
              </w:rPr>
              <w:t xml:space="preserve">6 </w:t>
            </w:r>
            <w:r w:rsidR="008C6F9C">
              <w:rPr>
                <w:rFonts w:cs="Arial"/>
              </w:rPr>
              <w:t>477</w:t>
            </w:r>
            <w:r w:rsidRPr="009A52FC">
              <w:rPr>
                <w:rFonts w:cs="Arial"/>
              </w:rPr>
              <w:t xml:space="preserve"> </w:t>
            </w:r>
          </w:p>
        </w:tc>
        <w:tc>
          <w:tcPr>
            <w:tcW w:w="709" w:type="dxa"/>
            <w:shd w:val="clear" w:color="auto" w:fill="auto"/>
            <w:vAlign w:val="center"/>
          </w:tcPr>
          <w:p w:rsidR="00A308AF" w:rsidRPr="009A52FC" w:rsidRDefault="00A308AF" w:rsidP="008C6F9C">
            <w:pPr>
              <w:pStyle w:val="TableBodyText"/>
              <w:rPr>
                <w:rFonts w:cs="Arial"/>
              </w:rPr>
            </w:pPr>
            <w:r w:rsidRPr="009A52FC">
              <w:rPr>
                <w:rFonts w:cs="Arial"/>
              </w:rPr>
              <w:t xml:space="preserve">6 </w:t>
            </w:r>
            <w:r w:rsidR="008C6F9C">
              <w:rPr>
                <w:rFonts w:cs="Arial"/>
              </w:rPr>
              <w:t>787</w:t>
            </w:r>
          </w:p>
        </w:tc>
        <w:tc>
          <w:tcPr>
            <w:tcW w:w="709" w:type="dxa"/>
            <w:shd w:val="clear" w:color="auto" w:fill="auto"/>
            <w:vAlign w:val="center"/>
          </w:tcPr>
          <w:p w:rsidR="00A308AF" w:rsidRPr="009A52FC" w:rsidRDefault="00A308AF" w:rsidP="008C6F9C">
            <w:pPr>
              <w:pStyle w:val="TableBodyText"/>
              <w:rPr>
                <w:rFonts w:cs="Arial"/>
              </w:rPr>
            </w:pPr>
            <w:r w:rsidRPr="009A52FC">
              <w:rPr>
                <w:rFonts w:cs="Arial"/>
              </w:rPr>
              <w:t xml:space="preserve">4 </w:t>
            </w:r>
            <w:r w:rsidR="00877681" w:rsidRPr="009A52FC">
              <w:rPr>
                <w:rFonts w:cs="Arial"/>
              </w:rPr>
              <w:t>0</w:t>
            </w:r>
            <w:r w:rsidR="008C6F9C">
              <w:rPr>
                <w:rFonts w:cs="Arial"/>
              </w:rPr>
              <w:t>68</w:t>
            </w:r>
          </w:p>
        </w:tc>
        <w:tc>
          <w:tcPr>
            <w:tcW w:w="709" w:type="dxa"/>
            <w:shd w:val="clear" w:color="auto" w:fill="auto"/>
            <w:vAlign w:val="center"/>
          </w:tcPr>
          <w:p w:rsidR="00A308AF" w:rsidRPr="009A52FC" w:rsidRDefault="00A308AF" w:rsidP="008C6F9C">
            <w:pPr>
              <w:pStyle w:val="TableBodyText"/>
              <w:rPr>
                <w:rFonts w:cs="Arial"/>
              </w:rPr>
            </w:pPr>
            <w:r w:rsidRPr="009A52FC">
              <w:rPr>
                <w:rFonts w:cs="Arial"/>
              </w:rPr>
              <w:t xml:space="preserve">2 </w:t>
            </w:r>
            <w:r w:rsidR="00982591" w:rsidRPr="009A52FC">
              <w:rPr>
                <w:rFonts w:cs="Arial"/>
              </w:rPr>
              <w:t>3</w:t>
            </w:r>
            <w:r w:rsidR="008C6F9C">
              <w:rPr>
                <w:rFonts w:cs="Arial"/>
              </w:rPr>
              <w:t>66</w:t>
            </w:r>
          </w:p>
        </w:tc>
        <w:tc>
          <w:tcPr>
            <w:tcW w:w="708" w:type="dxa"/>
            <w:shd w:val="clear" w:color="auto" w:fill="auto"/>
            <w:vAlign w:val="center"/>
          </w:tcPr>
          <w:p w:rsidR="00A308AF" w:rsidRPr="009A52FC" w:rsidRDefault="00A308AF" w:rsidP="008C6F9C">
            <w:pPr>
              <w:pStyle w:val="TableBodyText"/>
              <w:rPr>
                <w:rFonts w:cs="Arial"/>
              </w:rPr>
            </w:pPr>
            <w:r w:rsidRPr="009A52FC">
              <w:rPr>
                <w:rFonts w:cs="Arial"/>
              </w:rPr>
              <w:t xml:space="preserve"> 79</w:t>
            </w:r>
            <w:r w:rsidR="008C6F9C">
              <w:rPr>
                <w:rFonts w:cs="Arial"/>
              </w:rPr>
              <w:t>4</w:t>
            </w:r>
            <w:r w:rsidRPr="009A52FC">
              <w:rPr>
                <w:rFonts w:cs="Arial"/>
              </w:rPr>
              <w:t xml:space="preserve"> </w:t>
            </w:r>
          </w:p>
        </w:tc>
        <w:tc>
          <w:tcPr>
            <w:tcW w:w="562" w:type="dxa"/>
            <w:shd w:val="clear" w:color="auto" w:fill="auto"/>
            <w:vAlign w:val="center"/>
          </w:tcPr>
          <w:p w:rsidR="00A308AF" w:rsidRPr="009A52FC" w:rsidRDefault="00A308AF" w:rsidP="008C6F9C">
            <w:pPr>
              <w:pStyle w:val="TableBodyText"/>
              <w:rPr>
                <w:rFonts w:cs="Arial"/>
              </w:rPr>
            </w:pPr>
            <w:r w:rsidRPr="009A52FC">
              <w:rPr>
                <w:rFonts w:cs="Arial"/>
              </w:rPr>
              <w:t xml:space="preserve"> 66</w:t>
            </w:r>
            <w:r w:rsidR="008C6F9C">
              <w:rPr>
                <w:rFonts w:cs="Arial"/>
              </w:rPr>
              <w:t>6</w:t>
            </w:r>
            <w:r w:rsidRPr="009A52FC">
              <w:rPr>
                <w:rFonts w:cs="Arial"/>
              </w:rPr>
              <w:t xml:space="preserve"> </w:t>
            </w:r>
          </w:p>
        </w:tc>
        <w:tc>
          <w:tcPr>
            <w:tcW w:w="572" w:type="dxa"/>
            <w:shd w:val="clear" w:color="auto" w:fill="auto"/>
            <w:vAlign w:val="center"/>
          </w:tcPr>
          <w:p w:rsidR="00A308AF" w:rsidRPr="009A52FC" w:rsidRDefault="00A308AF" w:rsidP="00BF18A5">
            <w:pPr>
              <w:pStyle w:val="TableBodyText"/>
              <w:rPr>
                <w:rFonts w:cs="Arial"/>
              </w:rPr>
            </w:pPr>
            <w:r w:rsidRPr="009A52FC">
              <w:rPr>
                <w:rFonts w:cs="Arial"/>
              </w:rPr>
              <w:t xml:space="preserve"> </w:t>
            </w:r>
            <w:r w:rsidR="00BF18A5" w:rsidRPr="009A52FC">
              <w:rPr>
                <w:rFonts w:cs="Arial"/>
              </w:rPr>
              <w:t>573</w:t>
            </w:r>
          </w:p>
        </w:tc>
        <w:tc>
          <w:tcPr>
            <w:tcW w:w="852" w:type="dxa"/>
            <w:shd w:val="clear" w:color="auto" w:fill="auto"/>
            <w:vAlign w:val="center"/>
          </w:tcPr>
          <w:p w:rsidR="00A308AF" w:rsidRPr="009A52FC" w:rsidRDefault="008C6F9C" w:rsidP="00BF18A5">
            <w:pPr>
              <w:pStyle w:val="TableBodyText"/>
              <w:rPr>
                <w:rFonts w:cs="Arial"/>
              </w:rPr>
            </w:pPr>
            <w:r>
              <w:rPr>
                <w:rFonts w:cs="Arial"/>
              </w:rPr>
              <w:t>31 954</w:t>
            </w:r>
          </w:p>
        </w:tc>
      </w:tr>
      <w:tr w:rsidR="00A308AF" w:rsidRPr="00EB256F" w:rsidTr="005F7911">
        <w:tc>
          <w:tcPr>
            <w:tcW w:w="2268" w:type="dxa"/>
            <w:shd w:val="clear" w:color="auto" w:fill="auto"/>
          </w:tcPr>
          <w:p w:rsidR="00A308AF" w:rsidRPr="00D612DE" w:rsidRDefault="00A308AF" w:rsidP="00666ECE">
            <w:pPr>
              <w:keepNext/>
              <w:keepLines/>
              <w:spacing w:after="40" w:line="220" w:lineRule="atLeast"/>
              <w:ind w:left="136" w:right="113"/>
              <w:rPr>
                <w:rFonts w:ascii="Arial" w:hAnsi="Arial"/>
                <w:b/>
                <w:sz w:val="20"/>
                <w:szCs w:val="20"/>
              </w:rPr>
            </w:pPr>
            <w:r w:rsidRPr="00D612DE">
              <w:rPr>
                <w:rFonts w:ascii="Arial" w:hAnsi="Arial"/>
                <w:b/>
                <w:sz w:val="20"/>
                <w:szCs w:val="20"/>
              </w:rPr>
              <w:t>Total</w:t>
            </w:r>
          </w:p>
        </w:tc>
        <w:tc>
          <w:tcPr>
            <w:tcW w:w="851" w:type="dxa"/>
            <w:shd w:val="clear" w:color="auto" w:fill="auto"/>
            <w:vAlign w:val="center"/>
          </w:tcPr>
          <w:p w:rsidR="00A308AF" w:rsidRPr="009A52FC" w:rsidRDefault="00A308AF" w:rsidP="00D612DE">
            <w:pPr>
              <w:pStyle w:val="TableBodyText"/>
              <w:rPr>
                <w:rFonts w:cs="Arial"/>
                <w:b/>
                <w:bCs/>
              </w:rPr>
            </w:pPr>
            <w:r w:rsidRPr="009A52FC">
              <w:rPr>
                <w:rFonts w:cs="Arial"/>
                <w:b/>
                <w:bCs/>
              </w:rPr>
              <w:t xml:space="preserve">11 739 </w:t>
            </w:r>
          </w:p>
        </w:tc>
        <w:tc>
          <w:tcPr>
            <w:tcW w:w="850" w:type="dxa"/>
            <w:shd w:val="clear" w:color="auto" w:fill="auto"/>
            <w:vAlign w:val="center"/>
          </w:tcPr>
          <w:p w:rsidR="00A308AF" w:rsidRPr="009A52FC" w:rsidRDefault="00A308AF" w:rsidP="00D612DE">
            <w:pPr>
              <w:pStyle w:val="TableBodyText"/>
              <w:rPr>
                <w:rFonts w:cs="Arial"/>
                <w:b/>
                <w:bCs/>
              </w:rPr>
            </w:pPr>
            <w:r w:rsidRPr="009A52FC">
              <w:rPr>
                <w:rFonts w:cs="Arial"/>
                <w:b/>
                <w:bCs/>
              </w:rPr>
              <w:t xml:space="preserve">7 504 </w:t>
            </w:r>
          </w:p>
        </w:tc>
        <w:tc>
          <w:tcPr>
            <w:tcW w:w="709" w:type="dxa"/>
            <w:tcBorders>
              <w:left w:val="nil"/>
            </w:tcBorders>
            <w:shd w:val="clear" w:color="auto" w:fill="auto"/>
            <w:vAlign w:val="center"/>
          </w:tcPr>
          <w:p w:rsidR="00A308AF" w:rsidRPr="009A52FC" w:rsidRDefault="00A308AF" w:rsidP="00D612DE">
            <w:pPr>
              <w:pStyle w:val="TableBodyText"/>
              <w:rPr>
                <w:rFonts w:cs="Arial"/>
                <w:b/>
                <w:bCs/>
              </w:rPr>
            </w:pPr>
            <w:r w:rsidRPr="009A52FC">
              <w:rPr>
                <w:rFonts w:cs="Arial"/>
                <w:b/>
                <w:bCs/>
              </w:rPr>
              <w:t>7 704</w:t>
            </w:r>
          </w:p>
        </w:tc>
        <w:tc>
          <w:tcPr>
            <w:tcW w:w="709" w:type="dxa"/>
            <w:shd w:val="clear" w:color="auto" w:fill="auto"/>
            <w:vAlign w:val="center"/>
          </w:tcPr>
          <w:p w:rsidR="00A308AF" w:rsidRPr="009A52FC" w:rsidRDefault="00A308AF" w:rsidP="00D612DE">
            <w:pPr>
              <w:pStyle w:val="TableBodyText"/>
              <w:rPr>
                <w:rFonts w:cs="Arial"/>
                <w:b/>
                <w:bCs/>
              </w:rPr>
            </w:pPr>
            <w:r w:rsidRPr="009A52FC">
              <w:rPr>
                <w:rFonts w:cs="Arial"/>
                <w:b/>
                <w:bCs/>
              </w:rPr>
              <w:t xml:space="preserve">4 520 </w:t>
            </w:r>
          </w:p>
        </w:tc>
        <w:tc>
          <w:tcPr>
            <w:tcW w:w="709" w:type="dxa"/>
            <w:shd w:val="clear" w:color="auto" w:fill="FFFFFF" w:themeFill="background1"/>
            <w:vAlign w:val="center"/>
          </w:tcPr>
          <w:p w:rsidR="00A308AF" w:rsidRPr="009A52FC" w:rsidRDefault="00A308AF" w:rsidP="00D612DE">
            <w:pPr>
              <w:pStyle w:val="TableBodyText"/>
              <w:rPr>
                <w:rFonts w:cs="Arial"/>
                <w:b/>
                <w:bCs/>
              </w:rPr>
            </w:pPr>
            <w:r w:rsidRPr="009A52FC">
              <w:rPr>
                <w:rFonts w:cs="Arial"/>
                <w:b/>
                <w:bCs/>
              </w:rPr>
              <w:t>2 713</w:t>
            </w:r>
          </w:p>
        </w:tc>
        <w:tc>
          <w:tcPr>
            <w:tcW w:w="708" w:type="dxa"/>
            <w:shd w:val="clear" w:color="auto" w:fill="FFFFFF" w:themeFill="background1"/>
            <w:vAlign w:val="center"/>
          </w:tcPr>
          <w:p w:rsidR="00A308AF" w:rsidRPr="009A52FC" w:rsidRDefault="00A308AF" w:rsidP="00D612DE">
            <w:pPr>
              <w:pStyle w:val="TableBodyText"/>
              <w:rPr>
                <w:rFonts w:cs="Arial"/>
                <w:b/>
                <w:bCs/>
              </w:rPr>
            </w:pPr>
            <w:r w:rsidRPr="009A52FC">
              <w:rPr>
                <w:rFonts w:cs="Arial"/>
                <w:b/>
                <w:bCs/>
              </w:rPr>
              <w:t xml:space="preserve"> 925</w:t>
            </w:r>
          </w:p>
        </w:tc>
        <w:tc>
          <w:tcPr>
            <w:tcW w:w="562" w:type="dxa"/>
            <w:shd w:val="clear" w:color="auto" w:fill="FFFFFF" w:themeFill="background1"/>
            <w:vAlign w:val="center"/>
          </w:tcPr>
          <w:p w:rsidR="00A308AF" w:rsidRPr="009A52FC" w:rsidRDefault="00A308AF" w:rsidP="00D612DE">
            <w:pPr>
              <w:pStyle w:val="TableBodyText"/>
              <w:rPr>
                <w:rFonts w:cs="Arial"/>
                <w:b/>
                <w:bCs/>
              </w:rPr>
            </w:pPr>
            <w:r w:rsidRPr="009A52FC">
              <w:rPr>
                <w:rFonts w:cs="Arial"/>
                <w:b/>
                <w:bCs/>
              </w:rPr>
              <w:t xml:space="preserve"> 731</w:t>
            </w:r>
          </w:p>
        </w:tc>
        <w:tc>
          <w:tcPr>
            <w:tcW w:w="572" w:type="dxa"/>
            <w:shd w:val="clear" w:color="auto" w:fill="FFFFFF" w:themeFill="background1"/>
            <w:vAlign w:val="center"/>
          </w:tcPr>
          <w:p w:rsidR="00A308AF" w:rsidRPr="009A52FC" w:rsidRDefault="00A308AF" w:rsidP="00D612DE">
            <w:pPr>
              <w:pStyle w:val="TableBodyText"/>
              <w:rPr>
                <w:rFonts w:cs="Arial"/>
                <w:b/>
                <w:bCs/>
              </w:rPr>
            </w:pPr>
            <w:r w:rsidRPr="009A52FC">
              <w:rPr>
                <w:rFonts w:cs="Arial"/>
                <w:b/>
                <w:bCs/>
              </w:rPr>
              <w:t xml:space="preserve"> 697 </w:t>
            </w:r>
          </w:p>
        </w:tc>
        <w:tc>
          <w:tcPr>
            <w:tcW w:w="852" w:type="dxa"/>
            <w:shd w:val="clear" w:color="auto" w:fill="FFFFFF" w:themeFill="background1"/>
            <w:vAlign w:val="center"/>
          </w:tcPr>
          <w:p w:rsidR="00A308AF" w:rsidRPr="009A52FC" w:rsidRDefault="00A308AF" w:rsidP="00D612DE">
            <w:pPr>
              <w:pStyle w:val="TableBodyText"/>
              <w:rPr>
                <w:rFonts w:cs="Arial"/>
                <w:b/>
                <w:bCs/>
              </w:rPr>
            </w:pPr>
            <w:r w:rsidRPr="009A52FC">
              <w:rPr>
                <w:rFonts w:cs="Arial"/>
                <w:b/>
                <w:bCs/>
              </w:rPr>
              <w:t>36 533</w:t>
            </w:r>
          </w:p>
        </w:tc>
      </w:tr>
      <w:tr w:rsidR="008C6F9C" w:rsidRPr="00EB256F" w:rsidTr="008C6F9C">
        <w:tc>
          <w:tcPr>
            <w:tcW w:w="3119" w:type="dxa"/>
            <w:gridSpan w:val="2"/>
            <w:shd w:val="clear" w:color="auto" w:fill="auto"/>
          </w:tcPr>
          <w:p w:rsidR="008C6F9C" w:rsidRPr="009A52FC" w:rsidRDefault="008C6F9C" w:rsidP="008C6F9C">
            <w:pPr>
              <w:pStyle w:val="TableBodyText"/>
              <w:jc w:val="left"/>
            </w:pPr>
            <w:r w:rsidRPr="00D612DE">
              <w:t>Non-government schools</w:t>
            </w:r>
          </w:p>
        </w:tc>
        <w:tc>
          <w:tcPr>
            <w:tcW w:w="850" w:type="dxa"/>
            <w:shd w:val="clear" w:color="auto" w:fill="auto"/>
          </w:tcPr>
          <w:p w:rsidR="008C6F9C" w:rsidRPr="009A52FC" w:rsidRDefault="008C6F9C" w:rsidP="00D612DE">
            <w:pPr>
              <w:pStyle w:val="TableBodyText"/>
            </w:pPr>
          </w:p>
        </w:tc>
        <w:tc>
          <w:tcPr>
            <w:tcW w:w="709" w:type="dxa"/>
            <w:shd w:val="clear" w:color="auto" w:fill="auto"/>
          </w:tcPr>
          <w:p w:rsidR="008C6F9C" w:rsidRPr="009A52FC" w:rsidRDefault="008C6F9C" w:rsidP="00D612DE">
            <w:pPr>
              <w:pStyle w:val="TableBodyText"/>
            </w:pPr>
          </w:p>
        </w:tc>
        <w:tc>
          <w:tcPr>
            <w:tcW w:w="709" w:type="dxa"/>
            <w:shd w:val="clear" w:color="auto" w:fill="auto"/>
          </w:tcPr>
          <w:p w:rsidR="008C6F9C" w:rsidRPr="009A52FC" w:rsidRDefault="008C6F9C" w:rsidP="00D612DE">
            <w:pPr>
              <w:pStyle w:val="TableBodyText"/>
            </w:pPr>
          </w:p>
        </w:tc>
        <w:tc>
          <w:tcPr>
            <w:tcW w:w="709" w:type="dxa"/>
            <w:shd w:val="clear" w:color="auto" w:fill="FFFFFF" w:themeFill="background1"/>
          </w:tcPr>
          <w:p w:rsidR="008C6F9C" w:rsidRPr="009A52FC" w:rsidRDefault="008C6F9C" w:rsidP="00D612DE">
            <w:pPr>
              <w:pStyle w:val="TableBodyText"/>
            </w:pPr>
          </w:p>
        </w:tc>
        <w:tc>
          <w:tcPr>
            <w:tcW w:w="708" w:type="dxa"/>
            <w:shd w:val="clear" w:color="auto" w:fill="FFFFFF" w:themeFill="background1"/>
          </w:tcPr>
          <w:p w:rsidR="008C6F9C" w:rsidRPr="009A52FC" w:rsidRDefault="008C6F9C" w:rsidP="00D612DE">
            <w:pPr>
              <w:pStyle w:val="TableBodyText"/>
            </w:pPr>
          </w:p>
        </w:tc>
        <w:tc>
          <w:tcPr>
            <w:tcW w:w="562" w:type="dxa"/>
            <w:shd w:val="clear" w:color="auto" w:fill="FFFFFF" w:themeFill="background1"/>
          </w:tcPr>
          <w:p w:rsidR="008C6F9C" w:rsidRPr="009A52FC" w:rsidRDefault="008C6F9C" w:rsidP="00D612DE">
            <w:pPr>
              <w:pStyle w:val="TableBodyText"/>
            </w:pPr>
          </w:p>
        </w:tc>
        <w:tc>
          <w:tcPr>
            <w:tcW w:w="572" w:type="dxa"/>
            <w:shd w:val="clear" w:color="auto" w:fill="FFFFFF" w:themeFill="background1"/>
          </w:tcPr>
          <w:p w:rsidR="008C6F9C" w:rsidRPr="009A52FC" w:rsidRDefault="008C6F9C" w:rsidP="00D612DE">
            <w:pPr>
              <w:pStyle w:val="TableBodyText"/>
            </w:pPr>
          </w:p>
        </w:tc>
        <w:tc>
          <w:tcPr>
            <w:tcW w:w="852" w:type="dxa"/>
            <w:shd w:val="clear" w:color="auto" w:fill="FFFFFF" w:themeFill="background1"/>
          </w:tcPr>
          <w:p w:rsidR="008C6F9C" w:rsidRPr="009A52FC" w:rsidRDefault="008C6F9C" w:rsidP="00D612DE">
            <w:pPr>
              <w:pStyle w:val="TableBodyText"/>
            </w:pPr>
          </w:p>
        </w:tc>
      </w:tr>
      <w:tr w:rsidR="00A308AF" w:rsidRPr="00EB256F" w:rsidTr="00032235">
        <w:tc>
          <w:tcPr>
            <w:tcW w:w="2268" w:type="dxa"/>
            <w:shd w:val="clear" w:color="auto" w:fill="FFFFFF" w:themeFill="background1"/>
          </w:tcPr>
          <w:p w:rsidR="00A308AF" w:rsidRPr="00D612DE" w:rsidRDefault="00A308AF" w:rsidP="00666ECE">
            <w:pPr>
              <w:keepNext/>
              <w:keepLines/>
              <w:spacing w:after="40" w:line="220" w:lineRule="atLeast"/>
              <w:ind w:left="136" w:right="113"/>
              <w:rPr>
                <w:rFonts w:ascii="Arial" w:hAnsi="Arial"/>
                <w:sz w:val="20"/>
                <w:szCs w:val="20"/>
              </w:rPr>
            </w:pPr>
            <w:r w:rsidRPr="00D612DE">
              <w:rPr>
                <w:rFonts w:ascii="Arial" w:hAnsi="Arial"/>
                <w:sz w:val="20"/>
                <w:szCs w:val="20"/>
              </w:rPr>
              <w:t>Australian Government</w:t>
            </w:r>
          </w:p>
        </w:tc>
        <w:tc>
          <w:tcPr>
            <w:tcW w:w="851" w:type="dxa"/>
            <w:shd w:val="clear" w:color="auto" w:fill="FFFFFF" w:themeFill="background1"/>
            <w:vAlign w:val="center"/>
          </w:tcPr>
          <w:p w:rsidR="00A308AF" w:rsidRPr="00032235" w:rsidRDefault="00A308AF" w:rsidP="008C6F9C">
            <w:pPr>
              <w:pStyle w:val="TableBodyText"/>
              <w:rPr>
                <w:rFonts w:cs="Arial"/>
              </w:rPr>
            </w:pPr>
            <w:r w:rsidRPr="00032235">
              <w:rPr>
                <w:rFonts w:cs="Arial"/>
              </w:rPr>
              <w:t>2 3</w:t>
            </w:r>
            <w:r w:rsidR="008C6F9C" w:rsidRPr="00032235">
              <w:rPr>
                <w:rFonts w:cs="Arial"/>
              </w:rPr>
              <w:t>84</w:t>
            </w:r>
            <w:r w:rsidRPr="00032235">
              <w:rPr>
                <w:rFonts w:cs="Arial"/>
              </w:rPr>
              <w:t xml:space="preserve"> </w:t>
            </w:r>
          </w:p>
        </w:tc>
        <w:tc>
          <w:tcPr>
            <w:tcW w:w="850" w:type="dxa"/>
            <w:shd w:val="clear" w:color="auto" w:fill="FFFFFF" w:themeFill="background1"/>
            <w:vAlign w:val="center"/>
          </w:tcPr>
          <w:p w:rsidR="00A308AF" w:rsidRPr="00032235" w:rsidRDefault="00A308AF" w:rsidP="008C6F9C">
            <w:pPr>
              <w:pStyle w:val="TableBodyText"/>
              <w:rPr>
                <w:rFonts w:cs="Arial"/>
              </w:rPr>
            </w:pPr>
            <w:r w:rsidRPr="00032235">
              <w:rPr>
                <w:rFonts w:cs="Arial"/>
              </w:rPr>
              <w:t>1 9</w:t>
            </w:r>
            <w:r w:rsidR="008C6F9C" w:rsidRPr="00032235">
              <w:rPr>
                <w:rFonts w:cs="Arial"/>
              </w:rPr>
              <w:t>97</w:t>
            </w:r>
            <w:r w:rsidRPr="00032235">
              <w:rPr>
                <w:rFonts w:cs="Arial"/>
              </w:rPr>
              <w:t xml:space="preserve"> </w:t>
            </w:r>
          </w:p>
        </w:tc>
        <w:tc>
          <w:tcPr>
            <w:tcW w:w="709" w:type="dxa"/>
            <w:shd w:val="clear" w:color="auto" w:fill="FFFFFF" w:themeFill="background1"/>
            <w:vAlign w:val="center"/>
          </w:tcPr>
          <w:p w:rsidR="00A308AF" w:rsidRPr="00032235" w:rsidRDefault="00A308AF" w:rsidP="008C6F9C">
            <w:pPr>
              <w:pStyle w:val="TableBodyText"/>
              <w:rPr>
                <w:rFonts w:cs="Arial"/>
              </w:rPr>
            </w:pPr>
            <w:r w:rsidRPr="00032235">
              <w:rPr>
                <w:rFonts w:cs="Arial"/>
              </w:rPr>
              <w:t>1 5</w:t>
            </w:r>
            <w:r w:rsidR="008C6F9C" w:rsidRPr="00032235">
              <w:rPr>
                <w:rFonts w:cs="Arial"/>
              </w:rPr>
              <w:t>6</w:t>
            </w:r>
            <w:r w:rsidRPr="00032235">
              <w:rPr>
                <w:rFonts w:cs="Arial"/>
              </w:rPr>
              <w:t xml:space="preserve">8 </w:t>
            </w:r>
          </w:p>
        </w:tc>
        <w:tc>
          <w:tcPr>
            <w:tcW w:w="709" w:type="dxa"/>
            <w:shd w:val="clear" w:color="auto" w:fill="FFFFFF" w:themeFill="background1"/>
            <w:vAlign w:val="center"/>
          </w:tcPr>
          <w:p w:rsidR="00A308AF" w:rsidRPr="00032235" w:rsidRDefault="00A308AF" w:rsidP="008C6F9C">
            <w:pPr>
              <w:pStyle w:val="TableBodyText"/>
              <w:rPr>
                <w:rFonts w:cs="Arial"/>
              </w:rPr>
            </w:pPr>
            <w:r w:rsidRPr="00032235">
              <w:rPr>
                <w:rFonts w:cs="Arial"/>
              </w:rPr>
              <w:t xml:space="preserve"> </w:t>
            </w:r>
            <w:r w:rsidR="00877681" w:rsidRPr="00032235">
              <w:rPr>
                <w:rFonts w:cs="Arial"/>
              </w:rPr>
              <w:t>78</w:t>
            </w:r>
            <w:r w:rsidR="008C6F9C" w:rsidRPr="00032235">
              <w:rPr>
                <w:rFonts w:cs="Arial"/>
              </w:rPr>
              <w:t>7</w:t>
            </w:r>
          </w:p>
        </w:tc>
        <w:tc>
          <w:tcPr>
            <w:tcW w:w="709" w:type="dxa"/>
            <w:shd w:val="clear" w:color="auto" w:fill="FFFFFF" w:themeFill="background1"/>
            <w:vAlign w:val="center"/>
          </w:tcPr>
          <w:p w:rsidR="00A308AF" w:rsidRPr="00032235" w:rsidRDefault="00A308AF" w:rsidP="008C6F9C">
            <w:pPr>
              <w:pStyle w:val="TableBodyText"/>
              <w:rPr>
                <w:rFonts w:cs="Arial"/>
              </w:rPr>
            </w:pPr>
            <w:r w:rsidRPr="00032235">
              <w:rPr>
                <w:rFonts w:cs="Arial"/>
              </w:rPr>
              <w:t xml:space="preserve"> </w:t>
            </w:r>
            <w:r w:rsidR="00982591" w:rsidRPr="00032235">
              <w:rPr>
                <w:rFonts w:cs="Arial"/>
              </w:rPr>
              <w:t>62</w:t>
            </w:r>
            <w:r w:rsidR="008C6F9C" w:rsidRPr="00032235">
              <w:rPr>
                <w:rFonts w:cs="Arial"/>
              </w:rPr>
              <w:t>6</w:t>
            </w:r>
          </w:p>
        </w:tc>
        <w:tc>
          <w:tcPr>
            <w:tcW w:w="708" w:type="dxa"/>
            <w:shd w:val="clear" w:color="auto" w:fill="FFFFFF" w:themeFill="background1"/>
            <w:vAlign w:val="center"/>
          </w:tcPr>
          <w:p w:rsidR="00A308AF" w:rsidRPr="00032235" w:rsidRDefault="00A308AF" w:rsidP="008C6F9C">
            <w:pPr>
              <w:pStyle w:val="TableBodyText"/>
              <w:rPr>
                <w:rFonts w:cs="Arial"/>
              </w:rPr>
            </w:pPr>
            <w:r w:rsidRPr="00032235">
              <w:rPr>
                <w:rFonts w:cs="Arial"/>
              </w:rPr>
              <w:t xml:space="preserve"> 15</w:t>
            </w:r>
            <w:r w:rsidR="008C6F9C" w:rsidRPr="00032235">
              <w:rPr>
                <w:rFonts w:cs="Arial"/>
              </w:rPr>
              <w:t>9</w:t>
            </w:r>
          </w:p>
        </w:tc>
        <w:tc>
          <w:tcPr>
            <w:tcW w:w="562" w:type="dxa"/>
            <w:shd w:val="clear" w:color="auto" w:fill="FFFFFF" w:themeFill="background1"/>
            <w:vAlign w:val="center"/>
          </w:tcPr>
          <w:p w:rsidR="00A308AF" w:rsidRPr="00032235" w:rsidRDefault="00A308AF" w:rsidP="008C6F9C">
            <w:pPr>
              <w:pStyle w:val="TableBodyText"/>
              <w:rPr>
                <w:rFonts w:cs="Arial"/>
              </w:rPr>
            </w:pPr>
            <w:r w:rsidRPr="00032235">
              <w:rPr>
                <w:rFonts w:cs="Arial"/>
              </w:rPr>
              <w:t xml:space="preserve"> 14</w:t>
            </w:r>
            <w:r w:rsidR="008C6F9C" w:rsidRPr="00032235">
              <w:rPr>
                <w:rFonts w:cs="Arial"/>
              </w:rPr>
              <w:t>6</w:t>
            </w:r>
          </w:p>
        </w:tc>
        <w:tc>
          <w:tcPr>
            <w:tcW w:w="572" w:type="dxa"/>
            <w:shd w:val="clear" w:color="auto" w:fill="FFFFFF" w:themeFill="background1"/>
            <w:vAlign w:val="center"/>
          </w:tcPr>
          <w:p w:rsidR="00A308AF" w:rsidRPr="00032235" w:rsidRDefault="00A308AF" w:rsidP="008C6F9C">
            <w:pPr>
              <w:pStyle w:val="TableBodyText"/>
              <w:rPr>
                <w:rFonts w:cs="Arial"/>
              </w:rPr>
            </w:pPr>
            <w:r w:rsidRPr="00032235">
              <w:rPr>
                <w:rFonts w:cs="Arial"/>
              </w:rPr>
              <w:t xml:space="preserve"> </w:t>
            </w:r>
            <w:r w:rsidR="00BF18A5" w:rsidRPr="00032235">
              <w:rPr>
                <w:rFonts w:cs="Arial"/>
              </w:rPr>
              <w:t>8</w:t>
            </w:r>
            <w:r w:rsidR="008C6F9C" w:rsidRPr="00032235">
              <w:rPr>
                <w:rFonts w:cs="Arial"/>
              </w:rPr>
              <w:t>5</w:t>
            </w:r>
          </w:p>
        </w:tc>
        <w:tc>
          <w:tcPr>
            <w:tcW w:w="852" w:type="dxa"/>
            <w:shd w:val="clear" w:color="auto" w:fill="FFFFFF" w:themeFill="background1"/>
            <w:vAlign w:val="center"/>
          </w:tcPr>
          <w:p w:rsidR="00A308AF" w:rsidRPr="00032235" w:rsidRDefault="00A308AF" w:rsidP="008C6F9C">
            <w:pPr>
              <w:pStyle w:val="TableBodyText"/>
              <w:rPr>
                <w:rFonts w:cs="Arial"/>
              </w:rPr>
            </w:pPr>
            <w:r w:rsidRPr="00032235">
              <w:rPr>
                <w:rFonts w:cs="Arial"/>
              </w:rPr>
              <w:t xml:space="preserve">7 </w:t>
            </w:r>
            <w:r w:rsidR="00BF18A5" w:rsidRPr="00032235">
              <w:rPr>
                <w:rFonts w:cs="Arial"/>
              </w:rPr>
              <w:t>7</w:t>
            </w:r>
            <w:r w:rsidR="008C6F9C" w:rsidRPr="00032235">
              <w:rPr>
                <w:rFonts w:cs="Arial"/>
              </w:rPr>
              <w:t>51</w:t>
            </w:r>
          </w:p>
        </w:tc>
      </w:tr>
      <w:tr w:rsidR="00A308AF" w:rsidRPr="00EB256F" w:rsidTr="005F7911">
        <w:tc>
          <w:tcPr>
            <w:tcW w:w="2268" w:type="dxa"/>
            <w:shd w:val="clear" w:color="auto" w:fill="auto"/>
          </w:tcPr>
          <w:p w:rsidR="00A308AF" w:rsidRPr="00D612DE" w:rsidRDefault="00A308AF" w:rsidP="00CA4833">
            <w:pPr>
              <w:ind w:left="136" w:right="113"/>
              <w:rPr>
                <w:rFonts w:ascii="Arial" w:hAnsi="Arial" w:cs="Arial"/>
                <w:sz w:val="20"/>
                <w:szCs w:val="20"/>
              </w:rPr>
            </w:pPr>
            <w:r w:rsidRPr="00D612DE">
              <w:rPr>
                <w:rFonts w:ascii="Arial" w:hAnsi="Arial"/>
                <w:sz w:val="20"/>
                <w:szCs w:val="20"/>
              </w:rPr>
              <w:t>State and Territory governments</w:t>
            </w:r>
          </w:p>
        </w:tc>
        <w:tc>
          <w:tcPr>
            <w:tcW w:w="851" w:type="dxa"/>
            <w:shd w:val="clear" w:color="auto" w:fill="auto"/>
            <w:vAlign w:val="center"/>
          </w:tcPr>
          <w:p w:rsidR="00A308AF" w:rsidRPr="009A52FC" w:rsidRDefault="00A308AF" w:rsidP="00D612DE">
            <w:pPr>
              <w:pStyle w:val="TableBodyText"/>
              <w:rPr>
                <w:rFonts w:cs="Arial"/>
              </w:rPr>
            </w:pPr>
            <w:r w:rsidRPr="009A52FC">
              <w:rPr>
                <w:rFonts w:cs="Arial"/>
              </w:rPr>
              <w:t xml:space="preserve"> 899 </w:t>
            </w:r>
          </w:p>
        </w:tc>
        <w:tc>
          <w:tcPr>
            <w:tcW w:w="850" w:type="dxa"/>
            <w:shd w:val="clear" w:color="auto" w:fill="FFFFFF" w:themeFill="background1"/>
            <w:vAlign w:val="center"/>
          </w:tcPr>
          <w:p w:rsidR="00A308AF" w:rsidRPr="009A52FC" w:rsidRDefault="00A308AF" w:rsidP="00D612DE">
            <w:pPr>
              <w:pStyle w:val="TableBodyText"/>
              <w:rPr>
                <w:rFonts w:cs="Arial"/>
              </w:rPr>
            </w:pPr>
            <w:r w:rsidRPr="009A52FC">
              <w:rPr>
                <w:rFonts w:cs="Arial"/>
              </w:rPr>
              <w:t xml:space="preserve"> 580 </w:t>
            </w:r>
          </w:p>
        </w:tc>
        <w:tc>
          <w:tcPr>
            <w:tcW w:w="709" w:type="dxa"/>
            <w:shd w:val="clear" w:color="auto" w:fill="FFFFFF" w:themeFill="background1"/>
            <w:vAlign w:val="center"/>
          </w:tcPr>
          <w:p w:rsidR="00A308AF" w:rsidRPr="009A52FC" w:rsidRDefault="00A308AF" w:rsidP="00D612DE">
            <w:pPr>
              <w:pStyle w:val="TableBodyText"/>
              <w:rPr>
                <w:rFonts w:cs="Arial"/>
              </w:rPr>
            </w:pPr>
            <w:r w:rsidRPr="009A52FC">
              <w:rPr>
                <w:rFonts w:cs="Arial"/>
              </w:rPr>
              <w:t xml:space="preserve"> 600</w:t>
            </w:r>
          </w:p>
        </w:tc>
        <w:tc>
          <w:tcPr>
            <w:tcW w:w="709" w:type="dxa"/>
            <w:shd w:val="clear" w:color="auto" w:fill="FFFFFF" w:themeFill="background1"/>
            <w:vAlign w:val="center"/>
          </w:tcPr>
          <w:p w:rsidR="00A308AF" w:rsidRPr="009A52FC" w:rsidRDefault="00A308AF" w:rsidP="00D612DE">
            <w:pPr>
              <w:pStyle w:val="TableBodyText"/>
              <w:rPr>
                <w:rFonts w:cs="Arial"/>
              </w:rPr>
            </w:pPr>
            <w:r w:rsidRPr="009A52FC">
              <w:rPr>
                <w:rFonts w:cs="Arial"/>
              </w:rPr>
              <w:t xml:space="preserve"> 418</w:t>
            </w:r>
          </w:p>
        </w:tc>
        <w:tc>
          <w:tcPr>
            <w:tcW w:w="709" w:type="dxa"/>
            <w:shd w:val="clear" w:color="auto" w:fill="FFFFFF" w:themeFill="background1"/>
            <w:vAlign w:val="center"/>
          </w:tcPr>
          <w:p w:rsidR="00A308AF" w:rsidRPr="009A52FC" w:rsidRDefault="00982591" w:rsidP="00D612DE">
            <w:pPr>
              <w:pStyle w:val="TableBodyText"/>
              <w:rPr>
                <w:rFonts w:cs="Arial"/>
              </w:rPr>
            </w:pPr>
            <w:r w:rsidRPr="009A52FC">
              <w:rPr>
                <w:rFonts w:cs="Arial"/>
              </w:rPr>
              <w:t>165</w:t>
            </w:r>
          </w:p>
        </w:tc>
        <w:tc>
          <w:tcPr>
            <w:tcW w:w="708" w:type="dxa"/>
            <w:shd w:val="clear" w:color="auto" w:fill="FFFFFF" w:themeFill="background1"/>
            <w:vAlign w:val="center"/>
          </w:tcPr>
          <w:p w:rsidR="00A308AF" w:rsidRPr="009A52FC" w:rsidRDefault="00A308AF" w:rsidP="00D612DE">
            <w:pPr>
              <w:pStyle w:val="TableBodyText"/>
              <w:rPr>
                <w:rFonts w:cs="Arial"/>
              </w:rPr>
            </w:pPr>
            <w:r w:rsidRPr="009A52FC">
              <w:rPr>
                <w:rFonts w:cs="Arial"/>
              </w:rPr>
              <w:t xml:space="preserve"> 54</w:t>
            </w:r>
          </w:p>
        </w:tc>
        <w:tc>
          <w:tcPr>
            <w:tcW w:w="562" w:type="dxa"/>
            <w:shd w:val="clear" w:color="auto" w:fill="FFFFFF" w:themeFill="background1"/>
            <w:vAlign w:val="center"/>
          </w:tcPr>
          <w:p w:rsidR="00A308AF" w:rsidRPr="009A52FC" w:rsidRDefault="00A308AF" w:rsidP="00D612DE">
            <w:pPr>
              <w:pStyle w:val="TableBodyText"/>
              <w:rPr>
                <w:rFonts w:cs="Arial"/>
              </w:rPr>
            </w:pPr>
            <w:r w:rsidRPr="009A52FC">
              <w:rPr>
                <w:rFonts w:cs="Arial"/>
              </w:rPr>
              <w:t xml:space="preserve"> 48</w:t>
            </w:r>
          </w:p>
        </w:tc>
        <w:tc>
          <w:tcPr>
            <w:tcW w:w="572" w:type="dxa"/>
            <w:shd w:val="clear" w:color="auto" w:fill="FFFFFF" w:themeFill="background1"/>
            <w:vAlign w:val="center"/>
          </w:tcPr>
          <w:p w:rsidR="00A308AF" w:rsidRPr="009A52FC" w:rsidRDefault="00BF18A5" w:rsidP="00D612DE">
            <w:pPr>
              <w:pStyle w:val="TableBodyText"/>
              <w:rPr>
                <w:rFonts w:cs="Arial"/>
              </w:rPr>
            </w:pPr>
            <w:r w:rsidRPr="009A52FC">
              <w:rPr>
                <w:rFonts w:cs="Arial"/>
              </w:rPr>
              <w:t>51</w:t>
            </w:r>
          </w:p>
        </w:tc>
        <w:tc>
          <w:tcPr>
            <w:tcW w:w="852" w:type="dxa"/>
            <w:shd w:val="clear" w:color="auto" w:fill="FFFFFF" w:themeFill="background1"/>
            <w:vAlign w:val="center"/>
          </w:tcPr>
          <w:p w:rsidR="00A308AF" w:rsidRPr="009A52FC" w:rsidRDefault="00A308AF" w:rsidP="00BF18A5">
            <w:pPr>
              <w:pStyle w:val="TableBodyText"/>
              <w:rPr>
                <w:rFonts w:cs="Arial"/>
              </w:rPr>
            </w:pPr>
            <w:r w:rsidRPr="009A52FC">
              <w:rPr>
                <w:rFonts w:cs="Arial"/>
              </w:rPr>
              <w:t xml:space="preserve">2 </w:t>
            </w:r>
            <w:r w:rsidR="00BF18A5" w:rsidRPr="009A52FC">
              <w:rPr>
                <w:rFonts w:cs="Arial"/>
              </w:rPr>
              <w:t>814</w:t>
            </w:r>
          </w:p>
        </w:tc>
      </w:tr>
      <w:tr w:rsidR="00A308AF" w:rsidRPr="00EB256F" w:rsidTr="00032235">
        <w:tc>
          <w:tcPr>
            <w:tcW w:w="2268" w:type="dxa"/>
            <w:shd w:val="clear" w:color="auto" w:fill="auto"/>
          </w:tcPr>
          <w:p w:rsidR="00A308AF" w:rsidRPr="00D612DE" w:rsidRDefault="00A308AF" w:rsidP="00666ECE">
            <w:pPr>
              <w:keepNext/>
              <w:keepLines/>
              <w:spacing w:after="40" w:line="220" w:lineRule="atLeast"/>
              <w:ind w:left="136" w:right="113"/>
              <w:rPr>
                <w:rFonts w:ascii="Arial" w:hAnsi="Arial"/>
                <w:b/>
                <w:sz w:val="20"/>
                <w:szCs w:val="20"/>
              </w:rPr>
            </w:pPr>
            <w:r w:rsidRPr="00D612DE">
              <w:rPr>
                <w:rFonts w:ascii="Arial" w:hAnsi="Arial"/>
                <w:b/>
                <w:sz w:val="20"/>
                <w:szCs w:val="20"/>
              </w:rPr>
              <w:t>Total</w:t>
            </w:r>
          </w:p>
        </w:tc>
        <w:tc>
          <w:tcPr>
            <w:tcW w:w="851" w:type="dxa"/>
            <w:shd w:val="clear" w:color="auto" w:fill="FFFFFF" w:themeFill="background1"/>
            <w:vAlign w:val="center"/>
          </w:tcPr>
          <w:p w:rsidR="00A308AF" w:rsidRPr="009A52FC" w:rsidRDefault="00A308AF" w:rsidP="008C6F9C">
            <w:pPr>
              <w:pStyle w:val="TableBodyText"/>
              <w:rPr>
                <w:rFonts w:cs="Arial"/>
                <w:b/>
                <w:bCs/>
              </w:rPr>
            </w:pPr>
            <w:r w:rsidRPr="009A52FC">
              <w:rPr>
                <w:rFonts w:cs="Arial"/>
                <w:b/>
                <w:bCs/>
              </w:rPr>
              <w:t>3 2</w:t>
            </w:r>
            <w:r w:rsidR="008C6F9C">
              <w:rPr>
                <w:rFonts w:cs="Arial"/>
                <w:b/>
                <w:bCs/>
              </w:rPr>
              <w:t>83</w:t>
            </w:r>
            <w:r w:rsidRPr="009A52FC">
              <w:rPr>
                <w:rFonts w:cs="Arial"/>
                <w:b/>
                <w:bCs/>
              </w:rPr>
              <w:t xml:space="preserve"> </w:t>
            </w:r>
          </w:p>
        </w:tc>
        <w:tc>
          <w:tcPr>
            <w:tcW w:w="850" w:type="dxa"/>
            <w:shd w:val="clear" w:color="auto" w:fill="FFFFFF" w:themeFill="background1"/>
            <w:vAlign w:val="center"/>
          </w:tcPr>
          <w:p w:rsidR="00A308AF" w:rsidRPr="009A52FC" w:rsidRDefault="00A308AF" w:rsidP="008C6F9C">
            <w:pPr>
              <w:pStyle w:val="TableBodyText"/>
              <w:rPr>
                <w:rFonts w:cs="Arial"/>
                <w:b/>
                <w:bCs/>
              </w:rPr>
            </w:pPr>
            <w:r w:rsidRPr="009A52FC">
              <w:rPr>
                <w:rFonts w:cs="Arial"/>
                <w:b/>
                <w:bCs/>
              </w:rPr>
              <w:t>2 5</w:t>
            </w:r>
            <w:r w:rsidR="008C6F9C">
              <w:rPr>
                <w:rFonts w:cs="Arial"/>
                <w:b/>
                <w:bCs/>
              </w:rPr>
              <w:t>77</w:t>
            </w:r>
          </w:p>
        </w:tc>
        <w:tc>
          <w:tcPr>
            <w:tcW w:w="709" w:type="dxa"/>
            <w:shd w:val="clear" w:color="auto" w:fill="FFFFFF" w:themeFill="background1"/>
            <w:vAlign w:val="center"/>
          </w:tcPr>
          <w:p w:rsidR="00A308AF" w:rsidRPr="009A52FC" w:rsidRDefault="00A308AF" w:rsidP="008C6F9C">
            <w:pPr>
              <w:pStyle w:val="TableBodyText"/>
              <w:rPr>
                <w:rFonts w:cs="Arial"/>
                <w:b/>
                <w:bCs/>
              </w:rPr>
            </w:pPr>
            <w:r w:rsidRPr="009A52FC">
              <w:rPr>
                <w:rFonts w:cs="Arial"/>
                <w:b/>
                <w:bCs/>
              </w:rPr>
              <w:t>2 1</w:t>
            </w:r>
            <w:r w:rsidR="008C6F9C">
              <w:rPr>
                <w:rFonts w:cs="Arial"/>
                <w:b/>
                <w:bCs/>
              </w:rPr>
              <w:t>6</w:t>
            </w:r>
            <w:r w:rsidRPr="009A52FC">
              <w:rPr>
                <w:rFonts w:cs="Arial"/>
                <w:b/>
                <w:bCs/>
              </w:rPr>
              <w:t xml:space="preserve">8 </w:t>
            </w:r>
          </w:p>
        </w:tc>
        <w:tc>
          <w:tcPr>
            <w:tcW w:w="709" w:type="dxa"/>
            <w:shd w:val="clear" w:color="auto" w:fill="FFFFFF" w:themeFill="background1"/>
            <w:vAlign w:val="center"/>
          </w:tcPr>
          <w:p w:rsidR="00A308AF" w:rsidRPr="009A52FC" w:rsidRDefault="00A308AF" w:rsidP="008C6F9C">
            <w:pPr>
              <w:pStyle w:val="TableBodyText"/>
              <w:rPr>
                <w:rFonts w:cs="Arial"/>
                <w:b/>
                <w:bCs/>
              </w:rPr>
            </w:pPr>
            <w:r w:rsidRPr="009A52FC">
              <w:rPr>
                <w:rFonts w:cs="Arial"/>
                <w:b/>
                <w:bCs/>
              </w:rPr>
              <w:t xml:space="preserve">1 </w:t>
            </w:r>
            <w:r w:rsidR="008C6F9C">
              <w:rPr>
                <w:rFonts w:cs="Arial"/>
                <w:b/>
                <w:bCs/>
              </w:rPr>
              <w:t>204</w:t>
            </w:r>
          </w:p>
        </w:tc>
        <w:tc>
          <w:tcPr>
            <w:tcW w:w="709" w:type="dxa"/>
            <w:shd w:val="clear" w:color="auto" w:fill="FFFFFF" w:themeFill="background1"/>
            <w:vAlign w:val="center"/>
          </w:tcPr>
          <w:p w:rsidR="00A308AF" w:rsidRPr="009A52FC" w:rsidRDefault="00A308AF" w:rsidP="008C6F9C">
            <w:pPr>
              <w:pStyle w:val="TableBodyText"/>
              <w:rPr>
                <w:rFonts w:cs="Arial"/>
                <w:b/>
                <w:bCs/>
              </w:rPr>
            </w:pPr>
            <w:r w:rsidRPr="009A52FC">
              <w:rPr>
                <w:rFonts w:cs="Arial"/>
                <w:b/>
                <w:bCs/>
              </w:rPr>
              <w:t xml:space="preserve"> </w:t>
            </w:r>
            <w:r w:rsidR="00982591" w:rsidRPr="009A52FC">
              <w:rPr>
                <w:rFonts w:cs="Arial"/>
                <w:b/>
                <w:bCs/>
              </w:rPr>
              <w:t>7</w:t>
            </w:r>
            <w:r w:rsidR="008C6F9C">
              <w:rPr>
                <w:rFonts w:cs="Arial"/>
                <w:b/>
                <w:bCs/>
              </w:rPr>
              <w:t>90</w:t>
            </w:r>
          </w:p>
        </w:tc>
        <w:tc>
          <w:tcPr>
            <w:tcW w:w="708" w:type="dxa"/>
            <w:shd w:val="clear" w:color="auto" w:fill="FFFFFF" w:themeFill="background1"/>
            <w:vAlign w:val="center"/>
          </w:tcPr>
          <w:p w:rsidR="00A308AF" w:rsidRPr="009A52FC" w:rsidRDefault="00A308AF" w:rsidP="008C6F9C">
            <w:pPr>
              <w:pStyle w:val="TableBodyText"/>
              <w:rPr>
                <w:rFonts w:cs="Arial"/>
                <w:b/>
                <w:bCs/>
              </w:rPr>
            </w:pPr>
            <w:r w:rsidRPr="009A52FC">
              <w:rPr>
                <w:rFonts w:cs="Arial"/>
                <w:b/>
                <w:bCs/>
              </w:rPr>
              <w:t xml:space="preserve"> 21</w:t>
            </w:r>
            <w:r w:rsidR="008C6F9C">
              <w:rPr>
                <w:rFonts w:cs="Arial"/>
                <w:b/>
                <w:bCs/>
              </w:rPr>
              <w:t>4</w:t>
            </w:r>
            <w:r w:rsidRPr="009A52FC">
              <w:rPr>
                <w:rFonts w:cs="Arial"/>
                <w:b/>
                <w:bCs/>
              </w:rPr>
              <w:t xml:space="preserve"> </w:t>
            </w:r>
          </w:p>
        </w:tc>
        <w:tc>
          <w:tcPr>
            <w:tcW w:w="562" w:type="dxa"/>
            <w:shd w:val="clear" w:color="auto" w:fill="FFFFFF" w:themeFill="background1"/>
            <w:vAlign w:val="center"/>
          </w:tcPr>
          <w:p w:rsidR="00A308AF" w:rsidRPr="009A52FC" w:rsidRDefault="00A308AF" w:rsidP="008C6F9C">
            <w:pPr>
              <w:pStyle w:val="TableBodyText"/>
              <w:rPr>
                <w:rFonts w:cs="Arial"/>
                <w:b/>
                <w:bCs/>
              </w:rPr>
            </w:pPr>
            <w:r w:rsidRPr="009A52FC">
              <w:rPr>
                <w:rFonts w:cs="Arial"/>
                <w:b/>
                <w:bCs/>
              </w:rPr>
              <w:t xml:space="preserve"> 19</w:t>
            </w:r>
            <w:r w:rsidR="008C6F9C">
              <w:rPr>
                <w:rFonts w:cs="Arial"/>
                <w:b/>
                <w:bCs/>
              </w:rPr>
              <w:t>3</w:t>
            </w:r>
          </w:p>
        </w:tc>
        <w:tc>
          <w:tcPr>
            <w:tcW w:w="572" w:type="dxa"/>
            <w:shd w:val="clear" w:color="auto" w:fill="FFFFFF" w:themeFill="background1"/>
            <w:vAlign w:val="center"/>
          </w:tcPr>
          <w:p w:rsidR="00A308AF" w:rsidRPr="009A52FC" w:rsidRDefault="00A308AF" w:rsidP="008C6F9C">
            <w:pPr>
              <w:pStyle w:val="TableBodyText"/>
              <w:rPr>
                <w:rFonts w:cs="Arial"/>
                <w:b/>
                <w:bCs/>
              </w:rPr>
            </w:pPr>
            <w:r w:rsidRPr="009A52FC">
              <w:rPr>
                <w:rFonts w:cs="Arial"/>
                <w:b/>
                <w:bCs/>
              </w:rPr>
              <w:t xml:space="preserve"> </w:t>
            </w:r>
            <w:r w:rsidR="00BF18A5" w:rsidRPr="009A52FC">
              <w:rPr>
                <w:rFonts w:cs="Arial"/>
                <w:b/>
                <w:bCs/>
              </w:rPr>
              <w:t>13</w:t>
            </w:r>
            <w:r w:rsidR="008C6F9C">
              <w:rPr>
                <w:rFonts w:cs="Arial"/>
                <w:b/>
                <w:bCs/>
              </w:rPr>
              <w:t>5</w:t>
            </w:r>
          </w:p>
        </w:tc>
        <w:tc>
          <w:tcPr>
            <w:tcW w:w="852" w:type="dxa"/>
            <w:shd w:val="clear" w:color="auto" w:fill="FFFFFF" w:themeFill="background1"/>
            <w:vAlign w:val="center"/>
          </w:tcPr>
          <w:p w:rsidR="00A308AF" w:rsidRPr="009A52FC" w:rsidRDefault="00A308AF" w:rsidP="008C6F9C">
            <w:pPr>
              <w:pStyle w:val="TableBodyText"/>
              <w:rPr>
                <w:rFonts w:cs="Arial"/>
                <w:b/>
                <w:bCs/>
              </w:rPr>
            </w:pPr>
            <w:r w:rsidRPr="009A52FC">
              <w:rPr>
                <w:rFonts w:cs="Arial"/>
                <w:b/>
                <w:bCs/>
              </w:rPr>
              <w:t xml:space="preserve">10 </w:t>
            </w:r>
            <w:r w:rsidR="00BF18A5" w:rsidRPr="009A52FC">
              <w:rPr>
                <w:rFonts w:cs="Arial"/>
                <w:b/>
                <w:bCs/>
              </w:rPr>
              <w:t>5</w:t>
            </w:r>
            <w:r w:rsidR="008C6F9C">
              <w:rPr>
                <w:rFonts w:cs="Arial"/>
                <w:b/>
                <w:bCs/>
              </w:rPr>
              <w:t>65</w:t>
            </w:r>
          </w:p>
        </w:tc>
      </w:tr>
      <w:tr w:rsidR="00EB256F" w:rsidRPr="00EB256F" w:rsidTr="005F7911">
        <w:tc>
          <w:tcPr>
            <w:tcW w:w="2268" w:type="dxa"/>
            <w:shd w:val="clear" w:color="auto" w:fill="auto"/>
          </w:tcPr>
          <w:p w:rsidR="00666ECE" w:rsidRPr="00D612DE" w:rsidRDefault="00666ECE" w:rsidP="00666ECE">
            <w:pPr>
              <w:keepNext/>
              <w:keepLines/>
              <w:spacing w:after="40" w:line="220" w:lineRule="atLeast"/>
              <w:ind w:left="6" w:right="113"/>
              <w:rPr>
                <w:rFonts w:ascii="Arial" w:hAnsi="Arial"/>
                <w:sz w:val="20"/>
                <w:szCs w:val="20"/>
              </w:rPr>
            </w:pPr>
            <w:r w:rsidRPr="00D612DE">
              <w:rPr>
                <w:rFonts w:ascii="Arial" w:hAnsi="Arial"/>
                <w:sz w:val="20"/>
                <w:szCs w:val="20"/>
              </w:rPr>
              <w:t>All schools</w:t>
            </w:r>
          </w:p>
        </w:tc>
        <w:tc>
          <w:tcPr>
            <w:tcW w:w="851" w:type="dxa"/>
            <w:shd w:val="clear" w:color="auto" w:fill="auto"/>
          </w:tcPr>
          <w:p w:rsidR="00666ECE" w:rsidRPr="009A52FC" w:rsidRDefault="00666ECE" w:rsidP="00D612DE">
            <w:pPr>
              <w:pStyle w:val="TableBodyText"/>
            </w:pPr>
          </w:p>
        </w:tc>
        <w:tc>
          <w:tcPr>
            <w:tcW w:w="850" w:type="dxa"/>
            <w:shd w:val="clear" w:color="auto" w:fill="FFFFFF" w:themeFill="background1"/>
          </w:tcPr>
          <w:p w:rsidR="00666ECE" w:rsidRPr="009A52FC" w:rsidRDefault="00666ECE" w:rsidP="00D612DE">
            <w:pPr>
              <w:pStyle w:val="TableBodyText"/>
            </w:pPr>
          </w:p>
        </w:tc>
        <w:tc>
          <w:tcPr>
            <w:tcW w:w="709" w:type="dxa"/>
            <w:shd w:val="clear" w:color="auto" w:fill="FFFFFF" w:themeFill="background1"/>
          </w:tcPr>
          <w:p w:rsidR="00666ECE" w:rsidRPr="009A52FC" w:rsidRDefault="00666ECE" w:rsidP="00D612DE">
            <w:pPr>
              <w:pStyle w:val="TableBodyText"/>
            </w:pPr>
          </w:p>
        </w:tc>
        <w:tc>
          <w:tcPr>
            <w:tcW w:w="709" w:type="dxa"/>
            <w:shd w:val="clear" w:color="auto" w:fill="FFFFFF" w:themeFill="background1"/>
          </w:tcPr>
          <w:p w:rsidR="00666ECE" w:rsidRPr="009A52FC" w:rsidRDefault="00666ECE" w:rsidP="00D612DE">
            <w:pPr>
              <w:pStyle w:val="TableBodyText"/>
            </w:pPr>
          </w:p>
        </w:tc>
        <w:tc>
          <w:tcPr>
            <w:tcW w:w="709" w:type="dxa"/>
            <w:shd w:val="clear" w:color="auto" w:fill="FFFFFF" w:themeFill="background1"/>
          </w:tcPr>
          <w:p w:rsidR="00666ECE" w:rsidRPr="009A52FC" w:rsidRDefault="00666ECE" w:rsidP="00D612DE">
            <w:pPr>
              <w:pStyle w:val="TableBodyText"/>
            </w:pPr>
          </w:p>
        </w:tc>
        <w:tc>
          <w:tcPr>
            <w:tcW w:w="708" w:type="dxa"/>
            <w:shd w:val="clear" w:color="auto" w:fill="FFFFFF" w:themeFill="background1"/>
          </w:tcPr>
          <w:p w:rsidR="00666ECE" w:rsidRPr="009A52FC" w:rsidRDefault="00666ECE" w:rsidP="00D612DE">
            <w:pPr>
              <w:pStyle w:val="TableBodyText"/>
            </w:pPr>
          </w:p>
        </w:tc>
        <w:tc>
          <w:tcPr>
            <w:tcW w:w="562" w:type="dxa"/>
            <w:shd w:val="clear" w:color="auto" w:fill="FFFFFF" w:themeFill="background1"/>
          </w:tcPr>
          <w:p w:rsidR="00666ECE" w:rsidRPr="009A52FC" w:rsidRDefault="00666ECE" w:rsidP="00D612DE">
            <w:pPr>
              <w:pStyle w:val="TableBodyText"/>
            </w:pPr>
          </w:p>
        </w:tc>
        <w:tc>
          <w:tcPr>
            <w:tcW w:w="572" w:type="dxa"/>
            <w:shd w:val="clear" w:color="auto" w:fill="FFFFFF" w:themeFill="background1"/>
          </w:tcPr>
          <w:p w:rsidR="00666ECE" w:rsidRPr="009A52FC" w:rsidRDefault="00666ECE" w:rsidP="00D612DE">
            <w:pPr>
              <w:pStyle w:val="TableBodyText"/>
            </w:pPr>
          </w:p>
        </w:tc>
        <w:tc>
          <w:tcPr>
            <w:tcW w:w="852" w:type="dxa"/>
            <w:shd w:val="clear" w:color="auto" w:fill="FFFFFF" w:themeFill="background1"/>
          </w:tcPr>
          <w:p w:rsidR="00666ECE" w:rsidRPr="009A52FC" w:rsidRDefault="00666ECE" w:rsidP="00D612DE">
            <w:pPr>
              <w:pStyle w:val="TableBodyText"/>
            </w:pPr>
          </w:p>
        </w:tc>
      </w:tr>
      <w:tr w:rsidR="00A308AF" w:rsidRPr="00EB256F" w:rsidTr="00032235">
        <w:tc>
          <w:tcPr>
            <w:tcW w:w="2268" w:type="dxa"/>
            <w:shd w:val="clear" w:color="auto" w:fill="auto"/>
          </w:tcPr>
          <w:p w:rsidR="00A308AF" w:rsidRPr="00D612DE" w:rsidRDefault="00A308AF" w:rsidP="00666ECE">
            <w:pPr>
              <w:keepNext/>
              <w:keepLines/>
              <w:spacing w:after="40" w:line="220" w:lineRule="atLeast"/>
              <w:ind w:left="136" w:right="113"/>
              <w:rPr>
                <w:rFonts w:ascii="Arial" w:hAnsi="Arial"/>
                <w:sz w:val="20"/>
                <w:szCs w:val="20"/>
              </w:rPr>
            </w:pPr>
            <w:r w:rsidRPr="00D612DE">
              <w:rPr>
                <w:rFonts w:ascii="Arial" w:hAnsi="Arial"/>
                <w:sz w:val="20"/>
                <w:szCs w:val="20"/>
              </w:rPr>
              <w:t>Australian Government</w:t>
            </w:r>
          </w:p>
        </w:tc>
        <w:tc>
          <w:tcPr>
            <w:tcW w:w="851" w:type="dxa"/>
            <w:shd w:val="clear" w:color="auto" w:fill="FFFFFF" w:themeFill="background1"/>
            <w:vAlign w:val="center"/>
          </w:tcPr>
          <w:p w:rsidR="00A308AF" w:rsidRPr="009A52FC" w:rsidRDefault="00A308AF" w:rsidP="008C6F9C">
            <w:pPr>
              <w:pStyle w:val="TableBodyText"/>
              <w:rPr>
                <w:rFonts w:cs="Arial"/>
              </w:rPr>
            </w:pPr>
            <w:r w:rsidRPr="009A52FC">
              <w:rPr>
                <w:rFonts w:cs="Arial"/>
              </w:rPr>
              <w:t xml:space="preserve">3 </w:t>
            </w:r>
            <w:r w:rsidR="008C6F9C">
              <w:rPr>
                <w:rFonts w:cs="Arial"/>
              </w:rPr>
              <w:t>900</w:t>
            </w:r>
          </w:p>
        </w:tc>
        <w:tc>
          <w:tcPr>
            <w:tcW w:w="850" w:type="dxa"/>
            <w:shd w:val="clear" w:color="auto" w:fill="FFFFFF" w:themeFill="background1"/>
            <w:vAlign w:val="center"/>
          </w:tcPr>
          <w:p w:rsidR="00A308AF" w:rsidRPr="009A52FC" w:rsidRDefault="008C6F9C" w:rsidP="00D612DE">
            <w:pPr>
              <w:pStyle w:val="TableBodyText"/>
              <w:rPr>
                <w:rFonts w:cs="Arial"/>
              </w:rPr>
            </w:pPr>
            <w:r>
              <w:rPr>
                <w:rFonts w:cs="Arial"/>
              </w:rPr>
              <w:t>3 024</w:t>
            </w:r>
          </w:p>
        </w:tc>
        <w:tc>
          <w:tcPr>
            <w:tcW w:w="709" w:type="dxa"/>
            <w:shd w:val="clear" w:color="auto" w:fill="FFFFFF" w:themeFill="background1"/>
            <w:vAlign w:val="center"/>
          </w:tcPr>
          <w:p w:rsidR="00A308AF" w:rsidRPr="009A52FC" w:rsidRDefault="00A308AF" w:rsidP="008C6F9C">
            <w:pPr>
              <w:pStyle w:val="TableBodyText"/>
              <w:rPr>
                <w:rFonts w:cs="Arial"/>
              </w:rPr>
            </w:pPr>
            <w:r w:rsidRPr="009A52FC">
              <w:rPr>
                <w:rFonts w:cs="Arial"/>
              </w:rPr>
              <w:t>2 4</w:t>
            </w:r>
            <w:r w:rsidR="008C6F9C">
              <w:rPr>
                <w:rFonts w:cs="Arial"/>
              </w:rPr>
              <w:t>8</w:t>
            </w:r>
            <w:r w:rsidRPr="009A52FC">
              <w:rPr>
                <w:rFonts w:cs="Arial"/>
              </w:rPr>
              <w:t>5</w:t>
            </w:r>
          </w:p>
        </w:tc>
        <w:tc>
          <w:tcPr>
            <w:tcW w:w="709" w:type="dxa"/>
            <w:shd w:val="clear" w:color="auto" w:fill="FFFFFF" w:themeFill="background1"/>
            <w:vAlign w:val="center"/>
          </w:tcPr>
          <w:p w:rsidR="00A308AF" w:rsidRPr="009A52FC" w:rsidRDefault="00A308AF" w:rsidP="008C6F9C">
            <w:pPr>
              <w:pStyle w:val="TableBodyText"/>
              <w:rPr>
                <w:rFonts w:cs="Arial"/>
              </w:rPr>
            </w:pPr>
            <w:r w:rsidRPr="009A52FC">
              <w:rPr>
                <w:rFonts w:cs="Arial"/>
              </w:rPr>
              <w:t xml:space="preserve">1 </w:t>
            </w:r>
            <w:r w:rsidR="00877681" w:rsidRPr="009A52FC">
              <w:rPr>
                <w:rFonts w:cs="Arial"/>
              </w:rPr>
              <w:t>2</w:t>
            </w:r>
            <w:r w:rsidR="008C6F9C">
              <w:rPr>
                <w:rFonts w:cs="Arial"/>
              </w:rPr>
              <w:t>39</w:t>
            </w:r>
          </w:p>
        </w:tc>
        <w:tc>
          <w:tcPr>
            <w:tcW w:w="709" w:type="dxa"/>
            <w:shd w:val="clear" w:color="auto" w:fill="FFFFFF" w:themeFill="background1"/>
            <w:vAlign w:val="center"/>
          </w:tcPr>
          <w:p w:rsidR="00A308AF" w:rsidRPr="009A52FC" w:rsidRDefault="00982591" w:rsidP="008C6F9C">
            <w:pPr>
              <w:pStyle w:val="TableBodyText"/>
              <w:rPr>
                <w:rFonts w:cs="Arial"/>
              </w:rPr>
            </w:pPr>
            <w:r w:rsidRPr="009A52FC">
              <w:rPr>
                <w:rFonts w:cs="Arial"/>
              </w:rPr>
              <w:t>9</w:t>
            </w:r>
            <w:r w:rsidR="008C6F9C">
              <w:rPr>
                <w:rFonts w:cs="Arial"/>
              </w:rPr>
              <w:t>72</w:t>
            </w:r>
          </w:p>
        </w:tc>
        <w:tc>
          <w:tcPr>
            <w:tcW w:w="708" w:type="dxa"/>
            <w:shd w:val="clear" w:color="auto" w:fill="FFFFFF" w:themeFill="background1"/>
            <w:vAlign w:val="center"/>
          </w:tcPr>
          <w:p w:rsidR="00A308AF" w:rsidRPr="009A52FC" w:rsidRDefault="00A308AF" w:rsidP="008C6F9C">
            <w:pPr>
              <w:pStyle w:val="TableBodyText"/>
              <w:rPr>
                <w:rFonts w:cs="Arial"/>
              </w:rPr>
            </w:pPr>
            <w:r w:rsidRPr="009A52FC">
              <w:rPr>
                <w:rFonts w:cs="Arial"/>
              </w:rPr>
              <w:t xml:space="preserve"> 2</w:t>
            </w:r>
            <w:r w:rsidR="008C6F9C">
              <w:rPr>
                <w:rFonts w:cs="Arial"/>
              </w:rPr>
              <w:t>91</w:t>
            </w:r>
            <w:r w:rsidRPr="009A52FC">
              <w:rPr>
                <w:rFonts w:cs="Arial"/>
              </w:rPr>
              <w:t xml:space="preserve"> </w:t>
            </w:r>
          </w:p>
        </w:tc>
        <w:tc>
          <w:tcPr>
            <w:tcW w:w="562" w:type="dxa"/>
            <w:shd w:val="clear" w:color="auto" w:fill="FFFFFF" w:themeFill="background1"/>
            <w:vAlign w:val="center"/>
          </w:tcPr>
          <w:p w:rsidR="00A308AF" w:rsidRPr="009A52FC" w:rsidRDefault="00A308AF" w:rsidP="008C6F9C">
            <w:pPr>
              <w:pStyle w:val="TableBodyText"/>
              <w:rPr>
                <w:rFonts w:cs="Arial"/>
              </w:rPr>
            </w:pPr>
            <w:r w:rsidRPr="009A52FC">
              <w:rPr>
                <w:rFonts w:cs="Arial"/>
              </w:rPr>
              <w:t xml:space="preserve"> 2</w:t>
            </w:r>
            <w:r w:rsidR="008C6F9C">
              <w:rPr>
                <w:rFonts w:cs="Arial"/>
              </w:rPr>
              <w:t>10</w:t>
            </w:r>
          </w:p>
        </w:tc>
        <w:tc>
          <w:tcPr>
            <w:tcW w:w="572" w:type="dxa"/>
            <w:shd w:val="clear" w:color="auto" w:fill="FFFFFF" w:themeFill="background1"/>
            <w:vAlign w:val="center"/>
          </w:tcPr>
          <w:p w:rsidR="00A308AF" w:rsidRPr="009A52FC" w:rsidRDefault="00A308AF" w:rsidP="008C6F9C">
            <w:pPr>
              <w:pStyle w:val="TableBodyText"/>
              <w:rPr>
                <w:rFonts w:cs="Arial"/>
              </w:rPr>
            </w:pPr>
            <w:r w:rsidRPr="009A52FC">
              <w:rPr>
                <w:rFonts w:cs="Arial"/>
              </w:rPr>
              <w:t xml:space="preserve"> </w:t>
            </w:r>
            <w:r w:rsidR="00BF18A5" w:rsidRPr="009A52FC">
              <w:rPr>
                <w:rFonts w:cs="Arial"/>
              </w:rPr>
              <w:t>20</w:t>
            </w:r>
            <w:r w:rsidR="008C6F9C">
              <w:rPr>
                <w:rFonts w:cs="Arial"/>
              </w:rPr>
              <w:t>9</w:t>
            </w:r>
          </w:p>
        </w:tc>
        <w:tc>
          <w:tcPr>
            <w:tcW w:w="852" w:type="dxa"/>
            <w:shd w:val="clear" w:color="auto" w:fill="FFFFFF" w:themeFill="background1"/>
            <w:vAlign w:val="center"/>
          </w:tcPr>
          <w:p w:rsidR="00A308AF" w:rsidRPr="009A52FC" w:rsidRDefault="00A308AF" w:rsidP="000F0C6D">
            <w:pPr>
              <w:pStyle w:val="TableBodyText"/>
              <w:rPr>
                <w:rFonts w:cs="Arial"/>
              </w:rPr>
            </w:pPr>
            <w:r w:rsidRPr="009A52FC">
              <w:rPr>
                <w:rFonts w:cs="Arial"/>
              </w:rPr>
              <w:t xml:space="preserve">12 </w:t>
            </w:r>
            <w:r w:rsidR="008C6F9C">
              <w:rPr>
                <w:rFonts w:cs="Arial"/>
              </w:rPr>
              <w:t>3</w:t>
            </w:r>
            <w:r w:rsidR="000F0C6D">
              <w:rPr>
                <w:rFonts w:cs="Arial"/>
              </w:rPr>
              <w:t>30</w:t>
            </w:r>
          </w:p>
        </w:tc>
      </w:tr>
      <w:tr w:rsidR="00A308AF" w:rsidRPr="00EB256F" w:rsidTr="00032235">
        <w:tc>
          <w:tcPr>
            <w:tcW w:w="2268" w:type="dxa"/>
            <w:shd w:val="clear" w:color="auto" w:fill="auto"/>
          </w:tcPr>
          <w:p w:rsidR="00A308AF" w:rsidRPr="00D612DE" w:rsidRDefault="00A308AF" w:rsidP="00666ECE">
            <w:pPr>
              <w:keepNext/>
              <w:keepLines/>
              <w:spacing w:after="40" w:line="220" w:lineRule="atLeast"/>
              <w:ind w:left="136" w:right="113"/>
              <w:rPr>
                <w:rFonts w:ascii="Arial" w:hAnsi="Arial"/>
                <w:sz w:val="20"/>
                <w:szCs w:val="20"/>
              </w:rPr>
            </w:pPr>
            <w:r w:rsidRPr="00D612DE">
              <w:rPr>
                <w:rFonts w:ascii="Arial" w:hAnsi="Arial"/>
                <w:sz w:val="20"/>
                <w:szCs w:val="20"/>
              </w:rPr>
              <w:t>State and Territory governments</w:t>
            </w:r>
          </w:p>
        </w:tc>
        <w:tc>
          <w:tcPr>
            <w:tcW w:w="851" w:type="dxa"/>
            <w:shd w:val="clear" w:color="auto" w:fill="FFFFFF" w:themeFill="background1"/>
            <w:vAlign w:val="center"/>
          </w:tcPr>
          <w:p w:rsidR="00A308AF" w:rsidRPr="009A52FC" w:rsidRDefault="00A308AF" w:rsidP="007606E4">
            <w:pPr>
              <w:pStyle w:val="TableBodyText"/>
              <w:rPr>
                <w:rFonts w:cs="Arial"/>
              </w:rPr>
            </w:pPr>
            <w:r w:rsidRPr="009A52FC">
              <w:rPr>
                <w:rFonts w:cs="Arial"/>
              </w:rPr>
              <w:t>11 1</w:t>
            </w:r>
            <w:r w:rsidR="007606E4">
              <w:rPr>
                <w:rFonts w:cs="Arial"/>
              </w:rPr>
              <w:t>23</w:t>
            </w:r>
            <w:r w:rsidRPr="009A52FC">
              <w:rPr>
                <w:rFonts w:cs="Arial"/>
              </w:rPr>
              <w:t xml:space="preserve"> </w:t>
            </w:r>
          </w:p>
        </w:tc>
        <w:tc>
          <w:tcPr>
            <w:tcW w:w="850" w:type="dxa"/>
            <w:shd w:val="clear" w:color="auto" w:fill="FFFFFF" w:themeFill="background1"/>
            <w:vAlign w:val="center"/>
          </w:tcPr>
          <w:p w:rsidR="00A308AF" w:rsidRPr="009A52FC" w:rsidRDefault="00A308AF" w:rsidP="007606E4">
            <w:pPr>
              <w:pStyle w:val="TableBodyText"/>
              <w:rPr>
                <w:rFonts w:cs="Arial"/>
              </w:rPr>
            </w:pPr>
            <w:r w:rsidRPr="009A52FC">
              <w:rPr>
                <w:rFonts w:cs="Arial"/>
              </w:rPr>
              <w:t>7 0</w:t>
            </w:r>
            <w:r w:rsidR="007606E4">
              <w:rPr>
                <w:rFonts w:cs="Arial"/>
              </w:rPr>
              <w:t>57</w:t>
            </w:r>
            <w:r w:rsidRPr="009A52FC">
              <w:rPr>
                <w:rFonts w:cs="Arial"/>
              </w:rPr>
              <w:t xml:space="preserve"> </w:t>
            </w:r>
          </w:p>
        </w:tc>
        <w:tc>
          <w:tcPr>
            <w:tcW w:w="709" w:type="dxa"/>
            <w:shd w:val="clear" w:color="auto" w:fill="FFFFFF" w:themeFill="background1"/>
            <w:vAlign w:val="center"/>
          </w:tcPr>
          <w:p w:rsidR="00A308AF" w:rsidRPr="009A52FC" w:rsidRDefault="00A308AF" w:rsidP="007606E4">
            <w:pPr>
              <w:pStyle w:val="TableBodyText"/>
              <w:rPr>
                <w:rFonts w:cs="Arial"/>
              </w:rPr>
            </w:pPr>
            <w:r w:rsidRPr="009A52FC">
              <w:rPr>
                <w:rFonts w:cs="Arial"/>
              </w:rPr>
              <w:t xml:space="preserve">7 </w:t>
            </w:r>
            <w:r w:rsidR="007606E4">
              <w:rPr>
                <w:rFonts w:cs="Arial"/>
              </w:rPr>
              <w:t>387</w:t>
            </w:r>
          </w:p>
        </w:tc>
        <w:tc>
          <w:tcPr>
            <w:tcW w:w="709" w:type="dxa"/>
            <w:shd w:val="clear" w:color="auto" w:fill="FFFFFF" w:themeFill="background1"/>
            <w:vAlign w:val="center"/>
          </w:tcPr>
          <w:p w:rsidR="00A308AF" w:rsidRPr="009A52FC" w:rsidRDefault="00D612DE" w:rsidP="007606E4">
            <w:pPr>
              <w:pStyle w:val="TableBodyText"/>
              <w:rPr>
                <w:rFonts w:cs="Arial"/>
              </w:rPr>
            </w:pPr>
            <w:r w:rsidRPr="009A52FC">
              <w:rPr>
                <w:rFonts w:cs="Arial"/>
              </w:rPr>
              <w:t xml:space="preserve">4 </w:t>
            </w:r>
            <w:r w:rsidR="007606E4">
              <w:rPr>
                <w:rFonts w:cs="Arial"/>
              </w:rPr>
              <w:t>486</w:t>
            </w:r>
          </w:p>
        </w:tc>
        <w:tc>
          <w:tcPr>
            <w:tcW w:w="709" w:type="dxa"/>
            <w:shd w:val="clear" w:color="auto" w:fill="FFFFFF" w:themeFill="background1"/>
            <w:vAlign w:val="center"/>
          </w:tcPr>
          <w:p w:rsidR="00A308AF" w:rsidRPr="009A52FC" w:rsidRDefault="00A308AF" w:rsidP="007606E4">
            <w:pPr>
              <w:pStyle w:val="TableBodyText"/>
              <w:rPr>
                <w:rFonts w:cs="Arial"/>
              </w:rPr>
            </w:pPr>
            <w:r w:rsidRPr="009A52FC">
              <w:rPr>
                <w:rFonts w:cs="Arial"/>
              </w:rPr>
              <w:t xml:space="preserve">2 </w:t>
            </w:r>
            <w:r w:rsidR="00982591" w:rsidRPr="009A52FC">
              <w:rPr>
                <w:rFonts w:cs="Arial"/>
              </w:rPr>
              <w:t>5</w:t>
            </w:r>
            <w:r w:rsidR="007606E4">
              <w:rPr>
                <w:rFonts w:cs="Arial"/>
              </w:rPr>
              <w:t>31</w:t>
            </w:r>
          </w:p>
        </w:tc>
        <w:tc>
          <w:tcPr>
            <w:tcW w:w="708" w:type="dxa"/>
            <w:shd w:val="clear" w:color="auto" w:fill="FFFFFF" w:themeFill="background1"/>
            <w:vAlign w:val="center"/>
          </w:tcPr>
          <w:p w:rsidR="00A308AF" w:rsidRPr="009A52FC" w:rsidRDefault="00A308AF" w:rsidP="007606E4">
            <w:pPr>
              <w:pStyle w:val="TableBodyText"/>
              <w:rPr>
                <w:rFonts w:cs="Arial"/>
              </w:rPr>
            </w:pPr>
            <w:r w:rsidRPr="009A52FC">
              <w:rPr>
                <w:rFonts w:cs="Arial"/>
              </w:rPr>
              <w:t xml:space="preserve"> 8</w:t>
            </w:r>
            <w:r w:rsidR="007606E4">
              <w:rPr>
                <w:rFonts w:cs="Arial"/>
              </w:rPr>
              <w:t>48</w:t>
            </w:r>
          </w:p>
        </w:tc>
        <w:tc>
          <w:tcPr>
            <w:tcW w:w="562" w:type="dxa"/>
            <w:shd w:val="clear" w:color="auto" w:fill="FFFFFF" w:themeFill="background1"/>
            <w:vAlign w:val="center"/>
          </w:tcPr>
          <w:p w:rsidR="00A308AF" w:rsidRPr="009A52FC" w:rsidRDefault="00A308AF" w:rsidP="007606E4">
            <w:pPr>
              <w:pStyle w:val="TableBodyText"/>
              <w:rPr>
                <w:rFonts w:cs="Arial"/>
              </w:rPr>
            </w:pPr>
            <w:r w:rsidRPr="009A52FC">
              <w:rPr>
                <w:rFonts w:cs="Arial"/>
              </w:rPr>
              <w:t xml:space="preserve"> 71</w:t>
            </w:r>
            <w:r w:rsidR="007606E4">
              <w:rPr>
                <w:rFonts w:cs="Arial"/>
              </w:rPr>
              <w:t>4</w:t>
            </w:r>
            <w:r w:rsidRPr="009A52FC">
              <w:rPr>
                <w:rFonts w:cs="Arial"/>
              </w:rPr>
              <w:t xml:space="preserve"> </w:t>
            </w:r>
          </w:p>
        </w:tc>
        <w:tc>
          <w:tcPr>
            <w:tcW w:w="572" w:type="dxa"/>
            <w:shd w:val="clear" w:color="auto" w:fill="FFFFFF" w:themeFill="background1"/>
            <w:vAlign w:val="center"/>
          </w:tcPr>
          <w:p w:rsidR="00A308AF" w:rsidRPr="009A52FC" w:rsidRDefault="00A308AF" w:rsidP="007606E4">
            <w:pPr>
              <w:pStyle w:val="TableBodyText"/>
              <w:rPr>
                <w:rFonts w:cs="Arial"/>
              </w:rPr>
            </w:pPr>
            <w:r w:rsidRPr="009A52FC">
              <w:rPr>
                <w:rFonts w:cs="Arial"/>
              </w:rPr>
              <w:t xml:space="preserve"> </w:t>
            </w:r>
            <w:r w:rsidR="00BF18A5" w:rsidRPr="009A52FC">
              <w:rPr>
                <w:rFonts w:cs="Arial"/>
              </w:rPr>
              <w:t>62</w:t>
            </w:r>
            <w:r w:rsidR="007606E4">
              <w:rPr>
                <w:rFonts w:cs="Arial"/>
              </w:rPr>
              <w:t>4</w:t>
            </w:r>
          </w:p>
        </w:tc>
        <w:tc>
          <w:tcPr>
            <w:tcW w:w="852" w:type="dxa"/>
            <w:shd w:val="clear" w:color="auto" w:fill="FFFFFF" w:themeFill="background1"/>
            <w:vAlign w:val="center"/>
          </w:tcPr>
          <w:p w:rsidR="00A308AF" w:rsidRPr="009A52FC" w:rsidRDefault="00A308AF" w:rsidP="007606E4">
            <w:pPr>
              <w:pStyle w:val="TableBodyText"/>
              <w:rPr>
                <w:rFonts w:cs="Arial"/>
              </w:rPr>
            </w:pPr>
            <w:r w:rsidRPr="009A52FC">
              <w:rPr>
                <w:rFonts w:cs="Arial"/>
              </w:rPr>
              <w:t xml:space="preserve">34 </w:t>
            </w:r>
            <w:r w:rsidR="007606E4">
              <w:rPr>
                <w:rFonts w:cs="Arial"/>
              </w:rPr>
              <w:t>76</w:t>
            </w:r>
            <w:r w:rsidR="00BF18A5" w:rsidRPr="009A52FC">
              <w:rPr>
                <w:rFonts w:cs="Arial"/>
              </w:rPr>
              <w:t>8</w:t>
            </w:r>
          </w:p>
        </w:tc>
      </w:tr>
      <w:tr w:rsidR="00A308AF" w:rsidRPr="00EB256F" w:rsidTr="00032235">
        <w:tc>
          <w:tcPr>
            <w:tcW w:w="2268" w:type="dxa"/>
            <w:tcBorders>
              <w:bottom w:val="single" w:sz="4" w:space="0" w:color="auto"/>
            </w:tcBorders>
            <w:shd w:val="clear" w:color="auto" w:fill="auto"/>
          </w:tcPr>
          <w:p w:rsidR="00A308AF" w:rsidRPr="00D612DE" w:rsidRDefault="00A308AF" w:rsidP="00666ECE">
            <w:pPr>
              <w:keepNext/>
              <w:keepLines/>
              <w:spacing w:after="40" w:line="220" w:lineRule="atLeast"/>
              <w:ind w:left="136" w:right="113"/>
              <w:rPr>
                <w:rFonts w:ascii="Arial" w:hAnsi="Arial"/>
                <w:b/>
                <w:sz w:val="20"/>
                <w:szCs w:val="20"/>
              </w:rPr>
            </w:pPr>
            <w:r w:rsidRPr="00D612DE">
              <w:rPr>
                <w:rFonts w:ascii="Arial" w:hAnsi="Arial"/>
                <w:b/>
                <w:sz w:val="20"/>
                <w:szCs w:val="20"/>
              </w:rPr>
              <w:t>Total</w:t>
            </w:r>
          </w:p>
        </w:tc>
        <w:tc>
          <w:tcPr>
            <w:tcW w:w="851" w:type="dxa"/>
            <w:tcBorders>
              <w:bottom w:val="single" w:sz="4" w:space="0" w:color="auto"/>
            </w:tcBorders>
            <w:shd w:val="clear" w:color="auto" w:fill="FFFFFF" w:themeFill="background1"/>
            <w:vAlign w:val="center"/>
          </w:tcPr>
          <w:p w:rsidR="00A308AF" w:rsidRDefault="00A308AF" w:rsidP="007606E4">
            <w:pPr>
              <w:pStyle w:val="TableBodyText"/>
              <w:rPr>
                <w:rFonts w:cs="Arial"/>
                <w:b/>
                <w:bCs/>
              </w:rPr>
            </w:pPr>
            <w:r>
              <w:rPr>
                <w:rFonts w:cs="Arial"/>
                <w:b/>
                <w:bCs/>
              </w:rPr>
              <w:t>15 0</w:t>
            </w:r>
            <w:r w:rsidR="007606E4">
              <w:rPr>
                <w:rFonts w:cs="Arial"/>
                <w:b/>
                <w:bCs/>
              </w:rPr>
              <w:t>22</w:t>
            </w:r>
            <w:r>
              <w:rPr>
                <w:rFonts w:cs="Arial"/>
                <w:b/>
                <w:bCs/>
              </w:rPr>
              <w:t xml:space="preserve"> </w:t>
            </w:r>
          </w:p>
        </w:tc>
        <w:tc>
          <w:tcPr>
            <w:tcW w:w="850" w:type="dxa"/>
            <w:tcBorders>
              <w:bottom w:val="single" w:sz="4" w:space="0" w:color="auto"/>
            </w:tcBorders>
            <w:shd w:val="clear" w:color="auto" w:fill="FFFFFF" w:themeFill="background1"/>
            <w:vAlign w:val="center"/>
          </w:tcPr>
          <w:p w:rsidR="00A308AF" w:rsidRDefault="00A308AF" w:rsidP="007606E4">
            <w:pPr>
              <w:pStyle w:val="TableBodyText"/>
              <w:rPr>
                <w:rFonts w:cs="Arial"/>
                <w:b/>
                <w:bCs/>
              </w:rPr>
            </w:pPr>
            <w:r>
              <w:rPr>
                <w:rFonts w:cs="Arial"/>
                <w:b/>
                <w:bCs/>
              </w:rPr>
              <w:t>10</w:t>
            </w:r>
            <w:r w:rsidRPr="005F7911">
              <w:rPr>
                <w:rFonts w:cs="Arial"/>
                <w:b/>
                <w:bCs/>
              </w:rPr>
              <w:t xml:space="preserve"> </w:t>
            </w:r>
            <w:r>
              <w:rPr>
                <w:rFonts w:cs="Arial"/>
                <w:b/>
                <w:bCs/>
              </w:rPr>
              <w:t>0</w:t>
            </w:r>
            <w:r w:rsidR="007606E4">
              <w:rPr>
                <w:rFonts w:cs="Arial"/>
                <w:b/>
                <w:bCs/>
              </w:rPr>
              <w:t>81</w:t>
            </w:r>
          </w:p>
        </w:tc>
        <w:tc>
          <w:tcPr>
            <w:tcW w:w="709" w:type="dxa"/>
            <w:tcBorders>
              <w:bottom w:val="single" w:sz="4" w:space="0" w:color="auto"/>
            </w:tcBorders>
            <w:shd w:val="clear" w:color="auto" w:fill="FFFFFF" w:themeFill="background1"/>
            <w:vAlign w:val="center"/>
          </w:tcPr>
          <w:p w:rsidR="00A308AF" w:rsidRDefault="00A308AF" w:rsidP="007606E4">
            <w:pPr>
              <w:pStyle w:val="TableBodyText"/>
              <w:rPr>
                <w:rFonts w:cs="Arial"/>
                <w:b/>
                <w:bCs/>
              </w:rPr>
            </w:pPr>
            <w:r>
              <w:rPr>
                <w:rFonts w:cs="Arial"/>
                <w:b/>
                <w:bCs/>
              </w:rPr>
              <w:t>9 8</w:t>
            </w:r>
            <w:r w:rsidR="007606E4">
              <w:rPr>
                <w:rFonts w:cs="Arial"/>
                <w:b/>
                <w:bCs/>
              </w:rPr>
              <w:t>7</w:t>
            </w:r>
            <w:r>
              <w:rPr>
                <w:rFonts w:cs="Arial"/>
                <w:b/>
                <w:bCs/>
              </w:rPr>
              <w:t xml:space="preserve">2 </w:t>
            </w:r>
          </w:p>
        </w:tc>
        <w:tc>
          <w:tcPr>
            <w:tcW w:w="709" w:type="dxa"/>
            <w:tcBorders>
              <w:bottom w:val="single" w:sz="4" w:space="0" w:color="auto"/>
            </w:tcBorders>
            <w:shd w:val="clear" w:color="auto" w:fill="FFFFFF" w:themeFill="background1"/>
            <w:vAlign w:val="center"/>
          </w:tcPr>
          <w:p w:rsidR="00A308AF" w:rsidRPr="00877681" w:rsidRDefault="00A308AF" w:rsidP="007606E4">
            <w:pPr>
              <w:pStyle w:val="TableBodyText"/>
              <w:rPr>
                <w:rFonts w:cs="Arial"/>
                <w:b/>
                <w:bCs/>
              </w:rPr>
            </w:pPr>
            <w:r w:rsidRPr="00877681">
              <w:rPr>
                <w:rFonts w:cs="Arial"/>
                <w:b/>
                <w:bCs/>
              </w:rPr>
              <w:t xml:space="preserve">5 </w:t>
            </w:r>
            <w:r w:rsidR="00877681" w:rsidRPr="00877681">
              <w:rPr>
                <w:rFonts w:cs="Arial"/>
                <w:b/>
                <w:bCs/>
              </w:rPr>
              <w:t>7</w:t>
            </w:r>
            <w:r w:rsidR="007606E4">
              <w:rPr>
                <w:rFonts w:cs="Arial"/>
                <w:b/>
                <w:bCs/>
              </w:rPr>
              <w:t>24</w:t>
            </w:r>
          </w:p>
        </w:tc>
        <w:tc>
          <w:tcPr>
            <w:tcW w:w="709" w:type="dxa"/>
            <w:tcBorders>
              <w:bottom w:val="single" w:sz="4" w:space="0" w:color="auto"/>
            </w:tcBorders>
            <w:shd w:val="clear" w:color="auto" w:fill="FFFFFF" w:themeFill="background1"/>
            <w:vAlign w:val="center"/>
          </w:tcPr>
          <w:p w:rsidR="00A308AF" w:rsidRPr="00982591" w:rsidRDefault="00A308AF" w:rsidP="007606E4">
            <w:pPr>
              <w:pStyle w:val="TableBodyText"/>
              <w:rPr>
                <w:rFonts w:cs="Arial"/>
                <w:b/>
                <w:bCs/>
              </w:rPr>
            </w:pPr>
            <w:r w:rsidRPr="00982591">
              <w:rPr>
                <w:rFonts w:cs="Arial"/>
                <w:b/>
                <w:bCs/>
              </w:rPr>
              <w:t xml:space="preserve">3 </w:t>
            </w:r>
            <w:r w:rsidR="00982591" w:rsidRPr="00982591">
              <w:rPr>
                <w:rFonts w:cs="Arial"/>
                <w:b/>
                <w:bCs/>
              </w:rPr>
              <w:t>50</w:t>
            </w:r>
            <w:r w:rsidR="007606E4">
              <w:rPr>
                <w:rFonts w:cs="Arial"/>
                <w:b/>
                <w:bCs/>
              </w:rPr>
              <w:t>3</w:t>
            </w:r>
          </w:p>
        </w:tc>
        <w:tc>
          <w:tcPr>
            <w:tcW w:w="708" w:type="dxa"/>
            <w:tcBorders>
              <w:bottom w:val="single" w:sz="4" w:space="0" w:color="auto"/>
            </w:tcBorders>
            <w:shd w:val="clear" w:color="auto" w:fill="FFFFFF" w:themeFill="background1"/>
            <w:vAlign w:val="center"/>
          </w:tcPr>
          <w:p w:rsidR="00A308AF" w:rsidRDefault="00A308AF" w:rsidP="007606E4">
            <w:pPr>
              <w:pStyle w:val="TableBodyText"/>
              <w:rPr>
                <w:rFonts w:cs="Arial"/>
                <w:b/>
                <w:bCs/>
              </w:rPr>
            </w:pPr>
            <w:r>
              <w:rPr>
                <w:rFonts w:cs="Arial"/>
                <w:b/>
                <w:bCs/>
              </w:rPr>
              <w:t>1 13</w:t>
            </w:r>
            <w:r w:rsidR="007606E4">
              <w:rPr>
                <w:rFonts w:cs="Arial"/>
                <w:b/>
                <w:bCs/>
              </w:rPr>
              <w:t>9</w:t>
            </w:r>
            <w:r>
              <w:rPr>
                <w:rFonts w:cs="Arial"/>
                <w:b/>
                <w:bCs/>
              </w:rPr>
              <w:t xml:space="preserve"> </w:t>
            </w:r>
          </w:p>
        </w:tc>
        <w:tc>
          <w:tcPr>
            <w:tcW w:w="562" w:type="dxa"/>
            <w:tcBorders>
              <w:bottom w:val="single" w:sz="4" w:space="0" w:color="auto"/>
            </w:tcBorders>
            <w:shd w:val="clear" w:color="auto" w:fill="FFFFFF" w:themeFill="background1"/>
            <w:vAlign w:val="center"/>
          </w:tcPr>
          <w:p w:rsidR="00A308AF" w:rsidRDefault="00A308AF" w:rsidP="007606E4">
            <w:pPr>
              <w:pStyle w:val="TableBodyText"/>
              <w:rPr>
                <w:rFonts w:cs="Arial"/>
                <w:b/>
                <w:bCs/>
              </w:rPr>
            </w:pPr>
            <w:r>
              <w:rPr>
                <w:rFonts w:cs="Arial"/>
                <w:b/>
                <w:bCs/>
              </w:rPr>
              <w:t xml:space="preserve"> 92</w:t>
            </w:r>
            <w:r w:rsidR="007606E4">
              <w:rPr>
                <w:rFonts w:cs="Arial"/>
                <w:b/>
                <w:bCs/>
              </w:rPr>
              <w:t>4</w:t>
            </w:r>
          </w:p>
        </w:tc>
        <w:tc>
          <w:tcPr>
            <w:tcW w:w="572" w:type="dxa"/>
            <w:tcBorders>
              <w:bottom w:val="single" w:sz="4" w:space="0" w:color="auto"/>
            </w:tcBorders>
            <w:shd w:val="clear" w:color="auto" w:fill="FFFFFF" w:themeFill="background1"/>
            <w:vAlign w:val="center"/>
          </w:tcPr>
          <w:p w:rsidR="00A308AF" w:rsidRPr="00BF18A5" w:rsidRDefault="00A308AF" w:rsidP="007606E4">
            <w:pPr>
              <w:pStyle w:val="TableBodyText"/>
              <w:rPr>
                <w:rFonts w:cs="Arial"/>
                <w:b/>
                <w:bCs/>
              </w:rPr>
            </w:pPr>
            <w:r w:rsidRPr="00BF18A5">
              <w:rPr>
                <w:rFonts w:cs="Arial"/>
                <w:b/>
                <w:bCs/>
              </w:rPr>
              <w:t xml:space="preserve"> </w:t>
            </w:r>
            <w:r w:rsidR="00BF18A5" w:rsidRPr="00BF18A5">
              <w:rPr>
                <w:rFonts w:cs="Arial"/>
                <w:b/>
                <w:bCs/>
              </w:rPr>
              <w:t>83</w:t>
            </w:r>
            <w:r w:rsidR="007606E4">
              <w:rPr>
                <w:rFonts w:cs="Arial"/>
                <w:b/>
                <w:bCs/>
              </w:rPr>
              <w:t>2</w:t>
            </w:r>
          </w:p>
        </w:tc>
        <w:tc>
          <w:tcPr>
            <w:tcW w:w="852" w:type="dxa"/>
            <w:tcBorders>
              <w:bottom w:val="single" w:sz="6" w:space="0" w:color="auto"/>
            </w:tcBorders>
            <w:shd w:val="clear" w:color="auto" w:fill="FFFFFF" w:themeFill="background1"/>
            <w:vAlign w:val="center"/>
          </w:tcPr>
          <w:p w:rsidR="00A308AF" w:rsidRPr="00BF18A5" w:rsidRDefault="00BF18A5" w:rsidP="007606E4">
            <w:pPr>
              <w:pStyle w:val="TableBodyText"/>
              <w:rPr>
                <w:rFonts w:cs="Arial"/>
                <w:b/>
                <w:bCs/>
              </w:rPr>
            </w:pPr>
            <w:r w:rsidRPr="00BF18A5">
              <w:rPr>
                <w:rFonts w:cs="Arial"/>
                <w:b/>
                <w:bCs/>
              </w:rPr>
              <w:t>47 0</w:t>
            </w:r>
            <w:r w:rsidR="007606E4">
              <w:rPr>
                <w:rFonts w:cs="Arial"/>
                <w:b/>
                <w:bCs/>
              </w:rPr>
              <w:t>98</w:t>
            </w:r>
          </w:p>
        </w:tc>
      </w:tr>
    </w:tbl>
    <w:p w:rsidR="00666ECE" w:rsidRPr="00A308AF" w:rsidRDefault="00666ECE" w:rsidP="003B149C">
      <w:pPr>
        <w:pStyle w:val="Note"/>
      </w:pPr>
      <w:r w:rsidRPr="00A308AF">
        <w:rPr>
          <w:rStyle w:val="NoteLabel"/>
        </w:rPr>
        <w:t>a</w:t>
      </w:r>
      <w:r w:rsidRPr="00A308AF">
        <w:sym w:font="Symbol" w:char="F020"/>
      </w:r>
      <w:r w:rsidRPr="00A308AF">
        <w:t xml:space="preserve">See notes to table 4A.7 for definitions and other data caveats. Data presented here include notional user cost of capital (UCC) and exclude capital grants. </w:t>
      </w:r>
      <w:r w:rsidRPr="00A308AF">
        <w:rPr>
          <w:rStyle w:val="NoteLabel"/>
        </w:rPr>
        <w:t>b</w:t>
      </w:r>
      <w:r w:rsidRPr="00A308AF">
        <w:t xml:space="preserve"> Based on accrual accounting. </w:t>
      </w:r>
      <w:r w:rsidRPr="00A308AF">
        <w:rPr>
          <w:rStyle w:val="NoteLabel"/>
        </w:rPr>
        <w:t>c</w:t>
      </w:r>
      <w:r w:rsidRPr="00A308AF">
        <w:t xml:space="preserve"> Totals may not add due to rounding. </w:t>
      </w:r>
      <w:r w:rsidRPr="00A308AF">
        <w:rPr>
          <w:rStyle w:val="NoteLabel"/>
        </w:rPr>
        <w:t>d</w:t>
      </w:r>
      <w:r w:rsidRPr="00A308AF">
        <w:t xml:space="preserve"> Depreciation and user cost of capital expenses relating to government schools have been attributed to states/territories based on ownership of the underlying assets. A portion of these assets will have been acquired through Australian Government capital contributions, with states and territories responsible for maintenance costs. Australian Government expenditure data in this table include only Australian Government specific purpose payments. Other Australian Government funding for schools and students is not included.</w:t>
      </w:r>
    </w:p>
    <w:p w:rsidR="00666ECE" w:rsidRPr="00A308AF" w:rsidRDefault="00666ECE" w:rsidP="00666ECE">
      <w:pPr>
        <w:keepLines/>
        <w:spacing w:before="80" w:after="120" w:line="220" w:lineRule="exact"/>
        <w:jc w:val="both"/>
        <w:rPr>
          <w:rFonts w:ascii="Arial" w:hAnsi="Arial"/>
          <w:sz w:val="18"/>
          <w:szCs w:val="20"/>
        </w:rPr>
      </w:pPr>
      <w:r w:rsidRPr="00A308AF">
        <w:rPr>
          <w:rFonts w:ascii="Arial" w:hAnsi="Arial"/>
          <w:i/>
          <w:sz w:val="18"/>
          <w:szCs w:val="20"/>
        </w:rPr>
        <w:t>Source</w:t>
      </w:r>
      <w:r w:rsidRPr="00A308AF">
        <w:rPr>
          <w:rFonts w:ascii="Arial" w:hAnsi="Arial"/>
          <w:sz w:val="18"/>
          <w:szCs w:val="20"/>
        </w:rPr>
        <w:t xml:space="preserve">: SCSEEC (unpublished) </w:t>
      </w:r>
      <w:r w:rsidRPr="00A308AF">
        <w:rPr>
          <w:rFonts w:ascii="Arial" w:hAnsi="Arial"/>
          <w:i/>
          <w:sz w:val="18"/>
          <w:szCs w:val="20"/>
        </w:rPr>
        <w:t>National Schools Statistics Collection</w:t>
      </w:r>
      <w:r w:rsidRPr="00A308AF">
        <w:rPr>
          <w:rFonts w:ascii="Arial" w:hAnsi="Arial"/>
          <w:sz w:val="18"/>
          <w:szCs w:val="20"/>
        </w:rPr>
        <w:t xml:space="preserve"> (NSSC); </w:t>
      </w:r>
      <w:r w:rsidR="001D6209">
        <w:rPr>
          <w:rFonts w:ascii="Arial" w:hAnsi="Arial"/>
          <w:sz w:val="18"/>
          <w:szCs w:val="20"/>
        </w:rPr>
        <w:t xml:space="preserve">Australian Government </w:t>
      </w:r>
      <w:r w:rsidRPr="00A308AF">
        <w:rPr>
          <w:rFonts w:ascii="Arial" w:hAnsi="Arial"/>
          <w:sz w:val="18"/>
          <w:szCs w:val="20"/>
        </w:rPr>
        <w:t>Department of Education (unpublished); Australian, State and Territory governments (unpublished); table</w:t>
      </w:r>
      <w:r w:rsidR="00031DF6">
        <w:rPr>
          <w:rFonts w:ascii="Arial" w:hAnsi="Arial"/>
          <w:sz w:val="18"/>
          <w:szCs w:val="20"/>
        </w:rPr>
        <w:t> </w:t>
      </w:r>
      <w:r w:rsidRPr="00A308AF">
        <w:rPr>
          <w:rFonts w:ascii="Arial" w:hAnsi="Arial"/>
          <w:sz w:val="18"/>
          <w:szCs w:val="20"/>
        </w:rPr>
        <w:t>4A.7.</w:t>
      </w:r>
    </w:p>
    <w:p w:rsidR="00666ECE" w:rsidRPr="00607118" w:rsidRDefault="00666ECE" w:rsidP="00F4596F">
      <w:pPr>
        <w:spacing w:before="240" w:line="320" w:lineRule="atLeast"/>
        <w:jc w:val="both"/>
        <w:rPr>
          <w:szCs w:val="20"/>
        </w:rPr>
      </w:pPr>
      <w:bookmarkStart w:id="5" w:name="OLE_LINK76"/>
      <w:bookmarkStart w:id="6" w:name="OLE_LINK77"/>
      <w:bookmarkStart w:id="7" w:name="OLE_LINK30"/>
      <w:r w:rsidRPr="00F670A8">
        <w:rPr>
          <w:szCs w:val="20"/>
        </w:rPr>
        <w:t>This chapt</w:t>
      </w:r>
      <w:r w:rsidRPr="00F670A8">
        <w:rPr>
          <w:szCs w:val="20"/>
          <w:shd w:val="clear" w:color="auto" w:fill="FFFFFF" w:themeFill="background1"/>
        </w:rPr>
        <w:t xml:space="preserve">er </w:t>
      </w:r>
      <w:r w:rsidR="00E81B3E" w:rsidRPr="00F670A8">
        <w:rPr>
          <w:szCs w:val="20"/>
          <w:shd w:val="clear" w:color="auto" w:fill="FFFFFF" w:themeFill="background1"/>
        </w:rPr>
        <w:t xml:space="preserve">also </w:t>
      </w:r>
      <w:r w:rsidRPr="00F670A8">
        <w:rPr>
          <w:szCs w:val="20"/>
          <w:shd w:val="clear" w:color="auto" w:fill="FFFFFF" w:themeFill="background1"/>
        </w:rPr>
        <w:t xml:space="preserve">reports on government funding of non-government schools. Caution </w:t>
      </w:r>
      <w:r w:rsidR="00635573" w:rsidRPr="00F670A8">
        <w:rPr>
          <w:szCs w:val="20"/>
          <w:shd w:val="clear" w:color="auto" w:fill="FFFFFF" w:themeFill="background1"/>
        </w:rPr>
        <w:t>should</w:t>
      </w:r>
      <w:r w:rsidRPr="00F670A8">
        <w:rPr>
          <w:szCs w:val="20"/>
          <w:shd w:val="clear" w:color="auto" w:fill="FFFFFF" w:themeFill="background1"/>
        </w:rPr>
        <w:t xml:space="preserve"> be taken when comparing data on the relative efficiency of government and non-government schools, because governments provide only part of the funding for non-government schools. Governments </w:t>
      </w:r>
      <w:r w:rsidRPr="006B683F">
        <w:rPr>
          <w:szCs w:val="20"/>
          <w:shd w:val="clear" w:color="auto" w:fill="FFFFFF" w:themeFill="background1"/>
        </w:rPr>
        <w:t xml:space="preserve">provided </w:t>
      </w:r>
      <w:r w:rsidR="006B683F" w:rsidRPr="006B683F">
        <w:rPr>
          <w:szCs w:val="20"/>
          <w:shd w:val="clear" w:color="auto" w:fill="FFFFFF" w:themeFill="background1"/>
        </w:rPr>
        <w:t>57.3</w:t>
      </w:r>
      <w:r w:rsidRPr="006B683F">
        <w:rPr>
          <w:szCs w:val="20"/>
          <w:shd w:val="clear" w:color="auto" w:fill="FFFFFF" w:themeFill="background1"/>
        </w:rPr>
        <w:t xml:space="preserve"> per cent of non-government school funding in 201</w:t>
      </w:r>
      <w:r w:rsidR="00F670A8" w:rsidRPr="006B683F">
        <w:rPr>
          <w:szCs w:val="20"/>
          <w:shd w:val="clear" w:color="auto" w:fill="FFFFFF" w:themeFill="background1"/>
        </w:rPr>
        <w:t>2</w:t>
      </w:r>
      <w:r w:rsidRPr="006B683F">
        <w:rPr>
          <w:szCs w:val="20"/>
          <w:shd w:val="clear" w:color="auto" w:fill="FFFFFF" w:themeFill="background1"/>
        </w:rPr>
        <w:t xml:space="preserve">, with the remaining </w:t>
      </w:r>
      <w:r w:rsidR="006B683F" w:rsidRPr="006B683F">
        <w:rPr>
          <w:szCs w:val="20"/>
          <w:shd w:val="clear" w:color="auto" w:fill="FFFFFF" w:themeFill="background1"/>
        </w:rPr>
        <w:t>42.7</w:t>
      </w:r>
      <w:r w:rsidRPr="006B683F">
        <w:rPr>
          <w:szCs w:val="20"/>
          <w:shd w:val="clear" w:color="auto" w:fill="FFFFFF" w:themeFill="background1"/>
        </w:rPr>
        <w:t xml:space="preserve"> </w:t>
      </w:r>
      <w:r w:rsidRPr="00F670A8">
        <w:rPr>
          <w:szCs w:val="20"/>
          <w:shd w:val="clear" w:color="auto" w:fill="FFFFFF" w:themeFill="background1"/>
        </w:rPr>
        <w:t>per cent sourced from private fees and fundraising (</w:t>
      </w:r>
      <w:r w:rsidR="001D6209" w:rsidRPr="001D6209">
        <w:rPr>
          <w:szCs w:val="20"/>
          <w:shd w:val="clear" w:color="auto" w:fill="FFFFFF" w:themeFill="background1"/>
        </w:rPr>
        <w:t xml:space="preserve">Australian Government </w:t>
      </w:r>
      <w:r w:rsidR="007D2D50">
        <w:rPr>
          <w:szCs w:val="20"/>
          <w:shd w:val="clear" w:color="auto" w:fill="FFFFFF" w:themeFill="background1"/>
        </w:rPr>
        <w:t>Department of Education</w:t>
      </w:r>
      <w:r w:rsidRPr="00F670A8">
        <w:rPr>
          <w:szCs w:val="20"/>
          <w:shd w:val="clear" w:color="auto" w:fill="FFFFFF" w:themeFill="background1"/>
        </w:rPr>
        <w:t xml:space="preserve"> unpublished). </w:t>
      </w:r>
      <w:bookmarkEnd w:id="5"/>
      <w:bookmarkEnd w:id="6"/>
      <w:bookmarkEnd w:id="7"/>
      <w:r w:rsidRPr="00F670A8">
        <w:rPr>
          <w:szCs w:val="20"/>
          <w:shd w:val="clear" w:color="auto" w:fill="FFFFFF" w:themeFill="background1"/>
        </w:rPr>
        <w:t>Section</w:t>
      </w:r>
      <w:r w:rsidR="00031DF6">
        <w:rPr>
          <w:szCs w:val="20"/>
          <w:shd w:val="clear" w:color="auto" w:fill="FFFFFF" w:themeFill="background1"/>
        </w:rPr>
        <w:t xml:space="preserve"> </w:t>
      </w:r>
      <w:r w:rsidRPr="00F670A8">
        <w:rPr>
          <w:szCs w:val="20"/>
          <w:shd w:val="clear" w:color="auto" w:fill="FFFFFF" w:themeFill="background1"/>
        </w:rPr>
        <w:t>4.3 contains additional information on government expenditure per student.</w:t>
      </w:r>
      <w:r w:rsidR="00EB256F" w:rsidRPr="00F670A8">
        <w:rPr>
          <w:szCs w:val="20"/>
          <w:shd w:val="clear" w:color="auto" w:fill="FFFFFF" w:themeFill="background1"/>
        </w:rPr>
        <w:t xml:space="preserve"> </w:t>
      </w:r>
      <w:r w:rsidR="007D2D50" w:rsidRPr="007D2D50">
        <w:rPr>
          <w:szCs w:val="20"/>
          <w:shd w:val="clear" w:color="auto" w:fill="FFFFFF" w:themeFill="background1"/>
        </w:rPr>
        <w:t xml:space="preserve">In 2011-12, State and </w:t>
      </w:r>
      <w:r w:rsidR="001B6514">
        <w:rPr>
          <w:szCs w:val="20"/>
          <w:shd w:val="clear" w:color="auto" w:fill="FFFFFF" w:themeFill="background1"/>
        </w:rPr>
        <w:t>T</w:t>
      </w:r>
      <w:r w:rsidR="007D2D50" w:rsidRPr="007D2D50">
        <w:rPr>
          <w:szCs w:val="20"/>
          <w:shd w:val="clear" w:color="auto" w:fill="FFFFFF" w:themeFill="background1"/>
        </w:rPr>
        <w:t xml:space="preserve">erritory governments’ capital expenditure in government schools was $2.7 billion (SCSEEC unpublished). This includes funding from the Australian Government and </w:t>
      </w:r>
      <w:r w:rsidR="001B6514">
        <w:rPr>
          <w:szCs w:val="20"/>
          <w:shd w:val="clear" w:color="auto" w:fill="FFFFFF" w:themeFill="background1"/>
        </w:rPr>
        <w:t>S</w:t>
      </w:r>
      <w:r w:rsidR="007D2D50" w:rsidRPr="007D2D50">
        <w:rPr>
          <w:szCs w:val="20"/>
          <w:shd w:val="clear" w:color="auto" w:fill="FFFFFF" w:themeFill="background1"/>
        </w:rPr>
        <w:t xml:space="preserve">tate and </w:t>
      </w:r>
      <w:r w:rsidR="001B6514">
        <w:rPr>
          <w:szCs w:val="20"/>
          <w:shd w:val="clear" w:color="auto" w:fill="FFFFFF" w:themeFill="background1"/>
        </w:rPr>
        <w:t>T</w:t>
      </w:r>
      <w:r w:rsidR="007D2D50" w:rsidRPr="007D2D50">
        <w:rPr>
          <w:szCs w:val="20"/>
          <w:shd w:val="clear" w:color="auto" w:fill="FFFFFF" w:themeFill="background1"/>
        </w:rPr>
        <w:t>erritory governments.</w:t>
      </w:r>
    </w:p>
    <w:p w:rsidR="00666ECE" w:rsidRPr="00666ECE" w:rsidRDefault="00666ECE" w:rsidP="00666ECE">
      <w:pPr>
        <w:keepNext/>
        <w:spacing w:before="560" w:line="320" w:lineRule="exact"/>
        <w:outlineLvl w:val="2"/>
        <w:rPr>
          <w:rFonts w:ascii="Arial" w:hAnsi="Arial"/>
          <w:b/>
        </w:rPr>
      </w:pPr>
      <w:r w:rsidRPr="00666ECE">
        <w:rPr>
          <w:rFonts w:ascii="Arial" w:hAnsi="Arial"/>
          <w:b/>
        </w:rPr>
        <w:lastRenderedPageBreak/>
        <w:t>Si</w:t>
      </w:r>
      <w:r w:rsidRPr="00666ECE">
        <w:rPr>
          <w:rFonts w:ascii="Arial" w:hAnsi="Arial"/>
        </w:rPr>
        <w:t>z</w:t>
      </w:r>
      <w:r w:rsidRPr="00666ECE">
        <w:rPr>
          <w:rFonts w:ascii="Arial" w:hAnsi="Arial"/>
          <w:b/>
        </w:rPr>
        <w:t>e and scope</w:t>
      </w:r>
    </w:p>
    <w:p w:rsidR="00666ECE" w:rsidRPr="00666ECE" w:rsidRDefault="00666ECE" w:rsidP="00666ECE">
      <w:pPr>
        <w:spacing w:before="240" w:line="320" w:lineRule="atLeast"/>
        <w:jc w:val="both"/>
        <w:rPr>
          <w:szCs w:val="20"/>
        </w:rPr>
      </w:pPr>
      <w:r w:rsidRPr="00666ECE">
        <w:rPr>
          <w:szCs w:val="20"/>
        </w:rPr>
        <w:t>Descriptive information on the numbers of students, staff and schools can be found in tables 4A.1–6.</w:t>
      </w:r>
    </w:p>
    <w:p w:rsidR="00666ECE" w:rsidRPr="00666ECE" w:rsidRDefault="00666ECE" w:rsidP="00666ECE">
      <w:pPr>
        <w:keepNext/>
        <w:spacing w:before="560" w:line="320" w:lineRule="exact"/>
        <w:outlineLvl w:val="2"/>
        <w:rPr>
          <w:rFonts w:ascii="Arial" w:hAnsi="Arial"/>
          <w:b/>
        </w:rPr>
      </w:pPr>
      <w:r w:rsidRPr="00666ECE">
        <w:rPr>
          <w:rFonts w:ascii="Arial" w:hAnsi="Arial"/>
          <w:b/>
        </w:rPr>
        <w:t>Structure</w:t>
      </w:r>
    </w:p>
    <w:p w:rsidR="00666ECE" w:rsidRPr="00776B6F" w:rsidRDefault="00666ECE" w:rsidP="00666ECE">
      <w:pPr>
        <w:spacing w:before="240" w:line="320" w:lineRule="atLeast"/>
        <w:jc w:val="both"/>
        <w:rPr>
          <w:szCs w:val="20"/>
        </w:rPr>
      </w:pPr>
      <w:r w:rsidRPr="00666ECE">
        <w:rPr>
          <w:szCs w:val="20"/>
        </w:rPr>
        <w:t xml:space="preserve">The structure of school education varies across states and territories. These differences can influence the comparability and interpretation of data presented under common classifications. Formal schooling consists of six to eight years of primary school </w:t>
      </w:r>
      <w:r w:rsidRPr="00776B6F">
        <w:rPr>
          <w:szCs w:val="20"/>
        </w:rPr>
        <w:t>education followed by five to six years of secondary school education, depending on the State or Territory (figure 4.1). All states and territories divide school education into compulsory and non-compulsory components based primarily on age. Schooling is generally full time, although an increasing proportion of part time study occurs in more senior years.</w:t>
      </w:r>
    </w:p>
    <w:p w:rsidR="00666ECE" w:rsidRPr="00776B6F" w:rsidRDefault="00666ECE" w:rsidP="00653F56">
      <w:pPr>
        <w:spacing w:before="240" w:line="320" w:lineRule="atLeast"/>
        <w:jc w:val="both"/>
        <w:rPr>
          <w:b/>
          <w:sz w:val="24"/>
          <w:u w:val="dotted"/>
        </w:rPr>
      </w:pPr>
      <w:r w:rsidRPr="00776B6F">
        <w:rPr>
          <w:szCs w:val="20"/>
        </w:rPr>
        <w:t>In 201</w:t>
      </w:r>
      <w:r w:rsidR="00F670A8">
        <w:rPr>
          <w:szCs w:val="20"/>
        </w:rPr>
        <w:t>2</w:t>
      </w:r>
      <w:r w:rsidRPr="00776B6F">
        <w:rPr>
          <w:szCs w:val="20"/>
        </w:rPr>
        <w:t xml:space="preserve">, the age at which a child’s attendance in school education became compulsory </w:t>
      </w:r>
      <w:r w:rsidR="00653F56">
        <w:rPr>
          <w:szCs w:val="20"/>
        </w:rPr>
        <w:t xml:space="preserve">was </w:t>
      </w:r>
      <w:r w:rsidR="00D612DE">
        <w:t>5 years of age</w:t>
      </w:r>
      <w:r w:rsidR="00653F56">
        <w:t xml:space="preserve"> in Tasmania and </w:t>
      </w:r>
      <w:r w:rsidRPr="00776B6F">
        <w:t xml:space="preserve">6 years of age </w:t>
      </w:r>
      <w:r w:rsidR="00653F56">
        <w:t>in all other states and territories</w:t>
      </w:r>
      <w:r w:rsidRPr="00776B6F">
        <w:t xml:space="preserve"> (ABS 201</w:t>
      </w:r>
      <w:r w:rsidR="00653F56">
        <w:t>3</w:t>
      </w:r>
      <w:r w:rsidRPr="00776B6F">
        <w:t>).</w:t>
      </w:r>
    </w:p>
    <w:p w:rsidR="00666ECE" w:rsidRPr="00C16695" w:rsidRDefault="00666ECE" w:rsidP="00653F56">
      <w:pPr>
        <w:spacing w:before="240" w:line="320" w:lineRule="atLeast"/>
        <w:jc w:val="both"/>
        <w:rPr>
          <w:sz w:val="24"/>
          <w:szCs w:val="20"/>
          <w:u w:val="dotted"/>
        </w:rPr>
      </w:pPr>
      <w:r w:rsidRPr="00666ECE">
        <w:rPr>
          <w:szCs w:val="20"/>
        </w:rPr>
        <w:t>Children may commence school at an age younger than the statutory age at which they are required to attend school. Most children commence full</w:t>
      </w:r>
      <w:r w:rsidR="00CA4833">
        <w:rPr>
          <w:szCs w:val="20"/>
        </w:rPr>
        <w:t xml:space="preserve"> </w:t>
      </w:r>
      <w:r w:rsidRPr="00666ECE">
        <w:rPr>
          <w:szCs w:val="20"/>
        </w:rPr>
        <w:t>time schooling in the year</w:t>
      </w:r>
      <w:r w:rsidRPr="00666ECE">
        <w:rPr>
          <w:szCs w:val="26"/>
        </w:rPr>
        <w:t xml:space="preserve"> preceding Year 1 (pre-year 1) (figure 4.1).</w:t>
      </w:r>
      <w:r w:rsidR="00653F56">
        <w:rPr>
          <w:szCs w:val="26"/>
        </w:rPr>
        <w:t xml:space="preserve"> </w:t>
      </w:r>
      <w:r w:rsidR="00653F56" w:rsidRPr="00C16695">
        <w:rPr>
          <w:szCs w:val="26"/>
        </w:rPr>
        <w:t xml:space="preserve">Generally, minimum starting ages restrict enrolment to children aged between four and a half and five years at the beginning of the </w:t>
      </w:r>
      <w:r w:rsidR="00C16695" w:rsidRPr="00C16695">
        <w:rPr>
          <w:szCs w:val="26"/>
        </w:rPr>
        <w:t>pre-year 1 commence</w:t>
      </w:r>
      <w:r w:rsidR="00C16695">
        <w:rPr>
          <w:szCs w:val="26"/>
        </w:rPr>
        <w:t>ment year</w:t>
      </w:r>
      <w:r w:rsidR="00C16695" w:rsidRPr="00C16695">
        <w:rPr>
          <w:szCs w:val="26"/>
        </w:rPr>
        <w:t xml:space="preserve"> </w:t>
      </w:r>
      <w:r w:rsidR="00653F56" w:rsidRPr="00C16695">
        <w:rPr>
          <w:szCs w:val="26"/>
        </w:rPr>
        <w:t>(ABS 2013).</w:t>
      </w:r>
    </w:p>
    <w:p w:rsidR="00666ECE" w:rsidRPr="00666ECE" w:rsidRDefault="00666ECE" w:rsidP="00666ECE">
      <w:pPr>
        <w:spacing w:before="240" w:line="320" w:lineRule="atLeast"/>
        <w:jc w:val="both"/>
        <w:rPr>
          <w:szCs w:val="20"/>
        </w:rPr>
      </w:pPr>
      <w:r w:rsidRPr="00666ECE">
        <w:rPr>
          <w:szCs w:val="20"/>
        </w:rPr>
        <w:t>As part of the Compact with Young Australians</w:t>
      </w:r>
      <w:r w:rsidR="00635573">
        <w:rPr>
          <w:szCs w:val="20"/>
        </w:rPr>
        <w:t>,</w:t>
      </w:r>
      <w:r w:rsidRPr="00666ECE">
        <w:rPr>
          <w:szCs w:val="20"/>
        </w:rPr>
        <w:t xml:space="preserve"> COAG implemented a National Youth Participation Requirement (NYPR) (which commenced on 1 January 2010). The NYPR includes:</w:t>
      </w:r>
    </w:p>
    <w:p w:rsidR="001B6514" w:rsidRDefault="00666ECE" w:rsidP="003B149C">
      <w:pPr>
        <w:pStyle w:val="ListBullet"/>
      </w:pPr>
      <w:r w:rsidRPr="00666ECE">
        <w:t>a mandatory requirement for all young people to participate in schooling (in school or an approved equivalent) until they complete Year 10</w:t>
      </w:r>
    </w:p>
    <w:p w:rsidR="00666ECE" w:rsidRPr="00666ECE" w:rsidRDefault="00666ECE" w:rsidP="003B149C">
      <w:pPr>
        <w:pStyle w:val="ListBullet"/>
      </w:pPr>
      <w:r w:rsidRPr="00666ECE">
        <w:t xml:space="preserve">a mandatory requirement for all young people </w:t>
      </w:r>
      <w:r w:rsidR="00635573">
        <w:t>who</w:t>
      </w:r>
      <w:r w:rsidRPr="00666ECE">
        <w:t xml:space="preserve"> have completed Year 10 to participate full</w:t>
      </w:r>
      <w:r w:rsidR="00CA4833">
        <w:t xml:space="preserve"> </w:t>
      </w:r>
      <w:r w:rsidRPr="00666ECE">
        <w:t xml:space="preserve">time in education, training or employment, or a combination of these activities, until 17 </w:t>
      </w:r>
      <w:r w:rsidR="000B2CA3">
        <w:t xml:space="preserve">years of age </w:t>
      </w:r>
      <w:r w:rsidRPr="00666ECE">
        <w:t>(COAG 2009).</w:t>
      </w:r>
    </w:p>
    <w:p w:rsidR="00666ECE" w:rsidRPr="00666ECE" w:rsidRDefault="00666ECE" w:rsidP="00666ECE">
      <w:pPr>
        <w:spacing w:before="240" w:line="320" w:lineRule="atLeast"/>
        <w:jc w:val="both"/>
        <w:rPr>
          <w:szCs w:val="20"/>
        </w:rPr>
      </w:pPr>
      <w:r w:rsidRPr="00666ECE">
        <w:rPr>
          <w:szCs w:val="20"/>
        </w:rPr>
        <w:t xml:space="preserve">For the purpose of the NYPR, education or training </w:t>
      </w:r>
      <w:r w:rsidR="000B2CA3">
        <w:rPr>
          <w:szCs w:val="20"/>
        </w:rPr>
        <w:t xml:space="preserve">will be considered full </w:t>
      </w:r>
      <w:r w:rsidRPr="00666ECE">
        <w:rPr>
          <w:szCs w:val="20"/>
        </w:rPr>
        <w:t>time if the provider considers the course to be full</w:t>
      </w:r>
      <w:r w:rsidR="000B2CA3">
        <w:rPr>
          <w:szCs w:val="20"/>
        </w:rPr>
        <w:t xml:space="preserve"> </w:t>
      </w:r>
      <w:r w:rsidRPr="00666ECE">
        <w:rPr>
          <w:szCs w:val="20"/>
        </w:rPr>
        <w:t>time or if it includes 25 hours per week of formal course requirements.</w:t>
      </w:r>
    </w:p>
    <w:p w:rsidR="00666ECE" w:rsidRPr="00666ECE" w:rsidRDefault="00666ECE" w:rsidP="00666ECE">
      <w:pPr>
        <w:spacing w:before="240" w:line="320" w:lineRule="atLeast"/>
        <w:jc w:val="both"/>
        <w:rPr>
          <w:szCs w:val="20"/>
        </w:rPr>
      </w:pPr>
      <w:r w:rsidRPr="00666ECE">
        <w:rPr>
          <w:szCs w:val="20"/>
        </w:rPr>
        <w:t xml:space="preserve">Some exemptions from the </w:t>
      </w:r>
      <w:r w:rsidR="00C16695">
        <w:rPr>
          <w:szCs w:val="20"/>
        </w:rPr>
        <w:t>NYPR</w:t>
      </w:r>
      <w:r w:rsidRPr="00666ECE">
        <w:rPr>
          <w:szCs w:val="20"/>
        </w:rPr>
        <w:t xml:space="preserve"> continue in line with existing State and Territory practice.</w:t>
      </w:r>
    </w:p>
    <w:p w:rsidR="00666ECE" w:rsidRPr="00666ECE" w:rsidRDefault="00666ECE" w:rsidP="002C3941">
      <w:pPr>
        <w:pStyle w:val="FigureTitle"/>
        <w:rPr>
          <w:position w:val="6"/>
          <w:sz w:val="18"/>
        </w:rPr>
      </w:pPr>
      <w:r w:rsidRPr="007A7568">
        <w:rPr>
          <w:b w:val="0"/>
        </w:rPr>
        <w:lastRenderedPageBreak/>
        <w:t xml:space="preserve">Figure </w:t>
      </w:r>
      <w:r w:rsidR="00EB256F" w:rsidRPr="007A7568">
        <w:rPr>
          <w:b w:val="0"/>
        </w:rPr>
        <w:t>4.</w:t>
      </w:r>
      <w:r w:rsidR="00EC06F7" w:rsidRPr="007A7568">
        <w:rPr>
          <w:b w:val="0"/>
          <w:noProof/>
        </w:rPr>
        <w:t>1</w:t>
      </w:r>
      <w:r w:rsidRPr="007A7568">
        <w:rPr>
          <w:b w:val="0"/>
        </w:rPr>
        <w:tab/>
      </w:r>
      <w:r w:rsidRPr="0063025F">
        <w:t>Structure of primary and secondary schooling, 201</w:t>
      </w:r>
      <w:r w:rsidR="00653F56" w:rsidRPr="0063025F">
        <w:t>2</w:t>
      </w:r>
      <w:r w:rsidRPr="000E6F59">
        <w:rPr>
          <w:position w:val="6"/>
          <w:sz w:val="18"/>
        </w:rPr>
        <w:t>a</w:t>
      </w:r>
      <w:r w:rsidRPr="00666ECE">
        <w:rPr>
          <w:position w:val="6"/>
          <w:sz w:val="18"/>
        </w:rPr>
        <w:t>, b</w:t>
      </w:r>
    </w:p>
    <w:p w:rsidR="00666ECE" w:rsidRPr="00666ECE" w:rsidRDefault="008B34BD" w:rsidP="009560A8">
      <w:pPr>
        <w:rPr>
          <w:rFonts w:ascii="Arial" w:hAnsi="Arial"/>
          <w:sz w:val="2"/>
          <w:szCs w:val="2"/>
        </w:rPr>
      </w:pPr>
      <w:r>
        <w:rPr>
          <w:rFonts w:ascii="Arial" w:hAnsi="Arial"/>
          <w:noProof/>
          <w:sz w:val="2"/>
          <w:szCs w:val="2"/>
        </w:rPr>
        <w:drawing>
          <wp:inline distT="0" distB="0" distL="0" distR="0">
            <wp:extent cx="5514975" cy="3133725"/>
            <wp:effectExtent l="0" t="0" r="9525" b="9525"/>
            <wp:docPr id="1" name="Picture 1" descr="Figure 4.1 Structure of primary and secondary schooling,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4975" cy="3133725"/>
                    </a:xfrm>
                    <a:prstGeom prst="rect">
                      <a:avLst/>
                    </a:prstGeom>
                    <a:noFill/>
                    <a:ln>
                      <a:noFill/>
                    </a:ln>
                  </pic:spPr>
                </pic:pic>
              </a:graphicData>
            </a:graphic>
          </wp:inline>
        </w:drawing>
      </w:r>
    </w:p>
    <w:p w:rsidR="00666ECE" w:rsidRPr="009613EF" w:rsidRDefault="00666ECE" w:rsidP="00F4596F">
      <w:pPr>
        <w:keepNext/>
        <w:keepLines/>
        <w:tabs>
          <w:tab w:val="left" w:pos="25"/>
          <w:tab w:val="left" w:pos="2131"/>
          <w:tab w:val="left" w:pos="5399"/>
        </w:tabs>
        <w:spacing w:before="80" w:line="220" w:lineRule="exact"/>
        <w:jc w:val="both"/>
        <w:rPr>
          <w:rFonts w:ascii="Arial" w:hAnsi="Arial"/>
          <w:sz w:val="18"/>
          <w:szCs w:val="20"/>
        </w:rPr>
      </w:pPr>
      <w:r w:rsidRPr="00666ECE">
        <w:rPr>
          <w:rFonts w:ascii="Arial" w:hAnsi="Arial"/>
          <w:b/>
          <w:position w:val="6"/>
          <w:sz w:val="18"/>
          <w:szCs w:val="20"/>
        </w:rPr>
        <w:t>a </w:t>
      </w:r>
      <w:r w:rsidRPr="00666ECE">
        <w:rPr>
          <w:rFonts w:ascii="Arial" w:hAnsi="Arial"/>
          <w:sz w:val="18"/>
          <w:szCs w:val="20"/>
        </w:rPr>
        <w:t xml:space="preserve">Figure 4.1 refers to the structure utilised in </w:t>
      </w:r>
      <w:r w:rsidRPr="00666ECE">
        <w:rPr>
          <w:rFonts w:ascii="Arial" w:hAnsi="Arial"/>
          <w:i/>
          <w:sz w:val="18"/>
          <w:szCs w:val="20"/>
        </w:rPr>
        <w:t xml:space="preserve">Schools </w:t>
      </w:r>
      <w:r w:rsidRPr="000E6F59">
        <w:rPr>
          <w:rFonts w:ascii="Arial" w:hAnsi="Arial"/>
          <w:i/>
          <w:sz w:val="18"/>
          <w:szCs w:val="20"/>
        </w:rPr>
        <w:t>Australia 201</w:t>
      </w:r>
      <w:r w:rsidR="00F670A8">
        <w:rPr>
          <w:rFonts w:ascii="Arial" w:hAnsi="Arial"/>
          <w:i/>
          <w:sz w:val="18"/>
          <w:szCs w:val="20"/>
        </w:rPr>
        <w:t xml:space="preserve">2 </w:t>
      </w:r>
      <w:r w:rsidRPr="000E6F59">
        <w:rPr>
          <w:rFonts w:ascii="Arial" w:hAnsi="Arial"/>
          <w:sz w:val="18"/>
          <w:szCs w:val="20"/>
        </w:rPr>
        <w:t>(ABS 201</w:t>
      </w:r>
      <w:r w:rsidR="00F670A8">
        <w:rPr>
          <w:rFonts w:ascii="Arial" w:hAnsi="Arial"/>
          <w:sz w:val="18"/>
          <w:szCs w:val="20"/>
        </w:rPr>
        <w:t>3</w:t>
      </w:r>
      <w:r w:rsidRPr="000E6F59">
        <w:rPr>
          <w:rFonts w:ascii="Arial" w:hAnsi="Arial"/>
          <w:sz w:val="18"/>
          <w:szCs w:val="20"/>
        </w:rPr>
        <w:t>),</w:t>
      </w:r>
      <w:r w:rsidRPr="00666ECE">
        <w:rPr>
          <w:rFonts w:ascii="Arial" w:hAnsi="Arial"/>
          <w:sz w:val="18"/>
          <w:szCs w:val="20"/>
        </w:rPr>
        <w:t xml:space="preserve"> which is the source for a range of schools, students, participation and retention data in this chapter. </w:t>
      </w:r>
      <w:r w:rsidRPr="00666ECE">
        <w:rPr>
          <w:rFonts w:ascii="Arial" w:hAnsi="Arial"/>
          <w:b/>
          <w:position w:val="6"/>
          <w:sz w:val="18"/>
          <w:szCs w:val="20"/>
        </w:rPr>
        <w:t>b</w:t>
      </w:r>
      <w:r w:rsidRPr="00666ECE">
        <w:rPr>
          <w:rFonts w:ascii="Arial" w:hAnsi="Arial"/>
          <w:sz w:val="18"/>
          <w:szCs w:val="20"/>
        </w:rPr>
        <w:t> Figure 4.1 does not include pre</w:t>
      </w:r>
      <w:r w:rsidRPr="00666ECE">
        <w:rPr>
          <w:rFonts w:ascii="Arial" w:hAnsi="Arial"/>
          <w:sz w:val="20"/>
          <w:szCs w:val="20"/>
        </w:rPr>
        <w:noBreakHyphen/>
      </w:r>
      <w:r w:rsidRPr="00666ECE">
        <w:rPr>
          <w:rFonts w:ascii="Arial" w:hAnsi="Arial"/>
          <w:sz w:val="18"/>
          <w:szCs w:val="20"/>
        </w:rPr>
        <w:t xml:space="preserve">school programs, otherwise known as Pre-pre-year 1, or Year 1 minus 2, some of which are an integral part of school programs, and some of which are offered by a range of providers in some jurisdictions. </w:t>
      </w:r>
      <w:r w:rsidRPr="009613EF">
        <w:rPr>
          <w:rFonts w:ascii="Arial" w:hAnsi="Arial"/>
          <w:sz w:val="18"/>
          <w:szCs w:val="20"/>
        </w:rPr>
        <w:t xml:space="preserve">Table 3.1 in </w:t>
      </w:r>
      <w:r w:rsidRPr="00666ECE">
        <w:rPr>
          <w:rFonts w:ascii="Arial" w:hAnsi="Arial"/>
          <w:sz w:val="18"/>
          <w:szCs w:val="20"/>
        </w:rPr>
        <w:t xml:space="preserve">the </w:t>
      </w:r>
      <w:r w:rsidR="000E6F59">
        <w:rPr>
          <w:rFonts w:ascii="Arial" w:hAnsi="Arial"/>
          <w:sz w:val="18"/>
          <w:szCs w:val="20"/>
        </w:rPr>
        <w:t>Early childhood education and care</w:t>
      </w:r>
      <w:r w:rsidRPr="00666ECE">
        <w:rPr>
          <w:rFonts w:ascii="Arial" w:hAnsi="Arial"/>
          <w:sz w:val="18"/>
          <w:szCs w:val="20"/>
        </w:rPr>
        <w:t xml:space="preserve"> chapter describes the entry points for the range of part and full time preschool services across states and territories</w:t>
      </w:r>
      <w:r w:rsidRPr="009613EF">
        <w:rPr>
          <w:rFonts w:ascii="Arial" w:hAnsi="Arial"/>
          <w:sz w:val="18"/>
          <w:szCs w:val="20"/>
        </w:rPr>
        <w:t xml:space="preserve">. Box B.3 in the </w:t>
      </w:r>
      <w:r w:rsidR="009D7D07">
        <w:rPr>
          <w:rFonts w:ascii="Arial" w:hAnsi="Arial"/>
          <w:sz w:val="18"/>
          <w:szCs w:val="20"/>
        </w:rPr>
        <w:t>Child care, education and training</w:t>
      </w:r>
      <w:r w:rsidRPr="00666ECE">
        <w:rPr>
          <w:rFonts w:ascii="Arial" w:hAnsi="Arial"/>
          <w:sz w:val="18"/>
          <w:szCs w:val="20"/>
        </w:rPr>
        <w:t xml:space="preserve"> </w:t>
      </w:r>
      <w:r w:rsidR="003932A0">
        <w:rPr>
          <w:rFonts w:ascii="Arial" w:hAnsi="Arial"/>
          <w:sz w:val="18"/>
          <w:szCs w:val="20"/>
        </w:rPr>
        <w:t>sector overview</w:t>
      </w:r>
      <w:r w:rsidRPr="00666ECE">
        <w:rPr>
          <w:rFonts w:ascii="Arial" w:hAnsi="Arial"/>
          <w:sz w:val="18"/>
          <w:szCs w:val="20"/>
        </w:rPr>
        <w:t xml:space="preserve"> describes the structure of education and training more generally</w:t>
      </w:r>
      <w:r w:rsidRPr="00F670A8">
        <w:rPr>
          <w:rFonts w:ascii="Arial" w:hAnsi="Arial"/>
          <w:color w:val="FF0000"/>
          <w:sz w:val="18"/>
          <w:szCs w:val="20"/>
        </w:rPr>
        <w:t xml:space="preserve">. </w:t>
      </w:r>
      <w:r w:rsidRPr="009613EF">
        <w:rPr>
          <w:rFonts w:ascii="Arial" w:hAnsi="Arial"/>
          <w:b/>
          <w:position w:val="6"/>
          <w:sz w:val="18"/>
          <w:szCs w:val="20"/>
        </w:rPr>
        <w:t>c</w:t>
      </w:r>
      <w:r w:rsidRPr="009613EF">
        <w:rPr>
          <w:rFonts w:ascii="Arial" w:hAnsi="Arial"/>
          <w:sz w:val="18"/>
          <w:szCs w:val="20"/>
        </w:rPr>
        <w:t> </w:t>
      </w:r>
      <w:r w:rsidR="00F93345" w:rsidRPr="009613EF">
        <w:rPr>
          <w:rFonts w:ascii="Arial" w:hAnsi="Arial"/>
          <w:sz w:val="18"/>
          <w:szCs w:val="20"/>
        </w:rPr>
        <w:t xml:space="preserve"> </w:t>
      </w:r>
      <w:r w:rsidR="00CA3C60" w:rsidRPr="00031DF6">
        <w:rPr>
          <w:rFonts w:ascii="Arial" w:hAnsi="Arial"/>
          <w:sz w:val="18"/>
          <w:szCs w:val="20"/>
          <w:shd w:val="clear" w:color="auto" w:fill="FFFFFF" w:themeFill="background1"/>
        </w:rPr>
        <w:t xml:space="preserve">Most </w:t>
      </w:r>
      <w:r w:rsidRPr="009613EF">
        <w:rPr>
          <w:rFonts w:ascii="Arial" w:hAnsi="Arial"/>
          <w:sz w:val="18"/>
          <w:szCs w:val="20"/>
        </w:rPr>
        <w:t>ACT students transition to a senior college for years 11 and 12</w:t>
      </w:r>
      <w:r w:rsidR="009613EF">
        <w:rPr>
          <w:rFonts w:ascii="Arial" w:hAnsi="Arial"/>
          <w:sz w:val="18"/>
          <w:szCs w:val="20"/>
        </w:rPr>
        <w:t>.</w:t>
      </w:r>
      <w:r w:rsidR="009A7B9C">
        <w:rPr>
          <w:rFonts w:ascii="Arial" w:hAnsi="Arial"/>
          <w:sz w:val="18"/>
          <w:szCs w:val="20"/>
        </w:rPr>
        <w:t> </w:t>
      </w:r>
      <w:r w:rsidR="0037267A" w:rsidRPr="009613EF">
        <w:rPr>
          <w:rFonts w:ascii="Arial" w:hAnsi="Arial"/>
          <w:b/>
          <w:position w:val="6"/>
          <w:sz w:val="18"/>
          <w:szCs w:val="20"/>
        </w:rPr>
        <w:t>d</w:t>
      </w:r>
      <w:r w:rsidRPr="009613EF">
        <w:rPr>
          <w:rFonts w:ascii="Arial" w:hAnsi="Arial"/>
          <w:b/>
          <w:position w:val="6"/>
          <w:sz w:val="18"/>
          <w:szCs w:val="20"/>
        </w:rPr>
        <w:t> </w:t>
      </w:r>
      <w:r w:rsidR="009613EF" w:rsidRPr="009613EF">
        <w:rPr>
          <w:rFonts w:ascii="Arial" w:hAnsi="Arial"/>
          <w:sz w:val="18"/>
          <w:szCs w:val="20"/>
        </w:rPr>
        <w:t>In SA, children generally start school at t</w:t>
      </w:r>
      <w:r w:rsidR="001B6514">
        <w:rPr>
          <w:rFonts w:ascii="Arial" w:hAnsi="Arial"/>
          <w:sz w:val="18"/>
          <w:szCs w:val="20"/>
        </w:rPr>
        <w:t>he beginning of the school term</w:t>
      </w:r>
      <w:r w:rsidR="009613EF" w:rsidRPr="009613EF">
        <w:rPr>
          <w:rFonts w:ascii="Arial" w:hAnsi="Arial"/>
          <w:sz w:val="18"/>
          <w:szCs w:val="20"/>
        </w:rPr>
        <w:t xml:space="preserve"> following their fifth birthday</w:t>
      </w:r>
      <w:r w:rsidRPr="009613EF">
        <w:rPr>
          <w:rFonts w:ascii="Arial" w:hAnsi="Arial"/>
          <w:sz w:val="18"/>
          <w:szCs w:val="20"/>
        </w:rPr>
        <w:t xml:space="preserve">. </w:t>
      </w:r>
    </w:p>
    <w:p w:rsidR="00833807" w:rsidRPr="00666ECE" w:rsidRDefault="00666ECE" w:rsidP="00666ECE">
      <w:pPr>
        <w:keepLines/>
        <w:spacing w:before="80" w:after="120" w:line="220" w:lineRule="exact"/>
        <w:jc w:val="both"/>
        <w:rPr>
          <w:rFonts w:ascii="Arial" w:hAnsi="Arial"/>
          <w:sz w:val="18"/>
          <w:szCs w:val="20"/>
        </w:rPr>
      </w:pPr>
      <w:r w:rsidRPr="000E6F59">
        <w:rPr>
          <w:rFonts w:ascii="Arial" w:hAnsi="Arial"/>
          <w:i/>
          <w:sz w:val="18"/>
          <w:szCs w:val="20"/>
        </w:rPr>
        <w:t>Source</w:t>
      </w:r>
      <w:r w:rsidRPr="000E6F59">
        <w:rPr>
          <w:rFonts w:ascii="Arial" w:hAnsi="Arial"/>
          <w:sz w:val="18"/>
          <w:szCs w:val="20"/>
        </w:rPr>
        <w:t>: Adapted from ABS (201</w:t>
      </w:r>
      <w:r w:rsidR="00653F56">
        <w:rPr>
          <w:rFonts w:ascii="Arial" w:hAnsi="Arial"/>
          <w:sz w:val="18"/>
          <w:szCs w:val="20"/>
        </w:rPr>
        <w:t>3</w:t>
      </w:r>
      <w:r w:rsidRPr="000E6F59">
        <w:rPr>
          <w:rFonts w:ascii="Arial" w:hAnsi="Arial"/>
          <w:sz w:val="18"/>
          <w:szCs w:val="20"/>
        </w:rPr>
        <w:t xml:space="preserve">) </w:t>
      </w:r>
      <w:r w:rsidRPr="000E6F59">
        <w:rPr>
          <w:rFonts w:ascii="Arial" w:hAnsi="Arial"/>
          <w:i/>
          <w:sz w:val="18"/>
          <w:szCs w:val="20"/>
        </w:rPr>
        <w:t>Schools Australia 201</w:t>
      </w:r>
      <w:r w:rsidR="00653F56">
        <w:rPr>
          <w:rFonts w:ascii="Arial" w:hAnsi="Arial"/>
          <w:i/>
          <w:sz w:val="18"/>
          <w:szCs w:val="20"/>
        </w:rPr>
        <w:t>2</w:t>
      </w:r>
      <w:r w:rsidRPr="000E6F59">
        <w:rPr>
          <w:rFonts w:ascii="Arial" w:hAnsi="Arial"/>
          <w:sz w:val="18"/>
          <w:szCs w:val="20"/>
        </w:rPr>
        <w:t>, Cat. no. 4221.0.</w:t>
      </w:r>
    </w:p>
    <w:p w:rsidR="00666ECE" w:rsidRPr="00666ECE" w:rsidRDefault="00666ECE" w:rsidP="00666ECE">
      <w:pPr>
        <w:keepNext/>
        <w:spacing w:before="480" w:line="320" w:lineRule="exact"/>
        <w:outlineLvl w:val="3"/>
        <w:rPr>
          <w:rFonts w:ascii="Arial" w:hAnsi="Arial"/>
          <w:i/>
          <w:sz w:val="24"/>
        </w:rPr>
      </w:pPr>
      <w:r w:rsidRPr="00666ECE">
        <w:rPr>
          <w:rFonts w:ascii="Arial" w:hAnsi="Arial"/>
          <w:i/>
          <w:sz w:val="24"/>
        </w:rPr>
        <w:t>Schools</w:t>
      </w:r>
    </w:p>
    <w:p w:rsidR="00666ECE" w:rsidRPr="00666ECE" w:rsidRDefault="00666ECE" w:rsidP="00666ECE">
      <w:pPr>
        <w:spacing w:before="240" w:line="320" w:lineRule="atLeast"/>
        <w:jc w:val="both"/>
        <w:rPr>
          <w:szCs w:val="20"/>
        </w:rPr>
      </w:pPr>
      <w:r w:rsidRPr="009613EF">
        <w:rPr>
          <w:szCs w:val="20"/>
        </w:rPr>
        <w:t>At the beginning of August 201</w:t>
      </w:r>
      <w:r w:rsidR="00653F56" w:rsidRPr="009613EF">
        <w:rPr>
          <w:szCs w:val="20"/>
        </w:rPr>
        <w:t>2</w:t>
      </w:r>
      <w:r w:rsidRPr="009613EF">
        <w:rPr>
          <w:szCs w:val="20"/>
        </w:rPr>
        <w:t xml:space="preserve">, there were </w:t>
      </w:r>
      <w:r w:rsidR="007A73E8" w:rsidRPr="009613EF">
        <w:rPr>
          <w:szCs w:val="20"/>
        </w:rPr>
        <w:t>94</w:t>
      </w:r>
      <w:r w:rsidR="009613EF" w:rsidRPr="009613EF">
        <w:rPr>
          <w:szCs w:val="20"/>
        </w:rPr>
        <w:t>27</w:t>
      </w:r>
      <w:r w:rsidRPr="009613EF">
        <w:rPr>
          <w:szCs w:val="20"/>
        </w:rPr>
        <w:t xml:space="preserve"> schools in Australia (</w:t>
      </w:r>
      <w:r w:rsidR="007A73E8" w:rsidRPr="009613EF">
        <w:rPr>
          <w:szCs w:val="20"/>
        </w:rPr>
        <w:t>6</w:t>
      </w:r>
      <w:r w:rsidR="009613EF" w:rsidRPr="009613EF">
        <w:rPr>
          <w:szCs w:val="20"/>
        </w:rPr>
        <w:t>290</w:t>
      </w:r>
      <w:r w:rsidR="00635573" w:rsidRPr="009613EF">
        <w:rPr>
          <w:szCs w:val="20"/>
        </w:rPr>
        <w:t> </w:t>
      </w:r>
      <w:r w:rsidRPr="009613EF">
        <w:rPr>
          <w:szCs w:val="20"/>
        </w:rPr>
        <w:t>primary</w:t>
      </w:r>
      <w:r w:rsidR="003B149C" w:rsidRPr="009613EF">
        <w:rPr>
          <w:szCs w:val="20"/>
        </w:rPr>
        <w:t xml:space="preserve"> </w:t>
      </w:r>
      <w:r w:rsidRPr="009613EF">
        <w:rPr>
          <w:szCs w:val="20"/>
        </w:rPr>
        <w:t xml:space="preserve">schools, </w:t>
      </w:r>
      <w:r w:rsidR="007A73E8" w:rsidRPr="009613EF">
        <w:rPr>
          <w:szCs w:val="20"/>
        </w:rPr>
        <w:t>139</w:t>
      </w:r>
      <w:r w:rsidR="009613EF" w:rsidRPr="009613EF">
        <w:rPr>
          <w:szCs w:val="20"/>
        </w:rPr>
        <w:t>2</w:t>
      </w:r>
      <w:r w:rsidRPr="009613EF">
        <w:rPr>
          <w:szCs w:val="20"/>
        </w:rPr>
        <w:t xml:space="preserve"> secondary schools, </w:t>
      </w:r>
      <w:r w:rsidR="007A73E8" w:rsidRPr="009613EF">
        <w:rPr>
          <w:szCs w:val="20"/>
        </w:rPr>
        <w:t>13</w:t>
      </w:r>
      <w:r w:rsidR="009613EF" w:rsidRPr="009613EF">
        <w:rPr>
          <w:szCs w:val="20"/>
        </w:rPr>
        <w:t>21</w:t>
      </w:r>
      <w:r w:rsidRPr="009613EF">
        <w:rPr>
          <w:szCs w:val="20"/>
        </w:rPr>
        <w:t xml:space="preserve"> combined schools and </w:t>
      </w:r>
      <w:r w:rsidR="007A73E8" w:rsidRPr="009613EF">
        <w:rPr>
          <w:szCs w:val="20"/>
        </w:rPr>
        <w:t>4</w:t>
      </w:r>
      <w:r w:rsidR="009613EF" w:rsidRPr="009613EF">
        <w:rPr>
          <w:szCs w:val="20"/>
        </w:rPr>
        <w:t>24</w:t>
      </w:r>
      <w:r w:rsidR="001B6514">
        <w:rPr>
          <w:szCs w:val="20"/>
        </w:rPr>
        <w:t> </w:t>
      </w:r>
      <w:r w:rsidRPr="009613EF">
        <w:rPr>
          <w:szCs w:val="20"/>
        </w:rPr>
        <w:t xml:space="preserve">special schools). The </w:t>
      </w:r>
      <w:r w:rsidRPr="000E6F59">
        <w:rPr>
          <w:szCs w:val="20"/>
        </w:rPr>
        <w:t xml:space="preserve">majority of schools were government owned and managed </w:t>
      </w:r>
      <w:r w:rsidRPr="009613EF">
        <w:rPr>
          <w:szCs w:val="20"/>
        </w:rPr>
        <w:t>(</w:t>
      </w:r>
      <w:r w:rsidR="007A73E8" w:rsidRPr="009613EF">
        <w:rPr>
          <w:szCs w:val="20"/>
        </w:rPr>
        <w:t>71.</w:t>
      </w:r>
      <w:r w:rsidR="009613EF" w:rsidRPr="009613EF">
        <w:rPr>
          <w:szCs w:val="20"/>
        </w:rPr>
        <w:t>0</w:t>
      </w:r>
      <w:r w:rsidR="003B149C" w:rsidRPr="009613EF">
        <w:rPr>
          <w:szCs w:val="20"/>
        </w:rPr>
        <w:t> </w:t>
      </w:r>
      <w:r w:rsidRPr="009613EF">
        <w:rPr>
          <w:szCs w:val="20"/>
        </w:rPr>
        <w:t>per</w:t>
      </w:r>
      <w:r w:rsidR="003B149C" w:rsidRPr="009613EF">
        <w:rPr>
          <w:szCs w:val="20"/>
        </w:rPr>
        <w:t> </w:t>
      </w:r>
      <w:r w:rsidRPr="009613EF">
        <w:rPr>
          <w:szCs w:val="20"/>
        </w:rPr>
        <w:t xml:space="preserve">cent) (table 4.2). Settlement patterns (population dispersion), the age </w:t>
      </w:r>
      <w:r w:rsidR="001B6514">
        <w:rPr>
          <w:szCs w:val="20"/>
        </w:rPr>
        <w:t>distribution of the population</w:t>
      </w:r>
      <w:r w:rsidRPr="00666ECE">
        <w:rPr>
          <w:szCs w:val="20"/>
        </w:rPr>
        <w:t xml:space="preserve"> and educational policy influence the distribution of schools by size and level in different jurisdictions. </w:t>
      </w:r>
      <w:r w:rsidRPr="006040C5">
        <w:rPr>
          <w:szCs w:val="20"/>
        </w:rPr>
        <w:t xml:space="preserve">Nationally, </w:t>
      </w:r>
      <w:r w:rsidR="006040C5" w:rsidRPr="006040C5">
        <w:rPr>
          <w:szCs w:val="20"/>
        </w:rPr>
        <w:t>62.5</w:t>
      </w:r>
      <w:r w:rsidRPr="006040C5">
        <w:rPr>
          <w:szCs w:val="20"/>
        </w:rPr>
        <w:t xml:space="preserve"> per cent </w:t>
      </w:r>
      <w:r w:rsidRPr="00666ECE">
        <w:rPr>
          <w:szCs w:val="20"/>
        </w:rPr>
        <w:t>of all secondary schools enrolled over 600 students (table 4A.</w:t>
      </w:r>
      <w:r w:rsidRPr="000E6F59">
        <w:rPr>
          <w:szCs w:val="20"/>
        </w:rPr>
        <w:t>2</w:t>
      </w:r>
      <w:r w:rsidR="009807CA">
        <w:rPr>
          <w:szCs w:val="20"/>
        </w:rPr>
        <w:t>6</w:t>
      </w:r>
      <w:r w:rsidRPr="000E6F59">
        <w:rPr>
          <w:szCs w:val="20"/>
        </w:rPr>
        <w:t>). A breakdown of primary and secondary schools by size for government, non-government and all schools is reported in tables 4A.2</w:t>
      </w:r>
      <w:r w:rsidR="009807CA">
        <w:rPr>
          <w:szCs w:val="20"/>
        </w:rPr>
        <w:t>4</w:t>
      </w:r>
      <w:r w:rsidRPr="000E6F59">
        <w:rPr>
          <w:szCs w:val="20"/>
        </w:rPr>
        <w:t>–2</w:t>
      </w:r>
      <w:r w:rsidR="009807CA">
        <w:rPr>
          <w:szCs w:val="20"/>
        </w:rPr>
        <w:t>6</w:t>
      </w:r>
      <w:r w:rsidRPr="000E6F59">
        <w:rPr>
          <w:szCs w:val="20"/>
        </w:rPr>
        <w:t xml:space="preserve"> respectively.</w:t>
      </w:r>
    </w:p>
    <w:p w:rsidR="00666ECE" w:rsidRPr="0063025F" w:rsidRDefault="00666ECE" w:rsidP="002C3941">
      <w:pPr>
        <w:pStyle w:val="TableTitle"/>
      </w:pPr>
      <w:r w:rsidRPr="007A7568">
        <w:rPr>
          <w:b w:val="0"/>
        </w:rPr>
        <w:lastRenderedPageBreak/>
        <w:t xml:space="preserve">Table </w:t>
      </w:r>
      <w:bookmarkStart w:id="8" w:name="OLE_LINK12"/>
      <w:r w:rsidR="00EB256F" w:rsidRPr="007A7568">
        <w:rPr>
          <w:b w:val="0"/>
        </w:rPr>
        <w:t>4.</w:t>
      </w:r>
      <w:r w:rsidR="00EC06F7" w:rsidRPr="007A7568">
        <w:rPr>
          <w:b w:val="0"/>
          <w:noProof/>
        </w:rPr>
        <w:t>2</w:t>
      </w:r>
      <w:bookmarkEnd w:id="8"/>
      <w:r w:rsidRPr="007A7568">
        <w:rPr>
          <w:b w:val="0"/>
        </w:rPr>
        <w:tab/>
      </w:r>
      <w:r w:rsidRPr="0063025F">
        <w:t>Summary of school characteristics, August 201</w:t>
      </w:r>
      <w:r w:rsidR="00653F56" w:rsidRPr="0063025F">
        <w:t>2</w:t>
      </w:r>
    </w:p>
    <w:tbl>
      <w:tblPr>
        <w:tblW w:w="8789" w:type="dxa"/>
        <w:tblLayout w:type="fixed"/>
        <w:tblCellMar>
          <w:left w:w="0" w:type="dxa"/>
          <w:right w:w="0" w:type="dxa"/>
        </w:tblCellMar>
        <w:tblLook w:val="0000" w:firstRow="0" w:lastRow="0" w:firstColumn="0" w:lastColumn="0" w:noHBand="0" w:noVBand="0"/>
      </w:tblPr>
      <w:tblGrid>
        <w:gridCol w:w="1843"/>
        <w:gridCol w:w="567"/>
        <w:gridCol w:w="708"/>
        <w:gridCol w:w="426"/>
        <w:gridCol w:w="283"/>
        <w:gridCol w:w="426"/>
        <w:gridCol w:w="283"/>
        <w:gridCol w:w="426"/>
        <w:gridCol w:w="283"/>
        <w:gridCol w:w="425"/>
        <w:gridCol w:w="283"/>
        <w:gridCol w:w="426"/>
        <w:gridCol w:w="283"/>
        <w:gridCol w:w="426"/>
        <w:gridCol w:w="283"/>
        <w:gridCol w:w="426"/>
        <w:gridCol w:w="283"/>
        <w:gridCol w:w="284"/>
        <w:gridCol w:w="425"/>
      </w:tblGrid>
      <w:tr w:rsidR="00D54C12" w:rsidRPr="00666ECE" w:rsidTr="00D54C12">
        <w:tc>
          <w:tcPr>
            <w:tcW w:w="1843" w:type="dxa"/>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rPr>
                <w:rFonts w:ascii="Arial" w:hAnsi="Arial"/>
                <w:i/>
                <w:sz w:val="20"/>
                <w:szCs w:val="20"/>
              </w:rPr>
            </w:pPr>
          </w:p>
        </w:tc>
        <w:tc>
          <w:tcPr>
            <w:tcW w:w="567" w:type="dxa"/>
            <w:tcBorders>
              <w:top w:val="single" w:sz="6" w:space="0" w:color="auto"/>
              <w:bottom w:val="single" w:sz="6" w:space="0" w:color="auto"/>
            </w:tcBorders>
          </w:tcPr>
          <w:p w:rsidR="002D7C16" w:rsidRPr="00666ECE" w:rsidRDefault="002D7C16" w:rsidP="00666ECE">
            <w:pPr>
              <w:keepNext/>
              <w:keepLines/>
              <w:spacing w:before="80" w:after="80" w:line="220" w:lineRule="atLeast"/>
              <w:ind w:left="6" w:right="113"/>
              <w:jc w:val="right"/>
              <w:rPr>
                <w:rFonts w:ascii="Arial" w:hAnsi="Arial"/>
                <w:i/>
                <w:sz w:val="20"/>
                <w:szCs w:val="20"/>
              </w:rPr>
            </w:pPr>
            <w:r>
              <w:rPr>
                <w:rFonts w:ascii="Arial" w:hAnsi="Arial"/>
                <w:i/>
                <w:sz w:val="20"/>
                <w:szCs w:val="20"/>
              </w:rPr>
              <w:t>Unit</w:t>
            </w:r>
          </w:p>
        </w:tc>
        <w:tc>
          <w:tcPr>
            <w:tcW w:w="708" w:type="dxa"/>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NSW</w:t>
            </w:r>
          </w:p>
        </w:tc>
        <w:tc>
          <w:tcPr>
            <w:tcW w:w="709" w:type="dxa"/>
            <w:gridSpan w:val="2"/>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Vic</w:t>
            </w:r>
          </w:p>
        </w:tc>
        <w:tc>
          <w:tcPr>
            <w:tcW w:w="709" w:type="dxa"/>
            <w:gridSpan w:val="2"/>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Qld</w:t>
            </w:r>
          </w:p>
        </w:tc>
        <w:tc>
          <w:tcPr>
            <w:tcW w:w="709" w:type="dxa"/>
            <w:gridSpan w:val="2"/>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WA</w:t>
            </w:r>
          </w:p>
        </w:tc>
        <w:tc>
          <w:tcPr>
            <w:tcW w:w="708" w:type="dxa"/>
            <w:gridSpan w:val="2"/>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SA</w:t>
            </w:r>
          </w:p>
        </w:tc>
        <w:tc>
          <w:tcPr>
            <w:tcW w:w="709" w:type="dxa"/>
            <w:gridSpan w:val="2"/>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Tas</w:t>
            </w:r>
          </w:p>
        </w:tc>
        <w:tc>
          <w:tcPr>
            <w:tcW w:w="709" w:type="dxa"/>
            <w:gridSpan w:val="2"/>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ACT</w:t>
            </w:r>
          </w:p>
        </w:tc>
        <w:tc>
          <w:tcPr>
            <w:tcW w:w="709" w:type="dxa"/>
            <w:gridSpan w:val="2"/>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NT</w:t>
            </w:r>
          </w:p>
        </w:tc>
        <w:tc>
          <w:tcPr>
            <w:tcW w:w="709" w:type="dxa"/>
            <w:gridSpan w:val="2"/>
            <w:tcBorders>
              <w:top w:val="single" w:sz="6" w:space="0" w:color="auto"/>
              <w:bottom w:val="single" w:sz="6" w:space="0" w:color="auto"/>
            </w:tcBorders>
            <w:shd w:val="clear" w:color="auto" w:fill="auto"/>
          </w:tcPr>
          <w:p w:rsidR="002D7C16" w:rsidRPr="00666ECE" w:rsidRDefault="002D7C16"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Aust</w:t>
            </w:r>
          </w:p>
        </w:tc>
      </w:tr>
      <w:tr w:rsidR="00D54C12" w:rsidRPr="00666ECE" w:rsidTr="00D54C12">
        <w:tc>
          <w:tcPr>
            <w:tcW w:w="2410" w:type="dxa"/>
            <w:gridSpan w:val="2"/>
          </w:tcPr>
          <w:p w:rsidR="00E91307" w:rsidRPr="00666ECE" w:rsidRDefault="00E91307" w:rsidP="00E91307">
            <w:pPr>
              <w:keepNext/>
              <w:keepLines/>
              <w:spacing w:after="40" w:line="220" w:lineRule="atLeast"/>
              <w:ind w:left="6" w:right="113"/>
              <w:rPr>
                <w:rFonts w:ascii="Arial" w:hAnsi="Arial"/>
                <w:sz w:val="20"/>
                <w:szCs w:val="20"/>
              </w:rPr>
            </w:pPr>
            <w:r w:rsidRPr="00666ECE">
              <w:rPr>
                <w:rFonts w:ascii="Arial" w:hAnsi="Arial"/>
                <w:sz w:val="20"/>
                <w:szCs w:val="20"/>
              </w:rPr>
              <w:t xml:space="preserve">Government schools </w:t>
            </w:r>
          </w:p>
        </w:tc>
        <w:tc>
          <w:tcPr>
            <w:tcW w:w="708" w:type="dxa"/>
          </w:tcPr>
          <w:p w:rsidR="00E91307" w:rsidRPr="00666ECE" w:rsidRDefault="00E91307" w:rsidP="00666ECE">
            <w:pPr>
              <w:keepNext/>
              <w:keepLines/>
              <w:spacing w:after="40" w:line="220" w:lineRule="atLeast"/>
              <w:ind w:left="6" w:right="113"/>
              <w:jc w:val="right"/>
              <w:rPr>
                <w:rFonts w:ascii="Arial" w:hAnsi="Arial"/>
                <w:sz w:val="20"/>
                <w:szCs w:val="20"/>
              </w:rPr>
            </w:pPr>
          </w:p>
        </w:tc>
        <w:tc>
          <w:tcPr>
            <w:tcW w:w="709" w:type="dxa"/>
            <w:gridSpan w:val="2"/>
          </w:tcPr>
          <w:p w:rsidR="00E91307" w:rsidRPr="00666ECE" w:rsidRDefault="00E91307" w:rsidP="00666ECE">
            <w:pPr>
              <w:keepNext/>
              <w:keepLines/>
              <w:spacing w:after="40" w:line="220" w:lineRule="atLeast"/>
              <w:ind w:left="6" w:right="113"/>
              <w:jc w:val="right"/>
              <w:rPr>
                <w:rFonts w:ascii="Arial" w:hAnsi="Arial"/>
                <w:sz w:val="20"/>
                <w:szCs w:val="20"/>
              </w:rPr>
            </w:pPr>
          </w:p>
        </w:tc>
        <w:tc>
          <w:tcPr>
            <w:tcW w:w="709" w:type="dxa"/>
            <w:gridSpan w:val="2"/>
          </w:tcPr>
          <w:p w:rsidR="00E91307" w:rsidRPr="00666ECE" w:rsidRDefault="00E91307" w:rsidP="00666ECE">
            <w:pPr>
              <w:keepNext/>
              <w:keepLines/>
              <w:spacing w:after="40" w:line="220" w:lineRule="atLeast"/>
              <w:ind w:left="6" w:right="113"/>
              <w:jc w:val="right"/>
              <w:rPr>
                <w:rFonts w:ascii="Arial" w:hAnsi="Arial"/>
                <w:sz w:val="20"/>
                <w:szCs w:val="20"/>
              </w:rPr>
            </w:pPr>
          </w:p>
        </w:tc>
        <w:tc>
          <w:tcPr>
            <w:tcW w:w="709" w:type="dxa"/>
            <w:gridSpan w:val="2"/>
          </w:tcPr>
          <w:p w:rsidR="00E91307" w:rsidRPr="00666ECE" w:rsidRDefault="00E91307" w:rsidP="00666ECE">
            <w:pPr>
              <w:keepNext/>
              <w:keepLines/>
              <w:spacing w:after="40" w:line="220" w:lineRule="atLeast"/>
              <w:ind w:left="6" w:right="113"/>
              <w:jc w:val="right"/>
              <w:rPr>
                <w:rFonts w:ascii="Arial" w:hAnsi="Arial"/>
                <w:sz w:val="20"/>
                <w:szCs w:val="20"/>
              </w:rPr>
            </w:pPr>
          </w:p>
        </w:tc>
        <w:tc>
          <w:tcPr>
            <w:tcW w:w="708" w:type="dxa"/>
            <w:gridSpan w:val="2"/>
          </w:tcPr>
          <w:p w:rsidR="00E91307" w:rsidRPr="00666ECE" w:rsidRDefault="00E91307" w:rsidP="00666ECE">
            <w:pPr>
              <w:keepNext/>
              <w:keepLines/>
              <w:spacing w:after="40" w:line="220" w:lineRule="atLeast"/>
              <w:ind w:left="6" w:right="113"/>
              <w:jc w:val="right"/>
              <w:rPr>
                <w:rFonts w:ascii="Arial" w:hAnsi="Arial"/>
                <w:sz w:val="20"/>
                <w:szCs w:val="20"/>
              </w:rPr>
            </w:pPr>
          </w:p>
        </w:tc>
        <w:tc>
          <w:tcPr>
            <w:tcW w:w="709" w:type="dxa"/>
            <w:gridSpan w:val="2"/>
          </w:tcPr>
          <w:p w:rsidR="00E91307" w:rsidRPr="00666ECE" w:rsidRDefault="00E91307" w:rsidP="00666ECE">
            <w:pPr>
              <w:keepNext/>
              <w:keepLines/>
              <w:spacing w:after="40" w:line="220" w:lineRule="atLeast"/>
              <w:ind w:left="6" w:right="113"/>
              <w:jc w:val="right"/>
              <w:rPr>
                <w:rFonts w:ascii="Arial" w:hAnsi="Arial"/>
                <w:sz w:val="20"/>
                <w:szCs w:val="20"/>
              </w:rPr>
            </w:pPr>
          </w:p>
        </w:tc>
        <w:tc>
          <w:tcPr>
            <w:tcW w:w="709" w:type="dxa"/>
            <w:gridSpan w:val="2"/>
          </w:tcPr>
          <w:p w:rsidR="00E91307" w:rsidRPr="00666ECE" w:rsidRDefault="00E91307" w:rsidP="00666ECE">
            <w:pPr>
              <w:keepNext/>
              <w:keepLines/>
              <w:spacing w:after="40" w:line="220" w:lineRule="atLeast"/>
              <w:ind w:left="6" w:right="113"/>
              <w:jc w:val="right"/>
              <w:rPr>
                <w:rFonts w:ascii="Arial" w:hAnsi="Arial"/>
                <w:sz w:val="20"/>
                <w:szCs w:val="20"/>
              </w:rPr>
            </w:pPr>
          </w:p>
        </w:tc>
        <w:tc>
          <w:tcPr>
            <w:tcW w:w="709" w:type="dxa"/>
            <w:gridSpan w:val="2"/>
          </w:tcPr>
          <w:p w:rsidR="00E91307" w:rsidRPr="00666ECE" w:rsidRDefault="00E91307" w:rsidP="00666ECE">
            <w:pPr>
              <w:keepNext/>
              <w:keepLines/>
              <w:spacing w:after="40" w:line="220" w:lineRule="atLeast"/>
              <w:ind w:left="6" w:right="113"/>
              <w:jc w:val="right"/>
              <w:rPr>
                <w:rFonts w:ascii="Arial" w:hAnsi="Arial"/>
                <w:sz w:val="20"/>
                <w:szCs w:val="20"/>
              </w:rPr>
            </w:pPr>
          </w:p>
        </w:tc>
        <w:tc>
          <w:tcPr>
            <w:tcW w:w="709" w:type="dxa"/>
            <w:gridSpan w:val="2"/>
          </w:tcPr>
          <w:p w:rsidR="00E91307" w:rsidRPr="00666ECE" w:rsidRDefault="00E91307" w:rsidP="00666ECE">
            <w:pPr>
              <w:keepNext/>
              <w:keepLines/>
              <w:spacing w:after="40" w:line="220" w:lineRule="atLeast"/>
              <w:ind w:left="6" w:right="113"/>
              <w:jc w:val="right"/>
              <w:rPr>
                <w:rFonts w:ascii="Arial" w:hAnsi="Arial"/>
                <w:sz w:val="20"/>
                <w:szCs w:val="20"/>
              </w:rPr>
            </w:pPr>
          </w:p>
        </w:tc>
      </w:tr>
      <w:tr w:rsidR="00D54C12" w:rsidRPr="00666ECE" w:rsidTr="00D54C12">
        <w:tc>
          <w:tcPr>
            <w:tcW w:w="1843" w:type="dxa"/>
          </w:tcPr>
          <w:p w:rsidR="002D7C16" w:rsidRPr="00666ECE" w:rsidRDefault="002D7C16" w:rsidP="00666ECE">
            <w:pPr>
              <w:keepNext/>
              <w:keepLines/>
              <w:spacing w:after="40" w:line="220" w:lineRule="atLeast"/>
              <w:ind w:left="136" w:right="113"/>
              <w:rPr>
                <w:rFonts w:ascii="Arial" w:hAnsi="Arial"/>
                <w:sz w:val="20"/>
                <w:szCs w:val="20"/>
              </w:rPr>
            </w:pPr>
            <w:r w:rsidRPr="00666ECE">
              <w:rPr>
                <w:rFonts w:ascii="Arial" w:hAnsi="Arial"/>
                <w:sz w:val="20"/>
                <w:szCs w:val="20"/>
              </w:rPr>
              <w:t>Primary</w:t>
            </w:r>
          </w:p>
        </w:tc>
        <w:tc>
          <w:tcPr>
            <w:tcW w:w="567" w:type="dxa"/>
          </w:tcPr>
          <w:p w:rsidR="002D7C16" w:rsidRPr="00D31D27" w:rsidRDefault="002D7C16" w:rsidP="00E91307">
            <w:pPr>
              <w:pStyle w:val="TableBodyText"/>
            </w:pPr>
            <w:r>
              <w:t>no.</w:t>
            </w:r>
          </w:p>
        </w:tc>
        <w:tc>
          <w:tcPr>
            <w:tcW w:w="708" w:type="dxa"/>
            <w:vAlign w:val="center"/>
          </w:tcPr>
          <w:p w:rsidR="002D7C16" w:rsidRPr="00D31D27" w:rsidRDefault="002D7C16" w:rsidP="00D31D27">
            <w:pPr>
              <w:pStyle w:val="TableBodyText"/>
            </w:pPr>
            <w:r w:rsidRPr="00D31D27">
              <w:t xml:space="preserve"> 1 623</w:t>
            </w:r>
          </w:p>
        </w:tc>
        <w:tc>
          <w:tcPr>
            <w:tcW w:w="709" w:type="dxa"/>
            <w:gridSpan w:val="2"/>
            <w:vAlign w:val="center"/>
          </w:tcPr>
          <w:p w:rsidR="002D7C16" w:rsidRPr="00D31D27" w:rsidRDefault="002D7C16" w:rsidP="00D31D27">
            <w:pPr>
              <w:pStyle w:val="TableBodyText"/>
            </w:pPr>
            <w:r w:rsidRPr="00D31D27">
              <w:t xml:space="preserve"> 1 136</w:t>
            </w:r>
          </w:p>
        </w:tc>
        <w:tc>
          <w:tcPr>
            <w:tcW w:w="709" w:type="dxa"/>
            <w:gridSpan w:val="2"/>
            <w:vAlign w:val="center"/>
          </w:tcPr>
          <w:p w:rsidR="002D7C16" w:rsidRPr="00D31D27" w:rsidRDefault="002D7C16" w:rsidP="00D31D27">
            <w:pPr>
              <w:pStyle w:val="TableBodyText"/>
            </w:pPr>
            <w:r w:rsidRPr="00D31D27">
              <w:t xml:space="preserve">  921</w:t>
            </w:r>
          </w:p>
        </w:tc>
        <w:tc>
          <w:tcPr>
            <w:tcW w:w="709" w:type="dxa"/>
            <w:gridSpan w:val="2"/>
            <w:vAlign w:val="center"/>
          </w:tcPr>
          <w:p w:rsidR="002D7C16" w:rsidRPr="00D31D27" w:rsidRDefault="002D7C16" w:rsidP="00D31D27">
            <w:pPr>
              <w:pStyle w:val="TableBodyText"/>
            </w:pPr>
            <w:r w:rsidRPr="00D31D27">
              <w:t xml:space="preserve">  513</w:t>
            </w:r>
          </w:p>
        </w:tc>
        <w:tc>
          <w:tcPr>
            <w:tcW w:w="708" w:type="dxa"/>
            <w:gridSpan w:val="2"/>
            <w:vAlign w:val="center"/>
          </w:tcPr>
          <w:p w:rsidR="002D7C16" w:rsidRPr="00D31D27" w:rsidRDefault="002D7C16" w:rsidP="00D31D27">
            <w:pPr>
              <w:pStyle w:val="TableBodyText"/>
            </w:pPr>
            <w:r w:rsidRPr="00D31D27">
              <w:t xml:space="preserve">  393</w:t>
            </w:r>
          </w:p>
        </w:tc>
        <w:tc>
          <w:tcPr>
            <w:tcW w:w="709" w:type="dxa"/>
            <w:gridSpan w:val="2"/>
            <w:vAlign w:val="center"/>
          </w:tcPr>
          <w:p w:rsidR="002D7C16" w:rsidRPr="00D31D27" w:rsidRDefault="002D7C16" w:rsidP="00D31D27">
            <w:pPr>
              <w:pStyle w:val="TableBodyText"/>
            </w:pPr>
            <w:r w:rsidRPr="00D31D27">
              <w:t xml:space="preserve">  128</w:t>
            </w:r>
          </w:p>
        </w:tc>
        <w:tc>
          <w:tcPr>
            <w:tcW w:w="709" w:type="dxa"/>
            <w:gridSpan w:val="2"/>
            <w:vAlign w:val="center"/>
          </w:tcPr>
          <w:p w:rsidR="002D7C16" w:rsidRPr="00D31D27" w:rsidRDefault="002D7C16" w:rsidP="00D31D27">
            <w:pPr>
              <w:pStyle w:val="TableBodyText"/>
            </w:pPr>
            <w:r w:rsidRPr="00D31D27">
              <w:t xml:space="preserve">  53</w:t>
            </w:r>
          </w:p>
        </w:tc>
        <w:tc>
          <w:tcPr>
            <w:tcW w:w="709" w:type="dxa"/>
            <w:gridSpan w:val="2"/>
            <w:vAlign w:val="center"/>
          </w:tcPr>
          <w:p w:rsidR="002D7C16" w:rsidRPr="00D31D27" w:rsidRDefault="002D7C16" w:rsidP="00D31D27">
            <w:pPr>
              <w:pStyle w:val="TableBodyText"/>
            </w:pPr>
            <w:r w:rsidRPr="00D31D27">
              <w:t xml:space="preserve">  60</w:t>
            </w:r>
          </w:p>
        </w:tc>
        <w:tc>
          <w:tcPr>
            <w:tcW w:w="709" w:type="dxa"/>
            <w:gridSpan w:val="2"/>
            <w:vAlign w:val="center"/>
          </w:tcPr>
          <w:p w:rsidR="002D7C16" w:rsidRPr="00D31D27" w:rsidRDefault="002D7C16" w:rsidP="00D31D27">
            <w:pPr>
              <w:pStyle w:val="TableBodyText"/>
            </w:pPr>
            <w:r w:rsidRPr="00D31D27">
              <w:t xml:space="preserve"> 4 827</w:t>
            </w:r>
          </w:p>
        </w:tc>
      </w:tr>
      <w:tr w:rsidR="00D54C12" w:rsidRPr="00666ECE" w:rsidTr="00D54C12">
        <w:tc>
          <w:tcPr>
            <w:tcW w:w="1843" w:type="dxa"/>
          </w:tcPr>
          <w:p w:rsidR="002D7C16" w:rsidRPr="00666ECE" w:rsidRDefault="002D7C16" w:rsidP="00666ECE">
            <w:pPr>
              <w:keepNext/>
              <w:keepLines/>
              <w:spacing w:after="40" w:line="220" w:lineRule="atLeast"/>
              <w:ind w:left="136" w:right="113"/>
              <w:rPr>
                <w:rFonts w:ascii="Arial" w:hAnsi="Arial"/>
                <w:sz w:val="20"/>
                <w:szCs w:val="20"/>
              </w:rPr>
            </w:pPr>
            <w:r w:rsidRPr="00666ECE">
              <w:rPr>
                <w:rFonts w:ascii="Arial" w:hAnsi="Arial"/>
                <w:sz w:val="20"/>
                <w:szCs w:val="20"/>
              </w:rPr>
              <w:t>Secondary</w:t>
            </w:r>
          </w:p>
        </w:tc>
        <w:tc>
          <w:tcPr>
            <w:tcW w:w="567" w:type="dxa"/>
          </w:tcPr>
          <w:p w:rsidR="002D7C16" w:rsidRDefault="002D7C16" w:rsidP="00E91307">
            <w:pPr>
              <w:pStyle w:val="TableBodyText"/>
            </w:pPr>
            <w:r w:rsidRPr="001C2B85">
              <w:t>no.</w:t>
            </w:r>
          </w:p>
        </w:tc>
        <w:tc>
          <w:tcPr>
            <w:tcW w:w="708" w:type="dxa"/>
            <w:vAlign w:val="center"/>
          </w:tcPr>
          <w:p w:rsidR="002D7C16" w:rsidRPr="00D31D27" w:rsidRDefault="002D7C16" w:rsidP="00D31D27">
            <w:pPr>
              <w:pStyle w:val="TableBodyText"/>
            </w:pPr>
            <w:r w:rsidRPr="00D31D27">
              <w:t xml:space="preserve">  370</w:t>
            </w:r>
          </w:p>
        </w:tc>
        <w:tc>
          <w:tcPr>
            <w:tcW w:w="709" w:type="dxa"/>
            <w:gridSpan w:val="2"/>
            <w:vAlign w:val="center"/>
          </w:tcPr>
          <w:p w:rsidR="002D7C16" w:rsidRPr="00D31D27" w:rsidRDefault="002D7C16" w:rsidP="00D31D27">
            <w:pPr>
              <w:pStyle w:val="TableBodyText"/>
            </w:pPr>
            <w:r w:rsidRPr="00D31D27">
              <w:t xml:space="preserve">  244</w:t>
            </w:r>
          </w:p>
        </w:tc>
        <w:tc>
          <w:tcPr>
            <w:tcW w:w="709" w:type="dxa"/>
            <w:gridSpan w:val="2"/>
            <w:vAlign w:val="center"/>
          </w:tcPr>
          <w:p w:rsidR="002D7C16" w:rsidRPr="00D31D27" w:rsidRDefault="002D7C16" w:rsidP="00D31D27">
            <w:pPr>
              <w:pStyle w:val="TableBodyText"/>
            </w:pPr>
            <w:r w:rsidRPr="00D31D27">
              <w:t xml:space="preserve">  180</w:t>
            </w:r>
          </w:p>
        </w:tc>
        <w:tc>
          <w:tcPr>
            <w:tcW w:w="709" w:type="dxa"/>
            <w:gridSpan w:val="2"/>
            <w:vAlign w:val="center"/>
          </w:tcPr>
          <w:p w:rsidR="002D7C16" w:rsidRPr="00D31D27" w:rsidRDefault="002D7C16" w:rsidP="00D31D27">
            <w:pPr>
              <w:pStyle w:val="TableBodyText"/>
            </w:pPr>
            <w:r w:rsidRPr="00D31D27">
              <w:t xml:space="preserve">  96</w:t>
            </w:r>
          </w:p>
        </w:tc>
        <w:tc>
          <w:tcPr>
            <w:tcW w:w="708" w:type="dxa"/>
            <w:gridSpan w:val="2"/>
            <w:vAlign w:val="center"/>
          </w:tcPr>
          <w:p w:rsidR="002D7C16" w:rsidRPr="00D31D27" w:rsidRDefault="002D7C16" w:rsidP="00D31D27">
            <w:pPr>
              <w:pStyle w:val="TableBodyText"/>
            </w:pPr>
            <w:r w:rsidRPr="00D31D27">
              <w:t xml:space="preserve">  68</w:t>
            </w:r>
          </w:p>
        </w:tc>
        <w:tc>
          <w:tcPr>
            <w:tcW w:w="709" w:type="dxa"/>
            <w:gridSpan w:val="2"/>
            <w:vAlign w:val="center"/>
          </w:tcPr>
          <w:p w:rsidR="002D7C16" w:rsidRPr="00D31D27" w:rsidRDefault="002D7C16" w:rsidP="00D31D27">
            <w:pPr>
              <w:pStyle w:val="TableBodyText"/>
            </w:pPr>
            <w:r w:rsidRPr="00D31D27">
              <w:t xml:space="preserve">  38</w:t>
            </w:r>
          </w:p>
        </w:tc>
        <w:tc>
          <w:tcPr>
            <w:tcW w:w="709" w:type="dxa"/>
            <w:gridSpan w:val="2"/>
            <w:vAlign w:val="center"/>
          </w:tcPr>
          <w:p w:rsidR="002D7C16" w:rsidRPr="00D31D27" w:rsidRDefault="002D7C16" w:rsidP="00D31D27">
            <w:pPr>
              <w:pStyle w:val="TableBodyText"/>
            </w:pPr>
            <w:r w:rsidRPr="00D31D27">
              <w:t xml:space="preserve">  18</w:t>
            </w:r>
          </w:p>
        </w:tc>
        <w:tc>
          <w:tcPr>
            <w:tcW w:w="709" w:type="dxa"/>
            <w:gridSpan w:val="2"/>
            <w:vAlign w:val="center"/>
          </w:tcPr>
          <w:p w:rsidR="002D7C16" w:rsidRPr="00D31D27" w:rsidRDefault="002D7C16" w:rsidP="00D31D27">
            <w:pPr>
              <w:pStyle w:val="TableBodyText"/>
            </w:pPr>
            <w:r w:rsidRPr="00D31D27">
              <w:t xml:space="preserve">  15</w:t>
            </w:r>
          </w:p>
        </w:tc>
        <w:tc>
          <w:tcPr>
            <w:tcW w:w="709" w:type="dxa"/>
            <w:gridSpan w:val="2"/>
            <w:vAlign w:val="center"/>
          </w:tcPr>
          <w:p w:rsidR="002D7C16" w:rsidRPr="00D31D27" w:rsidRDefault="002D7C16" w:rsidP="00D31D27">
            <w:pPr>
              <w:pStyle w:val="TableBodyText"/>
            </w:pPr>
            <w:r w:rsidRPr="00D31D27">
              <w:t xml:space="preserve"> 1 029</w:t>
            </w:r>
          </w:p>
        </w:tc>
      </w:tr>
      <w:tr w:rsidR="00D54C12" w:rsidRPr="00666ECE" w:rsidTr="00D54C12">
        <w:tc>
          <w:tcPr>
            <w:tcW w:w="1843" w:type="dxa"/>
          </w:tcPr>
          <w:p w:rsidR="002D7C16" w:rsidRPr="00666ECE" w:rsidRDefault="002D7C16" w:rsidP="00666ECE">
            <w:pPr>
              <w:keepNext/>
              <w:keepLines/>
              <w:spacing w:after="40" w:line="220" w:lineRule="atLeast"/>
              <w:ind w:left="136" w:right="113"/>
              <w:rPr>
                <w:rFonts w:ascii="Arial" w:hAnsi="Arial"/>
                <w:sz w:val="20"/>
                <w:szCs w:val="20"/>
              </w:rPr>
            </w:pPr>
            <w:r w:rsidRPr="00666ECE">
              <w:rPr>
                <w:rFonts w:ascii="Arial" w:hAnsi="Arial"/>
                <w:sz w:val="20"/>
                <w:szCs w:val="20"/>
              </w:rPr>
              <w:t>Combined</w:t>
            </w:r>
            <w:r w:rsidRPr="00666ECE">
              <w:rPr>
                <w:rFonts w:ascii="Arial" w:hAnsi="Arial"/>
                <w:b/>
                <w:position w:val="6"/>
                <w:sz w:val="18"/>
                <w:szCs w:val="20"/>
              </w:rPr>
              <w:t>a</w:t>
            </w:r>
          </w:p>
        </w:tc>
        <w:tc>
          <w:tcPr>
            <w:tcW w:w="567" w:type="dxa"/>
          </w:tcPr>
          <w:p w:rsidR="002D7C16" w:rsidRDefault="002D7C16" w:rsidP="00E91307">
            <w:pPr>
              <w:pStyle w:val="TableBodyText"/>
            </w:pPr>
            <w:r w:rsidRPr="001C2B85">
              <w:t>no.</w:t>
            </w:r>
          </w:p>
        </w:tc>
        <w:tc>
          <w:tcPr>
            <w:tcW w:w="708" w:type="dxa"/>
            <w:vAlign w:val="center"/>
          </w:tcPr>
          <w:p w:rsidR="002D7C16" w:rsidRPr="00D31D27" w:rsidRDefault="002D7C16" w:rsidP="00D31D27">
            <w:pPr>
              <w:pStyle w:val="TableBodyText"/>
            </w:pPr>
            <w:r w:rsidRPr="00D31D27">
              <w:t xml:space="preserve">  66</w:t>
            </w:r>
          </w:p>
        </w:tc>
        <w:tc>
          <w:tcPr>
            <w:tcW w:w="709" w:type="dxa"/>
            <w:gridSpan w:val="2"/>
            <w:vAlign w:val="center"/>
          </w:tcPr>
          <w:p w:rsidR="002D7C16" w:rsidRPr="00D31D27" w:rsidRDefault="002D7C16" w:rsidP="00D31D27">
            <w:pPr>
              <w:pStyle w:val="TableBodyText"/>
            </w:pPr>
            <w:r w:rsidRPr="00D31D27">
              <w:t xml:space="preserve">  79</w:t>
            </w:r>
          </w:p>
        </w:tc>
        <w:tc>
          <w:tcPr>
            <w:tcW w:w="709" w:type="dxa"/>
            <w:gridSpan w:val="2"/>
            <w:vAlign w:val="center"/>
          </w:tcPr>
          <w:p w:rsidR="002D7C16" w:rsidRPr="00D31D27" w:rsidRDefault="002D7C16" w:rsidP="00D31D27">
            <w:pPr>
              <w:pStyle w:val="TableBodyText"/>
            </w:pPr>
            <w:r w:rsidRPr="00D31D27">
              <w:t xml:space="preserve">  92</w:t>
            </w:r>
          </w:p>
        </w:tc>
        <w:tc>
          <w:tcPr>
            <w:tcW w:w="709" w:type="dxa"/>
            <w:gridSpan w:val="2"/>
            <w:vAlign w:val="center"/>
          </w:tcPr>
          <w:p w:rsidR="002D7C16" w:rsidRPr="00D31D27" w:rsidRDefault="002D7C16" w:rsidP="00D31D27">
            <w:pPr>
              <w:pStyle w:val="TableBodyText"/>
            </w:pPr>
            <w:r w:rsidRPr="00D31D27">
              <w:t xml:space="preserve">  90</w:t>
            </w:r>
          </w:p>
        </w:tc>
        <w:tc>
          <w:tcPr>
            <w:tcW w:w="708" w:type="dxa"/>
            <w:gridSpan w:val="2"/>
            <w:vAlign w:val="center"/>
          </w:tcPr>
          <w:p w:rsidR="002D7C16" w:rsidRPr="00D31D27" w:rsidRDefault="002D7C16" w:rsidP="00D31D27">
            <w:pPr>
              <w:pStyle w:val="TableBodyText"/>
            </w:pPr>
            <w:r w:rsidRPr="00D31D27">
              <w:t xml:space="preserve">  76</w:t>
            </w:r>
          </w:p>
        </w:tc>
        <w:tc>
          <w:tcPr>
            <w:tcW w:w="709" w:type="dxa"/>
            <w:gridSpan w:val="2"/>
            <w:vAlign w:val="center"/>
          </w:tcPr>
          <w:p w:rsidR="002D7C16" w:rsidRPr="00D31D27" w:rsidRDefault="002D7C16" w:rsidP="00D31D27">
            <w:pPr>
              <w:pStyle w:val="TableBodyText"/>
            </w:pPr>
            <w:r w:rsidRPr="00D31D27">
              <w:t xml:space="preserve">  26</w:t>
            </w:r>
          </w:p>
        </w:tc>
        <w:tc>
          <w:tcPr>
            <w:tcW w:w="709" w:type="dxa"/>
            <w:gridSpan w:val="2"/>
            <w:vAlign w:val="center"/>
          </w:tcPr>
          <w:p w:rsidR="002D7C16" w:rsidRPr="00D31D27" w:rsidRDefault="002D7C16" w:rsidP="00D31D27">
            <w:pPr>
              <w:pStyle w:val="TableBodyText"/>
            </w:pPr>
            <w:r w:rsidRPr="00D31D27">
              <w:t xml:space="preserve">  9</w:t>
            </w:r>
          </w:p>
        </w:tc>
        <w:tc>
          <w:tcPr>
            <w:tcW w:w="709" w:type="dxa"/>
            <w:gridSpan w:val="2"/>
            <w:vAlign w:val="center"/>
          </w:tcPr>
          <w:p w:rsidR="002D7C16" w:rsidRPr="00D31D27" w:rsidRDefault="002D7C16" w:rsidP="00D31D27">
            <w:pPr>
              <w:pStyle w:val="TableBodyText"/>
            </w:pPr>
            <w:r w:rsidRPr="00D31D27">
              <w:t xml:space="preserve">  73</w:t>
            </w:r>
          </w:p>
        </w:tc>
        <w:tc>
          <w:tcPr>
            <w:tcW w:w="709" w:type="dxa"/>
            <w:gridSpan w:val="2"/>
            <w:vAlign w:val="center"/>
          </w:tcPr>
          <w:p w:rsidR="002D7C16" w:rsidRPr="00D31D27" w:rsidRDefault="002D7C16" w:rsidP="00D31D27">
            <w:pPr>
              <w:pStyle w:val="TableBodyText"/>
            </w:pPr>
            <w:r w:rsidRPr="00D31D27">
              <w:t xml:space="preserve">  511</w:t>
            </w:r>
          </w:p>
        </w:tc>
      </w:tr>
      <w:tr w:rsidR="00D54C12" w:rsidRPr="00666ECE" w:rsidTr="00D54C12">
        <w:tc>
          <w:tcPr>
            <w:tcW w:w="1843" w:type="dxa"/>
          </w:tcPr>
          <w:p w:rsidR="002D7C16" w:rsidRPr="00666ECE" w:rsidRDefault="002D7C16" w:rsidP="00666ECE">
            <w:pPr>
              <w:keepNext/>
              <w:keepLines/>
              <w:spacing w:after="40" w:line="220" w:lineRule="atLeast"/>
              <w:ind w:left="136" w:right="113"/>
              <w:rPr>
                <w:rFonts w:ascii="Arial" w:hAnsi="Arial"/>
                <w:sz w:val="20"/>
                <w:szCs w:val="20"/>
              </w:rPr>
            </w:pPr>
            <w:r w:rsidRPr="00666ECE">
              <w:rPr>
                <w:rFonts w:ascii="Arial" w:hAnsi="Arial"/>
                <w:sz w:val="20"/>
                <w:szCs w:val="20"/>
              </w:rPr>
              <w:t>Special schools</w:t>
            </w:r>
            <w:r w:rsidRPr="00666ECE">
              <w:rPr>
                <w:rFonts w:ascii="Arial" w:hAnsi="Arial"/>
                <w:b/>
                <w:position w:val="6"/>
                <w:sz w:val="18"/>
                <w:szCs w:val="20"/>
              </w:rPr>
              <w:t>b</w:t>
            </w:r>
          </w:p>
        </w:tc>
        <w:tc>
          <w:tcPr>
            <w:tcW w:w="567" w:type="dxa"/>
          </w:tcPr>
          <w:p w:rsidR="002D7C16" w:rsidRDefault="002D7C16" w:rsidP="00E91307">
            <w:pPr>
              <w:pStyle w:val="TableBodyText"/>
            </w:pPr>
            <w:r w:rsidRPr="001C2B85">
              <w:t>no.</w:t>
            </w:r>
          </w:p>
        </w:tc>
        <w:tc>
          <w:tcPr>
            <w:tcW w:w="708" w:type="dxa"/>
            <w:vAlign w:val="center"/>
          </w:tcPr>
          <w:p w:rsidR="002D7C16" w:rsidRPr="00D31D27" w:rsidRDefault="002D7C16" w:rsidP="00D31D27">
            <w:pPr>
              <w:pStyle w:val="TableBodyText"/>
            </w:pPr>
            <w:r w:rsidRPr="00D31D27">
              <w:t xml:space="preserve">  110</w:t>
            </w:r>
          </w:p>
        </w:tc>
        <w:tc>
          <w:tcPr>
            <w:tcW w:w="709" w:type="dxa"/>
            <w:gridSpan w:val="2"/>
            <w:vAlign w:val="center"/>
          </w:tcPr>
          <w:p w:rsidR="002D7C16" w:rsidRPr="00D31D27" w:rsidRDefault="002D7C16" w:rsidP="00D31D27">
            <w:pPr>
              <w:pStyle w:val="TableBodyText"/>
            </w:pPr>
            <w:r w:rsidRPr="00D31D27">
              <w:t xml:space="preserve">  76</w:t>
            </w:r>
          </w:p>
        </w:tc>
        <w:tc>
          <w:tcPr>
            <w:tcW w:w="709" w:type="dxa"/>
            <w:gridSpan w:val="2"/>
            <w:vAlign w:val="center"/>
          </w:tcPr>
          <w:p w:rsidR="002D7C16" w:rsidRPr="00D31D27" w:rsidRDefault="002D7C16" w:rsidP="00D31D27">
            <w:pPr>
              <w:pStyle w:val="TableBodyText"/>
            </w:pPr>
            <w:r w:rsidRPr="00D31D27">
              <w:t xml:space="preserve">  46</w:t>
            </w:r>
          </w:p>
        </w:tc>
        <w:tc>
          <w:tcPr>
            <w:tcW w:w="709" w:type="dxa"/>
            <w:gridSpan w:val="2"/>
            <w:vAlign w:val="center"/>
          </w:tcPr>
          <w:p w:rsidR="002D7C16" w:rsidRPr="00D31D27" w:rsidRDefault="002D7C16" w:rsidP="00D31D27">
            <w:pPr>
              <w:pStyle w:val="TableBodyText"/>
            </w:pPr>
            <w:r w:rsidRPr="00D31D27">
              <w:t xml:space="preserve">  66</w:t>
            </w:r>
          </w:p>
        </w:tc>
        <w:tc>
          <w:tcPr>
            <w:tcW w:w="708" w:type="dxa"/>
            <w:gridSpan w:val="2"/>
            <w:vAlign w:val="center"/>
          </w:tcPr>
          <w:p w:rsidR="002D7C16" w:rsidRPr="00D31D27" w:rsidRDefault="002D7C16" w:rsidP="00D31D27">
            <w:pPr>
              <w:pStyle w:val="TableBodyText"/>
            </w:pPr>
            <w:r w:rsidRPr="00D31D27">
              <w:t xml:space="preserve">  18</w:t>
            </w:r>
          </w:p>
        </w:tc>
        <w:tc>
          <w:tcPr>
            <w:tcW w:w="709" w:type="dxa"/>
            <w:gridSpan w:val="2"/>
            <w:vAlign w:val="center"/>
          </w:tcPr>
          <w:p w:rsidR="002D7C16" w:rsidRPr="00D31D27" w:rsidRDefault="002D7C16" w:rsidP="00D31D27">
            <w:pPr>
              <w:pStyle w:val="TableBodyText"/>
            </w:pPr>
            <w:r w:rsidRPr="00D31D27">
              <w:t xml:space="preserve">  5</w:t>
            </w:r>
          </w:p>
        </w:tc>
        <w:tc>
          <w:tcPr>
            <w:tcW w:w="709" w:type="dxa"/>
            <w:gridSpan w:val="2"/>
            <w:vAlign w:val="center"/>
          </w:tcPr>
          <w:p w:rsidR="002D7C16" w:rsidRPr="00D31D27" w:rsidRDefault="002D7C16" w:rsidP="00D31D27">
            <w:pPr>
              <w:pStyle w:val="TableBodyText"/>
            </w:pPr>
            <w:r w:rsidRPr="00D31D27">
              <w:t xml:space="preserve">  4</w:t>
            </w:r>
          </w:p>
        </w:tc>
        <w:tc>
          <w:tcPr>
            <w:tcW w:w="709" w:type="dxa"/>
            <w:gridSpan w:val="2"/>
            <w:vAlign w:val="center"/>
          </w:tcPr>
          <w:p w:rsidR="002D7C16" w:rsidRPr="00D31D27" w:rsidRDefault="002D7C16" w:rsidP="00D31D27">
            <w:pPr>
              <w:pStyle w:val="TableBodyText"/>
            </w:pPr>
            <w:r w:rsidRPr="00D31D27">
              <w:t xml:space="preserve">  5</w:t>
            </w:r>
          </w:p>
        </w:tc>
        <w:tc>
          <w:tcPr>
            <w:tcW w:w="709" w:type="dxa"/>
            <w:gridSpan w:val="2"/>
            <w:vAlign w:val="center"/>
          </w:tcPr>
          <w:p w:rsidR="002D7C16" w:rsidRPr="00D31D27" w:rsidRDefault="002D7C16" w:rsidP="00D31D27">
            <w:pPr>
              <w:pStyle w:val="TableBodyText"/>
            </w:pPr>
            <w:r w:rsidRPr="00D31D27">
              <w:t xml:space="preserve">  330</w:t>
            </w:r>
          </w:p>
        </w:tc>
      </w:tr>
      <w:tr w:rsidR="00D54C12" w:rsidRPr="00666ECE" w:rsidTr="00D54C12">
        <w:tc>
          <w:tcPr>
            <w:tcW w:w="1843" w:type="dxa"/>
          </w:tcPr>
          <w:p w:rsidR="002D7C16" w:rsidRPr="00666ECE" w:rsidRDefault="002D7C16" w:rsidP="00666ECE">
            <w:pPr>
              <w:keepNext/>
              <w:keepLines/>
              <w:spacing w:after="40" w:line="220" w:lineRule="atLeast"/>
              <w:ind w:left="136" w:right="113"/>
              <w:rPr>
                <w:rFonts w:ascii="Arial" w:hAnsi="Arial"/>
                <w:b/>
                <w:sz w:val="20"/>
                <w:szCs w:val="20"/>
              </w:rPr>
            </w:pPr>
            <w:r w:rsidRPr="00666ECE">
              <w:rPr>
                <w:rFonts w:ascii="Arial" w:hAnsi="Arial"/>
                <w:b/>
                <w:sz w:val="20"/>
                <w:szCs w:val="20"/>
              </w:rPr>
              <w:t>Total</w:t>
            </w:r>
          </w:p>
        </w:tc>
        <w:tc>
          <w:tcPr>
            <w:tcW w:w="567" w:type="dxa"/>
          </w:tcPr>
          <w:p w:rsidR="002D7C16" w:rsidRPr="00E91307" w:rsidRDefault="002D7C16" w:rsidP="00E91307">
            <w:pPr>
              <w:pStyle w:val="TableBodyText"/>
              <w:rPr>
                <w:b/>
              </w:rPr>
            </w:pPr>
            <w:r w:rsidRPr="00E91307">
              <w:rPr>
                <w:b/>
              </w:rPr>
              <w:t>no.</w:t>
            </w:r>
          </w:p>
        </w:tc>
        <w:tc>
          <w:tcPr>
            <w:tcW w:w="708" w:type="dxa"/>
            <w:vAlign w:val="center"/>
          </w:tcPr>
          <w:p w:rsidR="002D7C16" w:rsidRPr="00D31D27" w:rsidRDefault="002D7C16" w:rsidP="00D31D27">
            <w:pPr>
              <w:pStyle w:val="TableBodyText"/>
              <w:rPr>
                <w:b/>
                <w:bCs/>
              </w:rPr>
            </w:pPr>
            <w:r w:rsidRPr="00D31D27">
              <w:rPr>
                <w:b/>
                <w:bCs/>
              </w:rPr>
              <w:t xml:space="preserve"> 2 169</w:t>
            </w:r>
          </w:p>
        </w:tc>
        <w:tc>
          <w:tcPr>
            <w:tcW w:w="709" w:type="dxa"/>
            <w:gridSpan w:val="2"/>
            <w:vAlign w:val="center"/>
          </w:tcPr>
          <w:p w:rsidR="002D7C16" w:rsidRPr="00D31D27" w:rsidRDefault="002D7C16" w:rsidP="00D31D27">
            <w:pPr>
              <w:pStyle w:val="TableBodyText"/>
              <w:rPr>
                <w:b/>
                <w:bCs/>
              </w:rPr>
            </w:pPr>
            <w:r w:rsidRPr="00D31D27">
              <w:rPr>
                <w:b/>
                <w:bCs/>
              </w:rPr>
              <w:t xml:space="preserve"> 1 535</w:t>
            </w:r>
          </w:p>
        </w:tc>
        <w:tc>
          <w:tcPr>
            <w:tcW w:w="709" w:type="dxa"/>
            <w:gridSpan w:val="2"/>
            <w:vAlign w:val="center"/>
          </w:tcPr>
          <w:p w:rsidR="002D7C16" w:rsidRPr="00D31D27" w:rsidRDefault="002D7C16" w:rsidP="00D31D27">
            <w:pPr>
              <w:pStyle w:val="TableBodyText"/>
              <w:rPr>
                <w:b/>
                <w:bCs/>
              </w:rPr>
            </w:pPr>
            <w:r w:rsidRPr="00D31D27">
              <w:rPr>
                <w:b/>
                <w:bCs/>
              </w:rPr>
              <w:t xml:space="preserve"> 1 239</w:t>
            </w:r>
          </w:p>
        </w:tc>
        <w:tc>
          <w:tcPr>
            <w:tcW w:w="709" w:type="dxa"/>
            <w:gridSpan w:val="2"/>
            <w:vAlign w:val="center"/>
          </w:tcPr>
          <w:p w:rsidR="002D7C16" w:rsidRPr="00D31D27" w:rsidRDefault="002D7C16" w:rsidP="00D31D27">
            <w:pPr>
              <w:pStyle w:val="TableBodyText"/>
              <w:rPr>
                <w:b/>
                <w:bCs/>
              </w:rPr>
            </w:pPr>
            <w:r w:rsidRPr="00D31D27">
              <w:rPr>
                <w:b/>
                <w:bCs/>
              </w:rPr>
              <w:t xml:space="preserve">  765</w:t>
            </w:r>
          </w:p>
        </w:tc>
        <w:tc>
          <w:tcPr>
            <w:tcW w:w="708" w:type="dxa"/>
            <w:gridSpan w:val="2"/>
            <w:vAlign w:val="center"/>
          </w:tcPr>
          <w:p w:rsidR="002D7C16" w:rsidRPr="00D31D27" w:rsidRDefault="002D7C16" w:rsidP="00D31D27">
            <w:pPr>
              <w:pStyle w:val="TableBodyText"/>
              <w:rPr>
                <w:b/>
                <w:bCs/>
              </w:rPr>
            </w:pPr>
            <w:r w:rsidRPr="00D31D27">
              <w:rPr>
                <w:b/>
                <w:bCs/>
              </w:rPr>
              <w:t xml:space="preserve">  555</w:t>
            </w:r>
          </w:p>
        </w:tc>
        <w:tc>
          <w:tcPr>
            <w:tcW w:w="709" w:type="dxa"/>
            <w:gridSpan w:val="2"/>
            <w:vAlign w:val="center"/>
          </w:tcPr>
          <w:p w:rsidR="002D7C16" w:rsidRPr="00D31D27" w:rsidRDefault="002D7C16" w:rsidP="00D31D27">
            <w:pPr>
              <w:pStyle w:val="TableBodyText"/>
              <w:rPr>
                <w:b/>
                <w:bCs/>
              </w:rPr>
            </w:pPr>
            <w:r w:rsidRPr="00D31D27">
              <w:rPr>
                <w:b/>
                <w:bCs/>
              </w:rPr>
              <w:t xml:space="preserve">  197</w:t>
            </w:r>
          </w:p>
        </w:tc>
        <w:tc>
          <w:tcPr>
            <w:tcW w:w="709" w:type="dxa"/>
            <w:gridSpan w:val="2"/>
            <w:vAlign w:val="center"/>
          </w:tcPr>
          <w:p w:rsidR="002D7C16" w:rsidRPr="00D31D27" w:rsidRDefault="002D7C16" w:rsidP="00D31D27">
            <w:pPr>
              <w:pStyle w:val="TableBodyText"/>
              <w:rPr>
                <w:b/>
                <w:bCs/>
              </w:rPr>
            </w:pPr>
            <w:r w:rsidRPr="00D31D27">
              <w:rPr>
                <w:b/>
                <w:bCs/>
              </w:rPr>
              <w:t xml:space="preserve">  84</w:t>
            </w:r>
          </w:p>
        </w:tc>
        <w:tc>
          <w:tcPr>
            <w:tcW w:w="709" w:type="dxa"/>
            <w:gridSpan w:val="2"/>
            <w:vAlign w:val="center"/>
          </w:tcPr>
          <w:p w:rsidR="002D7C16" w:rsidRPr="00D31D27" w:rsidRDefault="002D7C16" w:rsidP="00D31D27">
            <w:pPr>
              <w:pStyle w:val="TableBodyText"/>
              <w:rPr>
                <w:b/>
                <w:bCs/>
              </w:rPr>
            </w:pPr>
            <w:r w:rsidRPr="00D31D27">
              <w:rPr>
                <w:b/>
                <w:bCs/>
              </w:rPr>
              <w:t xml:space="preserve">  153</w:t>
            </w:r>
          </w:p>
        </w:tc>
        <w:tc>
          <w:tcPr>
            <w:tcW w:w="709" w:type="dxa"/>
            <w:gridSpan w:val="2"/>
            <w:vAlign w:val="center"/>
          </w:tcPr>
          <w:p w:rsidR="002D7C16" w:rsidRPr="00D31D27" w:rsidRDefault="002D7C16" w:rsidP="00D31D27">
            <w:pPr>
              <w:pStyle w:val="TableBodyText"/>
              <w:rPr>
                <w:b/>
                <w:bCs/>
              </w:rPr>
            </w:pPr>
            <w:r w:rsidRPr="00D31D27">
              <w:rPr>
                <w:b/>
                <w:bCs/>
              </w:rPr>
              <w:t xml:space="preserve"> 6 697</w:t>
            </w:r>
          </w:p>
        </w:tc>
      </w:tr>
      <w:tr w:rsidR="00E91307" w:rsidRPr="00D31D27" w:rsidTr="00D54C12">
        <w:tc>
          <w:tcPr>
            <w:tcW w:w="3544" w:type="dxa"/>
            <w:gridSpan w:val="4"/>
          </w:tcPr>
          <w:p w:rsidR="00E91307" w:rsidRPr="00D31D27" w:rsidRDefault="00E91307" w:rsidP="00E91307">
            <w:pPr>
              <w:pStyle w:val="TableBodyText"/>
              <w:jc w:val="left"/>
            </w:pPr>
            <w:r w:rsidRPr="00D31D27">
              <w:t>Non-government schools (no.)</w:t>
            </w:r>
          </w:p>
        </w:tc>
        <w:tc>
          <w:tcPr>
            <w:tcW w:w="709" w:type="dxa"/>
            <w:gridSpan w:val="2"/>
          </w:tcPr>
          <w:p w:rsidR="00E91307" w:rsidRPr="00D31D27" w:rsidRDefault="00E91307" w:rsidP="00D31D27">
            <w:pPr>
              <w:pStyle w:val="TableBodyText"/>
            </w:pPr>
          </w:p>
        </w:tc>
        <w:tc>
          <w:tcPr>
            <w:tcW w:w="709" w:type="dxa"/>
            <w:gridSpan w:val="2"/>
          </w:tcPr>
          <w:p w:rsidR="00E91307" w:rsidRPr="00D31D27" w:rsidRDefault="00E91307" w:rsidP="00D31D27">
            <w:pPr>
              <w:pStyle w:val="TableBodyText"/>
            </w:pPr>
          </w:p>
        </w:tc>
        <w:tc>
          <w:tcPr>
            <w:tcW w:w="708" w:type="dxa"/>
            <w:gridSpan w:val="2"/>
          </w:tcPr>
          <w:p w:rsidR="00E91307" w:rsidRPr="00D31D27" w:rsidRDefault="00E91307" w:rsidP="00D31D27">
            <w:pPr>
              <w:pStyle w:val="TableBodyText"/>
            </w:pPr>
          </w:p>
        </w:tc>
        <w:tc>
          <w:tcPr>
            <w:tcW w:w="709" w:type="dxa"/>
            <w:gridSpan w:val="2"/>
          </w:tcPr>
          <w:p w:rsidR="00E91307" w:rsidRPr="00D31D27" w:rsidRDefault="00E91307" w:rsidP="00D31D27">
            <w:pPr>
              <w:pStyle w:val="TableBodyText"/>
            </w:pPr>
          </w:p>
        </w:tc>
        <w:tc>
          <w:tcPr>
            <w:tcW w:w="709" w:type="dxa"/>
            <w:gridSpan w:val="2"/>
          </w:tcPr>
          <w:p w:rsidR="00E91307" w:rsidRPr="00D31D27" w:rsidRDefault="00E91307" w:rsidP="00D31D27">
            <w:pPr>
              <w:pStyle w:val="TableBodyText"/>
            </w:pPr>
          </w:p>
        </w:tc>
        <w:tc>
          <w:tcPr>
            <w:tcW w:w="709" w:type="dxa"/>
            <w:gridSpan w:val="2"/>
          </w:tcPr>
          <w:p w:rsidR="00E91307" w:rsidRPr="00D31D27" w:rsidRDefault="00E91307" w:rsidP="00D31D27">
            <w:pPr>
              <w:pStyle w:val="TableBodyText"/>
            </w:pPr>
          </w:p>
        </w:tc>
        <w:tc>
          <w:tcPr>
            <w:tcW w:w="567" w:type="dxa"/>
            <w:gridSpan w:val="2"/>
          </w:tcPr>
          <w:p w:rsidR="00E91307" w:rsidRPr="00D31D27" w:rsidRDefault="00E91307" w:rsidP="00D31D27">
            <w:pPr>
              <w:pStyle w:val="TableBodyText"/>
            </w:pPr>
          </w:p>
        </w:tc>
        <w:tc>
          <w:tcPr>
            <w:tcW w:w="425" w:type="dxa"/>
          </w:tcPr>
          <w:p w:rsidR="00E91307" w:rsidRPr="00D31D27" w:rsidRDefault="00E91307" w:rsidP="00D31D27">
            <w:pPr>
              <w:pStyle w:val="TableBodyText"/>
            </w:pP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Primary</w:t>
            </w:r>
          </w:p>
        </w:tc>
        <w:tc>
          <w:tcPr>
            <w:tcW w:w="567" w:type="dxa"/>
          </w:tcPr>
          <w:p w:rsidR="00E91307" w:rsidRDefault="00E91307" w:rsidP="00E91307">
            <w:pPr>
              <w:pStyle w:val="TableBodyText"/>
            </w:pPr>
            <w:r w:rsidRPr="00253A4F">
              <w:t>no.</w:t>
            </w:r>
          </w:p>
        </w:tc>
        <w:tc>
          <w:tcPr>
            <w:tcW w:w="708" w:type="dxa"/>
            <w:vAlign w:val="center"/>
          </w:tcPr>
          <w:p w:rsidR="00E91307" w:rsidRPr="00D31D27" w:rsidRDefault="00E91307" w:rsidP="00D31D27">
            <w:pPr>
              <w:pStyle w:val="TableBodyText"/>
            </w:pPr>
            <w:r w:rsidRPr="00D31D27">
              <w:t xml:space="preserve">  490</w:t>
            </w:r>
          </w:p>
        </w:tc>
        <w:tc>
          <w:tcPr>
            <w:tcW w:w="709" w:type="dxa"/>
            <w:gridSpan w:val="2"/>
            <w:vAlign w:val="center"/>
          </w:tcPr>
          <w:p w:rsidR="00E91307" w:rsidRPr="00D31D27" w:rsidRDefault="00E91307" w:rsidP="00D31D27">
            <w:pPr>
              <w:pStyle w:val="TableBodyText"/>
            </w:pPr>
            <w:r w:rsidRPr="00D31D27">
              <w:t xml:space="preserve">  425</w:t>
            </w:r>
          </w:p>
        </w:tc>
        <w:tc>
          <w:tcPr>
            <w:tcW w:w="709" w:type="dxa"/>
            <w:gridSpan w:val="2"/>
            <w:vAlign w:val="center"/>
          </w:tcPr>
          <w:p w:rsidR="00E91307" w:rsidRPr="00D31D27" w:rsidRDefault="00E91307" w:rsidP="00D31D27">
            <w:pPr>
              <w:pStyle w:val="TableBodyText"/>
            </w:pPr>
            <w:r w:rsidRPr="00D31D27">
              <w:t xml:space="preserve">  232</w:t>
            </w:r>
          </w:p>
        </w:tc>
        <w:tc>
          <w:tcPr>
            <w:tcW w:w="709" w:type="dxa"/>
            <w:gridSpan w:val="2"/>
            <w:vAlign w:val="center"/>
          </w:tcPr>
          <w:p w:rsidR="00E91307" w:rsidRPr="00D31D27" w:rsidRDefault="00E91307" w:rsidP="00D31D27">
            <w:pPr>
              <w:pStyle w:val="TableBodyText"/>
            </w:pPr>
            <w:r w:rsidRPr="00D31D27">
              <w:t xml:space="preserve">  149</w:t>
            </w:r>
          </w:p>
        </w:tc>
        <w:tc>
          <w:tcPr>
            <w:tcW w:w="708" w:type="dxa"/>
            <w:gridSpan w:val="2"/>
            <w:vAlign w:val="center"/>
          </w:tcPr>
          <w:p w:rsidR="00E91307" w:rsidRPr="00D31D27" w:rsidRDefault="00E91307" w:rsidP="00D31D27">
            <w:pPr>
              <w:pStyle w:val="TableBodyText"/>
            </w:pPr>
            <w:r w:rsidRPr="00D31D27">
              <w:t xml:space="preserve">  103</w:t>
            </w:r>
          </w:p>
        </w:tc>
        <w:tc>
          <w:tcPr>
            <w:tcW w:w="709" w:type="dxa"/>
            <w:gridSpan w:val="2"/>
            <w:vAlign w:val="center"/>
          </w:tcPr>
          <w:p w:rsidR="00E91307" w:rsidRPr="00D31D27" w:rsidRDefault="00E91307" w:rsidP="00D31D27">
            <w:pPr>
              <w:pStyle w:val="TableBodyText"/>
            </w:pPr>
            <w:r w:rsidRPr="00D31D27">
              <w:t xml:space="preserve">  28</w:t>
            </w:r>
          </w:p>
        </w:tc>
        <w:tc>
          <w:tcPr>
            <w:tcW w:w="709" w:type="dxa"/>
            <w:gridSpan w:val="2"/>
            <w:vAlign w:val="center"/>
          </w:tcPr>
          <w:p w:rsidR="00E91307" w:rsidRPr="00D31D27" w:rsidRDefault="00E91307" w:rsidP="00D31D27">
            <w:pPr>
              <w:pStyle w:val="TableBodyText"/>
            </w:pPr>
            <w:r w:rsidRPr="00D31D27">
              <w:t xml:space="preserve">  25</w:t>
            </w:r>
          </w:p>
        </w:tc>
        <w:tc>
          <w:tcPr>
            <w:tcW w:w="709" w:type="dxa"/>
            <w:gridSpan w:val="2"/>
            <w:vAlign w:val="center"/>
          </w:tcPr>
          <w:p w:rsidR="00E91307" w:rsidRPr="00D31D27" w:rsidRDefault="00E91307" w:rsidP="00D31D27">
            <w:pPr>
              <w:pStyle w:val="TableBodyText"/>
            </w:pPr>
            <w:r w:rsidRPr="00D31D27">
              <w:t xml:space="preserve">  11</w:t>
            </w:r>
          </w:p>
        </w:tc>
        <w:tc>
          <w:tcPr>
            <w:tcW w:w="709" w:type="dxa"/>
            <w:gridSpan w:val="2"/>
            <w:vAlign w:val="center"/>
          </w:tcPr>
          <w:p w:rsidR="00E91307" w:rsidRPr="00D31D27" w:rsidRDefault="00E91307" w:rsidP="00D31D27">
            <w:pPr>
              <w:pStyle w:val="TableBodyText"/>
            </w:pPr>
            <w:r w:rsidRPr="00D31D27">
              <w:t xml:space="preserve"> 1 463</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Secondary</w:t>
            </w:r>
          </w:p>
        </w:tc>
        <w:tc>
          <w:tcPr>
            <w:tcW w:w="567" w:type="dxa"/>
          </w:tcPr>
          <w:p w:rsidR="00E91307" w:rsidRDefault="00E91307" w:rsidP="00E91307">
            <w:pPr>
              <w:pStyle w:val="TableBodyText"/>
            </w:pPr>
            <w:r w:rsidRPr="00253A4F">
              <w:t>no.</w:t>
            </w:r>
          </w:p>
        </w:tc>
        <w:tc>
          <w:tcPr>
            <w:tcW w:w="708" w:type="dxa"/>
            <w:vAlign w:val="center"/>
          </w:tcPr>
          <w:p w:rsidR="00E91307" w:rsidRPr="00D31D27" w:rsidRDefault="00E91307" w:rsidP="00D31D27">
            <w:pPr>
              <w:pStyle w:val="TableBodyText"/>
            </w:pPr>
            <w:r w:rsidRPr="00D31D27">
              <w:t xml:space="preserve">  145</w:t>
            </w:r>
          </w:p>
        </w:tc>
        <w:tc>
          <w:tcPr>
            <w:tcW w:w="709" w:type="dxa"/>
            <w:gridSpan w:val="2"/>
            <w:vAlign w:val="center"/>
          </w:tcPr>
          <w:p w:rsidR="00E91307" w:rsidRPr="00D31D27" w:rsidRDefault="00E91307" w:rsidP="00D31D27">
            <w:pPr>
              <w:pStyle w:val="TableBodyText"/>
            </w:pPr>
            <w:r w:rsidRPr="00D31D27">
              <w:t xml:space="preserve">  98</w:t>
            </w:r>
          </w:p>
        </w:tc>
        <w:tc>
          <w:tcPr>
            <w:tcW w:w="709" w:type="dxa"/>
            <w:gridSpan w:val="2"/>
            <w:vAlign w:val="center"/>
          </w:tcPr>
          <w:p w:rsidR="00E91307" w:rsidRPr="00D31D27" w:rsidRDefault="00E91307" w:rsidP="00D31D27">
            <w:pPr>
              <w:pStyle w:val="TableBodyText"/>
            </w:pPr>
            <w:r w:rsidRPr="00D31D27">
              <w:t xml:space="preserve">  73</w:t>
            </w:r>
          </w:p>
        </w:tc>
        <w:tc>
          <w:tcPr>
            <w:tcW w:w="709" w:type="dxa"/>
            <w:gridSpan w:val="2"/>
            <w:vAlign w:val="center"/>
          </w:tcPr>
          <w:p w:rsidR="00E91307" w:rsidRPr="00D31D27" w:rsidRDefault="00E91307" w:rsidP="00D31D27">
            <w:pPr>
              <w:pStyle w:val="TableBodyText"/>
            </w:pPr>
            <w:r w:rsidRPr="00D31D27">
              <w:t xml:space="preserve">  9</w:t>
            </w:r>
          </w:p>
        </w:tc>
        <w:tc>
          <w:tcPr>
            <w:tcW w:w="708" w:type="dxa"/>
            <w:gridSpan w:val="2"/>
            <w:vAlign w:val="center"/>
          </w:tcPr>
          <w:p w:rsidR="00E91307" w:rsidRPr="00D31D27" w:rsidRDefault="00E91307" w:rsidP="00D31D27">
            <w:pPr>
              <w:pStyle w:val="TableBodyText"/>
            </w:pPr>
            <w:r w:rsidRPr="00D31D27">
              <w:t xml:space="preserve">  19</w:t>
            </w:r>
          </w:p>
        </w:tc>
        <w:tc>
          <w:tcPr>
            <w:tcW w:w="709" w:type="dxa"/>
            <w:gridSpan w:val="2"/>
            <w:vAlign w:val="center"/>
          </w:tcPr>
          <w:p w:rsidR="00E91307" w:rsidRPr="00D31D27" w:rsidRDefault="00E91307" w:rsidP="00D31D27">
            <w:pPr>
              <w:pStyle w:val="TableBodyText"/>
            </w:pPr>
            <w:r w:rsidRPr="00D31D27">
              <w:t xml:space="preserve">  5</w:t>
            </w:r>
          </w:p>
        </w:tc>
        <w:tc>
          <w:tcPr>
            <w:tcW w:w="709" w:type="dxa"/>
            <w:gridSpan w:val="2"/>
            <w:vAlign w:val="center"/>
          </w:tcPr>
          <w:p w:rsidR="00E91307" w:rsidRPr="00D31D27" w:rsidRDefault="00E91307" w:rsidP="00D31D27">
            <w:pPr>
              <w:pStyle w:val="TableBodyText"/>
            </w:pPr>
            <w:r w:rsidRPr="00D31D27">
              <w:t xml:space="preserve">  5</w:t>
            </w:r>
          </w:p>
        </w:tc>
        <w:tc>
          <w:tcPr>
            <w:tcW w:w="709" w:type="dxa"/>
            <w:gridSpan w:val="2"/>
            <w:vAlign w:val="center"/>
          </w:tcPr>
          <w:p w:rsidR="00E91307" w:rsidRPr="00D31D27" w:rsidRDefault="00E91307" w:rsidP="00D31D27">
            <w:pPr>
              <w:pStyle w:val="TableBodyText"/>
            </w:pPr>
            <w:r w:rsidRPr="00D31D27">
              <w:t xml:space="preserve">  9</w:t>
            </w:r>
          </w:p>
        </w:tc>
        <w:tc>
          <w:tcPr>
            <w:tcW w:w="709" w:type="dxa"/>
            <w:gridSpan w:val="2"/>
            <w:vAlign w:val="center"/>
          </w:tcPr>
          <w:p w:rsidR="00E91307" w:rsidRPr="00D31D27" w:rsidRDefault="00E91307" w:rsidP="00D31D27">
            <w:pPr>
              <w:pStyle w:val="TableBodyText"/>
            </w:pPr>
            <w:r w:rsidRPr="00D31D27">
              <w:t xml:space="preserve">  363</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Combined</w:t>
            </w:r>
            <w:r w:rsidRPr="00666ECE">
              <w:rPr>
                <w:rFonts w:ascii="Arial" w:hAnsi="Arial"/>
                <w:b/>
                <w:position w:val="6"/>
                <w:sz w:val="18"/>
                <w:szCs w:val="20"/>
              </w:rPr>
              <w:t>a</w:t>
            </w:r>
          </w:p>
        </w:tc>
        <w:tc>
          <w:tcPr>
            <w:tcW w:w="567" w:type="dxa"/>
          </w:tcPr>
          <w:p w:rsidR="00E91307" w:rsidRDefault="00E91307" w:rsidP="00E91307">
            <w:pPr>
              <w:pStyle w:val="TableBodyText"/>
            </w:pPr>
            <w:r w:rsidRPr="00253A4F">
              <w:t>no.</w:t>
            </w:r>
          </w:p>
        </w:tc>
        <w:tc>
          <w:tcPr>
            <w:tcW w:w="708" w:type="dxa"/>
            <w:vAlign w:val="center"/>
          </w:tcPr>
          <w:p w:rsidR="00E91307" w:rsidRPr="00D31D27" w:rsidRDefault="00E91307" w:rsidP="00D31D27">
            <w:pPr>
              <w:pStyle w:val="TableBodyText"/>
            </w:pPr>
            <w:r w:rsidRPr="00D31D27">
              <w:t xml:space="preserve">  237</w:t>
            </w:r>
          </w:p>
        </w:tc>
        <w:tc>
          <w:tcPr>
            <w:tcW w:w="709" w:type="dxa"/>
            <w:gridSpan w:val="2"/>
            <w:vAlign w:val="center"/>
          </w:tcPr>
          <w:p w:rsidR="00E91307" w:rsidRPr="00D31D27" w:rsidRDefault="00E91307" w:rsidP="00D31D27">
            <w:pPr>
              <w:pStyle w:val="TableBodyText"/>
            </w:pPr>
            <w:r w:rsidRPr="00D31D27">
              <w:t xml:space="preserve">  156</w:t>
            </w:r>
          </w:p>
        </w:tc>
        <w:tc>
          <w:tcPr>
            <w:tcW w:w="709" w:type="dxa"/>
            <w:gridSpan w:val="2"/>
            <w:vAlign w:val="center"/>
          </w:tcPr>
          <w:p w:rsidR="00E91307" w:rsidRPr="00D31D27" w:rsidRDefault="00E91307" w:rsidP="00D31D27">
            <w:pPr>
              <w:pStyle w:val="TableBodyText"/>
            </w:pPr>
            <w:r w:rsidRPr="00D31D27">
              <w:t xml:space="preserve">  154</w:t>
            </w:r>
          </w:p>
        </w:tc>
        <w:tc>
          <w:tcPr>
            <w:tcW w:w="709" w:type="dxa"/>
            <w:gridSpan w:val="2"/>
            <w:vAlign w:val="center"/>
          </w:tcPr>
          <w:p w:rsidR="00E91307" w:rsidRPr="00D31D27" w:rsidRDefault="00E91307" w:rsidP="00D31D27">
            <w:pPr>
              <w:pStyle w:val="TableBodyText"/>
            </w:pPr>
            <w:r w:rsidRPr="00D31D27">
              <w:t xml:space="preserve">  132</w:t>
            </w:r>
          </w:p>
        </w:tc>
        <w:tc>
          <w:tcPr>
            <w:tcW w:w="708" w:type="dxa"/>
            <w:gridSpan w:val="2"/>
            <w:vAlign w:val="center"/>
          </w:tcPr>
          <w:p w:rsidR="00E91307" w:rsidRPr="00D31D27" w:rsidRDefault="00E91307" w:rsidP="00D31D27">
            <w:pPr>
              <w:pStyle w:val="TableBodyText"/>
            </w:pPr>
            <w:r w:rsidRPr="00D31D27">
              <w:t xml:space="preserve">  70</w:t>
            </w:r>
          </w:p>
        </w:tc>
        <w:tc>
          <w:tcPr>
            <w:tcW w:w="709" w:type="dxa"/>
            <w:gridSpan w:val="2"/>
            <w:vAlign w:val="center"/>
          </w:tcPr>
          <w:p w:rsidR="00E91307" w:rsidRPr="00D31D27" w:rsidRDefault="00E91307" w:rsidP="00D31D27">
            <w:pPr>
              <w:pStyle w:val="TableBodyText"/>
            </w:pPr>
            <w:r w:rsidRPr="00D31D27">
              <w:t xml:space="preserve">  31</w:t>
            </w:r>
          </w:p>
        </w:tc>
        <w:tc>
          <w:tcPr>
            <w:tcW w:w="709" w:type="dxa"/>
            <w:gridSpan w:val="2"/>
            <w:vAlign w:val="center"/>
          </w:tcPr>
          <w:p w:rsidR="00E91307" w:rsidRPr="00D31D27" w:rsidRDefault="00E91307" w:rsidP="00D31D27">
            <w:pPr>
              <w:pStyle w:val="TableBodyText"/>
            </w:pPr>
            <w:r w:rsidRPr="00D31D27">
              <w:t xml:space="preserve">  13</w:t>
            </w:r>
          </w:p>
        </w:tc>
        <w:tc>
          <w:tcPr>
            <w:tcW w:w="709" w:type="dxa"/>
            <w:gridSpan w:val="2"/>
            <w:vAlign w:val="center"/>
          </w:tcPr>
          <w:p w:rsidR="00E91307" w:rsidRPr="00D31D27" w:rsidRDefault="00E91307" w:rsidP="00D31D27">
            <w:pPr>
              <w:pStyle w:val="TableBodyText"/>
            </w:pPr>
            <w:r w:rsidRPr="00D31D27">
              <w:t xml:space="preserve">  17</w:t>
            </w:r>
          </w:p>
        </w:tc>
        <w:tc>
          <w:tcPr>
            <w:tcW w:w="709" w:type="dxa"/>
            <w:gridSpan w:val="2"/>
            <w:vAlign w:val="center"/>
          </w:tcPr>
          <w:p w:rsidR="00E91307" w:rsidRPr="00D31D27" w:rsidRDefault="00E91307" w:rsidP="00D31D27">
            <w:pPr>
              <w:pStyle w:val="TableBodyText"/>
            </w:pPr>
            <w:r w:rsidRPr="00D31D27">
              <w:t xml:space="preserve">  810</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Special schools</w:t>
            </w:r>
            <w:r w:rsidRPr="00666ECE">
              <w:rPr>
                <w:rFonts w:ascii="Arial" w:hAnsi="Arial"/>
                <w:b/>
                <w:position w:val="6"/>
                <w:sz w:val="18"/>
                <w:szCs w:val="20"/>
              </w:rPr>
              <w:t>b</w:t>
            </w:r>
          </w:p>
        </w:tc>
        <w:tc>
          <w:tcPr>
            <w:tcW w:w="567" w:type="dxa"/>
          </w:tcPr>
          <w:p w:rsidR="00E91307" w:rsidRDefault="00E91307" w:rsidP="00E91307">
            <w:pPr>
              <w:pStyle w:val="TableBodyText"/>
            </w:pPr>
            <w:r w:rsidRPr="00253A4F">
              <w:t>no.</w:t>
            </w:r>
          </w:p>
        </w:tc>
        <w:tc>
          <w:tcPr>
            <w:tcW w:w="708" w:type="dxa"/>
            <w:vAlign w:val="center"/>
          </w:tcPr>
          <w:p w:rsidR="00E91307" w:rsidRPr="00D31D27" w:rsidRDefault="00E91307" w:rsidP="00D31D27">
            <w:pPr>
              <w:pStyle w:val="TableBodyText"/>
            </w:pPr>
            <w:r w:rsidRPr="00D31D27">
              <w:t xml:space="preserve">  41</w:t>
            </w:r>
          </w:p>
        </w:tc>
        <w:tc>
          <w:tcPr>
            <w:tcW w:w="709" w:type="dxa"/>
            <w:gridSpan w:val="2"/>
            <w:vAlign w:val="center"/>
          </w:tcPr>
          <w:p w:rsidR="00E91307" w:rsidRPr="00D31D27" w:rsidRDefault="00E91307" w:rsidP="00D31D27">
            <w:pPr>
              <w:pStyle w:val="TableBodyText"/>
            </w:pPr>
            <w:r w:rsidRPr="00D31D27">
              <w:t xml:space="preserve">  19</w:t>
            </w:r>
          </w:p>
        </w:tc>
        <w:tc>
          <w:tcPr>
            <w:tcW w:w="709" w:type="dxa"/>
            <w:gridSpan w:val="2"/>
            <w:vAlign w:val="center"/>
          </w:tcPr>
          <w:p w:rsidR="00E91307" w:rsidRPr="00D31D27" w:rsidRDefault="00E91307" w:rsidP="00D31D27">
            <w:pPr>
              <w:pStyle w:val="TableBodyText"/>
            </w:pPr>
            <w:r w:rsidRPr="00D31D27">
              <w:t xml:space="preserve">  17</w:t>
            </w:r>
          </w:p>
        </w:tc>
        <w:tc>
          <w:tcPr>
            <w:tcW w:w="709" w:type="dxa"/>
            <w:gridSpan w:val="2"/>
            <w:vAlign w:val="center"/>
          </w:tcPr>
          <w:p w:rsidR="00E91307" w:rsidRPr="00D31D27" w:rsidRDefault="00E91307" w:rsidP="00D31D27">
            <w:pPr>
              <w:pStyle w:val="TableBodyText"/>
            </w:pPr>
            <w:r w:rsidRPr="00D31D27">
              <w:t xml:space="preserve">  11</w:t>
            </w:r>
          </w:p>
        </w:tc>
        <w:tc>
          <w:tcPr>
            <w:tcW w:w="708" w:type="dxa"/>
            <w:gridSpan w:val="2"/>
            <w:vAlign w:val="center"/>
          </w:tcPr>
          <w:p w:rsidR="00E91307" w:rsidRPr="00D31D27" w:rsidRDefault="00E91307" w:rsidP="00D31D27">
            <w:pPr>
              <w:pStyle w:val="TableBodyText"/>
            </w:pPr>
            <w:r w:rsidRPr="00D31D27">
              <w:t xml:space="preserve">  3</w:t>
            </w:r>
          </w:p>
        </w:tc>
        <w:tc>
          <w:tcPr>
            <w:tcW w:w="709" w:type="dxa"/>
            <w:gridSpan w:val="2"/>
            <w:vAlign w:val="center"/>
          </w:tcPr>
          <w:p w:rsidR="00E91307" w:rsidRPr="00D31D27" w:rsidRDefault="00E91307" w:rsidP="00D31D27">
            <w:pPr>
              <w:pStyle w:val="TableBodyText"/>
            </w:pPr>
            <w:r w:rsidRPr="00D31D27">
              <w:t xml:space="preserve">  1</w:t>
            </w:r>
          </w:p>
        </w:tc>
        <w:tc>
          <w:tcPr>
            <w:tcW w:w="709" w:type="dxa"/>
            <w:gridSpan w:val="2"/>
            <w:vAlign w:val="center"/>
          </w:tcPr>
          <w:p w:rsidR="00E91307" w:rsidRPr="00D31D27" w:rsidRDefault="00E91307" w:rsidP="00D31D27">
            <w:pPr>
              <w:pStyle w:val="TableBodyText"/>
            </w:pPr>
            <w:r w:rsidRPr="00D31D27">
              <w:t xml:space="preserve">  1</w:t>
            </w:r>
          </w:p>
        </w:tc>
        <w:tc>
          <w:tcPr>
            <w:tcW w:w="709" w:type="dxa"/>
            <w:gridSpan w:val="2"/>
            <w:vAlign w:val="center"/>
          </w:tcPr>
          <w:p w:rsidR="00E91307" w:rsidRPr="00D31D27" w:rsidRDefault="00E91307" w:rsidP="00D31D27">
            <w:pPr>
              <w:pStyle w:val="TableBodyText"/>
            </w:pPr>
            <w:r w:rsidRPr="00D31D27">
              <w:t xml:space="preserve">  1</w:t>
            </w:r>
          </w:p>
        </w:tc>
        <w:tc>
          <w:tcPr>
            <w:tcW w:w="709" w:type="dxa"/>
            <w:gridSpan w:val="2"/>
            <w:vAlign w:val="center"/>
          </w:tcPr>
          <w:p w:rsidR="00E91307" w:rsidRPr="00D31D27" w:rsidRDefault="00E91307" w:rsidP="00D31D27">
            <w:pPr>
              <w:pStyle w:val="TableBodyText"/>
            </w:pPr>
            <w:r w:rsidRPr="00D31D27">
              <w:t xml:space="preserve">  94</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b/>
                <w:sz w:val="20"/>
                <w:szCs w:val="20"/>
              </w:rPr>
            </w:pPr>
            <w:r w:rsidRPr="00666ECE">
              <w:rPr>
                <w:rFonts w:ascii="Arial" w:hAnsi="Arial"/>
                <w:b/>
                <w:sz w:val="20"/>
                <w:szCs w:val="20"/>
              </w:rPr>
              <w:t>Total</w:t>
            </w:r>
          </w:p>
        </w:tc>
        <w:tc>
          <w:tcPr>
            <w:tcW w:w="567" w:type="dxa"/>
          </w:tcPr>
          <w:p w:rsidR="00E91307" w:rsidRPr="00E91307" w:rsidRDefault="00E91307" w:rsidP="00E91307">
            <w:pPr>
              <w:pStyle w:val="TableBodyText"/>
              <w:rPr>
                <w:b/>
              </w:rPr>
            </w:pPr>
            <w:r w:rsidRPr="00E91307">
              <w:rPr>
                <w:b/>
              </w:rPr>
              <w:t>no.</w:t>
            </w:r>
          </w:p>
        </w:tc>
        <w:tc>
          <w:tcPr>
            <w:tcW w:w="708" w:type="dxa"/>
            <w:vAlign w:val="center"/>
          </w:tcPr>
          <w:p w:rsidR="00E91307" w:rsidRPr="00E91307" w:rsidRDefault="00E91307" w:rsidP="00D31D27">
            <w:pPr>
              <w:pStyle w:val="TableBodyText"/>
              <w:rPr>
                <w:b/>
                <w:bCs/>
              </w:rPr>
            </w:pPr>
            <w:r w:rsidRPr="00E91307">
              <w:rPr>
                <w:b/>
                <w:bCs/>
              </w:rPr>
              <w:t xml:space="preserve">  913</w:t>
            </w:r>
          </w:p>
        </w:tc>
        <w:tc>
          <w:tcPr>
            <w:tcW w:w="709" w:type="dxa"/>
            <w:gridSpan w:val="2"/>
            <w:vAlign w:val="center"/>
          </w:tcPr>
          <w:p w:rsidR="00E91307" w:rsidRPr="00D31D27" w:rsidRDefault="00E91307" w:rsidP="00D31D27">
            <w:pPr>
              <w:pStyle w:val="TableBodyText"/>
              <w:rPr>
                <w:b/>
                <w:bCs/>
              </w:rPr>
            </w:pPr>
            <w:r w:rsidRPr="00D31D27">
              <w:rPr>
                <w:b/>
                <w:bCs/>
              </w:rPr>
              <w:t xml:space="preserve">  698</w:t>
            </w:r>
          </w:p>
        </w:tc>
        <w:tc>
          <w:tcPr>
            <w:tcW w:w="709" w:type="dxa"/>
            <w:gridSpan w:val="2"/>
            <w:vAlign w:val="center"/>
          </w:tcPr>
          <w:p w:rsidR="00E91307" w:rsidRPr="00D31D27" w:rsidRDefault="00E91307" w:rsidP="00D31D27">
            <w:pPr>
              <w:pStyle w:val="TableBodyText"/>
              <w:rPr>
                <w:b/>
                <w:bCs/>
              </w:rPr>
            </w:pPr>
            <w:r w:rsidRPr="00D31D27">
              <w:rPr>
                <w:b/>
                <w:bCs/>
              </w:rPr>
              <w:t xml:space="preserve">  476</w:t>
            </w:r>
          </w:p>
        </w:tc>
        <w:tc>
          <w:tcPr>
            <w:tcW w:w="709" w:type="dxa"/>
            <w:gridSpan w:val="2"/>
            <w:vAlign w:val="center"/>
          </w:tcPr>
          <w:p w:rsidR="00E91307" w:rsidRPr="00D31D27" w:rsidRDefault="00E91307" w:rsidP="00D31D27">
            <w:pPr>
              <w:pStyle w:val="TableBodyText"/>
              <w:rPr>
                <w:b/>
                <w:bCs/>
              </w:rPr>
            </w:pPr>
            <w:r w:rsidRPr="00D31D27">
              <w:rPr>
                <w:b/>
                <w:bCs/>
              </w:rPr>
              <w:t xml:space="preserve">  301</w:t>
            </w:r>
          </w:p>
        </w:tc>
        <w:tc>
          <w:tcPr>
            <w:tcW w:w="708" w:type="dxa"/>
            <w:gridSpan w:val="2"/>
            <w:vAlign w:val="center"/>
          </w:tcPr>
          <w:p w:rsidR="00E91307" w:rsidRPr="00D31D27" w:rsidRDefault="00E91307" w:rsidP="00D31D27">
            <w:pPr>
              <w:pStyle w:val="TableBodyText"/>
              <w:rPr>
                <w:b/>
                <w:bCs/>
              </w:rPr>
            </w:pPr>
            <w:r w:rsidRPr="00D31D27">
              <w:rPr>
                <w:b/>
                <w:bCs/>
              </w:rPr>
              <w:t xml:space="preserve">  195</w:t>
            </w:r>
          </w:p>
        </w:tc>
        <w:tc>
          <w:tcPr>
            <w:tcW w:w="709" w:type="dxa"/>
            <w:gridSpan w:val="2"/>
            <w:vAlign w:val="center"/>
          </w:tcPr>
          <w:p w:rsidR="00E91307" w:rsidRPr="00D31D27" w:rsidRDefault="00E91307" w:rsidP="00D31D27">
            <w:pPr>
              <w:pStyle w:val="TableBodyText"/>
              <w:rPr>
                <w:b/>
                <w:bCs/>
              </w:rPr>
            </w:pPr>
            <w:r w:rsidRPr="00D31D27">
              <w:rPr>
                <w:b/>
                <w:bCs/>
              </w:rPr>
              <w:t xml:space="preserve">  65</w:t>
            </w:r>
          </w:p>
        </w:tc>
        <w:tc>
          <w:tcPr>
            <w:tcW w:w="709" w:type="dxa"/>
            <w:gridSpan w:val="2"/>
            <w:vAlign w:val="center"/>
          </w:tcPr>
          <w:p w:rsidR="00E91307" w:rsidRPr="00D31D27" w:rsidRDefault="00E91307" w:rsidP="00D31D27">
            <w:pPr>
              <w:pStyle w:val="TableBodyText"/>
              <w:rPr>
                <w:b/>
                <w:bCs/>
              </w:rPr>
            </w:pPr>
            <w:r w:rsidRPr="00D31D27">
              <w:rPr>
                <w:b/>
                <w:bCs/>
              </w:rPr>
              <w:t xml:space="preserve">  44</w:t>
            </w:r>
          </w:p>
        </w:tc>
        <w:tc>
          <w:tcPr>
            <w:tcW w:w="709" w:type="dxa"/>
            <w:gridSpan w:val="2"/>
            <w:vAlign w:val="center"/>
          </w:tcPr>
          <w:p w:rsidR="00E91307" w:rsidRPr="00D31D27" w:rsidRDefault="00E91307" w:rsidP="00D31D27">
            <w:pPr>
              <w:pStyle w:val="TableBodyText"/>
              <w:rPr>
                <w:b/>
                <w:bCs/>
              </w:rPr>
            </w:pPr>
            <w:r w:rsidRPr="00D31D27">
              <w:rPr>
                <w:b/>
                <w:bCs/>
              </w:rPr>
              <w:t xml:space="preserve">  38</w:t>
            </w:r>
          </w:p>
        </w:tc>
        <w:tc>
          <w:tcPr>
            <w:tcW w:w="709" w:type="dxa"/>
            <w:gridSpan w:val="2"/>
            <w:vAlign w:val="center"/>
          </w:tcPr>
          <w:p w:rsidR="00E91307" w:rsidRPr="00D31D27" w:rsidRDefault="00E91307" w:rsidP="00D31D27">
            <w:pPr>
              <w:pStyle w:val="TableBodyText"/>
              <w:rPr>
                <w:b/>
                <w:bCs/>
              </w:rPr>
            </w:pPr>
            <w:r w:rsidRPr="00D31D27">
              <w:rPr>
                <w:b/>
                <w:bCs/>
              </w:rPr>
              <w:t xml:space="preserve"> 2 730</w:t>
            </w:r>
          </w:p>
        </w:tc>
      </w:tr>
      <w:tr w:rsidR="00D54C12" w:rsidRPr="00666ECE" w:rsidTr="00D54C12">
        <w:tc>
          <w:tcPr>
            <w:tcW w:w="1843" w:type="dxa"/>
          </w:tcPr>
          <w:p w:rsidR="002D7C16" w:rsidRPr="00666ECE" w:rsidRDefault="002D7C16" w:rsidP="00666ECE">
            <w:pPr>
              <w:keepNext/>
              <w:keepLines/>
              <w:spacing w:after="40" w:line="220" w:lineRule="atLeast"/>
              <w:ind w:left="6" w:right="113"/>
              <w:rPr>
                <w:rFonts w:ascii="Arial" w:hAnsi="Arial"/>
                <w:sz w:val="20"/>
                <w:szCs w:val="20"/>
              </w:rPr>
            </w:pPr>
            <w:r w:rsidRPr="00666ECE">
              <w:rPr>
                <w:rFonts w:ascii="Arial" w:hAnsi="Arial"/>
                <w:sz w:val="20"/>
                <w:szCs w:val="20"/>
              </w:rPr>
              <w:t>All schools (no.)</w:t>
            </w:r>
          </w:p>
        </w:tc>
        <w:tc>
          <w:tcPr>
            <w:tcW w:w="567" w:type="dxa"/>
          </w:tcPr>
          <w:p w:rsidR="002D7C16" w:rsidRPr="00D31D27" w:rsidRDefault="002D7C16" w:rsidP="00E91307">
            <w:pPr>
              <w:pStyle w:val="TableBodyText"/>
            </w:pPr>
          </w:p>
        </w:tc>
        <w:tc>
          <w:tcPr>
            <w:tcW w:w="708" w:type="dxa"/>
          </w:tcPr>
          <w:p w:rsidR="002D7C16" w:rsidRPr="00D31D27" w:rsidRDefault="002D7C16" w:rsidP="00D31D27">
            <w:pPr>
              <w:pStyle w:val="TableBodyText"/>
            </w:pPr>
          </w:p>
        </w:tc>
        <w:tc>
          <w:tcPr>
            <w:tcW w:w="709" w:type="dxa"/>
            <w:gridSpan w:val="2"/>
          </w:tcPr>
          <w:p w:rsidR="002D7C16" w:rsidRPr="00D31D27" w:rsidRDefault="002D7C16" w:rsidP="00D31D27">
            <w:pPr>
              <w:pStyle w:val="TableBodyText"/>
            </w:pPr>
          </w:p>
        </w:tc>
        <w:tc>
          <w:tcPr>
            <w:tcW w:w="709" w:type="dxa"/>
            <w:gridSpan w:val="2"/>
          </w:tcPr>
          <w:p w:rsidR="002D7C16" w:rsidRPr="00D31D27" w:rsidRDefault="002D7C16" w:rsidP="00D31D27">
            <w:pPr>
              <w:pStyle w:val="TableBodyText"/>
            </w:pPr>
          </w:p>
        </w:tc>
        <w:tc>
          <w:tcPr>
            <w:tcW w:w="709" w:type="dxa"/>
            <w:gridSpan w:val="2"/>
          </w:tcPr>
          <w:p w:rsidR="002D7C16" w:rsidRPr="00D31D27" w:rsidRDefault="002D7C16" w:rsidP="00D31D27">
            <w:pPr>
              <w:pStyle w:val="TableBodyText"/>
            </w:pPr>
          </w:p>
        </w:tc>
        <w:tc>
          <w:tcPr>
            <w:tcW w:w="708" w:type="dxa"/>
            <w:gridSpan w:val="2"/>
          </w:tcPr>
          <w:p w:rsidR="002D7C16" w:rsidRPr="00D31D27" w:rsidRDefault="002D7C16" w:rsidP="00D31D27">
            <w:pPr>
              <w:pStyle w:val="TableBodyText"/>
            </w:pPr>
          </w:p>
        </w:tc>
        <w:tc>
          <w:tcPr>
            <w:tcW w:w="709" w:type="dxa"/>
            <w:gridSpan w:val="2"/>
          </w:tcPr>
          <w:p w:rsidR="002D7C16" w:rsidRPr="00D31D27" w:rsidRDefault="002D7C16" w:rsidP="00D31D27">
            <w:pPr>
              <w:pStyle w:val="TableBodyText"/>
            </w:pPr>
          </w:p>
        </w:tc>
        <w:tc>
          <w:tcPr>
            <w:tcW w:w="709" w:type="dxa"/>
            <w:gridSpan w:val="2"/>
          </w:tcPr>
          <w:p w:rsidR="002D7C16" w:rsidRPr="00D31D27" w:rsidRDefault="002D7C16" w:rsidP="00D31D27">
            <w:pPr>
              <w:pStyle w:val="TableBodyText"/>
            </w:pPr>
          </w:p>
        </w:tc>
        <w:tc>
          <w:tcPr>
            <w:tcW w:w="709" w:type="dxa"/>
            <w:gridSpan w:val="2"/>
          </w:tcPr>
          <w:p w:rsidR="002D7C16" w:rsidRPr="00D31D27" w:rsidRDefault="002D7C16" w:rsidP="00D31D27">
            <w:pPr>
              <w:pStyle w:val="TableBodyText"/>
            </w:pPr>
          </w:p>
        </w:tc>
        <w:tc>
          <w:tcPr>
            <w:tcW w:w="709" w:type="dxa"/>
            <w:gridSpan w:val="2"/>
          </w:tcPr>
          <w:p w:rsidR="002D7C16" w:rsidRPr="00D31D27" w:rsidRDefault="002D7C16" w:rsidP="00D31D27">
            <w:pPr>
              <w:pStyle w:val="TableBodyText"/>
            </w:pP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Primary</w:t>
            </w:r>
          </w:p>
        </w:tc>
        <w:tc>
          <w:tcPr>
            <w:tcW w:w="567" w:type="dxa"/>
          </w:tcPr>
          <w:p w:rsidR="00E91307" w:rsidRDefault="00E91307" w:rsidP="00E91307">
            <w:pPr>
              <w:pStyle w:val="TableBodyText"/>
            </w:pPr>
            <w:r w:rsidRPr="00085423">
              <w:t>no.</w:t>
            </w:r>
          </w:p>
        </w:tc>
        <w:tc>
          <w:tcPr>
            <w:tcW w:w="708" w:type="dxa"/>
            <w:vAlign w:val="center"/>
          </w:tcPr>
          <w:p w:rsidR="00E91307" w:rsidRPr="00D31D27" w:rsidRDefault="00E91307" w:rsidP="00D31D27">
            <w:pPr>
              <w:pStyle w:val="TableBodyText"/>
            </w:pPr>
            <w:r w:rsidRPr="00D31D27">
              <w:t xml:space="preserve"> 2 113</w:t>
            </w:r>
          </w:p>
        </w:tc>
        <w:tc>
          <w:tcPr>
            <w:tcW w:w="709" w:type="dxa"/>
            <w:gridSpan w:val="2"/>
            <w:vAlign w:val="center"/>
          </w:tcPr>
          <w:p w:rsidR="00E91307" w:rsidRPr="00D31D27" w:rsidRDefault="00E91307" w:rsidP="00D31D27">
            <w:pPr>
              <w:pStyle w:val="TableBodyText"/>
            </w:pPr>
            <w:r w:rsidRPr="00D31D27">
              <w:t xml:space="preserve"> 1 561</w:t>
            </w:r>
          </w:p>
        </w:tc>
        <w:tc>
          <w:tcPr>
            <w:tcW w:w="709" w:type="dxa"/>
            <w:gridSpan w:val="2"/>
            <w:vAlign w:val="center"/>
          </w:tcPr>
          <w:p w:rsidR="00E91307" w:rsidRPr="00D31D27" w:rsidRDefault="00E91307" w:rsidP="00D31D27">
            <w:pPr>
              <w:pStyle w:val="TableBodyText"/>
            </w:pPr>
            <w:r w:rsidRPr="00D31D27">
              <w:t xml:space="preserve"> 1 153</w:t>
            </w:r>
          </w:p>
        </w:tc>
        <w:tc>
          <w:tcPr>
            <w:tcW w:w="709" w:type="dxa"/>
            <w:gridSpan w:val="2"/>
            <w:vAlign w:val="center"/>
          </w:tcPr>
          <w:p w:rsidR="00E91307" w:rsidRPr="00D31D27" w:rsidRDefault="00E91307" w:rsidP="00D31D27">
            <w:pPr>
              <w:pStyle w:val="TableBodyText"/>
            </w:pPr>
            <w:r w:rsidRPr="00D31D27">
              <w:t xml:space="preserve">  662</w:t>
            </w:r>
          </w:p>
        </w:tc>
        <w:tc>
          <w:tcPr>
            <w:tcW w:w="708" w:type="dxa"/>
            <w:gridSpan w:val="2"/>
            <w:vAlign w:val="center"/>
          </w:tcPr>
          <w:p w:rsidR="00E91307" w:rsidRPr="00D31D27" w:rsidRDefault="00E91307" w:rsidP="00D31D27">
            <w:pPr>
              <w:pStyle w:val="TableBodyText"/>
            </w:pPr>
            <w:r w:rsidRPr="00D31D27">
              <w:t xml:space="preserve">  496</w:t>
            </w:r>
          </w:p>
        </w:tc>
        <w:tc>
          <w:tcPr>
            <w:tcW w:w="709" w:type="dxa"/>
            <w:gridSpan w:val="2"/>
            <w:vAlign w:val="center"/>
          </w:tcPr>
          <w:p w:rsidR="00E91307" w:rsidRPr="00D31D27" w:rsidRDefault="00E91307" w:rsidP="00D31D27">
            <w:pPr>
              <w:pStyle w:val="TableBodyText"/>
            </w:pPr>
            <w:r w:rsidRPr="00D31D27">
              <w:t xml:space="preserve">  156</w:t>
            </w:r>
          </w:p>
        </w:tc>
        <w:tc>
          <w:tcPr>
            <w:tcW w:w="709" w:type="dxa"/>
            <w:gridSpan w:val="2"/>
            <w:vAlign w:val="center"/>
          </w:tcPr>
          <w:p w:rsidR="00E91307" w:rsidRPr="00D31D27" w:rsidRDefault="00E91307" w:rsidP="00D31D27">
            <w:pPr>
              <w:pStyle w:val="TableBodyText"/>
            </w:pPr>
            <w:r w:rsidRPr="00D31D27">
              <w:t xml:space="preserve">  78</w:t>
            </w:r>
          </w:p>
        </w:tc>
        <w:tc>
          <w:tcPr>
            <w:tcW w:w="709" w:type="dxa"/>
            <w:gridSpan w:val="2"/>
            <w:vAlign w:val="center"/>
          </w:tcPr>
          <w:p w:rsidR="00E91307" w:rsidRPr="00D31D27" w:rsidRDefault="00E91307" w:rsidP="00D31D27">
            <w:pPr>
              <w:pStyle w:val="TableBodyText"/>
            </w:pPr>
            <w:r w:rsidRPr="00D31D27">
              <w:t xml:space="preserve">  71</w:t>
            </w:r>
          </w:p>
        </w:tc>
        <w:tc>
          <w:tcPr>
            <w:tcW w:w="709" w:type="dxa"/>
            <w:gridSpan w:val="2"/>
            <w:vAlign w:val="center"/>
          </w:tcPr>
          <w:p w:rsidR="00E91307" w:rsidRPr="00D31D27" w:rsidRDefault="00E91307" w:rsidP="00D31D27">
            <w:pPr>
              <w:pStyle w:val="TableBodyText"/>
            </w:pPr>
            <w:r w:rsidRPr="00D31D27">
              <w:t xml:space="preserve"> 6 290</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Secondary</w:t>
            </w:r>
          </w:p>
        </w:tc>
        <w:tc>
          <w:tcPr>
            <w:tcW w:w="567" w:type="dxa"/>
          </w:tcPr>
          <w:p w:rsidR="00E91307" w:rsidRDefault="00E91307" w:rsidP="00E91307">
            <w:pPr>
              <w:pStyle w:val="TableBodyText"/>
            </w:pPr>
            <w:r w:rsidRPr="00085423">
              <w:t>no.</w:t>
            </w:r>
          </w:p>
        </w:tc>
        <w:tc>
          <w:tcPr>
            <w:tcW w:w="708" w:type="dxa"/>
            <w:vAlign w:val="center"/>
          </w:tcPr>
          <w:p w:rsidR="00E91307" w:rsidRPr="00D31D27" w:rsidRDefault="00E91307" w:rsidP="00D31D27">
            <w:pPr>
              <w:pStyle w:val="TableBodyText"/>
            </w:pPr>
            <w:r w:rsidRPr="00D31D27">
              <w:t xml:space="preserve">  515</w:t>
            </w:r>
          </w:p>
        </w:tc>
        <w:tc>
          <w:tcPr>
            <w:tcW w:w="709" w:type="dxa"/>
            <w:gridSpan w:val="2"/>
            <w:vAlign w:val="center"/>
          </w:tcPr>
          <w:p w:rsidR="00E91307" w:rsidRPr="00D31D27" w:rsidRDefault="00E91307" w:rsidP="00D31D27">
            <w:pPr>
              <w:pStyle w:val="TableBodyText"/>
            </w:pPr>
            <w:r w:rsidRPr="00D31D27">
              <w:t xml:space="preserve">  342</w:t>
            </w:r>
          </w:p>
        </w:tc>
        <w:tc>
          <w:tcPr>
            <w:tcW w:w="709" w:type="dxa"/>
            <w:gridSpan w:val="2"/>
            <w:vAlign w:val="center"/>
          </w:tcPr>
          <w:p w:rsidR="00E91307" w:rsidRPr="00D31D27" w:rsidRDefault="00E91307" w:rsidP="00D31D27">
            <w:pPr>
              <w:pStyle w:val="TableBodyText"/>
            </w:pPr>
            <w:r w:rsidRPr="00D31D27">
              <w:t xml:space="preserve">  253</w:t>
            </w:r>
          </w:p>
        </w:tc>
        <w:tc>
          <w:tcPr>
            <w:tcW w:w="709" w:type="dxa"/>
            <w:gridSpan w:val="2"/>
            <w:vAlign w:val="center"/>
          </w:tcPr>
          <w:p w:rsidR="00E91307" w:rsidRPr="00D31D27" w:rsidRDefault="00E91307" w:rsidP="00D31D27">
            <w:pPr>
              <w:pStyle w:val="TableBodyText"/>
            </w:pPr>
            <w:r w:rsidRPr="00D31D27">
              <w:t xml:space="preserve">  105</w:t>
            </w:r>
          </w:p>
        </w:tc>
        <w:tc>
          <w:tcPr>
            <w:tcW w:w="708" w:type="dxa"/>
            <w:gridSpan w:val="2"/>
            <w:vAlign w:val="center"/>
          </w:tcPr>
          <w:p w:rsidR="00E91307" w:rsidRPr="00D31D27" w:rsidRDefault="00E91307" w:rsidP="00D31D27">
            <w:pPr>
              <w:pStyle w:val="TableBodyText"/>
            </w:pPr>
            <w:r w:rsidRPr="00D31D27">
              <w:t xml:space="preserve">  87</w:t>
            </w:r>
          </w:p>
        </w:tc>
        <w:tc>
          <w:tcPr>
            <w:tcW w:w="709" w:type="dxa"/>
            <w:gridSpan w:val="2"/>
            <w:vAlign w:val="center"/>
          </w:tcPr>
          <w:p w:rsidR="00E91307" w:rsidRPr="00D31D27" w:rsidRDefault="00E91307" w:rsidP="00D31D27">
            <w:pPr>
              <w:pStyle w:val="TableBodyText"/>
            </w:pPr>
            <w:r w:rsidRPr="00D31D27">
              <w:t xml:space="preserve">  43</w:t>
            </w:r>
          </w:p>
        </w:tc>
        <w:tc>
          <w:tcPr>
            <w:tcW w:w="709" w:type="dxa"/>
            <w:gridSpan w:val="2"/>
            <w:vAlign w:val="center"/>
          </w:tcPr>
          <w:p w:rsidR="00E91307" w:rsidRPr="00D31D27" w:rsidRDefault="00E91307" w:rsidP="00D31D27">
            <w:pPr>
              <w:pStyle w:val="TableBodyText"/>
            </w:pPr>
            <w:r w:rsidRPr="00D31D27">
              <w:t xml:space="preserve">  23</w:t>
            </w:r>
          </w:p>
        </w:tc>
        <w:tc>
          <w:tcPr>
            <w:tcW w:w="709" w:type="dxa"/>
            <w:gridSpan w:val="2"/>
            <w:vAlign w:val="center"/>
          </w:tcPr>
          <w:p w:rsidR="00E91307" w:rsidRPr="00D31D27" w:rsidRDefault="00E91307" w:rsidP="00D31D27">
            <w:pPr>
              <w:pStyle w:val="TableBodyText"/>
            </w:pPr>
            <w:r w:rsidRPr="00D31D27">
              <w:t xml:space="preserve">  24</w:t>
            </w:r>
          </w:p>
        </w:tc>
        <w:tc>
          <w:tcPr>
            <w:tcW w:w="709" w:type="dxa"/>
            <w:gridSpan w:val="2"/>
            <w:vAlign w:val="center"/>
          </w:tcPr>
          <w:p w:rsidR="00E91307" w:rsidRPr="00D31D27" w:rsidRDefault="00E91307" w:rsidP="00D31D27">
            <w:pPr>
              <w:pStyle w:val="TableBodyText"/>
            </w:pPr>
            <w:r w:rsidRPr="00D31D27">
              <w:t xml:space="preserve"> 1 392</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Combined</w:t>
            </w:r>
            <w:r w:rsidRPr="00666ECE">
              <w:rPr>
                <w:rFonts w:ascii="Arial" w:hAnsi="Arial"/>
                <w:b/>
                <w:position w:val="6"/>
                <w:sz w:val="18"/>
                <w:szCs w:val="20"/>
              </w:rPr>
              <w:t>a</w:t>
            </w:r>
          </w:p>
        </w:tc>
        <w:tc>
          <w:tcPr>
            <w:tcW w:w="567" w:type="dxa"/>
          </w:tcPr>
          <w:p w:rsidR="00E91307" w:rsidRDefault="00E91307" w:rsidP="00E91307">
            <w:pPr>
              <w:pStyle w:val="TableBodyText"/>
            </w:pPr>
            <w:r w:rsidRPr="00085423">
              <w:t>no.</w:t>
            </w:r>
          </w:p>
        </w:tc>
        <w:tc>
          <w:tcPr>
            <w:tcW w:w="708" w:type="dxa"/>
            <w:vAlign w:val="center"/>
          </w:tcPr>
          <w:p w:rsidR="00E91307" w:rsidRPr="00D31D27" w:rsidRDefault="00E91307" w:rsidP="00D31D27">
            <w:pPr>
              <w:pStyle w:val="TableBodyText"/>
            </w:pPr>
            <w:r w:rsidRPr="00D31D27">
              <w:t xml:space="preserve">  303</w:t>
            </w:r>
          </w:p>
        </w:tc>
        <w:tc>
          <w:tcPr>
            <w:tcW w:w="709" w:type="dxa"/>
            <w:gridSpan w:val="2"/>
            <w:vAlign w:val="center"/>
          </w:tcPr>
          <w:p w:rsidR="00E91307" w:rsidRPr="00D31D27" w:rsidRDefault="00E91307" w:rsidP="00D31D27">
            <w:pPr>
              <w:pStyle w:val="TableBodyText"/>
            </w:pPr>
            <w:r w:rsidRPr="00D31D27">
              <w:t xml:space="preserve">  235</w:t>
            </w:r>
          </w:p>
        </w:tc>
        <w:tc>
          <w:tcPr>
            <w:tcW w:w="709" w:type="dxa"/>
            <w:gridSpan w:val="2"/>
            <w:vAlign w:val="center"/>
          </w:tcPr>
          <w:p w:rsidR="00E91307" w:rsidRPr="00D31D27" w:rsidRDefault="00E91307" w:rsidP="00D31D27">
            <w:pPr>
              <w:pStyle w:val="TableBodyText"/>
            </w:pPr>
            <w:r w:rsidRPr="00D31D27">
              <w:t xml:space="preserve">  246</w:t>
            </w:r>
          </w:p>
        </w:tc>
        <w:tc>
          <w:tcPr>
            <w:tcW w:w="709" w:type="dxa"/>
            <w:gridSpan w:val="2"/>
            <w:vAlign w:val="center"/>
          </w:tcPr>
          <w:p w:rsidR="00E91307" w:rsidRPr="00D31D27" w:rsidRDefault="00E91307" w:rsidP="00D31D27">
            <w:pPr>
              <w:pStyle w:val="TableBodyText"/>
            </w:pPr>
            <w:r w:rsidRPr="00D31D27">
              <w:t xml:space="preserve">  222</w:t>
            </w:r>
          </w:p>
        </w:tc>
        <w:tc>
          <w:tcPr>
            <w:tcW w:w="708" w:type="dxa"/>
            <w:gridSpan w:val="2"/>
            <w:vAlign w:val="center"/>
          </w:tcPr>
          <w:p w:rsidR="00E91307" w:rsidRPr="00D31D27" w:rsidRDefault="00E91307" w:rsidP="00D31D27">
            <w:pPr>
              <w:pStyle w:val="TableBodyText"/>
            </w:pPr>
            <w:r w:rsidRPr="00D31D27">
              <w:t xml:space="preserve">  146</w:t>
            </w:r>
          </w:p>
        </w:tc>
        <w:tc>
          <w:tcPr>
            <w:tcW w:w="709" w:type="dxa"/>
            <w:gridSpan w:val="2"/>
            <w:vAlign w:val="center"/>
          </w:tcPr>
          <w:p w:rsidR="00E91307" w:rsidRPr="00D31D27" w:rsidRDefault="00E91307" w:rsidP="00D31D27">
            <w:pPr>
              <w:pStyle w:val="TableBodyText"/>
            </w:pPr>
            <w:r w:rsidRPr="00D31D27">
              <w:t xml:space="preserve">  57</w:t>
            </w:r>
          </w:p>
        </w:tc>
        <w:tc>
          <w:tcPr>
            <w:tcW w:w="709" w:type="dxa"/>
            <w:gridSpan w:val="2"/>
            <w:vAlign w:val="center"/>
          </w:tcPr>
          <w:p w:rsidR="00E91307" w:rsidRPr="00D31D27" w:rsidRDefault="00E91307" w:rsidP="00D31D27">
            <w:pPr>
              <w:pStyle w:val="TableBodyText"/>
            </w:pPr>
            <w:r w:rsidRPr="00D31D27">
              <w:t xml:space="preserve">  22</w:t>
            </w:r>
          </w:p>
        </w:tc>
        <w:tc>
          <w:tcPr>
            <w:tcW w:w="709" w:type="dxa"/>
            <w:gridSpan w:val="2"/>
            <w:vAlign w:val="center"/>
          </w:tcPr>
          <w:p w:rsidR="00E91307" w:rsidRPr="00D31D27" w:rsidRDefault="00E91307" w:rsidP="00D31D27">
            <w:pPr>
              <w:pStyle w:val="TableBodyText"/>
            </w:pPr>
            <w:r w:rsidRPr="00D31D27">
              <w:t xml:space="preserve">  90</w:t>
            </w:r>
          </w:p>
        </w:tc>
        <w:tc>
          <w:tcPr>
            <w:tcW w:w="709" w:type="dxa"/>
            <w:gridSpan w:val="2"/>
            <w:vAlign w:val="center"/>
          </w:tcPr>
          <w:p w:rsidR="00E91307" w:rsidRPr="00D31D27" w:rsidRDefault="00E91307" w:rsidP="00D31D27">
            <w:pPr>
              <w:pStyle w:val="TableBodyText"/>
            </w:pPr>
            <w:r w:rsidRPr="00D31D27">
              <w:t xml:space="preserve"> 1 321</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Special schools</w:t>
            </w:r>
            <w:r w:rsidRPr="00666ECE">
              <w:rPr>
                <w:rFonts w:ascii="Arial" w:hAnsi="Arial"/>
                <w:b/>
                <w:position w:val="6"/>
                <w:sz w:val="18"/>
                <w:szCs w:val="20"/>
              </w:rPr>
              <w:t>b</w:t>
            </w:r>
          </w:p>
        </w:tc>
        <w:tc>
          <w:tcPr>
            <w:tcW w:w="567" w:type="dxa"/>
          </w:tcPr>
          <w:p w:rsidR="00E91307" w:rsidRDefault="00E91307" w:rsidP="00E91307">
            <w:pPr>
              <w:pStyle w:val="TableBodyText"/>
            </w:pPr>
            <w:r w:rsidRPr="00085423">
              <w:t>no.</w:t>
            </w:r>
          </w:p>
        </w:tc>
        <w:tc>
          <w:tcPr>
            <w:tcW w:w="708" w:type="dxa"/>
            <w:vAlign w:val="center"/>
          </w:tcPr>
          <w:p w:rsidR="00E91307" w:rsidRPr="00D31D27" w:rsidRDefault="00E91307" w:rsidP="00D31D27">
            <w:pPr>
              <w:pStyle w:val="TableBodyText"/>
            </w:pPr>
            <w:r w:rsidRPr="00D31D27">
              <w:t xml:space="preserve">  151</w:t>
            </w:r>
          </w:p>
        </w:tc>
        <w:tc>
          <w:tcPr>
            <w:tcW w:w="709" w:type="dxa"/>
            <w:gridSpan w:val="2"/>
            <w:vAlign w:val="center"/>
          </w:tcPr>
          <w:p w:rsidR="00E91307" w:rsidRPr="00D31D27" w:rsidRDefault="00E91307" w:rsidP="00D31D27">
            <w:pPr>
              <w:pStyle w:val="TableBodyText"/>
            </w:pPr>
            <w:r w:rsidRPr="00D31D27">
              <w:t xml:space="preserve">  95</w:t>
            </w:r>
          </w:p>
        </w:tc>
        <w:tc>
          <w:tcPr>
            <w:tcW w:w="709" w:type="dxa"/>
            <w:gridSpan w:val="2"/>
            <w:vAlign w:val="center"/>
          </w:tcPr>
          <w:p w:rsidR="00E91307" w:rsidRPr="00D31D27" w:rsidRDefault="00E91307" w:rsidP="00D31D27">
            <w:pPr>
              <w:pStyle w:val="TableBodyText"/>
            </w:pPr>
            <w:r w:rsidRPr="00D31D27">
              <w:t xml:space="preserve">  63</w:t>
            </w:r>
          </w:p>
        </w:tc>
        <w:tc>
          <w:tcPr>
            <w:tcW w:w="709" w:type="dxa"/>
            <w:gridSpan w:val="2"/>
            <w:vAlign w:val="center"/>
          </w:tcPr>
          <w:p w:rsidR="00E91307" w:rsidRPr="00D31D27" w:rsidRDefault="00E91307" w:rsidP="00D31D27">
            <w:pPr>
              <w:pStyle w:val="TableBodyText"/>
            </w:pPr>
            <w:r w:rsidRPr="00D31D27">
              <w:t xml:space="preserve">  77</w:t>
            </w:r>
          </w:p>
        </w:tc>
        <w:tc>
          <w:tcPr>
            <w:tcW w:w="708" w:type="dxa"/>
            <w:gridSpan w:val="2"/>
            <w:vAlign w:val="center"/>
          </w:tcPr>
          <w:p w:rsidR="00E91307" w:rsidRPr="00D31D27" w:rsidRDefault="00E91307" w:rsidP="00D31D27">
            <w:pPr>
              <w:pStyle w:val="TableBodyText"/>
            </w:pPr>
            <w:r w:rsidRPr="00D31D27">
              <w:t xml:space="preserve">  21</w:t>
            </w:r>
          </w:p>
        </w:tc>
        <w:tc>
          <w:tcPr>
            <w:tcW w:w="709" w:type="dxa"/>
            <w:gridSpan w:val="2"/>
            <w:vAlign w:val="center"/>
          </w:tcPr>
          <w:p w:rsidR="00E91307" w:rsidRPr="00D31D27" w:rsidRDefault="00E91307" w:rsidP="00D31D27">
            <w:pPr>
              <w:pStyle w:val="TableBodyText"/>
            </w:pPr>
            <w:r w:rsidRPr="00D31D27">
              <w:t xml:space="preserve">  6</w:t>
            </w:r>
          </w:p>
        </w:tc>
        <w:tc>
          <w:tcPr>
            <w:tcW w:w="709" w:type="dxa"/>
            <w:gridSpan w:val="2"/>
            <w:vAlign w:val="center"/>
          </w:tcPr>
          <w:p w:rsidR="00E91307" w:rsidRPr="00D31D27" w:rsidRDefault="00E91307" w:rsidP="00D31D27">
            <w:pPr>
              <w:pStyle w:val="TableBodyText"/>
            </w:pPr>
            <w:r w:rsidRPr="00D31D27">
              <w:t xml:space="preserve">  5</w:t>
            </w:r>
          </w:p>
        </w:tc>
        <w:tc>
          <w:tcPr>
            <w:tcW w:w="709" w:type="dxa"/>
            <w:gridSpan w:val="2"/>
            <w:vAlign w:val="center"/>
          </w:tcPr>
          <w:p w:rsidR="00E91307" w:rsidRPr="00D31D27" w:rsidRDefault="00E91307" w:rsidP="00D31D27">
            <w:pPr>
              <w:pStyle w:val="TableBodyText"/>
            </w:pPr>
            <w:r w:rsidRPr="00D31D27">
              <w:t xml:space="preserve">  6</w:t>
            </w:r>
          </w:p>
        </w:tc>
        <w:tc>
          <w:tcPr>
            <w:tcW w:w="709" w:type="dxa"/>
            <w:gridSpan w:val="2"/>
            <w:vAlign w:val="center"/>
          </w:tcPr>
          <w:p w:rsidR="00E91307" w:rsidRPr="00D31D27" w:rsidRDefault="00E91307" w:rsidP="00D31D27">
            <w:pPr>
              <w:pStyle w:val="TableBodyText"/>
            </w:pPr>
            <w:r w:rsidRPr="00D31D27">
              <w:t xml:space="preserve">  424</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b/>
                <w:sz w:val="20"/>
                <w:szCs w:val="20"/>
              </w:rPr>
            </w:pPr>
            <w:r w:rsidRPr="00666ECE">
              <w:rPr>
                <w:rFonts w:ascii="Arial" w:hAnsi="Arial"/>
                <w:b/>
                <w:sz w:val="20"/>
                <w:szCs w:val="20"/>
              </w:rPr>
              <w:t>Total</w:t>
            </w:r>
          </w:p>
        </w:tc>
        <w:tc>
          <w:tcPr>
            <w:tcW w:w="567" w:type="dxa"/>
          </w:tcPr>
          <w:p w:rsidR="00E91307" w:rsidRPr="00E91307" w:rsidRDefault="00E91307" w:rsidP="00E91307">
            <w:pPr>
              <w:pStyle w:val="TableBodyText"/>
              <w:rPr>
                <w:b/>
              </w:rPr>
            </w:pPr>
            <w:r w:rsidRPr="00E91307">
              <w:rPr>
                <w:b/>
              </w:rPr>
              <w:t>no.</w:t>
            </w:r>
          </w:p>
        </w:tc>
        <w:tc>
          <w:tcPr>
            <w:tcW w:w="708" w:type="dxa"/>
            <w:vAlign w:val="center"/>
          </w:tcPr>
          <w:p w:rsidR="00E91307" w:rsidRPr="00E91307" w:rsidRDefault="00E91307" w:rsidP="00D31D27">
            <w:pPr>
              <w:pStyle w:val="TableBodyText"/>
              <w:rPr>
                <w:b/>
                <w:bCs/>
              </w:rPr>
            </w:pPr>
            <w:r w:rsidRPr="00E91307">
              <w:rPr>
                <w:b/>
                <w:bCs/>
              </w:rPr>
              <w:t xml:space="preserve"> 3 082</w:t>
            </w:r>
          </w:p>
        </w:tc>
        <w:tc>
          <w:tcPr>
            <w:tcW w:w="709" w:type="dxa"/>
            <w:gridSpan w:val="2"/>
            <w:vAlign w:val="center"/>
          </w:tcPr>
          <w:p w:rsidR="00E91307" w:rsidRPr="00D31D27" w:rsidRDefault="00E91307" w:rsidP="00D31D27">
            <w:pPr>
              <w:pStyle w:val="TableBodyText"/>
              <w:rPr>
                <w:b/>
                <w:bCs/>
              </w:rPr>
            </w:pPr>
            <w:r w:rsidRPr="00D31D27">
              <w:rPr>
                <w:b/>
                <w:bCs/>
              </w:rPr>
              <w:t xml:space="preserve"> 2 233</w:t>
            </w:r>
          </w:p>
        </w:tc>
        <w:tc>
          <w:tcPr>
            <w:tcW w:w="709" w:type="dxa"/>
            <w:gridSpan w:val="2"/>
            <w:vAlign w:val="center"/>
          </w:tcPr>
          <w:p w:rsidR="00E91307" w:rsidRPr="00D31D27" w:rsidRDefault="00E91307" w:rsidP="00D31D27">
            <w:pPr>
              <w:pStyle w:val="TableBodyText"/>
              <w:rPr>
                <w:b/>
                <w:bCs/>
              </w:rPr>
            </w:pPr>
            <w:r w:rsidRPr="00D31D27">
              <w:rPr>
                <w:b/>
                <w:bCs/>
              </w:rPr>
              <w:t xml:space="preserve"> 1 715</w:t>
            </w:r>
          </w:p>
        </w:tc>
        <w:tc>
          <w:tcPr>
            <w:tcW w:w="709" w:type="dxa"/>
            <w:gridSpan w:val="2"/>
            <w:vAlign w:val="center"/>
          </w:tcPr>
          <w:p w:rsidR="00E91307" w:rsidRPr="00D31D27" w:rsidRDefault="00E91307" w:rsidP="00D31D27">
            <w:pPr>
              <w:pStyle w:val="TableBodyText"/>
              <w:rPr>
                <w:b/>
                <w:bCs/>
              </w:rPr>
            </w:pPr>
            <w:r w:rsidRPr="00D31D27">
              <w:rPr>
                <w:b/>
                <w:bCs/>
              </w:rPr>
              <w:t xml:space="preserve"> 1 066</w:t>
            </w:r>
          </w:p>
        </w:tc>
        <w:tc>
          <w:tcPr>
            <w:tcW w:w="708" w:type="dxa"/>
            <w:gridSpan w:val="2"/>
            <w:vAlign w:val="center"/>
          </w:tcPr>
          <w:p w:rsidR="00E91307" w:rsidRPr="00D31D27" w:rsidRDefault="00E91307" w:rsidP="00D31D27">
            <w:pPr>
              <w:pStyle w:val="TableBodyText"/>
              <w:rPr>
                <w:b/>
                <w:bCs/>
              </w:rPr>
            </w:pPr>
            <w:r w:rsidRPr="00D31D27">
              <w:rPr>
                <w:b/>
                <w:bCs/>
              </w:rPr>
              <w:t xml:space="preserve">  750</w:t>
            </w:r>
          </w:p>
        </w:tc>
        <w:tc>
          <w:tcPr>
            <w:tcW w:w="709" w:type="dxa"/>
            <w:gridSpan w:val="2"/>
            <w:vAlign w:val="center"/>
          </w:tcPr>
          <w:p w:rsidR="00E91307" w:rsidRPr="00D31D27" w:rsidRDefault="00E91307" w:rsidP="00D31D27">
            <w:pPr>
              <w:pStyle w:val="TableBodyText"/>
              <w:rPr>
                <w:b/>
                <w:bCs/>
              </w:rPr>
            </w:pPr>
            <w:r w:rsidRPr="00D31D27">
              <w:rPr>
                <w:b/>
                <w:bCs/>
              </w:rPr>
              <w:t xml:space="preserve">  262</w:t>
            </w:r>
          </w:p>
        </w:tc>
        <w:tc>
          <w:tcPr>
            <w:tcW w:w="709" w:type="dxa"/>
            <w:gridSpan w:val="2"/>
            <w:vAlign w:val="center"/>
          </w:tcPr>
          <w:p w:rsidR="00E91307" w:rsidRPr="00D31D27" w:rsidRDefault="00E91307" w:rsidP="00D31D27">
            <w:pPr>
              <w:pStyle w:val="TableBodyText"/>
              <w:rPr>
                <w:b/>
                <w:bCs/>
              </w:rPr>
            </w:pPr>
            <w:r w:rsidRPr="00D31D27">
              <w:rPr>
                <w:b/>
                <w:bCs/>
              </w:rPr>
              <w:t xml:space="preserve">  128</w:t>
            </w:r>
          </w:p>
        </w:tc>
        <w:tc>
          <w:tcPr>
            <w:tcW w:w="709" w:type="dxa"/>
            <w:gridSpan w:val="2"/>
            <w:vAlign w:val="center"/>
          </w:tcPr>
          <w:p w:rsidR="00E91307" w:rsidRPr="00D31D27" w:rsidRDefault="00E91307" w:rsidP="00D31D27">
            <w:pPr>
              <w:pStyle w:val="TableBodyText"/>
              <w:rPr>
                <w:b/>
                <w:bCs/>
              </w:rPr>
            </w:pPr>
            <w:r w:rsidRPr="00D31D27">
              <w:rPr>
                <w:b/>
                <w:bCs/>
              </w:rPr>
              <w:t xml:space="preserve">  191</w:t>
            </w:r>
          </w:p>
        </w:tc>
        <w:tc>
          <w:tcPr>
            <w:tcW w:w="709" w:type="dxa"/>
            <w:gridSpan w:val="2"/>
            <w:vAlign w:val="center"/>
          </w:tcPr>
          <w:p w:rsidR="00E91307" w:rsidRPr="00D31D27" w:rsidRDefault="00E91307" w:rsidP="00D31D27">
            <w:pPr>
              <w:pStyle w:val="TableBodyText"/>
              <w:rPr>
                <w:b/>
                <w:bCs/>
              </w:rPr>
            </w:pPr>
            <w:r w:rsidRPr="00D31D27">
              <w:rPr>
                <w:b/>
                <w:bCs/>
              </w:rPr>
              <w:t xml:space="preserve"> 9 427</w:t>
            </w:r>
          </w:p>
        </w:tc>
      </w:tr>
      <w:tr w:rsidR="00E91307" w:rsidRPr="00666ECE" w:rsidTr="00D54C12">
        <w:tc>
          <w:tcPr>
            <w:tcW w:w="7088" w:type="dxa"/>
            <w:gridSpan w:val="14"/>
          </w:tcPr>
          <w:p w:rsidR="00E91307" w:rsidRPr="00D31D27" w:rsidRDefault="00E91307" w:rsidP="00E91307">
            <w:pPr>
              <w:pStyle w:val="TableBodyText"/>
              <w:jc w:val="left"/>
            </w:pPr>
            <w:r w:rsidRPr="00D31D27">
              <w:t>Proportion of schools that are government schools (%)</w:t>
            </w:r>
          </w:p>
        </w:tc>
        <w:tc>
          <w:tcPr>
            <w:tcW w:w="709" w:type="dxa"/>
            <w:gridSpan w:val="2"/>
          </w:tcPr>
          <w:p w:rsidR="00E91307" w:rsidRPr="00D31D27" w:rsidRDefault="00E91307" w:rsidP="00D31D27">
            <w:pPr>
              <w:pStyle w:val="TableBodyText"/>
            </w:pPr>
          </w:p>
        </w:tc>
        <w:tc>
          <w:tcPr>
            <w:tcW w:w="567" w:type="dxa"/>
            <w:gridSpan w:val="2"/>
          </w:tcPr>
          <w:p w:rsidR="00E91307" w:rsidRPr="00D31D27" w:rsidRDefault="00E91307" w:rsidP="00D31D27">
            <w:pPr>
              <w:pStyle w:val="TableBodyText"/>
            </w:pPr>
          </w:p>
        </w:tc>
        <w:tc>
          <w:tcPr>
            <w:tcW w:w="425" w:type="dxa"/>
          </w:tcPr>
          <w:p w:rsidR="00E91307" w:rsidRPr="00D31D27" w:rsidRDefault="00E91307" w:rsidP="00D31D27">
            <w:pPr>
              <w:pStyle w:val="TableBodyText"/>
            </w:pPr>
          </w:p>
        </w:tc>
      </w:tr>
      <w:tr w:rsidR="00D54C12" w:rsidRPr="00666ECE" w:rsidTr="00D54C12">
        <w:tc>
          <w:tcPr>
            <w:tcW w:w="1843" w:type="dxa"/>
          </w:tcPr>
          <w:p w:rsidR="002D7C16" w:rsidRPr="00666ECE" w:rsidRDefault="002D7C16" w:rsidP="00666ECE">
            <w:pPr>
              <w:keepNext/>
              <w:keepLines/>
              <w:spacing w:after="40" w:line="220" w:lineRule="atLeast"/>
              <w:ind w:left="136" w:right="113"/>
              <w:rPr>
                <w:rFonts w:ascii="Arial" w:hAnsi="Arial"/>
                <w:sz w:val="20"/>
                <w:szCs w:val="20"/>
              </w:rPr>
            </w:pPr>
            <w:r w:rsidRPr="00666ECE">
              <w:rPr>
                <w:rFonts w:ascii="Arial" w:hAnsi="Arial"/>
                <w:sz w:val="20"/>
                <w:szCs w:val="20"/>
              </w:rPr>
              <w:t>Primary</w:t>
            </w:r>
          </w:p>
        </w:tc>
        <w:tc>
          <w:tcPr>
            <w:tcW w:w="567" w:type="dxa"/>
          </w:tcPr>
          <w:p w:rsidR="002D7C16" w:rsidRPr="00D31D27" w:rsidRDefault="00E91307" w:rsidP="00E91307">
            <w:pPr>
              <w:pStyle w:val="TableBodyText"/>
            </w:pPr>
            <w:r>
              <w:t>%</w:t>
            </w:r>
          </w:p>
        </w:tc>
        <w:tc>
          <w:tcPr>
            <w:tcW w:w="708" w:type="dxa"/>
          </w:tcPr>
          <w:p w:rsidR="002D7C16" w:rsidRPr="00D31D27" w:rsidRDefault="002D7C16" w:rsidP="00D31D27">
            <w:pPr>
              <w:pStyle w:val="TableBodyText"/>
            </w:pPr>
            <w:r w:rsidRPr="00D31D27">
              <w:t>76.8</w:t>
            </w:r>
          </w:p>
        </w:tc>
        <w:tc>
          <w:tcPr>
            <w:tcW w:w="709" w:type="dxa"/>
            <w:gridSpan w:val="2"/>
          </w:tcPr>
          <w:p w:rsidR="002D7C16" w:rsidRPr="00D31D27" w:rsidRDefault="002D7C16" w:rsidP="00D31D27">
            <w:pPr>
              <w:pStyle w:val="TableBodyText"/>
            </w:pPr>
            <w:r w:rsidRPr="00D31D27">
              <w:t>72.8</w:t>
            </w:r>
          </w:p>
        </w:tc>
        <w:tc>
          <w:tcPr>
            <w:tcW w:w="709" w:type="dxa"/>
            <w:gridSpan w:val="2"/>
          </w:tcPr>
          <w:p w:rsidR="002D7C16" w:rsidRPr="00D31D27" w:rsidRDefault="002D7C16" w:rsidP="00D31D27">
            <w:pPr>
              <w:pStyle w:val="TableBodyText"/>
            </w:pPr>
            <w:r w:rsidRPr="00D31D27">
              <w:t>79.9</w:t>
            </w:r>
          </w:p>
        </w:tc>
        <w:tc>
          <w:tcPr>
            <w:tcW w:w="709" w:type="dxa"/>
            <w:gridSpan w:val="2"/>
          </w:tcPr>
          <w:p w:rsidR="002D7C16" w:rsidRPr="00D31D27" w:rsidRDefault="002D7C16" w:rsidP="00D31D27">
            <w:pPr>
              <w:pStyle w:val="TableBodyText"/>
            </w:pPr>
            <w:r w:rsidRPr="00D31D27">
              <w:t>77.5</w:t>
            </w:r>
          </w:p>
        </w:tc>
        <w:tc>
          <w:tcPr>
            <w:tcW w:w="708" w:type="dxa"/>
            <w:gridSpan w:val="2"/>
          </w:tcPr>
          <w:p w:rsidR="002D7C16" w:rsidRPr="00D31D27" w:rsidRDefault="002D7C16" w:rsidP="00D31D27">
            <w:pPr>
              <w:pStyle w:val="TableBodyText"/>
            </w:pPr>
            <w:r w:rsidRPr="00D31D27">
              <w:t>79.2</w:t>
            </w:r>
          </w:p>
        </w:tc>
        <w:tc>
          <w:tcPr>
            <w:tcW w:w="709" w:type="dxa"/>
            <w:gridSpan w:val="2"/>
          </w:tcPr>
          <w:p w:rsidR="002D7C16" w:rsidRPr="00D31D27" w:rsidRDefault="002D7C16" w:rsidP="00D31D27">
            <w:pPr>
              <w:pStyle w:val="TableBodyText"/>
            </w:pPr>
            <w:r w:rsidRPr="00D31D27">
              <w:t>82.1</w:t>
            </w:r>
          </w:p>
        </w:tc>
        <w:tc>
          <w:tcPr>
            <w:tcW w:w="709" w:type="dxa"/>
            <w:gridSpan w:val="2"/>
          </w:tcPr>
          <w:p w:rsidR="002D7C16" w:rsidRPr="00D31D27" w:rsidRDefault="002D7C16" w:rsidP="00D31D27">
            <w:pPr>
              <w:pStyle w:val="TableBodyText"/>
            </w:pPr>
            <w:r w:rsidRPr="00D31D27">
              <w:t>67.9</w:t>
            </w:r>
          </w:p>
        </w:tc>
        <w:tc>
          <w:tcPr>
            <w:tcW w:w="709" w:type="dxa"/>
            <w:gridSpan w:val="2"/>
          </w:tcPr>
          <w:p w:rsidR="002D7C16" w:rsidRPr="00D31D27" w:rsidRDefault="002D7C16" w:rsidP="00D31D27">
            <w:pPr>
              <w:pStyle w:val="TableBodyText"/>
            </w:pPr>
            <w:r w:rsidRPr="00D31D27">
              <w:t>84.5</w:t>
            </w:r>
          </w:p>
        </w:tc>
        <w:tc>
          <w:tcPr>
            <w:tcW w:w="709" w:type="dxa"/>
            <w:gridSpan w:val="2"/>
          </w:tcPr>
          <w:p w:rsidR="002D7C16" w:rsidRPr="00D31D27" w:rsidRDefault="002D7C16" w:rsidP="00D31D27">
            <w:pPr>
              <w:pStyle w:val="TableBodyText"/>
            </w:pPr>
            <w:r w:rsidRPr="00D31D27">
              <w:t>76.7</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Secondary</w:t>
            </w:r>
          </w:p>
        </w:tc>
        <w:tc>
          <w:tcPr>
            <w:tcW w:w="567" w:type="dxa"/>
          </w:tcPr>
          <w:p w:rsidR="00E91307" w:rsidRDefault="00E91307" w:rsidP="00E91307">
            <w:pPr>
              <w:pStyle w:val="TableBodyText"/>
            </w:pPr>
            <w:r w:rsidRPr="00F03FF1">
              <w:t>%</w:t>
            </w:r>
          </w:p>
        </w:tc>
        <w:tc>
          <w:tcPr>
            <w:tcW w:w="708" w:type="dxa"/>
          </w:tcPr>
          <w:p w:rsidR="00E91307" w:rsidRPr="00D31D27" w:rsidRDefault="00E91307" w:rsidP="00D31D27">
            <w:pPr>
              <w:pStyle w:val="TableBodyText"/>
            </w:pPr>
            <w:r w:rsidRPr="00D31D27">
              <w:t>71.8</w:t>
            </w:r>
          </w:p>
        </w:tc>
        <w:tc>
          <w:tcPr>
            <w:tcW w:w="709" w:type="dxa"/>
            <w:gridSpan w:val="2"/>
          </w:tcPr>
          <w:p w:rsidR="00E91307" w:rsidRPr="00D31D27" w:rsidRDefault="00E91307" w:rsidP="00D31D27">
            <w:pPr>
              <w:pStyle w:val="TableBodyText"/>
            </w:pPr>
            <w:r w:rsidRPr="00D31D27">
              <w:t>71.3</w:t>
            </w:r>
          </w:p>
        </w:tc>
        <w:tc>
          <w:tcPr>
            <w:tcW w:w="709" w:type="dxa"/>
            <w:gridSpan w:val="2"/>
          </w:tcPr>
          <w:p w:rsidR="00E91307" w:rsidRPr="00D31D27" w:rsidRDefault="00E91307" w:rsidP="00D31D27">
            <w:pPr>
              <w:pStyle w:val="TableBodyText"/>
            </w:pPr>
            <w:r w:rsidRPr="00D31D27">
              <w:t>71.1</w:t>
            </w:r>
          </w:p>
        </w:tc>
        <w:tc>
          <w:tcPr>
            <w:tcW w:w="709" w:type="dxa"/>
            <w:gridSpan w:val="2"/>
          </w:tcPr>
          <w:p w:rsidR="00E91307" w:rsidRPr="00D31D27" w:rsidRDefault="00E91307" w:rsidP="00D31D27">
            <w:pPr>
              <w:pStyle w:val="TableBodyText"/>
            </w:pPr>
            <w:r w:rsidRPr="00D31D27">
              <w:t>91.4</w:t>
            </w:r>
          </w:p>
        </w:tc>
        <w:tc>
          <w:tcPr>
            <w:tcW w:w="708" w:type="dxa"/>
            <w:gridSpan w:val="2"/>
          </w:tcPr>
          <w:p w:rsidR="00E91307" w:rsidRPr="00D31D27" w:rsidRDefault="00E91307" w:rsidP="00D31D27">
            <w:pPr>
              <w:pStyle w:val="TableBodyText"/>
            </w:pPr>
            <w:r w:rsidRPr="00D31D27">
              <w:t>78.2</w:t>
            </w:r>
          </w:p>
        </w:tc>
        <w:tc>
          <w:tcPr>
            <w:tcW w:w="709" w:type="dxa"/>
            <w:gridSpan w:val="2"/>
          </w:tcPr>
          <w:p w:rsidR="00E91307" w:rsidRPr="00D31D27" w:rsidRDefault="00E91307" w:rsidP="00D31D27">
            <w:pPr>
              <w:pStyle w:val="TableBodyText"/>
            </w:pPr>
            <w:r w:rsidRPr="00D31D27">
              <w:t>88.4</w:t>
            </w:r>
          </w:p>
        </w:tc>
        <w:tc>
          <w:tcPr>
            <w:tcW w:w="709" w:type="dxa"/>
            <w:gridSpan w:val="2"/>
          </w:tcPr>
          <w:p w:rsidR="00E91307" w:rsidRPr="00D31D27" w:rsidRDefault="00E91307" w:rsidP="00D31D27">
            <w:pPr>
              <w:pStyle w:val="TableBodyText"/>
            </w:pPr>
            <w:r w:rsidRPr="00D31D27">
              <w:t>78.3</w:t>
            </w:r>
          </w:p>
        </w:tc>
        <w:tc>
          <w:tcPr>
            <w:tcW w:w="709" w:type="dxa"/>
            <w:gridSpan w:val="2"/>
          </w:tcPr>
          <w:p w:rsidR="00E91307" w:rsidRPr="00D31D27" w:rsidRDefault="00E91307" w:rsidP="00D31D27">
            <w:pPr>
              <w:pStyle w:val="TableBodyText"/>
            </w:pPr>
            <w:r w:rsidRPr="00D31D27">
              <w:t>62.5</w:t>
            </w:r>
          </w:p>
        </w:tc>
        <w:tc>
          <w:tcPr>
            <w:tcW w:w="709" w:type="dxa"/>
            <w:gridSpan w:val="2"/>
          </w:tcPr>
          <w:p w:rsidR="00E91307" w:rsidRPr="00D31D27" w:rsidRDefault="00E91307" w:rsidP="00D31D27">
            <w:pPr>
              <w:pStyle w:val="TableBodyText"/>
            </w:pPr>
            <w:r w:rsidRPr="00D31D27">
              <w:t>73.9</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Combined</w:t>
            </w:r>
            <w:r w:rsidRPr="00666ECE">
              <w:rPr>
                <w:rFonts w:ascii="Arial" w:hAnsi="Arial"/>
                <w:b/>
                <w:position w:val="6"/>
                <w:sz w:val="18"/>
                <w:szCs w:val="20"/>
              </w:rPr>
              <w:t>a</w:t>
            </w:r>
          </w:p>
        </w:tc>
        <w:tc>
          <w:tcPr>
            <w:tcW w:w="567" w:type="dxa"/>
          </w:tcPr>
          <w:p w:rsidR="00E91307" w:rsidRDefault="00E91307" w:rsidP="00E91307">
            <w:pPr>
              <w:pStyle w:val="TableBodyText"/>
            </w:pPr>
            <w:r w:rsidRPr="00F03FF1">
              <w:t>%</w:t>
            </w:r>
          </w:p>
        </w:tc>
        <w:tc>
          <w:tcPr>
            <w:tcW w:w="708" w:type="dxa"/>
          </w:tcPr>
          <w:p w:rsidR="00E91307" w:rsidRPr="00D31D27" w:rsidRDefault="00E91307" w:rsidP="00D31D27">
            <w:pPr>
              <w:pStyle w:val="TableBodyText"/>
            </w:pPr>
            <w:r w:rsidRPr="00D31D27">
              <w:t>21.8</w:t>
            </w:r>
          </w:p>
        </w:tc>
        <w:tc>
          <w:tcPr>
            <w:tcW w:w="709" w:type="dxa"/>
            <w:gridSpan w:val="2"/>
          </w:tcPr>
          <w:p w:rsidR="00E91307" w:rsidRPr="00D31D27" w:rsidRDefault="00E91307" w:rsidP="00D31D27">
            <w:pPr>
              <w:pStyle w:val="TableBodyText"/>
            </w:pPr>
            <w:r w:rsidRPr="00D31D27">
              <w:t>33.6</w:t>
            </w:r>
          </w:p>
        </w:tc>
        <w:tc>
          <w:tcPr>
            <w:tcW w:w="709" w:type="dxa"/>
            <w:gridSpan w:val="2"/>
          </w:tcPr>
          <w:p w:rsidR="00E91307" w:rsidRPr="00D31D27" w:rsidRDefault="00E91307" w:rsidP="00D31D27">
            <w:pPr>
              <w:pStyle w:val="TableBodyText"/>
            </w:pPr>
            <w:r w:rsidRPr="00D31D27">
              <w:t>37.4</w:t>
            </w:r>
          </w:p>
        </w:tc>
        <w:tc>
          <w:tcPr>
            <w:tcW w:w="709" w:type="dxa"/>
            <w:gridSpan w:val="2"/>
          </w:tcPr>
          <w:p w:rsidR="00E91307" w:rsidRPr="00D31D27" w:rsidRDefault="00E91307" w:rsidP="00D31D27">
            <w:pPr>
              <w:pStyle w:val="TableBodyText"/>
            </w:pPr>
            <w:r w:rsidRPr="00D31D27">
              <w:t>40.5</w:t>
            </w:r>
          </w:p>
        </w:tc>
        <w:tc>
          <w:tcPr>
            <w:tcW w:w="708" w:type="dxa"/>
            <w:gridSpan w:val="2"/>
          </w:tcPr>
          <w:p w:rsidR="00E91307" w:rsidRPr="00D31D27" w:rsidRDefault="00E91307" w:rsidP="00D31D27">
            <w:pPr>
              <w:pStyle w:val="TableBodyText"/>
            </w:pPr>
            <w:r w:rsidRPr="00D31D27">
              <w:t>52.1</w:t>
            </w:r>
          </w:p>
        </w:tc>
        <w:tc>
          <w:tcPr>
            <w:tcW w:w="709" w:type="dxa"/>
            <w:gridSpan w:val="2"/>
          </w:tcPr>
          <w:p w:rsidR="00E91307" w:rsidRPr="00D31D27" w:rsidRDefault="00E91307" w:rsidP="00D31D27">
            <w:pPr>
              <w:pStyle w:val="TableBodyText"/>
            </w:pPr>
            <w:r w:rsidRPr="00D31D27">
              <w:t>45.6</w:t>
            </w:r>
          </w:p>
        </w:tc>
        <w:tc>
          <w:tcPr>
            <w:tcW w:w="709" w:type="dxa"/>
            <w:gridSpan w:val="2"/>
          </w:tcPr>
          <w:p w:rsidR="00E91307" w:rsidRPr="00D31D27" w:rsidRDefault="00E91307" w:rsidP="00D31D27">
            <w:pPr>
              <w:pStyle w:val="TableBodyText"/>
            </w:pPr>
            <w:r w:rsidRPr="00D31D27">
              <w:t>40.9</w:t>
            </w:r>
          </w:p>
        </w:tc>
        <w:tc>
          <w:tcPr>
            <w:tcW w:w="709" w:type="dxa"/>
            <w:gridSpan w:val="2"/>
          </w:tcPr>
          <w:p w:rsidR="00E91307" w:rsidRPr="00D31D27" w:rsidRDefault="00E91307" w:rsidP="00D31D27">
            <w:pPr>
              <w:pStyle w:val="TableBodyText"/>
            </w:pPr>
            <w:r w:rsidRPr="00D31D27">
              <w:t>81.1</w:t>
            </w:r>
          </w:p>
        </w:tc>
        <w:tc>
          <w:tcPr>
            <w:tcW w:w="709" w:type="dxa"/>
            <w:gridSpan w:val="2"/>
          </w:tcPr>
          <w:p w:rsidR="00E91307" w:rsidRPr="00D31D27" w:rsidRDefault="00E91307" w:rsidP="00D31D27">
            <w:pPr>
              <w:pStyle w:val="TableBodyText"/>
            </w:pPr>
            <w:r w:rsidRPr="00D31D27">
              <w:t>38.7</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Special schools</w:t>
            </w:r>
            <w:r w:rsidRPr="00666ECE">
              <w:rPr>
                <w:rFonts w:ascii="Arial" w:hAnsi="Arial"/>
                <w:b/>
                <w:position w:val="6"/>
                <w:sz w:val="18"/>
                <w:szCs w:val="20"/>
              </w:rPr>
              <w:t>b</w:t>
            </w:r>
          </w:p>
        </w:tc>
        <w:tc>
          <w:tcPr>
            <w:tcW w:w="567" w:type="dxa"/>
          </w:tcPr>
          <w:p w:rsidR="00E91307" w:rsidRDefault="00E91307" w:rsidP="00E91307">
            <w:pPr>
              <w:pStyle w:val="TableBodyText"/>
            </w:pPr>
            <w:r w:rsidRPr="00F03FF1">
              <w:t>%</w:t>
            </w:r>
          </w:p>
        </w:tc>
        <w:tc>
          <w:tcPr>
            <w:tcW w:w="708" w:type="dxa"/>
          </w:tcPr>
          <w:p w:rsidR="00E91307" w:rsidRPr="00D31D27" w:rsidRDefault="00E91307" w:rsidP="00D31D27">
            <w:pPr>
              <w:pStyle w:val="TableBodyText"/>
            </w:pPr>
            <w:r w:rsidRPr="00D31D27">
              <w:t>72.8</w:t>
            </w:r>
          </w:p>
        </w:tc>
        <w:tc>
          <w:tcPr>
            <w:tcW w:w="709" w:type="dxa"/>
            <w:gridSpan w:val="2"/>
          </w:tcPr>
          <w:p w:rsidR="00E91307" w:rsidRPr="00D31D27" w:rsidRDefault="00E91307" w:rsidP="00D31D27">
            <w:pPr>
              <w:pStyle w:val="TableBodyText"/>
            </w:pPr>
            <w:r w:rsidRPr="00D31D27">
              <w:t>80.0</w:t>
            </w:r>
          </w:p>
        </w:tc>
        <w:tc>
          <w:tcPr>
            <w:tcW w:w="709" w:type="dxa"/>
            <w:gridSpan w:val="2"/>
          </w:tcPr>
          <w:p w:rsidR="00E91307" w:rsidRPr="00D31D27" w:rsidRDefault="00E91307" w:rsidP="00D31D27">
            <w:pPr>
              <w:pStyle w:val="TableBodyText"/>
            </w:pPr>
            <w:r w:rsidRPr="00D31D27">
              <w:t>73.0</w:t>
            </w:r>
          </w:p>
        </w:tc>
        <w:tc>
          <w:tcPr>
            <w:tcW w:w="709" w:type="dxa"/>
            <w:gridSpan w:val="2"/>
          </w:tcPr>
          <w:p w:rsidR="00E91307" w:rsidRPr="00D31D27" w:rsidRDefault="00E91307" w:rsidP="00D31D27">
            <w:pPr>
              <w:pStyle w:val="TableBodyText"/>
            </w:pPr>
            <w:r w:rsidRPr="00D31D27">
              <w:t>85.7</w:t>
            </w:r>
          </w:p>
        </w:tc>
        <w:tc>
          <w:tcPr>
            <w:tcW w:w="708" w:type="dxa"/>
            <w:gridSpan w:val="2"/>
          </w:tcPr>
          <w:p w:rsidR="00E91307" w:rsidRPr="00D31D27" w:rsidRDefault="00E91307" w:rsidP="00D31D27">
            <w:pPr>
              <w:pStyle w:val="TableBodyText"/>
            </w:pPr>
            <w:r w:rsidRPr="00D31D27">
              <w:t>85.7</w:t>
            </w:r>
          </w:p>
        </w:tc>
        <w:tc>
          <w:tcPr>
            <w:tcW w:w="709" w:type="dxa"/>
            <w:gridSpan w:val="2"/>
          </w:tcPr>
          <w:p w:rsidR="00E91307" w:rsidRPr="00D31D27" w:rsidRDefault="00E91307" w:rsidP="00D31D27">
            <w:pPr>
              <w:pStyle w:val="TableBodyText"/>
            </w:pPr>
            <w:r w:rsidRPr="00D31D27">
              <w:t>83.3</w:t>
            </w:r>
          </w:p>
        </w:tc>
        <w:tc>
          <w:tcPr>
            <w:tcW w:w="709" w:type="dxa"/>
            <w:gridSpan w:val="2"/>
          </w:tcPr>
          <w:p w:rsidR="00E91307" w:rsidRPr="00D31D27" w:rsidRDefault="00E91307" w:rsidP="00D31D27">
            <w:pPr>
              <w:pStyle w:val="TableBodyText"/>
            </w:pPr>
            <w:r w:rsidRPr="00D31D27">
              <w:t>80.0</w:t>
            </w:r>
          </w:p>
        </w:tc>
        <w:tc>
          <w:tcPr>
            <w:tcW w:w="709" w:type="dxa"/>
            <w:gridSpan w:val="2"/>
          </w:tcPr>
          <w:p w:rsidR="00E91307" w:rsidRPr="00D31D27" w:rsidRDefault="00E91307" w:rsidP="00D31D27">
            <w:pPr>
              <w:pStyle w:val="TableBodyText"/>
            </w:pPr>
            <w:r w:rsidRPr="00D31D27">
              <w:t>83.3</w:t>
            </w:r>
          </w:p>
        </w:tc>
        <w:tc>
          <w:tcPr>
            <w:tcW w:w="709" w:type="dxa"/>
            <w:gridSpan w:val="2"/>
          </w:tcPr>
          <w:p w:rsidR="00E91307" w:rsidRPr="00D31D27" w:rsidRDefault="00E91307" w:rsidP="00D31D27">
            <w:pPr>
              <w:pStyle w:val="TableBodyText"/>
            </w:pPr>
            <w:r w:rsidRPr="00D31D27">
              <w:t>77.8</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b/>
                <w:sz w:val="20"/>
                <w:szCs w:val="20"/>
              </w:rPr>
            </w:pPr>
            <w:r w:rsidRPr="00666ECE">
              <w:rPr>
                <w:rFonts w:ascii="Arial" w:hAnsi="Arial"/>
                <w:b/>
                <w:sz w:val="20"/>
                <w:szCs w:val="20"/>
              </w:rPr>
              <w:t>All schools</w:t>
            </w:r>
          </w:p>
        </w:tc>
        <w:tc>
          <w:tcPr>
            <w:tcW w:w="567" w:type="dxa"/>
          </w:tcPr>
          <w:p w:rsidR="00E91307" w:rsidRPr="00EF142D" w:rsidRDefault="00E91307" w:rsidP="00E91307">
            <w:pPr>
              <w:pStyle w:val="TableBodyText"/>
              <w:rPr>
                <w:b/>
              </w:rPr>
            </w:pPr>
            <w:r w:rsidRPr="00EF142D">
              <w:rPr>
                <w:b/>
              </w:rPr>
              <w:t>%</w:t>
            </w:r>
          </w:p>
        </w:tc>
        <w:tc>
          <w:tcPr>
            <w:tcW w:w="708" w:type="dxa"/>
          </w:tcPr>
          <w:p w:rsidR="00E91307" w:rsidRPr="00EF142D" w:rsidRDefault="00E91307" w:rsidP="00D31D27">
            <w:pPr>
              <w:pStyle w:val="TableBodyText"/>
              <w:rPr>
                <w:b/>
              </w:rPr>
            </w:pPr>
            <w:r w:rsidRPr="00EF142D">
              <w:rPr>
                <w:b/>
              </w:rPr>
              <w:t>70.4</w:t>
            </w:r>
          </w:p>
        </w:tc>
        <w:tc>
          <w:tcPr>
            <w:tcW w:w="709" w:type="dxa"/>
            <w:gridSpan w:val="2"/>
          </w:tcPr>
          <w:p w:rsidR="00E91307" w:rsidRPr="00EF142D" w:rsidRDefault="00E91307" w:rsidP="00D31D27">
            <w:pPr>
              <w:pStyle w:val="TableBodyText"/>
              <w:rPr>
                <w:b/>
              </w:rPr>
            </w:pPr>
            <w:r w:rsidRPr="00EF142D">
              <w:rPr>
                <w:b/>
              </w:rPr>
              <w:t>68.7</w:t>
            </w:r>
          </w:p>
        </w:tc>
        <w:tc>
          <w:tcPr>
            <w:tcW w:w="709" w:type="dxa"/>
            <w:gridSpan w:val="2"/>
          </w:tcPr>
          <w:p w:rsidR="00E91307" w:rsidRPr="00EF142D" w:rsidRDefault="00E91307" w:rsidP="00D31D27">
            <w:pPr>
              <w:pStyle w:val="TableBodyText"/>
              <w:rPr>
                <w:b/>
              </w:rPr>
            </w:pPr>
            <w:r w:rsidRPr="00EF142D">
              <w:rPr>
                <w:b/>
              </w:rPr>
              <w:t>72.2</w:t>
            </w:r>
          </w:p>
        </w:tc>
        <w:tc>
          <w:tcPr>
            <w:tcW w:w="709" w:type="dxa"/>
            <w:gridSpan w:val="2"/>
          </w:tcPr>
          <w:p w:rsidR="00E91307" w:rsidRPr="00EF142D" w:rsidRDefault="00E91307" w:rsidP="00D31D27">
            <w:pPr>
              <w:pStyle w:val="TableBodyText"/>
              <w:rPr>
                <w:b/>
              </w:rPr>
            </w:pPr>
            <w:r w:rsidRPr="00EF142D">
              <w:rPr>
                <w:b/>
              </w:rPr>
              <w:t>71.8</w:t>
            </w:r>
          </w:p>
        </w:tc>
        <w:tc>
          <w:tcPr>
            <w:tcW w:w="708" w:type="dxa"/>
            <w:gridSpan w:val="2"/>
          </w:tcPr>
          <w:p w:rsidR="00E91307" w:rsidRPr="00EF142D" w:rsidRDefault="00E91307" w:rsidP="00D31D27">
            <w:pPr>
              <w:pStyle w:val="TableBodyText"/>
              <w:rPr>
                <w:b/>
              </w:rPr>
            </w:pPr>
            <w:r w:rsidRPr="00EF142D">
              <w:rPr>
                <w:b/>
              </w:rPr>
              <w:t>74.0</w:t>
            </w:r>
          </w:p>
        </w:tc>
        <w:tc>
          <w:tcPr>
            <w:tcW w:w="709" w:type="dxa"/>
            <w:gridSpan w:val="2"/>
          </w:tcPr>
          <w:p w:rsidR="00E91307" w:rsidRPr="00EF142D" w:rsidRDefault="00E91307" w:rsidP="00D31D27">
            <w:pPr>
              <w:pStyle w:val="TableBodyText"/>
              <w:rPr>
                <w:b/>
              </w:rPr>
            </w:pPr>
            <w:r w:rsidRPr="00EF142D">
              <w:rPr>
                <w:b/>
              </w:rPr>
              <w:t>75.2</w:t>
            </w:r>
          </w:p>
        </w:tc>
        <w:tc>
          <w:tcPr>
            <w:tcW w:w="709" w:type="dxa"/>
            <w:gridSpan w:val="2"/>
          </w:tcPr>
          <w:p w:rsidR="00E91307" w:rsidRPr="00EF142D" w:rsidRDefault="00E91307" w:rsidP="00D31D27">
            <w:pPr>
              <w:pStyle w:val="TableBodyText"/>
              <w:rPr>
                <w:b/>
              </w:rPr>
            </w:pPr>
            <w:r w:rsidRPr="00EF142D">
              <w:rPr>
                <w:b/>
              </w:rPr>
              <w:t>65.6</w:t>
            </w:r>
          </w:p>
        </w:tc>
        <w:tc>
          <w:tcPr>
            <w:tcW w:w="709" w:type="dxa"/>
            <w:gridSpan w:val="2"/>
          </w:tcPr>
          <w:p w:rsidR="00E91307" w:rsidRPr="00EF142D" w:rsidRDefault="00E91307" w:rsidP="00D31D27">
            <w:pPr>
              <w:pStyle w:val="TableBodyText"/>
              <w:rPr>
                <w:b/>
              </w:rPr>
            </w:pPr>
            <w:r w:rsidRPr="00EF142D">
              <w:rPr>
                <w:b/>
              </w:rPr>
              <w:t>80.1</w:t>
            </w:r>
          </w:p>
        </w:tc>
        <w:tc>
          <w:tcPr>
            <w:tcW w:w="709" w:type="dxa"/>
            <w:gridSpan w:val="2"/>
          </w:tcPr>
          <w:p w:rsidR="00E91307" w:rsidRPr="00EF142D" w:rsidRDefault="00E91307" w:rsidP="00D31D27">
            <w:pPr>
              <w:pStyle w:val="TableBodyText"/>
              <w:rPr>
                <w:b/>
              </w:rPr>
            </w:pPr>
            <w:r w:rsidRPr="00EF142D">
              <w:rPr>
                <w:b/>
              </w:rPr>
              <w:t>71.0</w:t>
            </w:r>
          </w:p>
        </w:tc>
      </w:tr>
      <w:tr w:rsidR="00E91307" w:rsidRPr="00666ECE" w:rsidTr="00D54C12">
        <w:tc>
          <w:tcPr>
            <w:tcW w:w="8789" w:type="dxa"/>
            <w:gridSpan w:val="19"/>
          </w:tcPr>
          <w:p w:rsidR="00E91307" w:rsidRPr="00D31D27" w:rsidRDefault="00E91307" w:rsidP="00E91307">
            <w:pPr>
              <w:pStyle w:val="TableBodyText"/>
              <w:jc w:val="left"/>
            </w:pPr>
            <w:r w:rsidRPr="00D31D27">
              <w:t>Proportion of schools that are primary schools (%)</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Government</w:t>
            </w:r>
          </w:p>
        </w:tc>
        <w:tc>
          <w:tcPr>
            <w:tcW w:w="567" w:type="dxa"/>
          </w:tcPr>
          <w:p w:rsidR="00E91307" w:rsidRDefault="00E91307" w:rsidP="00E91307">
            <w:pPr>
              <w:pStyle w:val="TableBodyText"/>
            </w:pPr>
            <w:r w:rsidRPr="00663C7C">
              <w:t>%</w:t>
            </w:r>
          </w:p>
        </w:tc>
        <w:tc>
          <w:tcPr>
            <w:tcW w:w="708" w:type="dxa"/>
          </w:tcPr>
          <w:p w:rsidR="00E91307" w:rsidRPr="00D31D27" w:rsidRDefault="00E91307" w:rsidP="00D31D27">
            <w:pPr>
              <w:pStyle w:val="TableBodyText"/>
            </w:pPr>
            <w:r w:rsidRPr="00D31D27">
              <w:t>74.8</w:t>
            </w:r>
          </w:p>
        </w:tc>
        <w:tc>
          <w:tcPr>
            <w:tcW w:w="709" w:type="dxa"/>
            <w:gridSpan w:val="2"/>
          </w:tcPr>
          <w:p w:rsidR="00E91307" w:rsidRPr="00D31D27" w:rsidRDefault="00E91307" w:rsidP="00D31D27">
            <w:pPr>
              <w:pStyle w:val="TableBodyText"/>
            </w:pPr>
            <w:r w:rsidRPr="00D31D27">
              <w:t>74.0</w:t>
            </w:r>
          </w:p>
        </w:tc>
        <w:tc>
          <w:tcPr>
            <w:tcW w:w="709" w:type="dxa"/>
            <w:gridSpan w:val="2"/>
          </w:tcPr>
          <w:p w:rsidR="00E91307" w:rsidRPr="00D31D27" w:rsidRDefault="00E91307" w:rsidP="00D31D27">
            <w:pPr>
              <w:pStyle w:val="TableBodyText"/>
            </w:pPr>
            <w:r w:rsidRPr="00D31D27">
              <w:t>74.3</w:t>
            </w:r>
          </w:p>
        </w:tc>
        <w:tc>
          <w:tcPr>
            <w:tcW w:w="709" w:type="dxa"/>
            <w:gridSpan w:val="2"/>
          </w:tcPr>
          <w:p w:rsidR="00E91307" w:rsidRPr="00D31D27" w:rsidRDefault="00E91307" w:rsidP="00D31D27">
            <w:pPr>
              <w:pStyle w:val="TableBodyText"/>
            </w:pPr>
            <w:r w:rsidRPr="00D31D27">
              <w:t>67.1</w:t>
            </w:r>
          </w:p>
        </w:tc>
        <w:tc>
          <w:tcPr>
            <w:tcW w:w="708" w:type="dxa"/>
            <w:gridSpan w:val="2"/>
          </w:tcPr>
          <w:p w:rsidR="00E91307" w:rsidRPr="00D31D27" w:rsidRDefault="00E91307" w:rsidP="00D31D27">
            <w:pPr>
              <w:pStyle w:val="TableBodyText"/>
            </w:pPr>
            <w:r w:rsidRPr="00D31D27">
              <w:t>70.8</w:t>
            </w:r>
          </w:p>
        </w:tc>
        <w:tc>
          <w:tcPr>
            <w:tcW w:w="709" w:type="dxa"/>
            <w:gridSpan w:val="2"/>
          </w:tcPr>
          <w:p w:rsidR="00E91307" w:rsidRPr="00D31D27" w:rsidRDefault="00E91307" w:rsidP="00D31D27">
            <w:pPr>
              <w:pStyle w:val="TableBodyText"/>
            </w:pPr>
            <w:r w:rsidRPr="00D31D27">
              <w:t>65.0</w:t>
            </w:r>
          </w:p>
        </w:tc>
        <w:tc>
          <w:tcPr>
            <w:tcW w:w="709" w:type="dxa"/>
            <w:gridSpan w:val="2"/>
          </w:tcPr>
          <w:p w:rsidR="00E91307" w:rsidRPr="00D31D27" w:rsidRDefault="00E91307" w:rsidP="00D31D27">
            <w:pPr>
              <w:pStyle w:val="TableBodyText"/>
            </w:pPr>
            <w:r w:rsidRPr="00D31D27">
              <w:t>63.1</w:t>
            </w:r>
          </w:p>
        </w:tc>
        <w:tc>
          <w:tcPr>
            <w:tcW w:w="709" w:type="dxa"/>
            <w:gridSpan w:val="2"/>
          </w:tcPr>
          <w:p w:rsidR="00E91307" w:rsidRPr="00D31D27" w:rsidRDefault="00E91307" w:rsidP="00D31D27">
            <w:pPr>
              <w:pStyle w:val="TableBodyText"/>
            </w:pPr>
            <w:r w:rsidRPr="00D31D27">
              <w:t>39.2</w:t>
            </w:r>
          </w:p>
        </w:tc>
        <w:tc>
          <w:tcPr>
            <w:tcW w:w="709" w:type="dxa"/>
            <w:gridSpan w:val="2"/>
          </w:tcPr>
          <w:p w:rsidR="00E91307" w:rsidRPr="00D31D27" w:rsidRDefault="00E91307" w:rsidP="00D31D27">
            <w:pPr>
              <w:pStyle w:val="TableBodyText"/>
            </w:pPr>
            <w:r w:rsidRPr="00D31D27">
              <w:t>72.1</w:t>
            </w:r>
          </w:p>
        </w:tc>
      </w:tr>
      <w:tr w:rsidR="00D54C12" w:rsidRPr="00666ECE" w:rsidTr="00D54C12">
        <w:tc>
          <w:tcPr>
            <w:tcW w:w="1843" w:type="dxa"/>
          </w:tcPr>
          <w:p w:rsidR="00E91307" w:rsidRPr="00666ECE" w:rsidRDefault="00E91307" w:rsidP="00666ECE">
            <w:pPr>
              <w:keepNext/>
              <w:keepLines/>
              <w:spacing w:after="40" w:line="220" w:lineRule="atLeast"/>
              <w:ind w:left="136" w:right="113"/>
              <w:rPr>
                <w:rFonts w:ascii="Arial" w:hAnsi="Arial"/>
                <w:sz w:val="20"/>
                <w:szCs w:val="20"/>
              </w:rPr>
            </w:pPr>
            <w:r w:rsidRPr="00666ECE">
              <w:rPr>
                <w:rFonts w:ascii="Arial" w:hAnsi="Arial"/>
                <w:sz w:val="20"/>
                <w:szCs w:val="20"/>
              </w:rPr>
              <w:t>Non-government</w:t>
            </w:r>
          </w:p>
        </w:tc>
        <w:tc>
          <w:tcPr>
            <w:tcW w:w="567" w:type="dxa"/>
          </w:tcPr>
          <w:p w:rsidR="00E91307" w:rsidRDefault="00E91307" w:rsidP="00E91307">
            <w:pPr>
              <w:pStyle w:val="TableBodyText"/>
            </w:pPr>
            <w:r w:rsidRPr="00663C7C">
              <w:t>%</w:t>
            </w:r>
          </w:p>
        </w:tc>
        <w:tc>
          <w:tcPr>
            <w:tcW w:w="708" w:type="dxa"/>
          </w:tcPr>
          <w:p w:rsidR="00E91307" w:rsidRPr="00D31D27" w:rsidRDefault="00E91307" w:rsidP="00D31D27">
            <w:pPr>
              <w:pStyle w:val="TableBodyText"/>
            </w:pPr>
            <w:r w:rsidRPr="00D31D27">
              <w:t>53.7</w:t>
            </w:r>
          </w:p>
        </w:tc>
        <w:tc>
          <w:tcPr>
            <w:tcW w:w="709" w:type="dxa"/>
            <w:gridSpan w:val="2"/>
          </w:tcPr>
          <w:p w:rsidR="00E91307" w:rsidRPr="00D31D27" w:rsidRDefault="00E91307" w:rsidP="00D31D27">
            <w:pPr>
              <w:pStyle w:val="TableBodyText"/>
            </w:pPr>
            <w:r w:rsidRPr="00D31D27">
              <w:t>60.9</w:t>
            </w:r>
          </w:p>
        </w:tc>
        <w:tc>
          <w:tcPr>
            <w:tcW w:w="709" w:type="dxa"/>
            <w:gridSpan w:val="2"/>
          </w:tcPr>
          <w:p w:rsidR="00E91307" w:rsidRPr="00D31D27" w:rsidRDefault="00E91307" w:rsidP="00D31D27">
            <w:pPr>
              <w:pStyle w:val="TableBodyText"/>
            </w:pPr>
            <w:r w:rsidRPr="00D31D27">
              <w:t>48.7</w:t>
            </w:r>
          </w:p>
        </w:tc>
        <w:tc>
          <w:tcPr>
            <w:tcW w:w="709" w:type="dxa"/>
            <w:gridSpan w:val="2"/>
          </w:tcPr>
          <w:p w:rsidR="00E91307" w:rsidRPr="00D31D27" w:rsidRDefault="00E91307" w:rsidP="00D31D27">
            <w:pPr>
              <w:pStyle w:val="TableBodyText"/>
            </w:pPr>
            <w:r w:rsidRPr="00D31D27">
              <w:t>49.5</w:t>
            </w:r>
          </w:p>
        </w:tc>
        <w:tc>
          <w:tcPr>
            <w:tcW w:w="708" w:type="dxa"/>
            <w:gridSpan w:val="2"/>
          </w:tcPr>
          <w:p w:rsidR="00E91307" w:rsidRPr="00D31D27" w:rsidRDefault="00E91307" w:rsidP="00D31D27">
            <w:pPr>
              <w:pStyle w:val="TableBodyText"/>
            </w:pPr>
            <w:r w:rsidRPr="00D31D27">
              <w:t>52.8</w:t>
            </w:r>
          </w:p>
        </w:tc>
        <w:tc>
          <w:tcPr>
            <w:tcW w:w="709" w:type="dxa"/>
            <w:gridSpan w:val="2"/>
          </w:tcPr>
          <w:p w:rsidR="00E91307" w:rsidRPr="00D31D27" w:rsidRDefault="00E91307" w:rsidP="00D31D27">
            <w:pPr>
              <w:pStyle w:val="TableBodyText"/>
            </w:pPr>
            <w:r w:rsidRPr="00D31D27">
              <w:t>43.1</w:t>
            </w:r>
          </w:p>
        </w:tc>
        <w:tc>
          <w:tcPr>
            <w:tcW w:w="709" w:type="dxa"/>
            <w:gridSpan w:val="2"/>
          </w:tcPr>
          <w:p w:rsidR="00E91307" w:rsidRPr="00D31D27" w:rsidRDefault="00E91307" w:rsidP="00D31D27">
            <w:pPr>
              <w:pStyle w:val="TableBodyText"/>
            </w:pPr>
            <w:r w:rsidRPr="00D31D27">
              <w:t>56.8</w:t>
            </w:r>
          </w:p>
        </w:tc>
        <w:tc>
          <w:tcPr>
            <w:tcW w:w="709" w:type="dxa"/>
            <w:gridSpan w:val="2"/>
          </w:tcPr>
          <w:p w:rsidR="00E91307" w:rsidRPr="00D31D27" w:rsidRDefault="00E91307" w:rsidP="00D31D27">
            <w:pPr>
              <w:pStyle w:val="TableBodyText"/>
            </w:pPr>
            <w:r w:rsidRPr="00D31D27">
              <w:t>28.9</w:t>
            </w:r>
          </w:p>
        </w:tc>
        <w:tc>
          <w:tcPr>
            <w:tcW w:w="709" w:type="dxa"/>
            <w:gridSpan w:val="2"/>
          </w:tcPr>
          <w:p w:rsidR="00E91307" w:rsidRPr="00D31D27" w:rsidRDefault="00E91307" w:rsidP="00D31D27">
            <w:pPr>
              <w:pStyle w:val="TableBodyText"/>
            </w:pPr>
            <w:r w:rsidRPr="00D31D27">
              <w:t>53.6</w:t>
            </w:r>
          </w:p>
        </w:tc>
      </w:tr>
      <w:tr w:rsidR="00D54C12" w:rsidRPr="00666ECE" w:rsidTr="00D54C12">
        <w:tc>
          <w:tcPr>
            <w:tcW w:w="1843" w:type="dxa"/>
            <w:tcBorders>
              <w:bottom w:val="single" w:sz="6" w:space="0" w:color="auto"/>
            </w:tcBorders>
            <w:shd w:val="clear" w:color="auto" w:fill="auto"/>
          </w:tcPr>
          <w:p w:rsidR="00E91307" w:rsidRPr="00666ECE" w:rsidRDefault="00E91307" w:rsidP="00666ECE">
            <w:pPr>
              <w:keepNext/>
              <w:keepLines/>
              <w:spacing w:after="40" w:line="220" w:lineRule="atLeast"/>
              <w:ind w:left="136" w:right="113"/>
              <w:rPr>
                <w:rFonts w:ascii="Arial" w:hAnsi="Arial"/>
                <w:b/>
                <w:sz w:val="20"/>
                <w:szCs w:val="20"/>
              </w:rPr>
            </w:pPr>
            <w:r w:rsidRPr="00666ECE">
              <w:rPr>
                <w:rFonts w:ascii="Arial" w:hAnsi="Arial"/>
                <w:b/>
                <w:sz w:val="20"/>
                <w:szCs w:val="20"/>
              </w:rPr>
              <w:t>All schools</w:t>
            </w:r>
          </w:p>
        </w:tc>
        <w:tc>
          <w:tcPr>
            <w:tcW w:w="567" w:type="dxa"/>
            <w:tcBorders>
              <w:bottom w:val="single" w:sz="6" w:space="0" w:color="auto"/>
            </w:tcBorders>
          </w:tcPr>
          <w:p w:rsidR="00E91307" w:rsidRPr="00EF142D" w:rsidRDefault="00E91307" w:rsidP="00E91307">
            <w:pPr>
              <w:pStyle w:val="TableBodyText"/>
              <w:rPr>
                <w:b/>
              </w:rPr>
            </w:pPr>
            <w:r w:rsidRPr="00EF142D">
              <w:rPr>
                <w:b/>
              </w:rPr>
              <w:t>%</w:t>
            </w:r>
          </w:p>
        </w:tc>
        <w:tc>
          <w:tcPr>
            <w:tcW w:w="708" w:type="dxa"/>
            <w:tcBorders>
              <w:bottom w:val="single" w:sz="6" w:space="0" w:color="auto"/>
            </w:tcBorders>
            <w:shd w:val="clear" w:color="auto" w:fill="auto"/>
          </w:tcPr>
          <w:p w:rsidR="00E91307" w:rsidRPr="00EF142D" w:rsidRDefault="00E91307" w:rsidP="00D31D27">
            <w:pPr>
              <w:pStyle w:val="TableBodyText"/>
              <w:rPr>
                <w:b/>
              </w:rPr>
            </w:pPr>
            <w:r w:rsidRPr="00EF142D">
              <w:rPr>
                <w:b/>
              </w:rPr>
              <w:t>68.6</w:t>
            </w:r>
          </w:p>
        </w:tc>
        <w:tc>
          <w:tcPr>
            <w:tcW w:w="709" w:type="dxa"/>
            <w:gridSpan w:val="2"/>
            <w:tcBorders>
              <w:bottom w:val="single" w:sz="6" w:space="0" w:color="auto"/>
            </w:tcBorders>
            <w:shd w:val="clear" w:color="auto" w:fill="auto"/>
          </w:tcPr>
          <w:p w:rsidR="00E91307" w:rsidRPr="00EF142D" w:rsidRDefault="00E91307" w:rsidP="00D31D27">
            <w:pPr>
              <w:pStyle w:val="TableBodyText"/>
              <w:rPr>
                <w:b/>
              </w:rPr>
            </w:pPr>
            <w:r w:rsidRPr="00EF142D">
              <w:rPr>
                <w:b/>
              </w:rPr>
              <w:t>69.9</w:t>
            </w:r>
          </w:p>
        </w:tc>
        <w:tc>
          <w:tcPr>
            <w:tcW w:w="709" w:type="dxa"/>
            <w:gridSpan w:val="2"/>
            <w:tcBorders>
              <w:bottom w:val="single" w:sz="6" w:space="0" w:color="auto"/>
            </w:tcBorders>
            <w:shd w:val="clear" w:color="auto" w:fill="auto"/>
          </w:tcPr>
          <w:p w:rsidR="00E91307" w:rsidRPr="00EF142D" w:rsidRDefault="00E91307" w:rsidP="00D31D27">
            <w:pPr>
              <w:pStyle w:val="TableBodyText"/>
              <w:rPr>
                <w:b/>
              </w:rPr>
            </w:pPr>
            <w:r w:rsidRPr="00EF142D">
              <w:rPr>
                <w:b/>
              </w:rPr>
              <w:t>67.2</w:t>
            </w:r>
          </w:p>
        </w:tc>
        <w:tc>
          <w:tcPr>
            <w:tcW w:w="709" w:type="dxa"/>
            <w:gridSpan w:val="2"/>
            <w:tcBorders>
              <w:bottom w:val="single" w:sz="6" w:space="0" w:color="auto"/>
            </w:tcBorders>
            <w:shd w:val="clear" w:color="auto" w:fill="auto"/>
          </w:tcPr>
          <w:p w:rsidR="00E91307" w:rsidRPr="00EF142D" w:rsidRDefault="00E91307" w:rsidP="00D31D27">
            <w:pPr>
              <w:pStyle w:val="TableBodyText"/>
              <w:rPr>
                <w:b/>
              </w:rPr>
            </w:pPr>
            <w:r w:rsidRPr="00EF142D">
              <w:rPr>
                <w:b/>
              </w:rPr>
              <w:t>62.1</w:t>
            </w:r>
          </w:p>
        </w:tc>
        <w:tc>
          <w:tcPr>
            <w:tcW w:w="708" w:type="dxa"/>
            <w:gridSpan w:val="2"/>
            <w:tcBorders>
              <w:bottom w:val="single" w:sz="6" w:space="0" w:color="auto"/>
            </w:tcBorders>
            <w:shd w:val="clear" w:color="auto" w:fill="auto"/>
          </w:tcPr>
          <w:p w:rsidR="00E91307" w:rsidRPr="00EF142D" w:rsidRDefault="00E91307" w:rsidP="00D31D27">
            <w:pPr>
              <w:pStyle w:val="TableBodyText"/>
              <w:rPr>
                <w:b/>
              </w:rPr>
            </w:pPr>
            <w:r w:rsidRPr="00EF142D">
              <w:rPr>
                <w:b/>
              </w:rPr>
              <w:t>66.1</w:t>
            </w:r>
          </w:p>
        </w:tc>
        <w:tc>
          <w:tcPr>
            <w:tcW w:w="709" w:type="dxa"/>
            <w:gridSpan w:val="2"/>
            <w:tcBorders>
              <w:bottom w:val="single" w:sz="6" w:space="0" w:color="auto"/>
            </w:tcBorders>
            <w:shd w:val="clear" w:color="auto" w:fill="auto"/>
          </w:tcPr>
          <w:p w:rsidR="00E91307" w:rsidRPr="00EF142D" w:rsidRDefault="00E91307" w:rsidP="00D31D27">
            <w:pPr>
              <w:pStyle w:val="TableBodyText"/>
              <w:rPr>
                <w:b/>
              </w:rPr>
            </w:pPr>
            <w:r w:rsidRPr="00EF142D">
              <w:rPr>
                <w:b/>
              </w:rPr>
              <w:t>59.5</w:t>
            </w:r>
          </w:p>
        </w:tc>
        <w:tc>
          <w:tcPr>
            <w:tcW w:w="709" w:type="dxa"/>
            <w:gridSpan w:val="2"/>
            <w:tcBorders>
              <w:bottom w:val="single" w:sz="6" w:space="0" w:color="auto"/>
            </w:tcBorders>
            <w:shd w:val="clear" w:color="auto" w:fill="auto"/>
          </w:tcPr>
          <w:p w:rsidR="00E91307" w:rsidRPr="00EF142D" w:rsidRDefault="00E91307" w:rsidP="00D31D27">
            <w:pPr>
              <w:pStyle w:val="TableBodyText"/>
              <w:rPr>
                <w:b/>
              </w:rPr>
            </w:pPr>
            <w:r w:rsidRPr="00EF142D">
              <w:rPr>
                <w:b/>
              </w:rPr>
              <w:t>60.9</w:t>
            </w:r>
          </w:p>
        </w:tc>
        <w:tc>
          <w:tcPr>
            <w:tcW w:w="709" w:type="dxa"/>
            <w:gridSpan w:val="2"/>
            <w:tcBorders>
              <w:bottom w:val="single" w:sz="6" w:space="0" w:color="auto"/>
            </w:tcBorders>
            <w:shd w:val="clear" w:color="auto" w:fill="auto"/>
          </w:tcPr>
          <w:p w:rsidR="00E91307" w:rsidRPr="00EF142D" w:rsidRDefault="00E91307" w:rsidP="00D31D27">
            <w:pPr>
              <w:pStyle w:val="TableBodyText"/>
              <w:rPr>
                <w:b/>
              </w:rPr>
            </w:pPr>
            <w:r w:rsidRPr="00EF142D">
              <w:rPr>
                <w:b/>
              </w:rPr>
              <w:t>37.2</w:t>
            </w:r>
          </w:p>
        </w:tc>
        <w:tc>
          <w:tcPr>
            <w:tcW w:w="709" w:type="dxa"/>
            <w:gridSpan w:val="2"/>
            <w:tcBorders>
              <w:bottom w:val="single" w:sz="6" w:space="0" w:color="auto"/>
            </w:tcBorders>
            <w:shd w:val="clear" w:color="auto" w:fill="auto"/>
          </w:tcPr>
          <w:p w:rsidR="00E91307" w:rsidRPr="00EF142D" w:rsidRDefault="00E91307" w:rsidP="00D31D27">
            <w:pPr>
              <w:pStyle w:val="TableBodyText"/>
              <w:rPr>
                <w:b/>
              </w:rPr>
            </w:pPr>
            <w:r w:rsidRPr="00EF142D">
              <w:rPr>
                <w:b/>
              </w:rPr>
              <w:t>66.7</w:t>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Combined primary and secondary schools. </w:t>
      </w:r>
      <w:r w:rsidRPr="00666ECE">
        <w:rPr>
          <w:rFonts w:ascii="Arial" w:hAnsi="Arial"/>
          <w:b/>
          <w:position w:val="6"/>
          <w:sz w:val="18"/>
          <w:szCs w:val="20"/>
        </w:rPr>
        <w:t>b</w:t>
      </w:r>
      <w:r w:rsidRPr="00666ECE">
        <w:rPr>
          <w:rFonts w:ascii="Arial" w:hAnsi="Arial"/>
          <w:sz w:val="18"/>
          <w:szCs w:val="20"/>
        </w:rPr>
        <w:t> Special schools provide special instruction for students with a physical and/or mental disability/impairment, or with social problems. Students must exhibit one or more of the following characteristics before enrolment is allowed: mental or physical disability or impairment, slow learning ability, social or emotional problems, and in custody, on remand or in hospital</w:t>
      </w:r>
      <w:r w:rsidR="00EF142D">
        <w:rPr>
          <w:rFonts w:ascii="Arial" w:hAnsi="Arial"/>
          <w:sz w:val="18"/>
          <w:szCs w:val="20"/>
        </w:rPr>
        <w:t>.</w:t>
      </w:r>
    </w:p>
    <w:p w:rsidR="00666ECE" w:rsidRPr="000E6F59" w:rsidRDefault="00666ECE" w:rsidP="00666ECE">
      <w:pPr>
        <w:keepLines/>
        <w:spacing w:before="80" w:after="120" w:line="220" w:lineRule="exact"/>
        <w:jc w:val="both"/>
        <w:rPr>
          <w:rFonts w:ascii="Arial" w:hAnsi="Arial"/>
          <w:sz w:val="18"/>
          <w:szCs w:val="20"/>
        </w:rPr>
      </w:pPr>
      <w:r w:rsidRPr="000E6F59">
        <w:rPr>
          <w:rFonts w:ascii="Arial" w:hAnsi="Arial"/>
          <w:i/>
          <w:sz w:val="18"/>
          <w:szCs w:val="20"/>
        </w:rPr>
        <w:t>Source</w:t>
      </w:r>
      <w:r w:rsidRPr="000E6F59">
        <w:rPr>
          <w:rFonts w:ascii="Arial" w:hAnsi="Arial"/>
          <w:sz w:val="18"/>
          <w:szCs w:val="20"/>
        </w:rPr>
        <w:t>: ABS (201</w:t>
      </w:r>
      <w:r w:rsidR="00653F56">
        <w:rPr>
          <w:rFonts w:ascii="Arial" w:hAnsi="Arial"/>
          <w:sz w:val="18"/>
          <w:szCs w:val="20"/>
        </w:rPr>
        <w:t>3</w:t>
      </w:r>
      <w:r w:rsidRPr="000E6F59">
        <w:rPr>
          <w:rFonts w:ascii="Arial" w:hAnsi="Arial"/>
          <w:sz w:val="18"/>
          <w:szCs w:val="20"/>
        </w:rPr>
        <w:t xml:space="preserve"> and unpublished) </w:t>
      </w:r>
      <w:r w:rsidRPr="000E6F59">
        <w:rPr>
          <w:rFonts w:ascii="Arial" w:hAnsi="Arial"/>
          <w:i/>
          <w:sz w:val="18"/>
          <w:szCs w:val="20"/>
        </w:rPr>
        <w:t>Schools Australia 201</w:t>
      </w:r>
      <w:r w:rsidR="00653F56">
        <w:rPr>
          <w:rFonts w:ascii="Arial" w:hAnsi="Arial"/>
          <w:i/>
          <w:sz w:val="18"/>
          <w:szCs w:val="20"/>
        </w:rPr>
        <w:t>2</w:t>
      </w:r>
      <w:r w:rsidRPr="000E6F59">
        <w:rPr>
          <w:rFonts w:ascii="Arial" w:hAnsi="Arial"/>
          <w:i/>
          <w:sz w:val="18"/>
          <w:szCs w:val="20"/>
        </w:rPr>
        <w:t xml:space="preserve">, </w:t>
      </w:r>
      <w:r w:rsidRPr="000E6F59">
        <w:rPr>
          <w:rFonts w:ascii="Arial" w:hAnsi="Arial"/>
          <w:sz w:val="18"/>
          <w:szCs w:val="20"/>
        </w:rPr>
        <w:t>Cat. no. 4221.0; tables 4A.1–3.</w:t>
      </w:r>
    </w:p>
    <w:p w:rsidR="00666ECE" w:rsidRPr="000E6F59" w:rsidRDefault="00666ECE" w:rsidP="00666ECE">
      <w:pPr>
        <w:keepNext/>
        <w:spacing w:before="480" w:line="320" w:lineRule="exact"/>
        <w:outlineLvl w:val="3"/>
        <w:rPr>
          <w:rFonts w:ascii="Arial" w:hAnsi="Arial"/>
          <w:i/>
          <w:sz w:val="24"/>
        </w:rPr>
      </w:pPr>
      <w:r w:rsidRPr="000E6F59">
        <w:rPr>
          <w:rFonts w:ascii="Arial" w:hAnsi="Arial"/>
          <w:i/>
          <w:sz w:val="24"/>
        </w:rPr>
        <w:t>Student body</w:t>
      </w:r>
    </w:p>
    <w:p w:rsidR="00666ECE" w:rsidRPr="00666ECE" w:rsidRDefault="00666ECE" w:rsidP="00666ECE">
      <w:pPr>
        <w:spacing w:before="240" w:line="320" w:lineRule="atLeast"/>
        <w:jc w:val="both"/>
        <w:rPr>
          <w:szCs w:val="20"/>
        </w:rPr>
      </w:pPr>
      <w:r w:rsidRPr="000E6F59">
        <w:rPr>
          <w:szCs w:val="20"/>
        </w:rPr>
        <w:t xml:space="preserve">There </w:t>
      </w:r>
      <w:r w:rsidRPr="00FC28FD">
        <w:rPr>
          <w:szCs w:val="20"/>
        </w:rPr>
        <w:t xml:space="preserve">were </w:t>
      </w:r>
      <w:r w:rsidR="00587845" w:rsidRPr="00FC28FD">
        <w:rPr>
          <w:szCs w:val="20"/>
        </w:rPr>
        <w:t>3.</w:t>
      </w:r>
      <w:r w:rsidR="00FC28FD" w:rsidRPr="00FC28FD">
        <w:rPr>
          <w:szCs w:val="20"/>
        </w:rPr>
        <w:t>6</w:t>
      </w:r>
      <w:r w:rsidRPr="00FC28FD">
        <w:rPr>
          <w:szCs w:val="20"/>
        </w:rPr>
        <w:t xml:space="preserve"> million </w:t>
      </w:r>
      <w:r w:rsidRPr="000E6F59">
        <w:rPr>
          <w:szCs w:val="20"/>
        </w:rPr>
        <w:t>full time equivalent (FTE) student enrolments in primary and secondary schools in August 201</w:t>
      </w:r>
      <w:r w:rsidR="00653F56">
        <w:rPr>
          <w:szCs w:val="20"/>
        </w:rPr>
        <w:t>2</w:t>
      </w:r>
      <w:r w:rsidRPr="000E6F59">
        <w:rPr>
          <w:szCs w:val="20"/>
        </w:rPr>
        <w:t xml:space="preserve"> (see section 4.6 for a definition of FTE</w:t>
      </w:r>
      <w:r w:rsidRPr="00666ECE">
        <w:rPr>
          <w:szCs w:val="20"/>
        </w:rPr>
        <w:t xml:space="preserve"> student). </w:t>
      </w:r>
      <w:r w:rsidRPr="00C30F35">
        <w:rPr>
          <w:szCs w:val="20"/>
        </w:rPr>
        <w:t xml:space="preserve">Nationally, </w:t>
      </w:r>
      <w:r w:rsidR="00C30F35" w:rsidRPr="00C30F35">
        <w:rPr>
          <w:szCs w:val="20"/>
        </w:rPr>
        <w:t>48.9</w:t>
      </w:r>
      <w:r w:rsidRPr="00C30F35">
        <w:rPr>
          <w:szCs w:val="20"/>
        </w:rPr>
        <w:t xml:space="preserve"> per </w:t>
      </w:r>
      <w:r w:rsidRPr="00666ECE">
        <w:rPr>
          <w:szCs w:val="20"/>
        </w:rPr>
        <w:t>cent of FTE students in all schools were female (table 4.3).</w:t>
      </w:r>
    </w:p>
    <w:p w:rsidR="00666ECE" w:rsidRPr="00666ECE" w:rsidRDefault="00666ECE" w:rsidP="00666ECE">
      <w:pPr>
        <w:spacing w:before="240" w:line="320" w:lineRule="atLeast"/>
        <w:jc w:val="both"/>
        <w:rPr>
          <w:szCs w:val="20"/>
        </w:rPr>
      </w:pPr>
      <w:r w:rsidRPr="00666ECE">
        <w:rPr>
          <w:szCs w:val="20"/>
        </w:rPr>
        <w:t xml:space="preserve">A higher proportion of FTE students was enrolled in primary </w:t>
      </w:r>
      <w:r w:rsidRPr="00C30F35">
        <w:rPr>
          <w:szCs w:val="20"/>
        </w:rPr>
        <w:t>schools (</w:t>
      </w:r>
      <w:r w:rsidR="00C30F35" w:rsidRPr="00C30F35">
        <w:rPr>
          <w:szCs w:val="20"/>
        </w:rPr>
        <w:t>58.1</w:t>
      </w:r>
      <w:r w:rsidR="00587845" w:rsidRPr="00C30F35">
        <w:rPr>
          <w:szCs w:val="20"/>
        </w:rPr>
        <w:t xml:space="preserve"> </w:t>
      </w:r>
      <w:r w:rsidRPr="00C30F35">
        <w:rPr>
          <w:szCs w:val="20"/>
        </w:rPr>
        <w:t>per cent) than in secondary schools (</w:t>
      </w:r>
      <w:r w:rsidR="00587845" w:rsidRPr="00C30F35">
        <w:rPr>
          <w:szCs w:val="20"/>
        </w:rPr>
        <w:t>4</w:t>
      </w:r>
      <w:r w:rsidR="00C30F35" w:rsidRPr="00C30F35">
        <w:rPr>
          <w:szCs w:val="20"/>
        </w:rPr>
        <w:t>1.9</w:t>
      </w:r>
      <w:r w:rsidRPr="00C30F35">
        <w:rPr>
          <w:szCs w:val="20"/>
        </w:rPr>
        <w:t xml:space="preserve"> per cent) (table 4.3). Diffe</w:t>
      </w:r>
      <w:r w:rsidRPr="00666ECE">
        <w:rPr>
          <w:szCs w:val="20"/>
        </w:rPr>
        <w:t xml:space="preserve">rences in schooling </w:t>
      </w:r>
      <w:r w:rsidRPr="00666ECE">
        <w:rPr>
          <w:szCs w:val="20"/>
        </w:rPr>
        <w:lastRenderedPageBreak/>
        <w:t xml:space="preserve">structures influence enrolment patterns. Primary school education in Queensland, WA and SA, for example, includes year 7, whereas all other jurisdictions include year 7 in secondary school (figure 4.1). The proportion of students enrolled in primary school education </w:t>
      </w:r>
      <w:r w:rsidR="00EF142D">
        <w:rPr>
          <w:szCs w:val="20"/>
        </w:rPr>
        <w:t>can</w:t>
      </w:r>
      <w:r w:rsidRPr="00666ECE">
        <w:rPr>
          <w:szCs w:val="20"/>
        </w:rPr>
        <w:t xml:space="preserve"> be expected to be higher in jurisdictions that include year 7 in primary school (table 4.3).</w:t>
      </w:r>
    </w:p>
    <w:p w:rsidR="00666ECE" w:rsidRPr="00FC28FD" w:rsidRDefault="00666ECE" w:rsidP="00666ECE">
      <w:pPr>
        <w:spacing w:before="240" w:line="320" w:lineRule="atLeast"/>
        <w:jc w:val="both"/>
        <w:rPr>
          <w:b/>
          <w:sz w:val="24"/>
          <w:szCs w:val="20"/>
          <w:u w:val="dotted"/>
        </w:rPr>
      </w:pPr>
      <w:r w:rsidRPr="00FC28FD">
        <w:rPr>
          <w:szCs w:val="20"/>
        </w:rPr>
        <w:t xml:space="preserve">Nationally, the proportion of FTE students enrolled in government schools was </w:t>
      </w:r>
      <w:r w:rsidR="00587845" w:rsidRPr="00FC28FD">
        <w:rPr>
          <w:szCs w:val="20"/>
        </w:rPr>
        <w:t>65.</w:t>
      </w:r>
      <w:r w:rsidR="00FC28FD" w:rsidRPr="00FC28FD">
        <w:rPr>
          <w:szCs w:val="20"/>
        </w:rPr>
        <w:t>1</w:t>
      </w:r>
      <w:r w:rsidRPr="00FC28FD">
        <w:rPr>
          <w:szCs w:val="20"/>
        </w:rPr>
        <w:t> per cent. A higher proportion of FTE students was enrolled in government schools at primary level (</w:t>
      </w:r>
      <w:r w:rsidR="00587845" w:rsidRPr="00FC28FD">
        <w:rPr>
          <w:szCs w:val="20"/>
        </w:rPr>
        <w:t>68.9</w:t>
      </w:r>
      <w:r w:rsidRPr="00FC28FD">
        <w:rPr>
          <w:szCs w:val="20"/>
        </w:rPr>
        <w:t xml:space="preserve"> per cent) than at secondary level (</w:t>
      </w:r>
      <w:r w:rsidR="00587845" w:rsidRPr="00FC28FD">
        <w:rPr>
          <w:szCs w:val="20"/>
        </w:rPr>
        <w:t>60.</w:t>
      </w:r>
      <w:r w:rsidR="00FC28FD" w:rsidRPr="00FC28FD">
        <w:rPr>
          <w:szCs w:val="20"/>
        </w:rPr>
        <w:t>0</w:t>
      </w:r>
      <w:r w:rsidRPr="00FC28FD">
        <w:rPr>
          <w:szCs w:val="20"/>
        </w:rPr>
        <w:t xml:space="preserve"> per cent) (table 4.3).</w:t>
      </w:r>
    </w:p>
    <w:p w:rsidR="00666ECE" w:rsidRPr="00666ECE" w:rsidRDefault="00666ECE" w:rsidP="002C3941">
      <w:pPr>
        <w:pStyle w:val="TableTitle"/>
      </w:pPr>
      <w:r w:rsidRPr="007A7568">
        <w:rPr>
          <w:b w:val="0"/>
        </w:rPr>
        <w:t xml:space="preserve">Table </w:t>
      </w:r>
      <w:bookmarkStart w:id="9" w:name="OLE_LINK13"/>
      <w:r w:rsidR="00EB256F" w:rsidRPr="007A7568">
        <w:rPr>
          <w:b w:val="0"/>
        </w:rPr>
        <w:t>4.</w:t>
      </w:r>
      <w:r w:rsidR="00EC06F7" w:rsidRPr="007A7568">
        <w:rPr>
          <w:b w:val="0"/>
          <w:noProof/>
        </w:rPr>
        <w:t>3</w:t>
      </w:r>
      <w:bookmarkEnd w:id="9"/>
      <w:r w:rsidRPr="007A7568">
        <w:rPr>
          <w:b w:val="0"/>
        </w:rPr>
        <w:tab/>
      </w:r>
      <w:r w:rsidRPr="0063025F">
        <w:t>FTE student enrolments, August 201</w:t>
      </w:r>
      <w:r w:rsidR="00653F56" w:rsidRPr="0063025F">
        <w:t>2</w:t>
      </w:r>
      <w:r w:rsidRPr="000E6F59">
        <w:rPr>
          <w:position w:val="6"/>
          <w:sz w:val="18"/>
        </w:rPr>
        <w:t>a</w:t>
      </w:r>
      <w:r w:rsidRPr="00666ECE">
        <w:rPr>
          <w:position w:val="6"/>
          <w:sz w:val="18"/>
        </w:rPr>
        <w:t>, b</w:t>
      </w:r>
    </w:p>
    <w:tbl>
      <w:tblPr>
        <w:tblW w:w="8789" w:type="dxa"/>
        <w:tblLayout w:type="fixed"/>
        <w:tblCellMar>
          <w:left w:w="0" w:type="dxa"/>
          <w:right w:w="0" w:type="dxa"/>
        </w:tblCellMar>
        <w:tblLook w:val="0000" w:firstRow="0" w:lastRow="0" w:firstColumn="0" w:lastColumn="0" w:noHBand="0" w:noVBand="0"/>
      </w:tblPr>
      <w:tblGrid>
        <w:gridCol w:w="1843"/>
        <w:gridCol w:w="709"/>
        <w:gridCol w:w="850"/>
        <w:gridCol w:w="709"/>
        <w:gridCol w:w="709"/>
        <w:gridCol w:w="709"/>
        <w:gridCol w:w="708"/>
        <w:gridCol w:w="567"/>
        <w:gridCol w:w="567"/>
        <w:gridCol w:w="567"/>
        <w:gridCol w:w="851"/>
      </w:tblGrid>
      <w:tr w:rsidR="00EF142D" w:rsidRPr="00666ECE" w:rsidTr="00EF142D">
        <w:tc>
          <w:tcPr>
            <w:tcW w:w="1843"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rPr>
                <w:rFonts w:ascii="Arial" w:hAnsi="Arial"/>
                <w:i/>
                <w:sz w:val="20"/>
                <w:szCs w:val="20"/>
              </w:rPr>
            </w:pPr>
          </w:p>
        </w:tc>
        <w:tc>
          <w:tcPr>
            <w:tcW w:w="709" w:type="dxa"/>
            <w:tcBorders>
              <w:top w:val="single" w:sz="6" w:space="0" w:color="auto"/>
              <w:bottom w:val="single" w:sz="6" w:space="0" w:color="auto"/>
            </w:tcBorders>
          </w:tcPr>
          <w:p w:rsidR="00EF142D" w:rsidRPr="00666ECE" w:rsidRDefault="00EF142D" w:rsidP="00666ECE">
            <w:pPr>
              <w:keepNext/>
              <w:keepLines/>
              <w:spacing w:before="80" w:after="80" w:line="220" w:lineRule="atLeast"/>
              <w:ind w:left="6" w:right="113"/>
              <w:jc w:val="right"/>
              <w:rPr>
                <w:rFonts w:ascii="Arial" w:hAnsi="Arial"/>
                <w:i/>
                <w:sz w:val="20"/>
                <w:szCs w:val="20"/>
              </w:rPr>
            </w:pPr>
            <w:r>
              <w:rPr>
                <w:rFonts w:ascii="Arial" w:hAnsi="Arial"/>
                <w:i/>
                <w:sz w:val="20"/>
                <w:szCs w:val="20"/>
              </w:rPr>
              <w:t>Unit</w:t>
            </w:r>
          </w:p>
        </w:tc>
        <w:tc>
          <w:tcPr>
            <w:tcW w:w="850"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NSW</w:t>
            </w:r>
          </w:p>
        </w:tc>
        <w:tc>
          <w:tcPr>
            <w:tcW w:w="709"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Vic</w:t>
            </w:r>
          </w:p>
        </w:tc>
        <w:tc>
          <w:tcPr>
            <w:tcW w:w="709"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Qld</w:t>
            </w:r>
          </w:p>
        </w:tc>
        <w:tc>
          <w:tcPr>
            <w:tcW w:w="709"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WA</w:t>
            </w:r>
          </w:p>
        </w:tc>
        <w:tc>
          <w:tcPr>
            <w:tcW w:w="708"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SA</w:t>
            </w:r>
          </w:p>
        </w:tc>
        <w:tc>
          <w:tcPr>
            <w:tcW w:w="567"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Tas</w:t>
            </w:r>
          </w:p>
        </w:tc>
        <w:tc>
          <w:tcPr>
            <w:tcW w:w="567"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ACT</w:t>
            </w:r>
          </w:p>
        </w:tc>
        <w:tc>
          <w:tcPr>
            <w:tcW w:w="567"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NT</w:t>
            </w:r>
          </w:p>
        </w:tc>
        <w:tc>
          <w:tcPr>
            <w:tcW w:w="851"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Aust</w:t>
            </w:r>
          </w:p>
        </w:tc>
      </w:tr>
      <w:tr w:rsidR="00EF142D" w:rsidRPr="00666ECE" w:rsidTr="00EF142D">
        <w:tc>
          <w:tcPr>
            <w:tcW w:w="7938" w:type="dxa"/>
            <w:gridSpan w:val="10"/>
          </w:tcPr>
          <w:p w:rsidR="00EF142D" w:rsidRPr="00666ECE" w:rsidRDefault="00EF142D" w:rsidP="00666ECE">
            <w:pPr>
              <w:keepNext/>
              <w:keepLines/>
              <w:spacing w:after="40" w:line="220" w:lineRule="atLeast"/>
              <w:ind w:left="6" w:right="113"/>
              <w:rPr>
                <w:rFonts w:ascii="Arial" w:hAnsi="Arial"/>
                <w:sz w:val="20"/>
                <w:szCs w:val="20"/>
              </w:rPr>
            </w:pPr>
            <w:r w:rsidRPr="00666ECE">
              <w:rPr>
                <w:rFonts w:ascii="Arial" w:hAnsi="Arial"/>
                <w:sz w:val="20"/>
                <w:szCs w:val="20"/>
              </w:rPr>
              <w:t>Total FTE student enrolme</w:t>
            </w:r>
            <w:r>
              <w:rPr>
                <w:rFonts w:ascii="Arial" w:hAnsi="Arial"/>
                <w:sz w:val="20"/>
                <w:szCs w:val="20"/>
              </w:rPr>
              <w:t xml:space="preserve">nts at level of education </w:t>
            </w:r>
          </w:p>
        </w:tc>
        <w:tc>
          <w:tcPr>
            <w:tcW w:w="851" w:type="dxa"/>
          </w:tcPr>
          <w:p w:rsidR="00EF142D" w:rsidRPr="00666ECE" w:rsidRDefault="00EF142D" w:rsidP="00666ECE">
            <w:pPr>
              <w:keepNext/>
              <w:keepLines/>
              <w:spacing w:after="40" w:line="220" w:lineRule="atLeast"/>
              <w:ind w:left="6" w:right="28"/>
              <w:jc w:val="right"/>
              <w:rPr>
                <w:rFonts w:ascii="Arial" w:hAnsi="Arial"/>
                <w:sz w:val="20"/>
                <w:szCs w:val="20"/>
              </w:rPr>
            </w:pPr>
          </w:p>
        </w:tc>
      </w:tr>
      <w:tr w:rsidR="00EF142D" w:rsidRPr="00666ECE" w:rsidTr="00EF142D">
        <w:tc>
          <w:tcPr>
            <w:tcW w:w="1843" w:type="dxa"/>
          </w:tcPr>
          <w:p w:rsidR="00EF142D" w:rsidRPr="00666ECE" w:rsidRDefault="00EF142D" w:rsidP="00EF142D">
            <w:pPr>
              <w:keepNext/>
              <w:keepLines/>
              <w:spacing w:after="40" w:line="220" w:lineRule="atLeast"/>
              <w:ind w:right="113"/>
              <w:rPr>
                <w:rFonts w:ascii="Arial" w:hAnsi="Arial"/>
                <w:sz w:val="20"/>
                <w:szCs w:val="20"/>
              </w:rPr>
            </w:pPr>
            <w:r w:rsidRPr="00666ECE">
              <w:rPr>
                <w:rFonts w:ascii="Arial" w:hAnsi="Arial"/>
                <w:sz w:val="20"/>
                <w:szCs w:val="20"/>
              </w:rPr>
              <w:t>Primary schools</w:t>
            </w:r>
          </w:p>
        </w:tc>
        <w:tc>
          <w:tcPr>
            <w:tcW w:w="709" w:type="dxa"/>
          </w:tcPr>
          <w:p w:rsidR="00EF142D" w:rsidRDefault="00EF142D" w:rsidP="00FC28FD">
            <w:pPr>
              <w:pStyle w:val="TableBodyText"/>
            </w:pPr>
            <w:r>
              <w:t>(‘000)</w:t>
            </w:r>
          </w:p>
        </w:tc>
        <w:tc>
          <w:tcPr>
            <w:tcW w:w="850" w:type="dxa"/>
            <w:vAlign w:val="center"/>
          </w:tcPr>
          <w:p w:rsidR="00EF142D" w:rsidRDefault="00EF142D" w:rsidP="00FC28FD">
            <w:pPr>
              <w:pStyle w:val="TableBodyText"/>
            </w:pPr>
            <w:r>
              <w:t>635.2</w:t>
            </w:r>
          </w:p>
        </w:tc>
        <w:tc>
          <w:tcPr>
            <w:tcW w:w="709" w:type="dxa"/>
            <w:vAlign w:val="center"/>
          </w:tcPr>
          <w:p w:rsidR="00EF142D" w:rsidRDefault="00EF142D" w:rsidP="00FC28FD">
            <w:pPr>
              <w:pStyle w:val="TableBodyText"/>
            </w:pPr>
            <w:r>
              <w:t>478.0</w:t>
            </w:r>
          </w:p>
        </w:tc>
        <w:tc>
          <w:tcPr>
            <w:tcW w:w="709" w:type="dxa"/>
            <w:vAlign w:val="center"/>
          </w:tcPr>
          <w:p w:rsidR="00EF142D" w:rsidRDefault="00EF142D" w:rsidP="00FC28FD">
            <w:pPr>
              <w:pStyle w:val="TableBodyText"/>
            </w:pPr>
            <w:r>
              <w:t>463.5</w:t>
            </w:r>
          </w:p>
        </w:tc>
        <w:tc>
          <w:tcPr>
            <w:tcW w:w="709" w:type="dxa"/>
            <w:vAlign w:val="center"/>
          </w:tcPr>
          <w:p w:rsidR="00EF142D" w:rsidRDefault="00EF142D" w:rsidP="00FC28FD">
            <w:pPr>
              <w:pStyle w:val="TableBodyText"/>
            </w:pPr>
            <w:r>
              <w:t>243.1</w:t>
            </w:r>
          </w:p>
        </w:tc>
        <w:tc>
          <w:tcPr>
            <w:tcW w:w="708" w:type="dxa"/>
            <w:vAlign w:val="center"/>
          </w:tcPr>
          <w:p w:rsidR="00EF142D" w:rsidRDefault="00EF142D" w:rsidP="00FC28FD">
            <w:pPr>
              <w:pStyle w:val="TableBodyText"/>
            </w:pPr>
            <w:r>
              <w:t>158.6</w:t>
            </w:r>
          </w:p>
        </w:tc>
        <w:tc>
          <w:tcPr>
            <w:tcW w:w="567" w:type="dxa"/>
            <w:vAlign w:val="center"/>
          </w:tcPr>
          <w:p w:rsidR="00EF142D" w:rsidRDefault="00EF142D" w:rsidP="00FC28FD">
            <w:pPr>
              <w:pStyle w:val="TableBodyText"/>
            </w:pPr>
            <w:r>
              <w:t>43.4</w:t>
            </w:r>
          </w:p>
        </w:tc>
        <w:tc>
          <w:tcPr>
            <w:tcW w:w="567" w:type="dxa"/>
            <w:vAlign w:val="center"/>
          </w:tcPr>
          <w:p w:rsidR="00EF142D" w:rsidRDefault="00EF142D" w:rsidP="00FC28FD">
            <w:pPr>
              <w:pStyle w:val="TableBodyText"/>
            </w:pPr>
            <w:r>
              <w:t>33.1</w:t>
            </w:r>
          </w:p>
        </w:tc>
        <w:tc>
          <w:tcPr>
            <w:tcW w:w="567" w:type="dxa"/>
            <w:vAlign w:val="center"/>
          </w:tcPr>
          <w:p w:rsidR="00EF142D" w:rsidRDefault="00EF142D" w:rsidP="00FC28FD">
            <w:pPr>
              <w:pStyle w:val="TableBodyText"/>
            </w:pPr>
            <w:r>
              <w:t>24.1</w:t>
            </w:r>
          </w:p>
        </w:tc>
        <w:tc>
          <w:tcPr>
            <w:tcW w:w="851" w:type="dxa"/>
            <w:vAlign w:val="center"/>
          </w:tcPr>
          <w:p w:rsidR="00EF142D" w:rsidRDefault="00EF142D" w:rsidP="00FC28FD">
            <w:pPr>
              <w:pStyle w:val="TableBodyText"/>
            </w:pPr>
            <w:r>
              <w:t>2</w:t>
            </w:r>
            <w:r w:rsidR="004C3736">
              <w:t xml:space="preserve"> </w:t>
            </w:r>
            <w:r>
              <w:t>079.0</w:t>
            </w:r>
          </w:p>
        </w:tc>
      </w:tr>
      <w:tr w:rsidR="00EF142D" w:rsidRPr="00666ECE" w:rsidTr="00EF142D">
        <w:tc>
          <w:tcPr>
            <w:tcW w:w="1843" w:type="dxa"/>
          </w:tcPr>
          <w:p w:rsidR="00EF142D" w:rsidRPr="00666ECE" w:rsidRDefault="00EF142D" w:rsidP="00EF142D">
            <w:pPr>
              <w:keepNext/>
              <w:keepLines/>
              <w:spacing w:after="40" w:line="220" w:lineRule="atLeast"/>
              <w:ind w:right="113"/>
              <w:rPr>
                <w:rFonts w:ascii="Arial" w:hAnsi="Arial"/>
                <w:sz w:val="20"/>
                <w:szCs w:val="20"/>
              </w:rPr>
            </w:pPr>
            <w:r w:rsidRPr="00666ECE">
              <w:rPr>
                <w:rFonts w:ascii="Arial" w:hAnsi="Arial"/>
                <w:sz w:val="20"/>
                <w:szCs w:val="20"/>
              </w:rPr>
              <w:t>Secondary schools</w:t>
            </w:r>
          </w:p>
        </w:tc>
        <w:tc>
          <w:tcPr>
            <w:tcW w:w="709" w:type="dxa"/>
          </w:tcPr>
          <w:p w:rsidR="00EF142D" w:rsidRDefault="00EF142D" w:rsidP="00EF142D">
            <w:pPr>
              <w:pStyle w:val="TableBodyText"/>
            </w:pPr>
            <w:r w:rsidRPr="00C960ED">
              <w:t>(‘000)</w:t>
            </w:r>
          </w:p>
        </w:tc>
        <w:tc>
          <w:tcPr>
            <w:tcW w:w="850" w:type="dxa"/>
            <w:vAlign w:val="bottom"/>
          </w:tcPr>
          <w:p w:rsidR="00EF142D" w:rsidRDefault="00EF142D" w:rsidP="00FC28FD">
            <w:pPr>
              <w:pStyle w:val="TableBodyText"/>
            </w:pPr>
            <w:r>
              <w:t>503.8</w:t>
            </w:r>
          </w:p>
        </w:tc>
        <w:tc>
          <w:tcPr>
            <w:tcW w:w="709" w:type="dxa"/>
            <w:vAlign w:val="bottom"/>
          </w:tcPr>
          <w:p w:rsidR="00EF142D" w:rsidRDefault="00EF142D" w:rsidP="00FC28FD">
            <w:pPr>
              <w:pStyle w:val="TableBodyText"/>
            </w:pPr>
            <w:r>
              <w:t>390.3</w:t>
            </w:r>
          </w:p>
        </w:tc>
        <w:tc>
          <w:tcPr>
            <w:tcW w:w="709" w:type="dxa"/>
            <w:vAlign w:val="bottom"/>
          </w:tcPr>
          <w:p w:rsidR="00EF142D" w:rsidRDefault="00EF142D" w:rsidP="00FC28FD">
            <w:pPr>
              <w:pStyle w:val="TableBodyText"/>
            </w:pPr>
            <w:r>
              <w:t>287.0</w:t>
            </w:r>
          </w:p>
        </w:tc>
        <w:tc>
          <w:tcPr>
            <w:tcW w:w="709" w:type="dxa"/>
            <w:vAlign w:val="bottom"/>
          </w:tcPr>
          <w:p w:rsidR="00EF142D" w:rsidRDefault="00EF142D" w:rsidP="00FC28FD">
            <w:pPr>
              <w:pStyle w:val="TableBodyText"/>
            </w:pPr>
            <w:r>
              <w:t>131.8</w:t>
            </w:r>
          </w:p>
        </w:tc>
        <w:tc>
          <w:tcPr>
            <w:tcW w:w="708" w:type="dxa"/>
            <w:vAlign w:val="bottom"/>
          </w:tcPr>
          <w:p w:rsidR="00EF142D" w:rsidRDefault="00EF142D" w:rsidP="00FC28FD">
            <w:pPr>
              <w:pStyle w:val="TableBodyText"/>
            </w:pPr>
            <w:r>
              <w:t>101.9</w:t>
            </w:r>
          </w:p>
        </w:tc>
        <w:tc>
          <w:tcPr>
            <w:tcW w:w="567" w:type="dxa"/>
            <w:vAlign w:val="bottom"/>
          </w:tcPr>
          <w:p w:rsidR="00EF142D" w:rsidRDefault="00EF142D" w:rsidP="00FC28FD">
            <w:pPr>
              <w:pStyle w:val="TableBodyText"/>
            </w:pPr>
            <w:r>
              <w:t>38.0</w:t>
            </w:r>
          </w:p>
        </w:tc>
        <w:tc>
          <w:tcPr>
            <w:tcW w:w="567" w:type="dxa"/>
            <w:vAlign w:val="bottom"/>
          </w:tcPr>
          <w:p w:rsidR="00EF142D" w:rsidRDefault="00EF142D" w:rsidP="00FC28FD">
            <w:pPr>
              <w:pStyle w:val="TableBodyText"/>
            </w:pPr>
            <w:r>
              <w:t>29.1</w:t>
            </w:r>
          </w:p>
        </w:tc>
        <w:tc>
          <w:tcPr>
            <w:tcW w:w="567" w:type="dxa"/>
            <w:vAlign w:val="bottom"/>
          </w:tcPr>
          <w:p w:rsidR="00EF142D" w:rsidRDefault="00EF142D" w:rsidP="00FC28FD">
            <w:pPr>
              <w:pStyle w:val="TableBodyText"/>
            </w:pPr>
            <w:r>
              <w:t>15.9</w:t>
            </w:r>
          </w:p>
        </w:tc>
        <w:tc>
          <w:tcPr>
            <w:tcW w:w="851" w:type="dxa"/>
            <w:vAlign w:val="bottom"/>
          </w:tcPr>
          <w:p w:rsidR="00EF142D" w:rsidRDefault="00EF142D" w:rsidP="00FC28FD">
            <w:pPr>
              <w:pStyle w:val="TableBodyText"/>
            </w:pPr>
            <w:r>
              <w:t>1</w:t>
            </w:r>
            <w:r w:rsidR="004C3736">
              <w:t xml:space="preserve"> </w:t>
            </w:r>
            <w:r>
              <w:t>497.8</w:t>
            </w:r>
          </w:p>
        </w:tc>
      </w:tr>
      <w:tr w:rsidR="00EF142D" w:rsidRPr="00666ECE" w:rsidTr="00EF142D">
        <w:tc>
          <w:tcPr>
            <w:tcW w:w="1843" w:type="dxa"/>
          </w:tcPr>
          <w:p w:rsidR="00EF142D" w:rsidRPr="00666ECE" w:rsidRDefault="00EF142D" w:rsidP="004A4FD0">
            <w:pPr>
              <w:keepNext/>
              <w:keepLines/>
              <w:spacing w:after="40" w:line="220" w:lineRule="atLeast"/>
              <w:ind w:right="113"/>
              <w:rPr>
                <w:rFonts w:ascii="Arial" w:hAnsi="Arial"/>
                <w:b/>
                <w:sz w:val="20"/>
                <w:szCs w:val="20"/>
              </w:rPr>
            </w:pPr>
            <w:r w:rsidRPr="00666ECE">
              <w:rPr>
                <w:rFonts w:ascii="Arial" w:hAnsi="Arial"/>
                <w:b/>
                <w:sz w:val="20"/>
                <w:szCs w:val="20"/>
              </w:rPr>
              <w:t>All schools</w:t>
            </w:r>
          </w:p>
        </w:tc>
        <w:tc>
          <w:tcPr>
            <w:tcW w:w="709" w:type="dxa"/>
          </w:tcPr>
          <w:p w:rsidR="00EF142D" w:rsidRDefault="00EF142D" w:rsidP="00EF142D">
            <w:pPr>
              <w:pStyle w:val="TableBodyText"/>
            </w:pPr>
            <w:r w:rsidRPr="00C960ED">
              <w:t>(‘000)</w:t>
            </w:r>
          </w:p>
        </w:tc>
        <w:tc>
          <w:tcPr>
            <w:tcW w:w="850" w:type="dxa"/>
            <w:vAlign w:val="center"/>
          </w:tcPr>
          <w:p w:rsidR="00EF142D" w:rsidRPr="00EF142D" w:rsidRDefault="00EF142D" w:rsidP="00FC28FD">
            <w:pPr>
              <w:pStyle w:val="TableBodyText"/>
              <w:rPr>
                <w:b/>
              </w:rPr>
            </w:pPr>
            <w:r w:rsidRPr="00EF142D">
              <w:rPr>
                <w:b/>
              </w:rPr>
              <w:t>1</w:t>
            </w:r>
            <w:r w:rsidR="004C3736">
              <w:rPr>
                <w:b/>
              </w:rPr>
              <w:t xml:space="preserve"> </w:t>
            </w:r>
            <w:r w:rsidRPr="00EF142D">
              <w:rPr>
                <w:b/>
              </w:rPr>
              <w:t>139.0</w:t>
            </w:r>
          </w:p>
        </w:tc>
        <w:tc>
          <w:tcPr>
            <w:tcW w:w="709" w:type="dxa"/>
            <w:vAlign w:val="center"/>
          </w:tcPr>
          <w:p w:rsidR="00EF142D" w:rsidRPr="00EF142D" w:rsidRDefault="00EF142D" w:rsidP="00FC28FD">
            <w:pPr>
              <w:pStyle w:val="TableBodyText"/>
              <w:rPr>
                <w:b/>
              </w:rPr>
            </w:pPr>
            <w:r w:rsidRPr="00EF142D">
              <w:rPr>
                <w:b/>
              </w:rPr>
              <w:t>868.3</w:t>
            </w:r>
          </w:p>
        </w:tc>
        <w:tc>
          <w:tcPr>
            <w:tcW w:w="709" w:type="dxa"/>
            <w:vAlign w:val="center"/>
          </w:tcPr>
          <w:p w:rsidR="00EF142D" w:rsidRPr="00EF142D" w:rsidRDefault="00EF142D" w:rsidP="00FC28FD">
            <w:pPr>
              <w:pStyle w:val="TableBodyText"/>
              <w:rPr>
                <w:b/>
              </w:rPr>
            </w:pPr>
            <w:r w:rsidRPr="00EF142D">
              <w:rPr>
                <w:b/>
              </w:rPr>
              <w:t>750.5</w:t>
            </w:r>
          </w:p>
        </w:tc>
        <w:tc>
          <w:tcPr>
            <w:tcW w:w="709" w:type="dxa"/>
            <w:vAlign w:val="center"/>
          </w:tcPr>
          <w:p w:rsidR="00EF142D" w:rsidRPr="00EF142D" w:rsidRDefault="00EF142D" w:rsidP="00FC28FD">
            <w:pPr>
              <w:pStyle w:val="TableBodyText"/>
              <w:rPr>
                <w:b/>
              </w:rPr>
            </w:pPr>
            <w:r w:rsidRPr="00EF142D">
              <w:rPr>
                <w:b/>
              </w:rPr>
              <w:t>375.0</w:t>
            </w:r>
          </w:p>
        </w:tc>
        <w:tc>
          <w:tcPr>
            <w:tcW w:w="708" w:type="dxa"/>
            <w:vAlign w:val="center"/>
          </w:tcPr>
          <w:p w:rsidR="00EF142D" w:rsidRPr="00EF142D" w:rsidRDefault="00EF142D" w:rsidP="00FC28FD">
            <w:pPr>
              <w:pStyle w:val="TableBodyText"/>
              <w:rPr>
                <w:b/>
              </w:rPr>
            </w:pPr>
            <w:r w:rsidRPr="00EF142D">
              <w:rPr>
                <w:b/>
              </w:rPr>
              <w:t>260.5</w:t>
            </w:r>
          </w:p>
        </w:tc>
        <w:tc>
          <w:tcPr>
            <w:tcW w:w="567" w:type="dxa"/>
            <w:vAlign w:val="center"/>
          </w:tcPr>
          <w:p w:rsidR="00EF142D" w:rsidRPr="00EF142D" w:rsidRDefault="00EF142D" w:rsidP="00FC28FD">
            <w:pPr>
              <w:pStyle w:val="TableBodyText"/>
              <w:rPr>
                <w:b/>
              </w:rPr>
            </w:pPr>
            <w:r w:rsidRPr="00EF142D">
              <w:rPr>
                <w:b/>
              </w:rPr>
              <w:t>81.4</w:t>
            </w:r>
          </w:p>
        </w:tc>
        <w:tc>
          <w:tcPr>
            <w:tcW w:w="567" w:type="dxa"/>
            <w:vAlign w:val="center"/>
          </w:tcPr>
          <w:p w:rsidR="00EF142D" w:rsidRPr="00EF142D" w:rsidRDefault="00EF142D" w:rsidP="00FC28FD">
            <w:pPr>
              <w:pStyle w:val="TableBodyText"/>
              <w:rPr>
                <w:b/>
              </w:rPr>
            </w:pPr>
            <w:r w:rsidRPr="00EF142D">
              <w:rPr>
                <w:b/>
              </w:rPr>
              <w:t>62.2</w:t>
            </w:r>
          </w:p>
        </w:tc>
        <w:tc>
          <w:tcPr>
            <w:tcW w:w="567" w:type="dxa"/>
            <w:vAlign w:val="center"/>
          </w:tcPr>
          <w:p w:rsidR="00EF142D" w:rsidRPr="00EF142D" w:rsidRDefault="00EF142D" w:rsidP="00FC28FD">
            <w:pPr>
              <w:pStyle w:val="TableBodyText"/>
              <w:rPr>
                <w:b/>
              </w:rPr>
            </w:pPr>
            <w:r w:rsidRPr="00EF142D">
              <w:rPr>
                <w:b/>
              </w:rPr>
              <w:t>40.0</w:t>
            </w:r>
          </w:p>
        </w:tc>
        <w:tc>
          <w:tcPr>
            <w:tcW w:w="851" w:type="dxa"/>
            <w:vAlign w:val="center"/>
          </w:tcPr>
          <w:p w:rsidR="00EF142D" w:rsidRPr="00EF142D" w:rsidRDefault="00EF142D" w:rsidP="00FC28FD">
            <w:pPr>
              <w:pStyle w:val="TableBodyText"/>
              <w:rPr>
                <w:b/>
              </w:rPr>
            </w:pPr>
            <w:r w:rsidRPr="00EF142D">
              <w:rPr>
                <w:b/>
              </w:rPr>
              <w:t>3</w:t>
            </w:r>
            <w:r w:rsidR="004C3736">
              <w:rPr>
                <w:b/>
              </w:rPr>
              <w:t xml:space="preserve"> </w:t>
            </w:r>
            <w:r w:rsidRPr="00EF142D">
              <w:rPr>
                <w:b/>
              </w:rPr>
              <w:t>576.8</w:t>
            </w:r>
          </w:p>
        </w:tc>
      </w:tr>
      <w:tr w:rsidR="00EF142D" w:rsidRPr="00666ECE" w:rsidTr="00EF142D">
        <w:tc>
          <w:tcPr>
            <w:tcW w:w="7371" w:type="dxa"/>
            <w:gridSpan w:val="9"/>
          </w:tcPr>
          <w:p w:rsidR="00EF142D" w:rsidRPr="00666ECE" w:rsidRDefault="00EF142D" w:rsidP="00EF142D">
            <w:pPr>
              <w:pStyle w:val="TableBodyText"/>
              <w:jc w:val="left"/>
            </w:pPr>
            <w:r w:rsidRPr="00666ECE">
              <w:t>Proportion of FTE students who were en</w:t>
            </w:r>
            <w:r>
              <w:t>rolled in government schools</w:t>
            </w:r>
          </w:p>
        </w:tc>
        <w:tc>
          <w:tcPr>
            <w:tcW w:w="567" w:type="dxa"/>
          </w:tcPr>
          <w:p w:rsidR="00EF142D" w:rsidRPr="00666ECE" w:rsidRDefault="00EF142D" w:rsidP="00FC28FD">
            <w:pPr>
              <w:pStyle w:val="TableBodyText"/>
            </w:pPr>
          </w:p>
        </w:tc>
        <w:tc>
          <w:tcPr>
            <w:tcW w:w="851" w:type="dxa"/>
          </w:tcPr>
          <w:p w:rsidR="00EF142D" w:rsidRPr="00666ECE" w:rsidRDefault="00EF142D" w:rsidP="00FC28FD">
            <w:pPr>
              <w:pStyle w:val="TableBodyText"/>
            </w:pPr>
          </w:p>
        </w:tc>
      </w:tr>
      <w:tr w:rsidR="00EF142D" w:rsidRPr="00DF62FE" w:rsidTr="00EF142D">
        <w:tc>
          <w:tcPr>
            <w:tcW w:w="1843" w:type="dxa"/>
          </w:tcPr>
          <w:p w:rsidR="00EF142D" w:rsidRPr="00666ECE" w:rsidRDefault="00EF142D" w:rsidP="00EF142D">
            <w:pPr>
              <w:keepNext/>
              <w:keepLines/>
              <w:spacing w:after="40" w:line="220" w:lineRule="atLeast"/>
              <w:ind w:right="113"/>
              <w:rPr>
                <w:rFonts w:ascii="Arial" w:hAnsi="Arial"/>
                <w:sz w:val="20"/>
                <w:szCs w:val="20"/>
              </w:rPr>
            </w:pPr>
            <w:r w:rsidRPr="00666ECE">
              <w:rPr>
                <w:rFonts w:ascii="Arial" w:hAnsi="Arial"/>
                <w:sz w:val="20"/>
                <w:szCs w:val="20"/>
              </w:rPr>
              <w:t>Primary schools</w:t>
            </w:r>
          </w:p>
        </w:tc>
        <w:tc>
          <w:tcPr>
            <w:tcW w:w="709" w:type="dxa"/>
          </w:tcPr>
          <w:p w:rsidR="00EF142D" w:rsidRPr="00FC28FD" w:rsidRDefault="00EF142D" w:rsidP="00EF142D">
            <w:pPr>
              <w:pStyle w:val="TableBodyText"/>
            </w:pPr>
            <w:r>
              <w:t>%</w:t>
            </w:r>
          </w:p>
        </w:tc>
        <w:tc>
          <w:tcPr>
            <w:tcW w:w="850" w:type="dxa"/>
            <w:vAlign w:val="bottom"/>
          </w:tcPr>
          <w:p w:rsidR="00EF142D" w:rsidRPr="00FC28FD" w:rsidRDefault="00EF142D" w:rsidP="00FC28FD">
            <w:pPr>
              <w:pStyle w:val="TableBodyText"/>
            </w:pPr>
            <w:r w:rsidRPr="00FC28FD">
              <w:t>69.4</w:t>
            </w:r>
          </w:p>
        </w:tc>
        <w:tc>
          <w:tcPr>
            <w:tcW w:w="709" w:type="dxa"/>
            <w:vAlign w:val="bottom"/>
          </w:tcPr>
          <w:p w:rsidR="00EF142D" w:rsidRPr="00FC28FD" w:rsidRDefault="00EF142D" w:rsidP="00FC28FD">
            <w:pPr>
              <w:pStyle w:val="TableBodyText"/>
            </w:pPr>
            <w:r w:rsidRPr="00FC28FD">
              <w:t>67.4</w:t>
            </w:r>
          </w:p>
        </w:tc>
        <w:tc>
          <w:tcPr>
            <w:tcW w:w="709" w:type="dxa"/>
            <w:vAlign w:val="bottom"/>
          </w:tcPr>
          <w:p w:rsidR="00EF142D" w:rsidRPr="00FC28FD" w:rsidRDefault="00EF142D" w:rsidP="00FC28FD">
            <w:pPr>
              <w:pStyle w:val="TableBodyText"/>
            </w:pPr>
            <w:r w:rsidRPr="00FC28FD">
              <w:t>70.0</w:t>
            </w:r>
          </w:p>
        </w:tc>
        <w:tc>
          <w:tcPr>
            <w:tcW w:w="709" w:type="dxa"/>
            <w:vAlign w:val="bottom"/>
          </w:tcPr>
          <w:p w:rsidR="00EF142D" w:rsidRPr="00FC28FD" w:rsidRDefault="00EF142D" w:rsidP="00FC28FD">
            <w:pPr>
              <w:pStyle w:val="TableBodyText"/>
            </w:pPr>
            <w:r w:rsidRPr="00FC28FD">
              <w:t>69.7</w:t>
            </w:r>
          </w:p>
        </w:tc>
        <w:tc>
          <w:tcPr>
            <w:tcW w:w="708" w:type="dxa"/>
            <w:vAlign w:val="bottom"/>
          </w:tcPr>
          <w:p w:rsidR="00EF142D" w:rsidRPr="00FC28FD" w:rsidRDefault="00EF142D" w:rsidP="00FC28FD">
            <w:pPr>
              <w:pStyle w:val="TableBodyText"/>
            </w:pPr>
            <w:r w:rsidRPr="00FC28FD">
              <w:t>66.2</w:t>
            </w:r>
          </w:p>
        </w:tc>
        <w:tc>
          <w:tcPr>
            <w:tcW w:w="567" w:type="dxa"/>
            <w:vAlign w:val="bottom"/>
          </w:tcPr>
          <w:p w:rsidR="00EF142D" w:rsidRPr="00FC28FD" w:rsidRDefault="00EF142D" w:rsidP="00FC28FD">
            <w:pPr>
              <w:pStyle w:val="TableBodyText"/>
            </w:pPr>
            <w:r w:rsidRPr="00FC28FD">
              <w:t>73.4</w:t>
            </w:r>
          </w:p>
        </w:tc>
        <w:tc>
          <w:tcPr>
            <w:tcW w:w="567" w:type="dxa"/>
            <w:vAlign w:val="bottom"/>
          </w:tcPr>
          <w:p w:rsidR="00EF142D" w:rsidRPr="00FC28FD" w:rsidRDefault="00EF142D" w:rsidP="00FC28FD">
            <w:pPr>
              <w:pStyle w:val="TableBodyText"/>
            </w:pPr>
            <w:r w:rsidRPr="00FC28FD">
              <w:t>60.4</w:t>
            </w:r>
          </w:p>
        </w:tc>
        <w:tc>
          <w:tcPr>
            <w:tcW w:w="567" w:type="dxa"/>
            <w:vAlign w:val="bottom"/>
          </w:tcPr>
          <w:p w:rsidR="00EF142D" w:rsidRPr="00FC28FD" w:rsidRDefault="00EF142D" w:rsidP="00FC28FD">
            <w:pPr>
              <w:pStyle w:val="TableBodyText"/>
            </w:pPr>
            <w:r w:rsidRPr="00FC28FD">
              <w:t>78.1</w:t>
            </w:r>
          </w:p>
        </w:tc>
        <w:tc>
          <w:tcPr>
            <w:tcW w:w="851" w:type="dxa"/>
            <w:vAlign w:val="bottom"/>
          </w:tcPr>
          <w:p w:rsidR="00EF142D" w:rsidRPr="00FC28FD" w:rsidRDefault="00EF142D" w:rsidP="00FC28FD">
            <w:pPr>
              <w:pStyle w:val="TableBodyText"/>
            </w:pPr>
            <w:r w:rsidRPr="00FC28FD">
              <w:t>68.9</w:t>
            </w:r>
          </w:p>
        </w:tc>
      </w:tr>
      <w:tr w:rsidR="00EF142D" w:rsidRPr="00DF62FE" w:rsidTr="00EF142D">
        <w:tc>
          <w:tcPr>
            <w:tcW w:w="1843" w:type="dxa"/>
          </w:tcPr>
          <w:p w:rsidR="00EF142D" w:rsidRPr="00666ECE" w:rsidRDefault="00EF142D" w:rsidP="00EF142D">
            <w:pPr>
              <w:keepNext/>
              <w:keepLines/>
              <w:spacing w:after="40" w:line="220" w:lineRule="atLeast"/>
              <w:ind w:right="113"/>
              <w:rPr>
                <w:rFonts w:ascii="Arial" w:hAnsi="Arial"/>
                <w:sz w:val="20"/>
                <w:szCs w:val="20"/>
              </w:rPr>
            </w:pPr>
            <w:r w:rsidRPr="00666ECE">
              <w:rPr>
                <w:rFonts w:ascii="Arial" w:hAnsi="Arial"/>
                <w:sz w:val="20"/>
                <w:szCs w:val="20"/>
              </w:rPr>
              <w:t>Secondary schools</w:t>
            </w:r>
          </w:p>
        </w:tc>
        <w:tc>
          <w:tcPr>
            <w:tcW w:w="709" w:type="dxa"/>
          </w:tcPr>
          <w:p w:rsidR="00EF142D" w:rsidRDefault="00EF142D" w:rsidP="00EF142D">
            <w:pPr>
              <w:pStyle w:val="TableBodyText"/>
            </w:pPr>
            <w:r w:rsidRPr="000F61EF">
              <w:t>%</w:t>
            </w:r>
          </w:p>
        </w:tc>
        <w:tc>
          <w:tcPr>
            <w:tcW w:w="850" w:type="dxa"/>
            <w:vAlign w:val="bottom"/>
          </w:tcPr>
          <w:p w:rsidR="00EF142D" w:rsidRPr="00FC28FD" w:rsidRDefault="00EF142D" w:rsidP="00EF142D">
            <w:pPr>
              <w:pStyle w:val="TableBodyText"/>
            </w:pPr>
            <w:r w:rsidRPr="00FC28FD">
              <w:t>61.1</w:t>
            </w:r>
          </w:p>
        </w:tc>
        <w:tc>
          <w:tcPr>
            <w:tcW w:w="709" w:type="dxa"/>
            <w:vAlign w:val="bottom"/>
          </w:tcPr>
          <w:p w:rsidR="00EF142D" w:rsidRPr="00FC28FD" w:rsidRDefault="00EF142D" w:rsidP="00EF142D">
            <w:pPr>
              <w:pStyle w:val="TableBodyText"/>
            </w:pPr>
            <w:r w:rsidRPr="00FC28FD">
              <w:t>57.5</w:t>
            </w:r>
          </w:p>
        </w:tc>
        <w:tc>
          <w:tcPr>
            <w:tcW w:w="709" w:type="dxa"/>
            <w:vAlign w:val="bottom"/>
          </w:tcPr>
          <w:p w:rsidR="00EF142D" w:rsidRPr="00FC28FD" w:rsidRDefault="00EF142D" w:rsidP="00EF142D">
            <w:pPr>
              <w:pStyle w:val="TableBodyText"/>
            </w:pPr>
            <w:r w:rsidRPr="00FC28FD">
              <w:t>61.4</w:t>
            </w:r>
          </w:p>
        </w:tc>
        <w:tc>
          <w:tcPr>
            <w:tcW w:w="709" w:type="dxa"/>
            <w:vAlign w:val="bottom"/>
          </w:tcPr>
          <w:p w:rsidR="00EF142D" w:rsidRPr="00FC28FD" w:rsidRDefault="00EF142D" w:rsidP="00EF142D">
            <w:pPr>
              <w:pStyle w:val="TableBodyText"/>
            </w:pPr>
            <w:r w:rsidRPr="00FC28FD">
              <w:t>57.7</w:t>
            </w:r>
          </w:p>
        </w:tc>
        <w:tc>
          <w:tcPr>
            <w:tcW w:w="708" w:type="dxa"/>
            <w:vAlign w:val="bottom"/>
          </w:tcPr>
          <w:p w:rsidR="00EF142D" w:rsidRPr="00FC28FD" w:rsidRDefault="00EF142D" w:rsidP="00EF142D">
            <w:pPr>
              <w:pStyle w:val="TableBodyText"/>
            </w:pPr>
            <w:r w:rsidRPr="00FC28FD">
              <w:t>60.4</w:t>
            </w:r>
          </w:p>
        </w:tc>
        <w:tc>
          <w:tcPr>
            <w:tcW w:w="567" w:type="dxa"/>
            <w:vAlign w:val="bottom"/>
          </w:tcPr>
          <w:p w:rsidR="00EF142D" w:rsidRPr="00FC28FD" w:rsidRDefault="00EF142D" w:rsidP="00EF142D">
            <w:pPr>
              <w:pStyle w:val="TableBodyText"/>
            </w:pPr>
            <w:r w:rsidRPr="00FC28FD">
              <w:t>68.0</w:t>
            </w:r>
          </w:p>
        </w:tc>
        <w:tc>
          <w:tcPr>
            <w:tcW w:w="567" w:type="dxa"/>
            <w:vAlign w:val="bottom"/>
          </w:tcPr>
          <w:p w:rsidR="00EF142D" w:rsidRPr="00FC28FD" w:rsidRDefault="00EF142D" w:rsidP="00EF142D">
            <w:pPr>
              <w:pStyle w:val="TableBodyText"/>
            </w:pPr>
            <w:r w:rsidRPr="00FC28FD">
              <w:t>53.8</w:t>
            </w:r>
          </w:p>
        </w:tc>
        <w:tc>
          <w:tcPr>
            <w:tcW w:w="567" w:type="dxa"/>
            <w:vAlign w:val="bottom"/>
          </w:tcPr>
          <w:p w:rsidR="00EF142D" w:rsidRPr="00FC28FD" w:rsidRDefault="00EF142D" w:rsidP="00EF142D">
            <w:pPr>
              <w:pStyle w:val="TableBodyText"/>
            </w:pPr>
            <w:r w:rsidRPr="00FC28FD">
              <w:t>67.1</w:t>
            </w:r>
          </w:p>
        </w:tc>
        <w:tc>
          <w:tcPr>
            <w:tcW w:w="851" w:type="dxa"/>
            <w:vAlign w:val="bottom"/>
          </w:tcPr>
          <w:p w:rsidR="00EF142D" w:rsidRPr="00FC28FD" w:rsidRDefault="00EF142D" w:rsidP="00EF142D">
            <w:pPr>
              <w:pStyle w:val="TableBodyText"/>
            </w:pPr>
            <w:r w:rsidRPr="00FC28FD">
              <w:t>60.0</w:t>
            </w:r>
          </w:p>
        </w:tc>
      </w:tr>
      <w:tr w:rsidR="00EF142D" w:rsidRPr="00DF62FE" w:rsidTr="00EF142D">
        <w:tc>
          <w:tcPr>
            <w:tcW w:w="1843" w:type="dxa"/>
          </w:tcPr>
          <w:p w:rsidR="00EF142D" w:rsidRPr="00666ECE" w:rsidRDefault="00EF142D" w:rsidP="00EF142D">
            <w:pPr>
              <w:keepNext/>
              <w:keepLines/>
              <w:spacing w:after="40" w:line="220" w:lineRule="atLeast"/>
              <w:ind w:right="113"/>
              <w:rPr>
                <w:rFonts w:ascii="Arial" w:hAnsi="Arial"/>
                <w:b/>
                <w:sz w:val="20"/>
                <w:szCs w:val="20"/>
              </w:rPr>
            </w:pPr>
            <w:r w:rsidRPr="00666ECE">
              <w:rPr>
                <w:rFonts w:ascii="Arial" w:hAnsi="Arial"/>
                <w:b/>
                <w:sz w:val="20"/>
                <w:szCs w:val="20"/>
              </w:rPr>
              <w:t>All schools</w:t>
            </w:r>
          </w:p>
        </w:tc>
        <w:tc>
          <w:tcPr>
            <w:tcW w:w="709" w:type="dxa"/>
          </w:tcPr>
          <w:p w:rsidR="00EF142D" w:rsidRDefault="00EF142D" w:rsidP="00EF142D">
            <w:pPr>
              <w:pStyle w:val="TableBodyText"/>
            </w:pPr>
            <w:r w:rsidRPr="000F61EF">
              <w:t>%</w:t>
            </w:r>
          </w:p>
        </w:tc>
        <w:tc>
          <w:tcPr>
            <w:tcW w:w="850" w:type="dxa"/>
            <w:vAlign w:val="bottom"/>
          </w:tcPr>
          <w:p w:rsidR="00EF142D" w:rsidRPr="00EF142D" w:rsidRDefault="00EF142D" w:rsidP="00EF142D">
            <w:pPr>
              <w:pStyle w:val="TableBodyText"/>
              <w:rPr>
                <w:b/>
              </w:rPr>
            </w:pPr>
            <w:r w:rsidRPr="00EF142D">
              <w:rPr>
                <w:b/>
              </w:rPr>
              <w:t>65.7</w:t>
            </w:r>
          </w:p>
        </w:tc>
        <w:tc>
          <w:tcPr>
            <w:tcW w:w="709" w:type="dxa"/>
            <w:vAlign w:val="bottom"/>
          </w:tcPr>
          <w:p w:rsidR="00EF142D" w:rsidRPr="00EF142D" w:rsidRDefault="00EF142D" w:rsidP="00EF142D">
            <w:pPr>
              <w:pStyle w:val="TableBodyText"/>
              <w:rPr>
                <w:b/>
              </w:rPr>
            </w:pPr>
            <w:r w:rsidRPr="00EF142D">
              <w:rPr>
                <w:b/>
              </w:rPr>
              <w:t>62.9</w:t>
            </w:r>
          </w:p>
        </w:tc>
        <w:tc>
          <w:tcPr>
            <w:tcW w:w="709" w:type="dxa"/>
            <w:vAlign w:val="bottom"/>
          </w:tcPr>
          <w:p w:rsidR="00EF142D" w:rsidRPr="00EF142D" w:rsidRDefault="00EF142D" w:rsidP="00EF142D">
            <w:pPr>
              <w:pStyle w:val="TableBodyText"/>
              <w:rPr>
                <w:b/>
              </w:rPr>
            </w:pPr>
            <w:r w:rsidRPr="00EF142D">
              <w:rPr>
                <w:b/>
              </w:rPr>
              <w:t>66.7</w:t>
            </w:r>
          </w:p>
        </w:tc>
        <w:tc>
          <w:tcPr>
            <w:tcW w:w="709" w:type="dxa"/>
            <w:vAlign w:val="bottom"/>
          </w:tcPr>
          <w:p w:rsidR="00EF142D" w:rsidRPr="00EF142D" w:rsidRDefault="00EF142D" w:rsidP="00EF142D">
            <w:pPr>
              <w:pStyle w:val="TableBodyText"/>
              <w:rPr>
                <w:b/>
              </w:rPr>
            </w:pPr>
            <w:r w:rsidRPr="00EF142D">
              <w:rPr>
                <w:b/>
              </w:rPr>
              <w:t>65.5</w:t>
            </w:r>
          </w:p>
        </w:tc>
        <w:tc>
          <w:tcPr>
            <w:tcW w:w="708" w:type="dxa"/>
            <w:vAlign w:val="bottom"/>
          </w:tcPr>
          <w:p w:rsidR="00EF142D" w:rsidRPr="00EF142D" w:rsidRDefault="00EF142D" w:rsidP="00EF142D">
            <w:pPr>
              <w:pStyle w:val="TableBodyText"/>
              <w:rPr>
                <w:b/>
              </w:rPr>
            </w:pPr>
            <w:r w:rsidRPr="00EF142D">
              <w:rPr>
                <w:b/>
              </w:rPr>
              <w:t>63.9</w:t>
            </w:r>
          </w:p>
        </w:tc>
        <w:tc>
          <w:tcPr>
            <w:tcW w:w="567" w:type="dxa"/>
            <w:vAlign w:val="bottom"/>
          </w:tcPr>
          <w:p w:rsidR="00EF142D" w:rsidRPr="00EF142D" w:rsidRDefault="00EF142D" w:rsidP="00EF142D">
            <w:pPr>
              <w:pStyle w:val="TableBodyText"/>
              <w:rPr>
                <w:b/>
              </w:rPr>
            </w:pPr>
            <w:r w:rsidRPr="00EF142D">
              <w:rPr>
                <w:b/>
              </w:rPr>
              <w:t>70.9</w:t>
            </w:r>
          </w:p>
        </w:tc>
        <w:tc>
          <w:tcPr>
            <w:tcW w:w="567" w:type="dxa"/>
            <w:vAlign w:val="bottom"/>
          </w:tcPr>
          <w:p w:rsidR="00EF142D" w:rsidRPr="00EF142D" w:rsidRDefault="00EF142D" w:rsidP="00EF142D">
            <w:pPr>
              <w:pStyle w:val="TableBodyText"/>
              <w:rPr>
                <w:b/>
              </w:rPr>
            </w:pPr>
            <w:r w:rsidRPr="00EF142D">
              <w:rPr>
                <w:b/>
              </w:rPr>
              <w:t>57.3</w:t>
            </w:r>
          </w:p>
        </w:tc>
        <w:tc>
          <w:tcPr>
            <w:tcW w:w="567" w:type="dxa"/>
            <w:vAlign w:val="bottom"/>
          </w:tcPr>
          <w:p w:rsidR="00EF142D" w:rsidRPr="00EF142D" w:rsidRDefault="00EF142D" w:rsidP="00EF142D">
            <w:pPr>
              <w:pStyle w:val="TableBodyText"/>
              <w:rPr>
                <w:b/>
              </w:rPr>
            </w:pPr>
            <w:r w:rsidRPr="00EF142D">
              <w:rPr>
                <w:b/>
              </w:rPr>
              <w:t>73.7</w:t>
            </w:r>
          </w:p>
        </w:tc>
        <w:tc>
          <w:tcPr>
            <w:tcW w:w="851" w:type="dxa"/>
            <w:vAlign w:val="bottom"/>
          </w:tcPr>
          <w:p w:rsidR="00EF142D" w:rsidRPr="00EF142D" w:rsidRDefault="00EF142D" w:rsidP="00EF142D">
            <w:pPr>
              <w:pStyle w:val="TableBodyText"/>
              <w:rPr>
                <w:b/>
              </w:rPr>
            </w:pPr>
            <w:r w:rsidRPr="00EF142D">
              <w:rPr>
                <w:b/>
              </w:rPr>
              <w:t>65.1</w:t>
            </w:r>
          </w:p>
        </w:tc>
      </w:tr>
      <w:tr w:rsidR="00EF142D" w:rsidRPr="00666ECE" w:rsidTr="00EF142D">
        <w:tc>
          <w:tcPr>
            <w:tcW w:w="7371" w:type="dxa"/>
            <w:gridSpan w:val="9"/>
          </w:tcPr>
          <w:p w:rsidR="00EF142D" w:rsidRPr="00666ECE" w:rsidRDefault="00EF142D" w:rsidP="00EF142D">
            <w:pPr>
              <w:pStyle w:val="TableBodyText"/>
              <w:jc w:val="left"/>
            </w:pPr>
            <w:r w:rsidRPr="00666ECE">
              <w:t>Proportion of FTE students w</w:t>
            </w:r>
            <w:r>
              <w:t>ho were female (all schools)</w:t>
            </w:r>
          </w:p>
        </w:tc>
        <w:tc>
          <w:tcPr>
            <w:tcW w:w="567" w:type="dxa"/>
          </w:tcPr>
          <w:p w:rsidR="00EF142D" w:rsidRPr="00666ECE" w:rsidRDefault="00EF142D" w:rsidP="00666ECE">
            <w:pPr>
              <w:keepNext/>
              <w:keepLines/>
              <w:spacing w:after="40" w:line="220" w:lineRule="atLeast"/>
              <w:ind w:left="6" w:right="113"/>
              <w:jc w:val="right"/>
              <w:rPr>
                <w:rFonts w:ascii="Arial" w:hAnsi="Arial"/>
                <w:sz w:val="20"/>
                <w:szCs w:val="20"/>
              </w:rPr>
            </w:pPr>
          </w:p>
        </w:tc>
        <w:tc>
          <w:tcPr>
            <w:tcW w:w="851" w:type="dxa"/>
          </w:tcPr>
          <w:p w:rsidR="00EF142D" w:rsidRPr="00666ECE" w:rsidRDefault="00EF142D" w:rsidP="00666ECE">
            <w:pPr>
              <w:keepNext/>
              <w:keepLines/>
              <w:spacing w:after="40" w:line="220" w:lineRule="atLeast"/>
              <w:ind w:left="6" w:right="28"/>
              <w:jc w:val="right"/>
              <w:rPr>
                <w:rFonts w:ascii="Arial" w:hAnsi="Arial"/>
                <w:sz w:val="20"/>
                <w:szCs w:val="20"/>
              </w:rPr>
            </w:pPr>
          </w:p>
        </w:tc>
      </w:tr>
      <w:tr w:rsidR="00EF142D" w:rsidRPr="00666ECE" w:rsidTr="00EF142D">
        <w:tc>
          <w:tcPr>
            <w:tcW w:w="1843" w:type="dxa"/>
          </w:tcPr>
          <w:p w:rsidR="00EF142D" w:rsidRPr="00666ECE" w:rsidRDefault="00EF142D" w:rsidP="00EF142D">
            <w:pPr>
              <w:keepNext/>
              <w:keepLines/>
              <w:spacing w:after="40" w:line="220" w:lineRule="atLeast"/>
              <w:ind w:right="113"/>
              <w:rPr>
                <w:rFonts w:ascii="Arial" w:hAnsi="Arial"/>
                <w:sz w:val="20"/>
                <w:szCs w:val="20"/>
              </w:rPr>
            </w:pPr>
            <w:r w:rsidRPr="00666ECE">
              <w:rPr>
                <w:rFonts w:ascii="Arial" w:hAnsi="Arial"/>
                <w:sz w:val="20"/>
                <w:szCs w:val="20"/>
              </w:rPr>
              <w:t>Primary schools</w:t>
            </w:r>
          </w:p>
        </w:tc>
        <w:tc>
          <w:tcPr>
            <w:tcW w:w="709" w:type="dxa"/>
          </w:tcPr>
          <w:p w:rsidR="00EF142D" w:rsidRDefault="00EF142D" w:rsidP="00EF142D">
            <w:pPr>
              <w:pStyle w:val="TableBodyText"/>
            </w:pPr>
            <w:r w:rsidRPr="007E2D7F">
              <w:t>%</w:t>
            </w:r>
          </w:p>
        </w:tc>
        <w:tc>
          <w:tcPr>
            <w:tcW w:w="850" w:type="dxa"/>
            <w:vAlign w:val="bottom"/>
          </w:tcPr>
          <w:p w:rsidR="00EF142D" w:rsidRDefault="00EF142D" w:rsidP="00EF142D">
            <w:pPr>
              <w:pStyle w:val="TableBodyText"/>
            </w:pPr>
            <w:r>
              <w:t>48.5</w:t>
            </w:r>
          </w:p>
        </w:tc>
        <w:tc>
          <w:tcPr>
            <w:tcW w:w="709" w:type="dxa"/>
            <w:vAlign w:val="bottom"/>
          </w:tcPr>
          <w:p w:rsidR="00EF142D" w:rsidRDefault="00EF142D" w:rsidP="00EF142D">
            <w:pPr>
              <w:pStyle w:val="TableBodyText"/>
            </w:pPr>
            <w:r>
              <w:t>48.7</w:t>
            </w:r>
          </w:p>
        </w:tc>
        <w:tc>
          <w:tcPr>
            <w:tcW w:w="709" w:type="dxa"/>
            <w:vAlign w:val="bottom"/>
          </w:tcPr>
          <w:p w:rsidR="00EF142D" w:rsidRDefault="00EF142D" w:rsidP="00EF142D">
            <w:pPr>
              <w:pStyle w:val="TableBodyText"/>
            </w:pPr>
            <w:r>
              <w:t>48.4</w:t>
            </w:r>
          </w:p>
        </w:tc>
        <w:tc>
          <w:tcPr>
            <w:tcW w:w="709" w:type="dxa"/>
            <w:vAlign w:val="bottom"/>
          </w:tcPr>
          <w:p w:rsidR="00EF142D" w:rsidRDefault="00EF142D" w:rsidP="00EF142D">
            <w:pPr>
              <w:pStyle w:val="TableBodyText"/>
            </w:pPr>
            <w:r>
              <w:t>48.8</w:t>
            </w:r>
          </w:p>
        </w:tc>
        <w:tc>
          <w:tcPr>
            <w:tcW w:w="708" w:type="dxa"/>
            <w:vAlign w:val="bottom"/>
          </w:tcPr>
          <w:p w:rsidR="00EF142D" w:rsidRDefault="00EF142D" w:rsidP="00EF142D">
            <w:pPr>
              <w:pStyle w:val="TableBodyText"/>
            </w:pPr>
            <w:r>
              <w:t>48.7</w:t>
            </w:r>
          </w:p>
        </w:tc>
        <w:tc>
          <w:tcPr>
            <w:tcW w:w="567" w:type="dxa"/>
            <w:vAlign w:val="bottom"/>
          </w:tcPr>
          <w:p w:rsidR="00EF142D" w:rsidRDefault="00EF142D" w:rsidP="00EF142D">
            <w:pPr>
              <w:pStyle w:val="TableBodyText"/>
            </w:pPr>
            <w:r>
              <w:t>48.4</w:t>
            </w:r>
          </w:p>
        </w:tc>
        <w:tc>
          <w:tcPr>
            <w:tcW w:w="567" w:type="dxa"/>
            <w:vAlign w:val="bottom"/>
          </w:tcPr>
          <w:p w:rsidR="00EF142D" w:rsidRDefault="00EF142D" w:rsidP="00EF142D">
            <w:pPr>
              <w:pStyle w:val="TableBodyText"/>
            </w:pPr>
            <w:r>
              <w:t>48.8</w:t>
            </w:r>
          </w:p>
        </w:tc>
        <w:tc>
          <w:tcPr>
            <w:tcW w:w="567" w:type="dxa"/>
            <w:vAlign w:val="bottom"/>
          </w:tcPr>
          <w:p w:rsidR="00EF142D" w:rsidRDefault="00EF142D" w:rsidP="00EF142D">
            <w:pPr>
              <w:pStyle w:val="TableBodyText"/>
            </w:pPr>
            <w:r>
              <w:t>49.1</w:t>
            </w:r>
          </w:p>
        </w:tc>
        <w:tc>
          <w:tcPr>
            <w:tcW w:w="851" w:type="dxa"/>
            <w:vAlign w:val="bottom"/>
          </w:tcPr>
          <w:p w:rsidR="00EF142D" w:rsidRDefault="00EF142D" w:rsidP="00EF142D">
            <w:pPr>
              <w:pStyle w:val="TableBodyText"/>
            </w:pPr>
            <w:r>
              <w:t>48.6</w:t>
            </w:r>
          </w:p>
        </w:tc>
      </w:tr>
      <w:tr w:rsidR="00EF142D" w:rsidRPr="00666ECE" w:rsidTr="00EF142D">
        <w:tc>
          <w:tcPr>
            <w:tcW w:w="1843" w:type="dxa"/>
          </w:tcPr>
          <w:p w:rsidR="00EF142D" w:rsidRPr="00666ECE" w:rsidRDefault="00EF142D" w:rsidP="00EF142D">
            <w:pPr>
              <w:keepNext/>
              <w:keepLines/>
              <w:spacing w:after="40" w:line="220" w:lineRule="atLeast"/>
              <w:ind w:right="113"/>
              <w:rPr>
                <w:rFonts w:ascii="Arial" w:hAnsi="Arial"/>
                <w:sz w:val="20"/>
                <w:szCs w:val="20"/>
              </w:rPr>
            </w:pPr>
            <w:r w:rsidRPr="00666ECE">
              <w:rPr>
                <w:rFonts w:ascii="Arial" w:hAnsi="Arial"/>
                <w:sz w:val="20"/>
                <w:szCs w:val="20"/>
              </w:rPr>
              <w:t>Secondary schools</w:t>
            </w:r>
          </w:p>
        </w:tc>
        <w:tc>
          <w:tcPr>
            <w:tcW w:w="709" w:type="dxa"/>
          </w:tcPr>
          <w:p w:rsidR="00EF142D" w:rsidRDefault="00EF142D" w:rsidP="00EF142D">
            <w:pPr>
              <w:pStyle w:val="TableBodyText"/>
            </w:pPr>
            <w:r w:rsidRPr="007E2D7F">
              <w:t>%</w:t>
            </w:r>
          </w:p>
        </w:tc>
        <w:tc>
          <w:tcPr>
            <w:tcW w:w="850" w:type="dxa"/>
            <w:vAlign w:val="bottom"/>
          </w:tcPr>
          <w:p w:rsidR="00EF142D" w:rsidRPr="004E70FF" w:rsidRDefault="00EF142D" w:rsidP="00EF142D">
            <w:pPr>
              <w:pStyle w:val="TableBodyText"/>
            </w:pPr>
            <w:r w:rsidRPr="004E70FF">
              <w:t>49.4</w:t>
            </w:r>
          </w:p>
        </w:tc>
        <w:tc>
          <w:tcPr>
            <w:tcW w:w="709" w:type="dxa"/>
            <w:vAlign w:val="bottom"/>
          </w:tcPr>
          <w:p w:rsidR="00EF142D" w:rsidRPr="004E70FF" w:rsidRDefault="00EF142D" w:rsidP="00EF142D">
            <w:pPr>
              <w:pStyle w:val="TableBodyText"/>
            </w:pPr>
            <w:r w:rsidRPr="004E70FF">
              <w:t>49.4</w:t>
            </w:r>
          </w:p>
        </w:tc>
        <w:tc>
          <w:tcPr>
            <w:tcW w:w="709" w:type="dxa"/>
            <w:vAlign w:val="bottom"/>
          </w:tcPr>
          <w:p w:rsidR="00EF142D" w:rsidRPr="004E70FF" w:rsidRDefault="00EF142D" w:rsidP="00EF142D">
            <w:pPr>
              <w:pStyle w:val="TableBodyText"/>
            </w:pPr>
            <w:r w:rsidRPr="004E70FF">
              <w:t>49.6</w:t>
            </w:r>
          </w:p>
        </w:tc>
        <w:tc>
          <w:tcPr>
            <w:tcW w:w="709" w:type="dxa"/>
            <w:vAlign w:val="bottom"/>
          </w:tcPr>
          <w:p w:rsidR="00EF142D" w:rsidRPr="004E70FF" w:rsidRDefault="00EF142D" w:rsidP="00EF142D">
            <w:pPr>
              <w:pStyle w:val="TableBodyText"/>
            </w:pPr>
            <w:r w:rsidRPr="004E70FF">
              <w:t>48.9</w:t>
            </w:r>
          </w:p>
        </w:tc>
        <w:tc>
          <w:tcPr>
            <w:tcW w:w="708" w:type="dxa"/>
            <w:vAlign w:val="bottom"/>
          </w:tcPr>
          <w:p w:rsidR="00EF142D" w:rsidRPr="004E70FF" w:rsidRDefault="00EF142D" w:rsidP="00EF142D">
            <w:pPr>
              <w:pStyle w:val="TableBodyText"/>
            </w:pPr>
            <w:r w:rsidRPr="004E70FF">
              <w:t>49.7</w:t>
            </w:r>
          </w:p>
        </w:tc>
        <w:tc>
          <w:tcPr>
            <w:tcW w:w="567" w:type="dxa"/>
            <w:vAlign w:val="bottom"/>
          </w:tcPr>
          <w:p w:rsidR="00EF142D" w:rsidRPr="004E70FF" w:rsidRDefault="00EF142D" w:rsidP="00EF142D">
            <w:pPr>
              <w:pStyle w:val="TableBodyText"/>
            </w:pPr>
            <w:r w:rsidRPr="004E70FF">
              <w:t>49.6</w:t>
            </w:r>
          </w:p>
        </w:tc>
        <w:tc>
          <w:tcPr>
            <w:tcW w:w="567" w:type="dxa"/>
            <w:vAlign w:val="bottom"/>
          </w:tcPr>
          <w:p w:rsidR="00EF142D" w:rsidRPr="004E70FF" w:rsidRDefault="00EF142D" w:rsidP="00EF142D">
            <w:pPr>
              <w:pStyle w:val="TableBodyText"/>
            </w:pPr>
            <w:r w:rsidRPr="004E70FF">
              <w:t>49.3</w:t>
            </w:r>
          </w:p>
        </w:tc>
        <w:tc>
          <w:tcPr>
            <w:tcW w:w="567" w:type="dxa"/>
            <w:vAlign w:val="bottom"/>
          </w:tcPr>
          <w:p w:rsidR="00EF142D" w:rsidRPr="004E70FF" w:rsidRDefault="00EF142D" w:rsidP="00EF142D">
            <w:pPr>
              <w:pStyle w:val="TableBodyText"/>
            </w:pPr>
            <w:r w:rsidRPr="004E70FF">
              <w:t>48.4</w:t>
            </w:r>
          </w:p>
        </w:tc>
        <w:tc>
          <w:tcPr>
            <w:tcW w:w="851" w:type="dxa"/>
            <w:vAlign w:val="bottom"/>
          </w:tcPr>
          <w:p w:rsidR="00EF142D" w:rsidRPr="004E70FF" w:rsidRDefault="00EF142D" w:rsidP="00EF142D">
            <w:pPr>
              <w:pStyle w:val="TableBodyText"/>
            </w:pPr>
            <w:r w:rsidRPr="004E70FF">
              <w:t>49.4</w:t>
            </w:r>
          </w:p>
        </w:tc>
      </w:tr>
      <w:tr w:rsidR="00EF142D" w:rsidRPr="00666ECE" w:rsidTr="00EF142D">
        <w:tc>
          <w:tcPr>
            <w:tcW w:w="1843" w:type="dxa"/>
          </w:tcPr>
          <w:p w:rsidR="00EF142D" w:rsidRPr="00666ECE" w:rsidRDefault="00EF142D" w:rsidP="00EF142D">
            <w:pPr>
              <w:keepNext/>
              <w:keepLines/>
              <w:spacing w:after="40" w:line="220" w:lineRule="atLeast"/>
              <w:ind w:right="113"/>
              <w:rPr>
                <w:rFonts w:ascii="Arial" w:hAnsi="Arial"/>
                <w:b/>
                <w:sz w:val="20"/>
                <w:szCs w:val="20"/>
              </w:rPr>
            </w:pPr>
            <w:r w:rsidRPr="00666ECE">
              <w:rPr>
                <w:rFonts w:ascii="Arial" w:hAnsi="Arial"/>
                <w:b/>
                <w:sz w:val="20"/>
                <w:szCs w:val="20"/>
              </w:rPr>
              <w:t>All schools</w:t>
            </w:r>
          </w:p>
        </w:tc>
        <w:tc>
          <w:tcPr>
            <w:tcW w:w="709" w:type="dxa"/>
          </w:tcPr>
          <w:p w:rsidR="00EF142D" w:rsidRDefault="00EF142D" w:rsidP="00EF142D">
            <w:pPr>
              <w:pStyle w:val="TableBodyText"/>
            </w:pPr>
            <w:r w:rsidRPr="007E2D7F">
              <w:t>%</w:t>
            </w:r>
          </w:p>
        </w:tc>
        <w:tc>
          <w:tcPr>
            <w:tcW w:w="850" w:type="dxa"/>
            <w:vAlign w:val="bottom"/>
          </w:tcPr>
          <w:p w:rsidR="00EF142D" w:rsidRPr="00EF142D" w:rsidRDefault="00EF142D" w:rsidP="00EF142D">
            <w:pPr>
              <w:pStyle w:val="TableBodyText"/>
              <w:rPr>
                <w:b/>
              </w:rPr>
            </w:pPr>
            <w:r w:rsidRPr="00EF142D">
              <w:rPr>
                <w:b/>
              </w:rPr>
              <w:t>48.9</w:t>
            </w:r>
          </w:p>
        </w:tc>
        <w:tc>
          <w:tcPr>
            <w:tcW w:w="709" w:type="dxa"/>
            <w:vAlign w:val="bottom"/>
          </w:tcPr>
          <w:p w:rsidR="00EF142D" w:rsidRPr="00EF142D" w:rsidRDefault="00EF142D" w:rsidP="00EF142D">
            <w:pPr>
              <w:pStyle w:val="TableBodyText"/>
              <w:rPr>
                <w:b/>
              </w:rPr>
            </w:pPr>
            <w:r w:rsidRPr="00EF142D">
              <w:rPr>
                <w:b/>
              </w:rPr>
              <w:t>49.0</w:t>
            </w:r>
          </w:p>
        </w:tc>
        <w:tc>
          <w:tcPr>
            <w:tcW w:w="709" w:type="dxa"/>
            <w:vAlign w:val="bottom"/>
          </w:tcPr>
          <w:p w:rsidR="00EF142D" w:rsidRPr="00EF142D" w:rsidRDefault="00EF142D" w:rsidP="00EF142D">
            <w:pPr>
              <w:pStyle w:val="TableBodyText"/>
              <w:rPr>
                <w:b/>
              </w:rPr>
            </w:pPr>
            <w:r w:rsidRPr="00EF142D">
              <w:rPr>
                <w:b/>
              </w:rPr>
              <w:t>48.8</w:t>
            </w:r>
          </w:p>
        </w:tc>
        <w:tc>
          <w:tcPr>
            <w:tcW w:w="709" w:type="dxa"/>
            <w:vAlign w:val="bottom"/>
          </w:tcPr>
          <w:p w:rsidR="00EF142D" w:rsidRPr="00EF142D" w:rsidRDefault="00EF142D" w:rsidP="00EF142D">
            <w:pPr>
              <w:pStyle w:val="TableBodyText"/>
              <w:rPr>
                <w:b/>
              </w:rPr>
            </w:pPr>
            <w:r w:rsidRPr="00EF142D">
              <w:rPr>
                <w:b/>
              </w:rPr>
              <w:t>48.8</w:t>
            </w:r>
          </w:p>
        </w:tc>
        <w:tc>
          <w:tcPr>
            <w:tcW w:w="708" w:type="dxa"/>
            <w:vAlign w:val="bottom"/>
          </w:tcPr>
          <w:p w:rsidR="00EF142D" w:rsidRPr="00EF142D" w:rsidRDefault="00EF142D" w:rsidP="00EF142D">
            <w:pPr>
              <w:pStyle w:val="TableBodyText"/>
              <w:rPr>
                <w:b/>
              </w:rPr>
            </w:pPr>
            <w:r w:rsidRPr="00EF142D">
              <w:rPr>
                <w:b/>
              </w:rPr>
              <w:t>49.1</w:t>
            </w:r>
          </w:p>
        </w:tc>
        <w:tc>
          <w:tcPr>
            <w:tcW w:w="567" w:type="dxa"/>
            <w:vAlign w:val="bottom"/>
          </w:tcPr>
          <w:p w:rsidR="00EF142D" w:rsidRPr="00EF142D" w:rsidRDefault="00EF142D" w:rsidP="00EF142D">
            <w:pPr>
              <w:pStyle w:val="TableBodyText"/>
              <w:rPr>
                <w:b/>
              </w:rPr>
            </w:pPr>
            <w:r w:rsidRPr="00EF142D">
              <w:rPr>
                <w:b/>
              </w:rPr>
              <w:t>49.0</w:t>
            </w:r>
          </w:p>
        </w:tc>
        <w:tc>
          <w:tcPr>
            <w:tcW w:w="567" w:type="dxa"/>
            <w:vAlign w:val="bottom"/>
          </w:tcPr>
          <w:p w:rsidR="00EF142D" w:rsidRPr="00EF142D" w:rsidRDefault="00EF142D" w:rsidP="00EF142D">
            <w:pPr>
              <w:pStyle w:val="TableBodyText"/>
              <w:rPr>
                <w:b/>
              </w:rPr>
            </w:pPr>
            <w:r w:rsidRPr="00EF142D">
              <w:rPr>
                <w:b/>
              </w:rPr>
              <w:t>49.0</w:t>
            </w:r>
          </w:p>
        </w:tc>
        <w:tc>
          <w:tcPr>
            <w:tcW w:w="567" w:type="dxa"/>
            <w:vAlign w:val="bottom"/>
          </w:tcPr>
          <w:p w:rsidR="00EF142D" w:rsidRPr="00EF142D" w:rsidRDefault="00EF142D" w:rsidP="00EF142D">
            <w:pPr>
              <w:pStyle w:val="TableBodyText"/>
              <w:rPr>
                <w:b/>
              </w:rPr>
            </w:pPr>
            <w:r w:rsidRPr="00EF142D">
              <w:rPr>
                <w:b/>
              </w:rPr>
              <w:t>48.9</w:t>
            </w:r>
          </w:p>
        </w:tc>
        <w:tc>
          <w:tcPr>
            <w:tcW w:w="851" w:type="dxa"/>
            <w:vAlign w:val="bottom"/>
          </w:tcPr>
          <w:p w:rsidR="00EF142D" w:rsidRPr="00EF142D" w:rsidRDefault="00EF142D" w:rsidP="00EF142D">
            <w:pPr>
              <w:pStyle w:val="TableBodyText"/>
              <w:rPr>
                <w:b/>
              </w:rPr>
            </w:pPr>
            <w:r w:rsidRPr="00EF142D">
              <w:rPr>
                <w:b/>
              </w:rPr>
              <w:t>48.9</w:t>
            </w:r>
          </w:p>
        </w:tc>
      </w:tr>
      <w:tr w:rsidR="00EF142D" w:rsidRPr="00666ECE" w:rsidTr="00EF142D">
        <w:tc>
          <w:tcPr>
            <w:tcW w:w="7938" w:type="dxa"/>
            <w:gridSpan w:val="10"/>
          </w:tcPr>
          <w:p w:rsidR="00EF142D" w:rsidRPr="00666ECE" w:rsidRDefault="00EF142D" w:rsidP="00EF142D">
            <w:pPr>
              <w:pStyle w:val="TableBodyText"/>
              <w:jc w:val="left"/>
            </w:pPr>
            <w:r w:rsidRPr="00666ECE">
              <w:t xml:space="preserve">Proportion of FTE students who were enrolled in </w:t>
            </w:r>
            <w:r>
              <w:t>primary education, by sector</w:t>
            </w:r>
          </w:p>
        </w:tc>
        <w:tc>
          <w:tcPr>
            <w:tcW w:w="851" w:type="dxa"/>
          </w:tcPr>
          <w:p w:rsidR="00EF142D" w:rsidRPr="00666ECE" w:rsidRDefault="00EF142D" w:rsidP="00C30F35">
            <w:pPr>
              <w:pStyle w:val="TableBodyText"/>
            </w:pPr>
          </w:p>
        </w:tc>
      </w:tr>
      <w:tr w:rsidR="00EF142D" w:rsidRPr="00666ECE" w:rsidTr="004E70FF">
        <w:tc>
          <w:tcPr>
            <w:tcW w:w="1843" w:type="dxa"/>
          </w:tcPr>
          <w:p w:rsidR="00EF142D" w:rsidRPr="00666ECE" w:rsidRDefault="00EF142D" w:rsidP="00EF142D">
            <w:pPr>
              <w:keepNext/>
              <w:keepLines/>
              <w:spacing w:after="40" w:line="220" w:lineRule="atLeast"/>
              <w:ind w:right="113"/>
              <w:rPr>
                <w:rFonts w:ascii="Arial" w:hAnsi="Arial"/>
                <w:sz w:val="20"/>
                <w:szCs w:val="20"/>
              </w:rPr>
            </w:pPr>
            <w:r w:rsidRPr="00666ECE">
              <w:rPr>
                <w:rFonts w:ascii="Arial" w:hAnsi="Arial"/>
                <w:sz w:val="20"/>
                <w:szCs w:val="20"/>
              </w:rPr>
              <w:t>Government schools</w:t>
            </w:r>
          </w:p>
        </w:tc>
        <w:tc>
          <w:tcPr>
            <w:tcW w:w="709" w:type="dxa"/>
            <w:vAlign w:val="bottom"/>
          </w:tcPr>
          <w:p w:rsidR="00EF142D" w:rsidRDefault="00EF142D" w:rsidP="004E70FF">
            <w:pPr>
              <w:pStyle w:val="TableBodyText"/>
            </w:pPr>
            <w:r w:rsidRPr="00462C33">
              <w:t>%</w:t>
            </w:r>
          </w:p>
        </w:tc>
        <w:tc>
          <w:tcPr>
            <w:tcW w:w="850" w:type="dxa"/>
            <w:vAlign w:val="bottom"/>
          </w:tcPr>
          <w:p w:rsidR="00EF142D" w:rsidRDefault="00EF142D" w:rsidP="00C30F35">
            <w:pPr>
              <w:pStyle w:val="TableBodyText"/>
            </w:pPr>
            <w:r>
              <w:t>58.9</w:t>
            </w:r>
          </w:p>
        </w:tc>
        <w:tc>
          <w:tcPr>
            <w:tcW w:w="709" w:type="dxa"/>
            <w:vAlign w:val="bottom"/>
          </w:tcPr>
          <w:p w:rsidR="00EF142D" w:rsidRDefault="00EF142D" w:rsidP="00C30F35">
            <w:pPr>
              <w:pStyle w:val="TableBodyText"/>
            </w:pPr>
            <w:r>
              <w:t>58.9</w:t>
            </w:r>
          </w:p>
        </w:tc>
        <w:tc>
          <w:tcPr>
            <w:tcW w:w="709" w:type="dxa"/>
            <w:vAlign w:val="bottom"/>
          </w:tcPr>
          <w:p w:rsidR="00EF142D" w:rsidRDefault="00EF142D" w:rsidP="00C30F35">
            <w:pPr>
              <w:pStyle w:val="TableBodyText"/>
            </w:pPr>
            <w:r>
              <w:t>64.8</w:t>
            </w:r>
          </w:p>
        </w:tc>
        <w:tc>
          <w:tcPr>
            <w:tcW w:w="709" w:type="dxa"/>
            <w:vAlign w:val="bottom"/>
          </w:tcPr>
          <w:p w:rsidR="00EF142D" w:rsidRDefault="00EF142D" w:rsidP="00C30F35">
            <w:pPr>
              <w:pStyle w:val="TableBodyText"/>
            </w:pPr>
            <w:r>
              <w:t>69.0</w:t>
            </w:r>
          </w:p>
        </w:tc>
        <w:tc>
          <w:tcPr>
            <w:tcW w:w="708" w:type="dxa"/>
            <w:vAlign w:val="bottom"/>
          </w:tcPr>
          <w:p w:rsidR="00EF142D" w:rsidRDefault="00EF142D" w:rsidP="00C30F35">
            <w:pPr>
              <w:pStyle w:val="TableBodyText"/>
            </w:pPr>
            <w:r>
              <w:t>63.0</w:t>
            </w:r>
          </w:p>
        </w:tc>
        <w:tc>
          <w:tcPr>
            <w:tcW w:w="567" w:type="dxa"/>
            <w:vAlign w:val="bottom"/>
          </w:tcPr>
          <w:p w:rsidR="00EF142D" w:rsidRDefault="00EF142D" w:rsidP="00C30F35">
            <w:pPr>
              <w:pStyle w:val="TableBodyText"/>
            </w:pPr>
            <w:r>
              <w:t>55.2</w:t>
            </w:r>
          </w:p>
        </w:tc>
        <w:tc>
          <w:tcPr>
            <w:tcW w:w="567" w:type="dxa"/>
            <w:vAlign w:val="bottom"/>
          </w:tcPr>
          <w:p w:rsidR="00EF142D" w:rsidRDefault="00EF142D" w:rsidP="00C30F35">
            <w:pPr>
              <w:pStyle w:val="TableBodyText"/>
            </w:pPr>
            <w:r>
              <w:t>56.1</w:t>
            </w:r>
          </w:p>
        </w:tc>
        <w:tc>
          <w:tcPr>
            <w:tcW w:w="567" w:type="dxa"/>
            <w:vAlign w:val="bottom"/>
          </w:tcPr>
          <w:p w:rsidR="00EF142D" w:rsidRDefault="00EF142D" w:rsidP="00C30F35">
            <w:pPr>
              <w:pStyle w:val="TableBodyText"/>
            </w:pPr>
            <w:r>
              <w:t>63.8</w:t>
            </w:r>
          </w:p>
        </w:tc>
        <w:tc>
          <w:tcPr>
            <w:tcW w:w="851" w:type="dxa"/>
            <w:vAlign w:val="bottom"/>
          </w:tcPr>
          <w:p w:rsidR="00EF142D" w:rsidRDefault="00EF142D" w:rsidP="00C30F35">
            <w:pPr>
              <w:pStyle w:val="TableBodyText"/>
            </w:pPr>
            <w:r>
              <w:t>61.5</w:t>
            </w:r>
          </w:p>
        </w:tc>
      </w:tr>
      <w:tr w:rsidR="00EF142D" w:rsidRPr="00666ECE" w:rsidTr="004E70FF">
        <w:tc>
          <w:tcPr>
            <w:tcW w:w="1843" w:type="dxa"/>
            <w:shd w:val="clear" w:color="auto" w:fill="auto"/>
          </w:tcPr>
          <w:p w:rsidR="00EF142D" w:rsidRPr="00666ECE" w:rsidRDefault="00EF142D" w:rsidP="00EF142D">
            <w:pPr>
              <w:keepNext/>
              <w:keepLines/>
              <w:spacing w:after="40" w:line="220" w:lineRule="atLeast"/>
              <w:ind w:right="113"/>
              <w:rPr>
                <w:rFonts w:ascii="Arial" w:hAnsi="Arial"/>
                <w:sz w:val="20"/>
                <w:szCs w:val="20"/>
              </w:rPr>
            </w:pPr>
            <w:r w:rsidRPr="00666ECE">
              <w:rPr>
                <w:rFonts w:ascii="Arial" w:hAnsi="Arial"/>
                <w:sz w:val="20"/>
                <w:szCs w:val="20"/>
              </w:rPr>
              <w:t>Non-government schools</w:t>
            </w:r>
          </w:p>
        </w:tc>
        <w:tc>
          <w:tcPr>
            <w:tcW w:w="709" w:type="dxa"/>
            <w:vAlign w:val="bottom"/>
          </w:tcPr>
          <w:p w:rsidR="00EF142D" w:rsidRDefault="00EF142D" w:rsidP="004E70FF">
            <w:pPr>
              <w:pStyle w:val="TableBodyText"/>
            </w:pPr>
            <w:r w:rsidRPr="00462C33">
              <w:t>%</w:t>
            </w:r>
          </w:p>
        </w:tc>
        <w:tc>
          <w:tcPr>
            <w:tcW w:w="850" w:type="dxa"/>
            <w:shd w:val="clear" w:color="auto" w:fill="auto"/>
            <w:vAlign w:val="bottom"/>
          </w:tcPr>
          <w:p w:rsidR="00EF142D" w:rsidRDefault="00EF142D" w:rsidP="00C30F35">
            <w:pPr>
              <w:pStyle w:val="TableBodyText"/>
            </w:pPr>
            <w:r>
              <w:t>49.8</w:t>
            </w:r>
          </w:p>
        </w:tc>
        <w:tc>
          <w:tcPr>
            <w:tcW w:w="709" w:type="dxa"/>
            <w:shd w:val="clear" w:color="auto" w:fill="auto"/>
            <w:vAlign w:val="bottom"/>
          </w:tcPr>
          <w:p w:rsidR="00EF142D" w:rsidRDefault="00EF142D" w:rsidP="00C30F35">
            <w:pPr>
              <w:pStyle w:val="TableBodyText"/>
            </w:pPr>
            <w:r>
              <w:t>48.5</w:t>
            </w:r>
          </w:p>
        </w:tc>
        <w:tc>
          <w:tcPr>
            <w:tcW w:w="709" w:type="dxa"/>
            <w:shd w:val="clear" w:color="auto" w:fill="auto"/>
            <w:vAlign w:val="bottom"/>
          </w:tcPr>
          <w:p w:rsidR="00EF142D" w:rsidRDefault="00EF142D" w:rsidP="00C30F35">
            <w:pPr>
              <w:pStyle w:val="TableBodyText"/>
            </w:pPr>
            <w:r>
              <w:t>55.7</w:t>
            </w:r>
          </w:p>
        </w:tc>
        <w:tc>
          <w:tcPr>
            <w:tcW w:w="709" w:type="dxa"/>
            <w:shd w:val="clear" w:color="auto" w:fill="auto"/>
            <w:vAlign w:val="bottom"/>
          </w:tcPr>
          <w:p w:rsidR="00EF142D" w:rsidRDefault="00EF142D" w:rsidP="00C30F35">
            <w:pPr>
              <w:pStyle w:val="TableBodyText"/>
            </w:pPr>
            <w:r>
              <w:t>56.9</w:t>
            </w:r>
          </w:p>
        </w:tc>
        <w:tc>
          <w:tcPr>
            <w:tcW w:w="708" w:type="dxa"/>
            <w:shd w:val="clear" w:color="auto" w:fill="auto"/>
            <w:vAlign w:val="bottom"/>
          </w:tcPr>
          <w:p w:rsidR="00EF142D" w:rsidRDefault="00EF142D" w:rsidP="00C30F35">
            <w:pPr>
              <w:pStyle w:val="TableBodyText"/>
            </w:pPr>
            <w:r>
              <w:t>57.1</w:t>
            </w:r>
          </w:p>
        </w:tc>
        <w:tc>
          <w:tcPr>
            <w:tcW w:w="567" w:type="dxa"/>
            <w:shd w:val="clear" w:color="auto" w:fill="auto"/>
            <w:vAlign w:val="bottom"/>
          </w:tcPr>
          <w:p w:rsidR="00EF142D" w:rsidRDefault="00EF142D" w:rsidP="00C30F35">
            <w:pPr>
              <w:pStyle w:val="TableBodyText"/>
            </w:pPr>
            <w:r>
              <w:t>48.7</w:t>
            </w:r>
          </w:p>
        </w:tc>
        <w:tc>
          <w:tcPr>
            <w:tcW w:w="567" w:type="dxa"/>
            <w:shd w:val="clear" w:color="auto" w:fill="auto"/>
            <w:vAlign w:val="bottom"/>
          </w:tcPr>
          <w:p w:rsidR="00EF142D" w:rsidRDefault="00EF142D" w:rsidP="00C30F35">
            <w:pPr>
              <w:pStyle w:val="TableBodyText"/>
            </w:pPr>
            <w:r>
              <w:t>49.4</w:t>
            </w:r>
          </w:p>
        </w:tc>
        <w:tc>
          <w:tcPr>
            <w:tcW w:w="567" w:type="dxa"/>
            <w:shd w:val="clear" w:color="auto" w:fill="auto"/>
            <w:vAlign w:val="bottom"/>
          </w:tcPr>
          <w:p w:rsidR="00EF142D" w:rsidRDefault="00EF142D" w:rsidP="00C30F35">
            <w:pPr>
              <w:pStyle w:val="TableBodyText"/>
            </w:pPr>
            <w:r>
              <w:t>50.2</w:t>
            </w:r>
          </w:p>
        </w:tc>
        <w:tc>
          <w:tcPr>
            <w:tcW w:w="851" w:type="dxa"/>
            <w:shd w:val="clear" w:color="auto" w:fill="auto"/>
            <w:vAlign w:val="bottom"/>
          </w:tcPr>
          <w:p w:rsidR="00EF142D" w:rsidRDefault="00EF142D" w:rsidP="00C30F35">
            <w:pPr>
              <w:pStyle w:val="TableBodyText"/>
            </w:pPr>
            <w:r>
              <w:t>51.9</w:t>
            </w:r>
          </w:p>
        </w:tc>
      </w:tr>
      <w:tr w:rsidR="00EF142D" w:rsidRPr="00EF142D" w:rsidTr="004E70FF">
        <w:tc>
          <w:tcPr>
            <w:tcW w:w="1843" w:type="dxa"/>
            <w:tcBorders>
              <w:bottom w:val="single" w:sz="6" w:space="0" w:color="auto"/>
            </w:tcBorders>
            <w:shd w:val="clear" w:color="auto" w:fill="auto"/>
          </w:tcPr>
          <w:p w:rsidR="00EF142D" w:rsidRPr="00666ECE" w:rsidRDefault="00EF142D" w:rsidP="00EF142D">
            <w:pPr>
              <w:keepNext/>
              <w:keepLines/>
              <w:spacing w:after="40" w:line="220" w:lineRule="atLeast"/>
              <w:ind w:right="113"/>
              <w:rPr>
                <w:rFonts w:ascii="Arial" w:hAnsi="Arial"/>
                <w:b/>
                <w:sz w:val="20"/>
                <w:szCs w:val="20"/>
              </w:rPr>
            </w:pPr>
            <w:r w:rsidRPr="00666ECE">
              <w:rPr>
                <w:rFonts w:ascii="Arial" w:hAnsi="Arial"/>
                <w:b/>
                <w:sz w:val="20"/>
                <w:szCs w:val="20"/>
              </w:rPr>
              <w:t>All schools</w:t>
            </w:r>
          </w:p>
        </w:tc>
        <w:tc>
          <w:tcPr>
            <w:tcW w:w="709" w:type="dxa"/>
            <w:tcBorders>
              <w:bottom w:val="single" w:sz="6" w:space="0" w:color="auto"/>
            </w:tcBorders>
            <w:vAlign w:val="bottom"/>
          </w:tcPr>
          <w:p w:rsidR="00EF142D" w:rsidRDefault="00EF142D" w:rsidP="004E70FF">
            <w:pPr>
              <w:pStyle w:val="TableBodyText"/>
            </w:pPr>
            <w:r w:rsidRPr="00462C33">
              <w:t>%</w:t>
            </w:r>
          </w:p>
        </w:tc>
        <w:tc>
          <w:tcPr>
            <w:tcW w:w="850" w:type="dxa"/>
            <w:tcBorders>
              <w:bottom w:val="single" w:sz="6" w:space="0" w:color="auto"/>
            </w:tcBorders>
            <w:shd w:val="clear" w:color="auto" w:fill="auto"/>
            <w:vAlign w:val="bottom"/>
          </w:tcPr>
          <w:p w:rsidR="00EF142D" w:rsidRPr="00EF142D" w:rsidRDefault="00EF142D" w:rsidP="00C30F35">
            <w:pPr>
              <w:pStyle w:val="TableBodyText"/>
              <w:rPr>
                <w:b/>
              </w:rPr>
            </w:pPr>
            <w:r w:rsidRPr="00EF142D">
              <w:rPr>
                <w:b/>
              </w:rPr>
              <w:t>55.8</w:t>
            </w:r>
          </w:p>
        </w:tc>
        <w:tc>
          <w:tcPr>
            <w:tcW w:w="709" w:type="dxa"/>
            <w:tcBorders>
              <w:bottom w:val="single" w:sz="6" w:space="0" w:color="auto"/>
            </w:tcBorders>
            <w:shd w:val="clear" w:color="auto" w:fill="auto"/>
            <w:vAlign w:val="bottom"/>
          </w:tcPr>
          <w:p w:rsidR="00EF142D" w:rsidRPr="00EF142D" w:rsidRDefault="00EF142D" w:rsidP="00C30F35">
            <w:pPr>
              <w:pStyle w:val="TableBodyText"/>
              <w:rPr>
                <w:b/>
              </w:rPr>
            </w:pPr>
            <w:r w:rsidRPr="00EF142D">
              <w:rPr>
                <w:b/>
              </w:rPr>
              <w:t>55.1</w:t>
            </w:r>
          </w:p>
        </w:tc>
        <w:tc>
          <w:tcPr>
            <w:tcW w:w="709" w:type="dxa"/>
            <w:tcBorders>
              <w:bottom w:val="single" w:sz="6" w:space="0" w:color="auto"/>
            </w:tcBorders>
            <w:shd w:val="clear" w:color="auto" w:fill="auto"/>
            <w:vAlign w:val="bottom"/>
          </w:tcPr>
          <w:p w:rsidR="00EF142D" w:rsidRPr="00EF142D" w:rsidRDefault="00EF142D" w:rsidP="00C30F35">
            <w:pPr>
              <w:pStyle w:val="TableBodyText"/>
              <w:rPr>
                <w:b/>
              </w:rPr>
            </w:pPr>
            <w:r w:rsidRPr="00EF142D">
              <w:rPr>
                <w:b/>
              </w:rPr>
              <w:t>61.8</w:t>
            </w:r>
          </w:p>
        </w:tc>
        <w:tc>
          <w:tcPr>
            <w:tcW w:w="709" w:type="dxa"/>
            <w:tcBorders>
              <w:bottom w:val="single" w:sz="6" w:space="0" w:color="auto"/>
            </w:tcBorders>
            <w:shd w:val="clear" w:color="auto" w:fill="auto"/>
            <w:vAlign w:val="bottom"/>
          </w:tcPr>
          <w:p w:rsidR="00EF142D" w:rsidRPr="00EF142D" w:rsidRDefault="00EF142D" w:rsidP="00C30F35">
            <w:pPr>
              <w:pStyle w:val="TableBodyText"/>
              <w:rPr>
                <w:b/>
              </w:rPr>
            </w:pPr>
            <w:r w:rsidRPr="00EF142D">
              <w:rPr>
                <w:b/>
              </w:rPr>
              <w:t>64.8</w:t>
            </w:r>
          </w:p>
        </w:tc>
        <w:tc>
          <w:tcPr>
            <w:tcW w:w="708" w:type="dxa"/>
            <w:tcBorders>
              <w:bottom w:val="single" w:sz="6" w:space="0" w:color="auto"/>
            </w:tcBorders>
            <w:shd w:val="clear" w:color="auto" w:fill="auto"/>
            <w:vAlign w:val="bottom"/>
          </w:tcPr>
          <w:p w:rsidR="00EF142D" w:rsidRPr="00EF142D" w:rsidRDefault="00EF142D" w:rsidP="00C30F35">
            <w:pPr>
              <w:pStyle w:val="TableBodyText"/>
              <w:rPr>
                <w:b/>
              </w:rPr>
            </w:pPr>
            <w:r w:rsidRPr="00EF142D">
              <w:rPr>
                <w:b/>
              </w:rPr>
              <w:t>60.9</w:t>
            </w:r>
          </w:p>
        </w:tc>
        <w:tc>
          <w:tcPr>
            <w:tcW w:w="567" w:type="dxa"/>
            <w:tcBorders>
              <w:bottom w:val="single" w:sz="6" w:space="0" w:color="auto"/>
            </w:tcBorders>
            <w:shd w:val="clear" w:color="auto" w:fill="auto"/>
            <w:vAlign w:val="bottom"/>
          </w:tcPr>
          <w:p w:rsidR="00EF142D" w:rsidRPr="00EF142D" w:rsidRDefault="00EF142D" w:rsidP="00C30F35">
            <w:pPr>
              <w:pStyle w:val="TableBodyText"/>
              <w:rPr>
                <w:b/>
              </w:rPr>
            </w:pPr>
            <w:r w:rsidRPr="00EF142D">
              <w:rPr>
                <w:b/>
              </w:rPr>
              <w:t>53.3</w:t>
            </w:r>
          </w:p>
        </w:tc>
        <w:tc>
          <w:tcPr>
            <w:tcW w:w="567" w:type="dxa"/>
            <w:tcBorders>
              <w:bottom w:val="single" w:sz="6" w:space="0" w:color="auto"/>
            </w:tcBorders>
            <w:shd w:val="clear" w:color="auto" w:fill="auto"/>
            <w:vAlign w:val="bottom"/>
          </w:tcPr>
          <w:p w:rsidR="00EF142D" w:rsidRPr="00EF142D" w:rsidRDefault="00EF142D" w:rsidP="00C30F35">
            <w:pPr>
              <w:pStyle w:val="TableBodyText"/>
              <w:rPr>
                <w:b/>
              </w:rPr>
            </w:pPr>
            <w:r w:rsidRPr="00EF142D">
              <w:rPr>
                <w:b/>
              </w:rPr>
              <w:t>53.2</w:t>
            </w:r>
          </w:p>
        </w:tc>
        <w:tc>
          <w:tcPr>
            <w:tcW w:w="567" w:type="dxa"/>
            <w:tcBorders>
              <w:bottom w:val="single" w:sz="6" w:space="0" w:color="auto"/>
            </w:tcBorders>
            <w:shd w:val="clear" w:color="auto" w:fill="auto"/>
            <w:vAlign w:val="bottom"/>
          </w:tcPr>
          <w:p w:rsidR="00EF142D" w:rsidRPr="00EF142D" w:rsidRDefault="00EF142D" w:rsidP="00C30F35">
            <w:pPr>
              <w:pStyle w:val="TableBodyText"/>
              <w:rPr>
                <w:b/>
              </w:rPr>
            </w:pPr>
            <w:r w:rsidRPr="00EF142D">
              <w:rPr>
                <w:b/>
              </w:rPr>
              <w:t>60.2</w:t>
            </w:r>
          </w:p>
        </w:tc>
        <w:tc>
          <w:tcPr>
            <w:tcW w:w="851" w:type="dxa"/>
            <w:tcBorders>
              <w:bottom w:val="single" w:sz="6" w:space="0" w:color="auto"/>
            </w:tcBorders>
            <w:shd w:val="clear" w:color="auto" w:fill="auto"/>
            <w:vAlign w:val="bottom"/>
          </w:tcPr>
          <w:p w:rsidR="00EF142D" w:rsidRPr="00EF142D" w:rsidRDefault="00EF142D" w:rsidP="00C30F35">
            <w:pPr>
              <w:pStyle w:val="TableBodyText"/>
              <w:rPr>
                <w:b/>
              </w:rPr>
            </w:pPr>
            <w:r w:rsidRPr="00EF142D">
              <w:rPr>
                <w:b/>
              </w:rPr>
              <w:t>58.1</w:t>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Students enrolled </w:t>
      </w:r>
      <w:r w:rsidR="000B2CA3" w:rsidRPr="00666ECE">
        <w:rPr>
          <w:rFonts w:ascii="Arial" w:hAnsi="Arial"/>
          <w:sz w:val="18"/>
          <w:szCs w:val="20"/>
        </w:rPr>
        <w:t>i</w:t>
      </w:r>
      <w:r w:rsidR="000B2CA3">
        <w:rPr>
          <w:rFonts w:ascii="Arial" w:hAnsi="Arial"/>
          <w:sz w:val="18"/>
          <w:szCs w:val="20"/>
        </w:rPr>
        <w:t>n</w:t>
      </w:r>
      <w:r w:rsidRPr="00666ECE">
        <w:rPr>
          <w:rFonts w:ascii="Arial" w:hAnsi="Arial"/>
          <w:sz w:val="18"/>
          <w:szCs w:val="20"/>
        </w:rPr>
        <w:t xml:space="preserve"> special schools are included, with special school students of primary school age and/or year level included in the primary figures and those of secondary school age and/or year level included in the secondary figures. </w:t>
      </w:r>
      <w:r w:rsidRPr="00666ECE">
        <w:rPr>
          <w:rFonts w:ascii="Arial" w:hAnsi="Arial"/>
          <w:b/>
          <w:position w:val="6"/>
          <w:sz w:val="18"/>
          <w:szCs w:val="20"/>
        </w:rPr>
        <w:t>b</w:t>
      </w:r>
      <w:r w:rsidRPr="00666ECE">
        <w:rPr>
          <w:rFonts w:ascii="Arial" w:hAnsi="Arial"/>
          <w:sz w:val="18"/>
          <w:szCs w:val="20"/>
        </w:rPr>
        <w:t> Results of calculations may vary from the table due to rounding differences.</w:t>
      </w:r>
    </w:p>
    <w:p w:rsidR="00666ECE" w:rsidRPr="000E6F59" w:rsidRDefault="00666ECE" w:rsidP="00666ECE">
      <w:pPr>
        <w:keepLines/>
        <w:spacing w:before="80" w:after="120" w:line="220" w:lineRule="exact"/>
        <w:jc w:val="both"/>
        <w:rPr>
          <w:rFonts w:ascii="Arial" w:hAnsi="Arial"/>
          <w:sz w:val="18"/>
          <w:szCs w:val="20"/>
        </w:rPr>
      </w:pPr>
      <w:r w:rsidRPr="000E6F59">
        <w:rPr>
          <w:rFonts w:ascii="Arial" w:hAnsi="Arial"/>
          <w:i/>
          <w:sz w:val="18"/>
          <w:szCs w:val="20"/>
        </w:rPr>
        <w:t>Source</w:t>
      </w:r>
      <w:r w:rsidRPr="000E6F59">
        <w:rPr>
          <w:rFonts w:ascii="Arial" w:hAnsi="Arial"/>
          <w:sz w:val="18"/>
          <w:szCs w:val="20"/>
        </w:rPr>
        <w:t>: ABS (201</w:t>
      </w:r>
      <w:r w:rsidR="00653F56">
        <w:rPr>
          <w:rFonts w:ascii="Arial" w:hAnsi="Arial"/>
          <w:sz w:val="18"/>
          <w:szCs w:val="20"/>
        </w:rPr>
        <w:t>3</w:t>
      </w:r>
      <w:r w:rsidRPr="000E6F59">
        <w:rPr>
          <w:rFonts w:ascii="Arial" w:hAnsi="Arial"/>
          <w:sz w:val="18"/>
          <w:szCs w:val="20"/>
        </w:rPr>
        <w:t xml:space="preserve">) </w:t>
      </w:r>
      <w:r w:rsidRPr="000E6F59">
        <w:rPr>
          <w:rFonts w:ascii="Arial" w:hAnsi="Arial"/>
          <w:i/>
          <w:sz w:val="18"/>
          <w:szCs w:val="20"/>
        </w:rPr>
        <w:t>Schools Australia 201</w:t>
      </w:r>
      <w:r w:rsidR="00653F56">
        <w:rPr>
          <w:rFonts w:ascii="Arial" w:hAnsi="Arial"/>
          <w:i/>
          <w:sz w:val="18"/>
          <w:szCs w:val="20"/>
        </w:rPr>
        <w:t>2</w:t>
      </w:r>
      <w:r w:rsidRPr="000E6F59">
        <w:rPr>
          <w:rFonts w:ascii="Arial" w:hAnsi="Arial"/>
          <w:sz w:val="18"/>
          <w:szCs w:val="20"/>
        </w:rPr>
        <w:t>, Cat. no. 4221.0; tables 4A.1–4.</w:t>
      </w:r>
    </w:p>
    <w:p w:rsidR="00666ECE" w:rsidRPr="000E6F59" w:rsidRDefault="00666ECE" w:rsidP="00666ECE">
      <w:pPr>
        <w:spacing w:before="240" w:line="320" w:lineRule="atLeast"/>
        <w:jc w:val="both"/>
        <w:rPr>
          <w:szCs w:val="20"/>
        </w:rPr>
      </w:pPr>
      <w:r w:rsidRPr="000E6F59">
        <w:rPr>
          <w:szCs w:val="20"/>
        </w:rPr>
        <w:t xml:space="preserve">Total full time student enrolments in schools in Australia were relatively stable </w:t>
      </w:r>
      <w:r w:rsidR="00A83EC3" w:rsidRPr="000E6F59">
        <w:rPr>
          <w:szCs w:val="20"/>
        </w:rPr>
        <w:t>from 200</w:t>
      </w:r>
      <w:r w:rsidR="00653F56">
        <w:rPr>
          <w:szCs w:val="20"/>
        </w:rPr>
        <w:t>8</w:t>
      </w:r>
      <w:r w:rsidR="00A83EC3" w:rsidRPr="000E6F59">
        <w:rPr>
          <w:szCs w:val="20"/>
        </w:rPr>
        <w:t xml:space="preserve"> to</w:t>
      </w:r>
      <w:r w:rsidRPr="000E6F59">
        <w:rPr>
          <w:szCs w:val="20"/>
        </w:rPr>
        <w:t xml:space="preserve"> 201</w:t>
      </w:r>
      <w:r w:rsidR="00653F56">
        <w:rPr>
          <w:szCs w:val="20"/>
        </w:rPr>
        <w:t>2</w:t>
      </w:r>
      <w:r w:rsidRPr="000E6F59">
        <w:rPr>
          <w:szCs w:val="20"/>
        </w:rPr>
        <w:t xml:space="preserve">, </w:t>
      </w:r>
      <w:r w:rsidRPr="00C30F35">
        <w:rPr>
          <w:szCs w:val="20"/>
        </w:rPr>
        <w:t xml:space="preserve">increasing by </w:t>
      </w:r>
      <w:r w:rsidR="00C30F35" w:rsidRPr="00C30F35">
        <w:rPr>
          <w:szCs w:val="20"/>
        </w:rPr>
        <w:t>1.0</w:t>
      </w:r>
      <w:r w:rsidRPr="00C30F35">
        <w:rPr>
          <w:szCs w:val="20"/>
        </w:rPr>
        <w:t xml:space="preserve"> per cent each year (table 4A.2</w:t>
      </w:r>
      <w:r w:rsidR="009807CA">
        <w:rPr>
          <w:szCs w:val="20"/>
        </w:rPr>
        <w:t>8</w:t>
      </w:r>
      <w:r w:rsidRPr="00C30F35">
        <w:rPr>
          <w:szCs w:val="20"/>
        </w:rPr>
        <w:t xml:space="preserve">). Full time school students represented </w:t>
      </w:r>
      <w:r w:rsidR="00DF3C6E" w:rsidRPr="00C30F35">
        <w:rPr>
          <w:szCs w:val="20"/>
        </w:rPr>
        <w:t xml:space="preserve">15.6 </w:t>
      </w:r>
      <w:r w:rsidRPr="00C30F35">
        <w:rPr>
          <w:szCs w:val="20"/>
        </w:rPr>
        <w:t xml:space="preserve">per </w:t>
      </w:r>
      <w:r w:rsidRPr="000E6F59">
        <w:rPr>
          <w:szCs w:val="20"/>
        </w:rPr>
        <w:t>cent of the Australian population in 201</w:t>
      </w:r>
      <w:r w:rsidR="00653F56">
        <w:rPr>
          <w:szCs w:val="20"/>
        </w:rPr>
        <w:t>2</w:t>
      </w:r>
      <w:r w:rsidRPr="000E6F59">
        <w:rPr>
          <w:szCs w:val="20"/>
        </w:rPr>
        <w:t xml:space="preserve"> (table</w:t>
      </w:r>
      <w:r w:rsidR="000B2CA3">
        <w:rPr>
          <w:szCs w:val="20"/>
        </w:rPr>
        <w:t> 4</w:t>
      </w:r>
      <w:r w:rsidRPr="000E6F59">
        <w:rPr>
          <w:szCs w:val="20"/>
        </w:rPr>
        <w:t>A.5).</w:t>
      </w:r>
    </w:p>
    <w:p w:rsidR="00666ECE" w:rsidRPr="000E6F59" w:rsidRDefault="00666ECE" w:rsidP="00666ECE">
      <w:pPr>
        <w:spacing w:before="240" w:line="320" w:lineRule="atLeast"/>
        <w:jc w:val="both"/>
        <w:rPr>
          <w:szCs w:val="20"/>
        </w:rPr>
      </w:pPr>
      <w:r w:rsidRPr="000E6F59">
        <w:rPr>
          <w:szCs w:val="20"/>
        </w:rPr>
        <w:t>The proportion of full time students enrolled in non-government schools increased between 200</w:t>
      </w:r>
      <w:r w:rsidR="00653F56">
        <w:rPr>
          <w:szCs w:val="20"/>
        </w:rPr>
        <w:t>8</w:t>
      </w:r>
      <w:r w:rsidRPr="000E6F59">
        <w:rPr>
          <w:szCs w:val="20"/>
        </w:rPr>
        <w:t xml:space="preserve"> and 201</w:t>
      </w:r>
      <w:r w:rsidR="00653F56">
        <w:rPr>
          <w:szCs w:val="20"/>
        </w:rPr>
        <w:t>2</w:t>
      </w:r>
      <w:r w:rsidRPr="000E6F59">
        <w:rPr>
          <w:szCs w:val="20"/>
        </w:rPr>
        <w:t xml:space="preserve"> in all </w:t>
      </w:r>
      <w:r w:rsidRPr="00C30F35">
        <w:rPr>
          <w:szCs w:val="20"/>
        </w:rPr>
        <w:t xml:space="preserve">states and territories. Full time non-government school enrolments increased by </w:t>
      </w:r>
      <w:r w:rsidR="00DF3C6E" w:rsidRPr="00C30F35">
        <w:rPr>
          <w:szCs w:val="20"/>
        </w:rPr>
        <w:t xml:space="preserve">1.6 </w:t>
      </w:r>
      <w:r w:rsidRPr="00C30F35">
        <w:rPr>
          <w:szCs w:val="20"/>
        </w:rPr>
        <w:t xml:space="preserve">per cent per year, while full time government school enrolments increased by an average of </w:t>
      </w:r>
      <w:r w:rsidR="00DF3C6E" w:rsidRPr="00C30F35">
        <w:rPr>
          <w:szCs w:val="20"/>
        </w:rPr>
        <w:t>0.</w:t>
      </w:r>
      <w:r w:rsidR="00C30F35" w:rsidRPr="00C30F35">
        <w:rPr>
          <w:szCs w:val="20"/>
        </w:rPr>
        <w:t>6</w:t>
      </w:r>
      <w:r w:rsidRPr="00C30F35">
        <w:rPr>
          <w:szCs w:val="20"/>
        </w:rPr>
        <w:t xml:space="preserve"> per cent </w:t>
      </w:r>
      <w:r w:rsidRPr="000E6F59">
        <w:rPr>
          <w:szCs w:val="20"/>
        </w:rPr>
        <w:t>per year (table 4A.2</w:t>
      </w:r>
      <w:r w:rsidR="009807CA">
        <w:rPr>
          <w:szCs w:val="20"/>
        </w:rPr>
        <w:t>8</w:t>
      </w:r>
      <w:r w:rsidRPr="000E6F59">
        <w:rPr>
          <w:szCs w:val="20"/>
        </w:rPr>
        <w:t xml:space="preserve">). </w:t>
      </w:r>
      <w:r w:rsidRPr="000E6F59">
        <w:rPr>
          <w:szCs w:val="20"/>
        </w:rPr>
        <w:lastRenderedPageBreak/>
        <w:t xml:space="preserve">The expansion of full time enrolments in non-government schools was from a lower base than that for government schools. In absolute terms, the number of full time students in government schools </w:t>
      </w:r>
      <w:r w:rsidRPr="00C30F35">
        <w:rPr>
          <w:szCs w:val="20"/>
        </w:rPr>
        <w:t xml:space="preserve">increased from </w:t>
      </w:r>
      <w:r w:rsidR="00DD0BFF" w:rsidRPr="00C30F35">
        <w:rPr>
          <w:szCs w:val="20"/>
        </w:rPr>
        <w:t>2 26</w:t>
      </w:r>
      <w:r w:rsidR="00C30F35" w:rsidRPr="00C30F35">
        <w:rPr>
          <w:szCs w:val="20"/>
        </w:rPr>
        <w:t>4</w:t>
      </w:r>
      <w:r w:rsidR="00DD0BFF" w:rsidRPr="00C30F35">
        <w:rPr>
          <w:szCs w:val="20"/>
        </w:rPr>
        <w:t> </w:t>
      </w:r>
      <w:r w:rsidR="00C30F35" w:rsidRPr="00C30F35">
        <w:rPr>
          <w:szCs w:val="20"/>
        </w:rPr>
        <w:t>554</w:t>
      </w:r>
      <w:r w:rsidRPr="00C30F35">
        <w:rPr>
          <w:szCs w:val="20"/>
        </w:rPr>
        <w:t xml:space="preserve"> in 200</w:t>
      </w:r>
      <w:r w:rsidR="00653F56" w:rsidRPr="00C30F35">
        <w:rPr>
          <w:szCs w:val="20"/>
        </w:rPr>
        <w:t>8</w:t>
      </w:r>
      <w:r w:rsidRPr="00C30F35">
        <w:rPr>
          <w:szCs w:val="20"/>
        </w:rPr>
        <w:t xml:space="preserve"> to </w:t>
      </w:r>
      <w:r w:rsidR="00DD0BFF" w:rsidRPr="00C30F35">
        <w:rPr>
          <w:szCs w:val="20"/>
        </w:rPr>
        <w:t>2 </w:t>
      </w:r>
      <w:r w:rsidR="00C30F35" w:rsidRPr="00C30F35">
        <w:rPr>
          <w:szCs w:val="20"/>
        </w:rPr>
        <w:t>321</w:t>
      </w:r>
      <w:r w:rsidR="00DD0BFF" w:rsidRPr="00C30F35">
        <w:rPr>
          <w:szCs w:val="20"/>
        </w:rPr>
        <w:t> </w:t>
      </w:r>
      <w:r w:rsidR="00C30F35" w:rsidRPr="00C30F35">
        <w:rPr>
          <w:szCs w:val="20"/>
        </w:rPr>
        <w:t>217</w:t>
      </w:r>
      <w:r w:rsidR="00776B6F" w:rsidRPr="00C30F35">
        <w:rPr>
          <w:szCs w:val="20"/>
        </w:rPr>
        <w:t xml:space="preserve"> </w:t>
      </w:r>
      <w:r w:rsidRPr="00C30F35">
        <w:rPr>
          <w:szCs w:val="20"/>
        </w:rPr>
        <w:t>in 201</w:t>
      </w:r>
      <w:r w:rsidR="00653F56" w:rsidRPr="00C30F35">
        <w:rPr>
          <w:szCs w:val="20"/>
        </w:rPr>
        <w:t>2</w:t>
      </w:r>
      <w:r w:rsidRPr="00C30F35">
        <w:rPr>
          <w:szCs w:val="20"/>
        </w:rPr>
        <w:t xml:space="preserve">. The number of full time students in non-government schools increased from </w:t>
      </w:r>
      <w:r w:rsidR="00DD0BFF" w:rsidRPr="00C30F35">
        <w:rPr>
          <w:szCs w:val="20"/>
        </w:rPr>
        <w:t>1 1</w:t>
      </w:r>
      <w:r w:rsidR="00C30F35" w:rsidRPr="00C30F35">
        <w:rPr>
          <w:szCs w:val="20"/>
        </w:rPr>
        <w:t>69</w:t>
      </w:r>
      <w:r w:rsidR="00DD0BFF" w:rsidRPr="00C30F35">
        <w:rPr>
          <w:szCs w:val="20"/>
        </w:rPr>
        <w:t> </w:t>
      </w:r>
      <w:r w:rsidR="00C30F35" w:rsidRPr="00C30F35">
        <w:rPr>
          <w:szCs w:val="20"/>
        </w:rPr>
        <w:t>73</w:t>
      </w:r>
      <w:r w:rsidR="00DD0BFF" w:rsidRPr="00C30F35">
        <w:rPr>
          <w:szCs w:val="20"/>
        </w:rPr>
        <w:t>6</w:t>
      </w:r>
      <w:r w:rsidR="00776B6F" w:rsidRPr="00C30F35">
        <w:rPr>
          <w:szCs w:val="20"/>
        </w:rPr>
        <w:t xml:space="preserve"> </w:t>
      </w:r>
      <w:r w:rsidRPr="00C30F35">
        <w:rPr>
          <w:szCs w:val="20"/>
        </w:rPr>
        <w:t>in 200</w:t>
      </w:r>
      <w:r w:rsidR="00653F56" w:rsidRPr="00C30F35">
        <w:rPr>
          <w:szCs w:val="20"/>
        </w:rPr>
        <w:t>8</w:t>
      </w:r>
      <w:r w:rsidRPr="00C30F35">
        <w:rPr>
          <w:szCs w:val="20"/>
        </w:rPr>
        <w:t xml:space="preserve"> to </w:t>
      </w:r>
      <w:r w:rsidR="00DD0BFF" w:rsidRPr="00C30F35">
        <w:rPr>
          <w:szCs w:val="20"/>
        </w:rPr>
        <w:t>1 2</w:t>
      </w:r>
      <w:r w:rsidR="00C30F35" w:rsidRPr="00C30F35">
        <w:rPr>
          <w:szCs w:val="20"/>
        </w:rPr>
        <w:t>45</w:t>
      </w:r>
      <w:r w:rsidR="00DD0BFF" w:rsidRPr="00C30F35">
        <w:rPr>
          <w:szCs w:val="20"/>
        </w:rPr>
        <w:t> </w:t>
      </w:r>
      <w:r w:rsidR="00C30F35" w:rsidRPr="00C30F35">
        <w:rPr>
          <w:szCs w:val="20"/>
        </w:rPr>
        <w:t>848</w:t>
      </w:r>
      <w:r w:rsidR="00776B6F" w:rsidRPr="00C30F35">
        <w:rPr>
          <w:szCs w:val="20"/>
        </w:rPr>
        <w:t xml:space="preserve"> </w:t>
      </w:r>
      <w:r w:rsidRPr="00C30F35">
        <w:rPr>
          <w:szCs w:val="20"/>
        </w:rPr>
        <w:t xml:space="preserve">in </w:t>
      </w:r>
      <w:r w:rsidRPr="000E6F59">
        <w:rPr>
          <w:szCs w:val="20"/>
        </w:rPr>
        <w:t>201</w:t>
      </w:r>
      <w:r w:rsidR="00653F56">
        <w:rPr>
          <w:szCs w:val="20"/>
        </w:rPr>
        <w:t>2</w:t>
      </w:r>
      <w:r w:rsidRPr="000E6F59">
        <w:rPr>
          <w:szCs w:val="20"/>
        </w:rPr>
        <w:t xml:space="preserve"> (table 4A.2</w:t>
      </w:r>
      <w:r w:rsidR="009807CA">
        <w:rPr>
          <w:szCs w:val="20"/>
        </w:rPr>
        <w:t>7</w:t>
      </w:r>
      <w:r w:rsidRPr="000E6F59">
        <w:rPr>
          <w:szCs w:val="20"/>
        </w:rPr>
        <w:t>).</w:t>
      </w:r>
    </w:p>
    <w:p w:rsidR="00666ECE" w:rsidRPr="00666ECE" w:rsidRDefault="00666ECE" w:rsidP="00666ECE">
      <w:pPr>
        <w:spacing w:before="240" w:line="320" w:lineRule="atLeast"/>
        <w:jc w:val="both"/>
        <w:rPr>
          <w:szCs w:val="20"/>
        </w:rPr>
      </w:pPr>
      <w:r w:rsidRPr="000E6F59">
        <w:rPr>
          <w:szCs w:val="20"/>
        </w:rPr>
        <w:t>Part time students form a significant proportion of secondary school enrolments in some jurisdictions (table 4.4). Part time courses are available to secondary students, including mature age students attending colleges and those studying years 11 or 12 or short courses (lasting five to 22 weeks). The proportion of secondary school students who were enrolled part time in 201</w:t>
      </w:r>
      <w:r w:rsidR="00653F56">
        <w:rPr>
          <w:szCs w:val="20"/>
        </w:rPr>
        <w:t>2</w:t>
      </w:r>
      <w:r w:rsidRPr="000E6F59">
        <w:rPr>
          <w:szCs w:val="20"/>
        </w:rPr>
        <w:t xml:space="preserve"> varied considerably across</w:t>
      </w:r>
      <w:r w:rsidRPr="00666ECE">
        <w:rPr>
          <w:szCs w:val="20"/>
        </w:rPr>
        <w:t xml:space="preserve"> jurisdictions, partly because jurisdictions’ education authorities have different policy and organisational arrangements for part time study, as well as different definitions of what constitutes part time study. The number of part time courses available also varied considerably across jurisdictions.</w:t>
      </w:r>
    </w:p>
    <w:p w:rsidR="00666ECE" w:rsidRPr="0063025F" w:rsidRDefault="00666ECE" w:rsidP="002C3941">
      <w:pPr>
        <w:pStyle w:val="TableTitle"/>
      </w:pPr>
      <w:r w:rsidRPr="007A7568">
        <w:rPr>
          <w:b w:val="0"/>
        </w:rPr>
        <w:t xml:space="preserve">Table </w:t>
      </w:r>
      <w:bookmarkStart w:id="10" w:name="OLE_LINK14"/>
      <w:r w:rsidR="00EB256F" w:rsidRPr="007A7568">
        <w:rPr>
          <w:b w:val="0"/>
        </w:rPr>
        <w:t>4.</w:t>
      </w:r>
      <w:r w:rsidR="00EC06F7" w:rsidRPr="007A7568">
        <w:rPr>
          <w:b w:val="0"/>
          <w:noProof/>
        </w:rPr>
        <w:t>4</w:t>
      </w:r>
      <w:bookmarkEnd w:id="10"/>
      <w:r w:rsidRPr="007A7568">
        <w:rPr>
          <w:b w:val="0"/>
        </w:rPr>
        <w:tab/>
      </w:r>
      <w:r w:rsidRPr="0063025F">
        <w:t>Part time secondary school students in government schools</w:t>
      </w:r>
    </w:p>
    <w:tbl>
      <w:tblPr>
        <w:tblW w:w="8789" w:type="dxa"/>
        <w:tblLayout w:type="fixed"/>
        <w:tblCellMar>
          <w:left w:w="0" w:type="dxa"/>
          <w:right w:w="0" w:type="dxa"/>
        </w:tblCellMar>
        <w:tblLook w:val="0000" w:firstRow="0" w:lastRow="0" w:firstColumn="0" w:lastColumn="0" w:noHBand="0" w:noVBand="0"/>
      </w:tblPr>
      <w:tblGrid>
        <w:gridCol w:w="850"/>
        <w:gridCol w:w="710"/>
        <w:gridCol w:w="992"/>
        <w:gridCol w:w="850"/>
        <w:gridCol w:w="851"/>
        <w:gridCol w:w="850"/>
        <w:gridCol w:w="851"/>
        <w:gridCol w:w="709"/>
        <w:gridCol w:w="567"/>
        <w:gridCol w:w="708"/>
        <w:gridCol w:w="851"/>
      </w:tblGrid>
      <w:tr w:rsidR="00EF142D" w:rsidRPr="00666ECE" w:rsidTr="00203666">
        <w:tc>
          <w:tcPr>
            <w:tcW w:w="850"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rPr>
                <w:rFonts w:ascii="Arial" w:hAnsi="Arial"/>
                <w:i/>
                <w:sz w:val="20"/>
                <w:szCs w:val="20"/>
              </w:rPr>
            </w:pPr>
          </w:p>
        </w:tc>
        <w:tc>
          <w:tcPr>
            <w:tcW w:w="710" w:type="dxa"/>
            <w:tcBorders>
              <w:top w:val="single" w:sz="6" w:space="0" w:color="auto"/>
              <w:bottom w:val="single" w:sz="6" w:space="0" w:color="auto"/>
            </w:tcBorders>
          </w:tcPr>
          <w:p w:rsidR="00EF142D" w:rsidRPr="00666ECE" w:rsidRDefault="00EF142D" w:rsidP="00666ECE">
            <w:pPr>
              <w:keepNext/>
              <w:keepLines/>
              <w:spacing w:before="80" w:after="80" w:line="220" w:lineRule="atLeast"/>
              <w:ind w:left="6" w:right="113"/>
              <w:jc w:val="right"/>
              <w:rPr>
                <w:rFonts w:ascii="Arial" w:hAnsi="Arial"/>
                <w:i/>
                <w:sz w:val="20"/>
                <w:szCs w:val="20"/>
              </w:rPr>
            </w:pPr>
          </w:p>
        </w:tc>
        <w:tc>
          <w:tcPr>
            <w:tcW w:w="992"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NSW</w:t>
            </w:r>
          </w:p>
        </w:tc>
        <w:tc>
          <w:tcPr>
            <w:tcW w:w="850"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Vic</w:t>
            </w:r>
          </w:p>
        </w:tc>
        <w:tc>
          <w:tcPr>
            <w:tcW w:w="851"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Qld</w:t>
            </w:r>
          </w:p>
        </w:tc>
        <w:tc>
          <w:tcPr>
            <w:tcW w:w="850"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WA</w:t>
            </w:r>
          </w:p>
        </w:tc>
        <w:tc>
          <w:tcPr>
            <w:tcW w:w="851"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SA</w:t>
            </w:r>
          </w:p>
        </w:tc>
        <w:tc>
          <w:tcPr>
            <w:tcW w:w="709"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Tas</w:t>
            </w:r>
          </w:p>
        </w:tc>
        <w:tc>
          <w:tcPr>
            <w:tcW w:w="567"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ACT</w:t>
            </w:r>
          </w:p>
        </w:tc>
        <w:tc>
          <w:tcPr>
            <w:tcW w:w="708"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NT</w:t>
            </w:r>
          </w:p>
        </w:tc>
        <w:tc>
          <w:tcPr>
            <w:tcW w:w="851" w:type="dxa"/>
            <w:tcBorders>
              <w:top w:val="single" w:sz="6" w:space="0" w:color="auto"/>
              <w:bottom w:val="single" w:sz="6" w:space="0" w:color="auto"/>
            </w:tcBorders>
            <w:shd w:val="clear" w:color="auto" w:fill="auto"/>
          </w:tcPr>
          <w:p w:rsidR="00EF142D" w:rsidRPr="00666ECE" w:rsidRDefault="00EF142D"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Aust</w:t>
            </w:r>
          </w:p>
        </w:tc>
      </w:tr>
      <w:tr w:rsidR="00203666" w:rsidRPr="00666ECE" w:rsidTr="00203666">
        <w:tc>
          <w:tcPr>
            <w:tcW w:w="7938" w:type="dxa"/>
            <w:gridSpan w:val="10"/>
          </w:tcPr>
          <w:p w:rsidR="00203666" w:rsidRPr="00666ECE" w:rsidRDefault="00203666" w:rsidP="00666ECE">
            <w:pPr>
              <w:keepNext/>
              <w:keepLines/>
              <w:spacing w:after="40" w:line="220" w:lineRule="atLeast"/>
              <w:ind w:left="6" w:right="113"/>
              <w:rPr>
                <w:rFonts w:ascii="Arial" w:hAnsi="Arial"/>
                <w:sz w:val="20"/>
                <w:szCs w:val="20"/>
              </w:rPr>
            </w:pPr>
            <w:r w:rsidRPr="00666ECE">
              <w:rPr>
                <w:rFonts w:ascii="Arial" w:hAnsi="Arial"/>
                <w:sz w:val="20"/>
                <w:szCs w:val="20"/>
              </w:rPr>
              <w:t>Part time secondary school students in governmen</w:t>
            </w:r>
            <w:r>
              <w:rPr>
                <w:rFonts w:ascii="Arial" w:hAnsi="Arial"/>
                <w:sz w:val="20"/>
                <w:szCs w:val="20"/>
              </w:rPr>
              <w:t xml:space="preserve">t schools </w:t>
            </w:r>
            <w:r w:rsidRPr="00666ECE">
              <w:rPr>
                <w:rFonts w:ascii="Arial" w:hAnsi="Arial"/>
                <w:b/>
                <w:position w:val="6"/>
                <w:sz w:val="18"/>
                <w:szCs w:val="20"/>
              </w:rPr>
              <w:t>a</w:t>
            </w:r>
          </w:p>
        </w:tc>
        <w:tc>
          <w:tcPr>
            <w:tcW w:w="851" w:type="dxa"/>
          </w:tcPr>
          <w:p w:rsidR="00203666" w:rsidRPr="00666ECE" w:rsidRDefault="00203666" w:rsidP="00666ECE">
            <w:pPr>
              <w:keepNext/>
              <w:keepLines/>
              <w:spacing w:after="40" w:line="220" w:lineRule="atLeast"/>
              <w:ind w:left="6" w:right="28"/>
              <w:jc w:val="right"/>
              <w:rPr>
                <w:rFonts w:ascii="Arial" w:hAnsi="Arial"/>
                <w:sz w:val="20"/>
                <w:szCs w:val="20"/>
              </w:rPr>
            </w:pPr>
          </w:p>
        </w:tc>
      </w:tr>
      <w:tr w:rsidR="00EF142D" w:rsidRPr="00666ECE" w:rsidTr="004E70FF">
        <w:tc>
          <w:tcPr>
            <w:tcW w:w="850" w:type="dxa"/>
            <w:vAlign w:val="bottom"/>
          </w:tcPr>
          <w:p w:rsidR="00EF142D" w:rsidRPr="00666ECE" w:rsidRDefault="00EF142D" w:rsidP="004E70FF">
            <w:pPr>
              <w:pStyle w:val="TableBodyText"/>
            </w:pPr>
            <w:r w:rsidRPr="00666ECE">
              <w:t>2008</w:t>
            </w:r>
          </w:p>
        </w:tc>
        <w:tc>
          <w:tcPr>
            <w:tcW w:w="710" w:type="dxa"/>
          </w:tcPr>
          <w:p w:rsidR="00EF142D" w:rsidRPr="00653F56" w:rsidRDefault="00EF142D" w:rsidP="00203666">
            <w:pPr>
              <w:pStyle w:val="TableBodyText"/>
            </w:pPr>
            <w:r>
              <w:t>no.</w:t>
            </w:r>
          </w:p>
        </w:tc>
        <w:tc>
          <w:tcPr>
            <w:tcW w:w="992" w:type="dxa"/>
            <w:vAlign w:val="center"/>
          </w:tcPr>
          <w:p w:rsidR="00EF142D" w:rsidRPr="00653F56" w:rsidRDefault="00EF142D" w:rsidP="00203666">
            <w:pPr>
              <w:pStyle w:val="TableBodyText"/>
            </w:pPr>
            <w:r w:rsidRPr="00653F56">
              <w:t xml:space="preserve"> 2 045</w:t>
            </w:r>
          </w:p>
        </w:tc>
        <w:tc>
          <w:tcPr>
            <w:tcW w:w="850" w:type="dxa"/>
            <w:vAlign w:val="center"/>
          </w:tcPr>
          <w:p w:rsidR="00EF142D" w:rsidRPr="00653F56" w:rsidRDefault="00EF142D" w:rsidP="00203666">
            <w:pPr>
              <w:pStyle w:val="TableBodyText"/>
            </w:pPr>
            <w:r w:rsidRPr="00653F56">
              <w:t xml:space="preserve"> 2 324</w:t>
            </w:r>
          </w:p>
        </w:tc>
        <w:tc>
          <w:tcPr>
            <w:tcW w:w="851" w:type="dxa"/>
            <w:vAlign w:val="center"/>
          </w:tcPr>
          <w:p w:rsidR="00EF142D" w:rsidRPr="00653F56" w:rsidRDefault="00EF142D" w:rsidP="00203666">
            <w:pPr>
              <w:pStyle w:val="TableBodyText"/>
            </w:pPr>
            <w:r w:rsidRPr="00653F56">
              <w:t xml:space="preserve"> 2 843</w:t>
            </w:r>
          </w:p>
        </w:tc>
        <w:tc>
          <w:tcPr>
            <w:tcW w:w="850" w:type="dxa"/>
            <w:vAlign w:val="center"/>
          </w:tcPr>
          <w:p w:rsidR="00EF142D" w:rsidRPr="00653F56" w:rsidRDefault="00EF142D" w:rsidP="00203666">
            <w:pPr>
              <w:pStyle w:val="TableBodyText"/>
            </w:pPr>
            <w:r w:rsidRPr="00653F56">
              <w:t xml:space="preserve"> 1 747</w:t>
            </w:r>
          </w:p>
        </w:tc>
        <w:tc>
          <w:tcPr>
            <w:tcW w:w="851" w:type="dxa"/>
            <w:vAlign w:val="center"/>
          </w:tcPr>
          <w:p w:rsidR="00EF142D" w:rsidRPr="00653F56" w:rsidRDefault="00EF142D" w:rsidP="00203666">
            <w:pPr>
              <w:pStyle w:val="TableBodyText"/>
            </w:pPr>
            <w:r w:rsidRPr="00653F56">
              <w:t xml:space="preserve"> 6 226</w:t>
            </w:r>
          </w:p>
        </w:tc>
        <w:tc>
          <w:tcPr>
            <w:tcW w:w="709" w:type="dxa"/>
            <w:vAlign w:val="center"/>
          </w:tcPr>
          <w:p w:rsidR="00EF142D" w:rsidRPr="00653F56" w:rsidRDefault="00EF142D" w:rsidP="00203666">
            <w:pPr>
              <w:pStyle w:val="TableBodyText"/>
            </w:pPr>
            <w:r w:rsidRPr="00653F56">
              <w:t xml:space="preserve"> 1 503</w:t>
            </w:r>
          </w:p>
        </w:tc>
        <w:tc>
          <w:tcPr>
            <w:tcW w:w="567" w:type="dxa"/>
            <w:vAlign w:val="center"/>
          </w:tcPr>
          <w:p w:rsidR="00EF142D" w:rsidRPr="00653F56" w:rsidRDefault="00EF142D" w:rsidP="00203666">
            <w:pPr>
              <w:pStyle w:val="TableBodyText"/>
            </w:pPr>
            <w:r w:rsidRPr="00653F56">
              <w:t>–</w:t>
            </w:r>
          </w:p>
        </w:tc>
        <w:tc>
          <w:tcPr>
            <w:tcW w:w="708" w:type="dxa"/>
            <w:vAlign w:val="center"/>
          </w:tcPr>
          <w:p w:rsidR="00EF142D" w:rsidRPr="00653F56" w:rsidRDefault="00EF142D" w:rsidP="00203666">
            <w:pPr>
              <w:pStyle w:val="TableBodyText"/>
            </w:pPr>
            <w:r w:rsidRPr="00653F56">
              <w:t xml:space="preserve"> 338</w:t>
            </w:r>
          </w:p>
        </w:tc>
        <w:tc>
          <w:tcPr>
            <w:tcW w:w="851" w:type="dxa"/>
            <w:vAlign w:val="center"/>
          </w:tcPr>
          <w:p w:rsidR="00EF142D" w:rsidRPr="00653F56" w:rsidRDefault="00EF142D" w:rsidP="00203666">
            <w:pPr>
              <w:pStyle w:val="TableBodyText"/>
            </w:pPr>
            <w:r w:rsidRPr="00653F56">
              <w:t xml:space="preserve"> 17 026</w:t>
            </w:r>
          </w:p>
        </w:tc>
      </w:tr>
      <w:tr w:rsidR="00EF142D" w:rsidRPr="00666ECE" w:rsidTr="004E70FF">
        <w:tc>
          <w:tcPr>
            <w:tcW w:w="850" w:type="dxa"/>
            <w:vAlign w:val="bottom"/>
          </w:tcPr>
          <w:p w:rsidR="00EF142D" w:rsidRPr="00666ECE" w:rsidRDefault="00EF142D" w:rsidP="004E70FF">
            <w:pPr>
              <w:pStyle w:val="TableBodyText"/>
            </w:pPr>
            <w:r w:rsidRPr="00666ECE">
              <w:t>2009</w:t>
            </w:r>
          </w:p>
        </w:tc>
        <w:tc>
          <w:tcPr>
            <w:tcW w:w="710" w:type="dxa"/>
          </w:tcPr>
          <w:p w:rsidR="00EF142D" w:rsidRDefault="00EF142D" w:rsidP="00203666">
            <w:pPr>
              <w:pStyle w:val="TableBodyText"/>
            </w:pPr>
            <w:r w:rsidRPr="002249A0">
              <w:t>no.</w:t>
            </w:r>
          </w:p>
        </w:tc>
        <w:tc>
          <w:tcPr>
            <w:tcW w:w="992" w:type="dxa"/>
            <w:vAlign w:val="center"/>
          </w:tcPr>
          <w:p w:rsidR="00EF142D" w:rsidRPr="00653F56" w:rsidRDefault="00EF142D" w:rsidP="00203666">
            <w:pPr>
              <w:pStyle w:val="TableBodyText"/>
            </w:pPr>
            <w:r w:rsidRPr="00653F56">
              <w:t xml:space="preserve"> 1 857</w:t>
            </w:r>
          </w:p>
        </w:tc>
        <w:tc>
          <w:tcPr>
            <w:tcW w:w="850" w:type="dxa"/>
            <w:vAlign w:val="center"/>
          </w:tcPr>
          <w:p w:rsidR="00EF142D" w:rsidRPr="00653F56" w:rsidRDefault="00EF142D" w:rsidP="00203666">
            <w:pPr>
              <w:pStyle w:val="TableBodyText"/>
            </w:pPr>
            <w:r w:rsidRPr="00653F56">
              <w:t xml:space="preserve"> 2 839</w:t>
            </w:r>
          </w:p>
        </w:tc>
        <w:tc>
          <w:tcPr>
            <w:tcW w:w="851" w:type="dxa"/>
            <w:vAlign w:val="center"/>
          </w:tcPr>
          <w:p w:rsidR="00EF142D" w:rsidRPr="00653F56" w:rsidRDefault="00EF142D" w:rsidP="00203666">
            <w:pPr>
              <w:pStyle w:val="TableBodyText"/>
            </w:pPr>
            <w:r w:rsidRPr="00653F56">
              <w:t xml:space="preserve"> 2 926</w:t>
            </w:r>
          </w:p>
        </w:tc>
        <w:tc>
          <w:tcPr>
            <w:tcW w:w="850" w:type="dxa"/>
            <w:vAlign w:val="center"/>
          </w:tcPr>
          <w:p w:rsidR="00EF142D" w:rsidRPr="00653F56" w:rsidRDefault="00EF142D" w:rsidP="00203666">
            <w:pPr>
              <w:pStyle w:val="TableBodyText"/>
            </w:pPr>
            <w:r w:rsidRPr="00653F56">
              <w:t xml:space="preserve"> 952</w:t>
            </w:r>
          </w:p>
        </w:tc>
        <w:tc>
          <w:tcPr>
            <w:tcW w:w="851" w:type="dxa"/>
            <w:vAlign w:val="center"/>
          </w:tcPr>
          <w:p w:rsidR="00EF142D" w:rsidRPr="00653F56" w:rsidRDefault="00EF142D" w:rsidP="00203666">
            <w:pPr>
              <w:pStyle w:val="TableBodyText"/>
            </w:pPr>
            <w:r w:rsidRPr="00653F56">
              <w:t xml:space="preserve"> 6 330</w:t>
            </w:r>
          </w:p>
        </w:tc>
        <w:tc>
          <w:tcPr>
            <w:tcW w:w="709" w:type="dxa"/>
            <w:vAlign w:val="center"/>
          </w:tcPr>
          <w:p w:rsidR="00EF142D" w:rsidRPr="00653F56" w:rsidRDefault="00EF142D" w:rsidP="00203666">
            <w:pPr>
              <w:pStyle w:val="TableBodyText"/>
            </w:pPr>
            <w:r w:rsidRPr="00653F56">
              <w:t xml:space="preserve"> 1 955</w:t>
            </w:r>
          </w:p>
        </w:tc>
        <w:tc>
          <w:tcPr>
            <w:tcW w:w="567" w:type="dxa"/>
            <w:vAlign w:val="center"/>
          </w:tcPr>
          <w:p w:rsidR="00EF142D" w:rsidRPr="00653F56" w:rsidRDefault="00EF142D" w:rsidP="00203666">
            <w:pPr>
              <w:pStyle w:val="TableBodyText"/>
            </w:pPr>
            <w:r w:rsidRPr="00653F56">
              <w:t xml:space="preserve"> 6</w:t>
            </w:r>
          </w:p>
        </w:tc>
        <w:tc>
          <w:tcPr>
            <w:tcW w:w="708" w:type="dxa"/>
            <w:vAlign w:val="center"/>
          </w:tcPr>
          <w:p w:rsidR="00EF142D" w:rsidRPr="00653F56" w:rsidRDefault="00EF142D" w:rsidP="00203666">
            <w:pPr>
              <w:pStyle w:val="TableBodyText"/>
            </w:pPr>
            <w:r w:rsidRPr="00653F56">
              <w:t xml:space="preserve"> 211</w:t>
            </w:r>
          </w:p>
        </w:tc>
        <w:tc>
          <w:tcPr>
            <w:tcW w:w="851" w:type="dxa"/>
            <w:vAlign w:val="center"/>
          </w:tcPr>
          <w:p w:rsidR="00EF142D" w:rsidRPr="00653F56" w:rsidRDefault="00EF142D" w:rsidP="00203666">
            <w:pPr>
              <w:pStyle w:val="TableBodyText"/>
            </w:pPr>
            <w:r w:rsidRPr="00653F56">
              <w:t xml:space="preserve"> 17 076</w:t>
            </w:r>
          </w:p>
        </w:tc>
      </w:tr>
      <w:tr w:rsidR="00EF142D" w:rsidRPr="00666ECE" w:rsidTr="004E70FF">
        <w:tc>
          <w:tcPr>
            <w:tcW w:w="850" w:type="dxa"/>
            <w:vAlign w:val="bottom"/>
          </w:tcPr>
          <w:p w:rsidR="00EF142D" w:rsidRPr="00666ECE" w:rsidRDefault="00EF142D" w:rsidP="004E70FF">
            <w:pPr>
              <w:pStyle w:val="TableBodyText"/>
            </w:pPr>
            <w:r w:rsidRPr="00666ECE">
              <w:t>2010</w:t>
            </w:r>
          </w:p>
        </w:tc>
        <w:tc>
          <w:tcPr>
            <w:tcW w:w="710" w:type="dxa"/>
          </w:tcPr>
          <w:p w:rsidR="00EF142D" w:rsidRDefault="00EF142D" w:rsidP="00203666">
            <w:pPr>
              <w:pStyle w:val="TableBodyText"/>
            </w:pPr>
            <w:r w:rsidRPr="002249A0">
              <w:t>no.</w:t>
            </w:r>
          </w:p>
        </w:tc>
        <w:tc>
          <w:tcPr>
            <w:tcW w:w="992" w:type="dxa"/>
            <w:vAlign w:val="center"/>
          </w:tcPr>
          <w:p w:rsidR="00EF142D" w:rsidRPr="00653F56" w:rsidRDefault="00EF142D" w:rsidP="00203666">
            <w:pPr>
              <w:pStyle w:val="TableBodyText"/>
            </w:pPr>
            <w:r w:rsidRPr="00653F56">
              <w:t xml:space="preserve"> 1 956</w:t>
            </w:r>
          </w:p>
        </w:tc>
        <w:tc>
          <w:tcPr>
            <w:tcW w:w="850" w:type="dxa"/>
            <w:vAlign w:val="center"/>
          </w:tcPr>
          <w:p w:rsidR="00EF142D" w:rsidRPr="00653F56" w:rsidRDefault="00EF142D" w:rsidP="00203666">
            <w:pPr>
              <w:pStyle w:val="TableBodyText"/>
            </w:pPr>
            <w:r w:rsidRPr="00653F56">
              <w:t xml:space="preserve"> 2 701</w:t>
            </w:r>
          </w:p>
        </w:tc>
        <w:tc>
          <w:tcPr>
            <w:tcW w:w="851" w:type="dxa"/>
            <w:vAlign w:val="center"/>
          </w:tcPr>
          <w:p w:rsidR="00EF142D" w:rsidRPr="00653F56" w:rsidRDefault="00EF142D" w:rsidP="00203666">
            <w:pPr>
              <w:pStyle w:val="TableBodyText"/>
            </w:pPr>
            <w:r w:rsidRPr="00653F56">
              <w:t xml:space="preserve"> 3 155</w:t>
            </w:r>
          </w:p>
        </w:tc>
        <w:tc>
          <w:tcPr>
            <w:tcW w:w="850" w:type="dxa"/>
            <w:vAlign w:val="center"/>
          </w:tcPr>
          <w:p w:rsidR="00EF142D" w:rsidRPr="00653F56" w:rsidRDefault="00EF142D" w:rsidP="00203666">
            <w:pPr>
              <w:pStyle w:val="TableBodyText"/>
            </w:pPr>
            <w:r w:rsidRPr="00653F56">
              <w:t xml:space="preserve"> 2 089</w:t>
            </w:r>
          </w:p>
        </w:tc>
        <w:tc>
          <w:tcPr>
            <w:tcW w:w="851" w:type="dxa"/>
            <w:vAlign w:val="center"/>
          </w:tcPr>
          <w:p w:rsidR="00EF142D" w:rsidRPr="00653F56" w:rsidRDefault="00EF142D" w:rsidP="00203666">
            <w:pPr>
              <w:pStyle w:val="TableBodyText"/>
            </w:pPr>
            <w:r w:rsidRPr="00653F56">
              <w:t xml:space="preserve"> 6 135</w:t>
            </w:r>
          </w:p>
        </w:tc>
        <w:tc>
          <w:tcPr>
            <w:tcW w:w="709" w:type="dxa"/>
            <w:vAlign w:val="center"/>
          </w:tcPr>
          <w:p w:rsidR="00EF142D" w:rsidRPr="00653F56" w:rsidRDefault="00EF142D" w:rsidP="00203666">
            <w:pPr>
              <w:pStyle w:val="TableBodyText"/>
            </w:pPr>
            <w:r w:rsidRPr="00653F56">
              <w:t xml:space="preserve"> 2 143</w:t>
            </w:r>
          </w:p>
        </w:tc>
        <w:tc>
          <w:tcPr>
            <w:tcW w:w="567" w:type="dxa"/>
            <w:vAlign w:val="center"/>
          </w:tcPr>
          <w:p w:rsidR="00EF142D" w:rsidRPr="00653F56" w:rsidRDefault="00EF142D" w:rsidP="00203666">
            <w:pPr>
              <w:pStyle w:val="TableBodyText"/>
            </w:pPr>
            <w:r w:rsidRPr="00653F56">
              <w:t xml:space="preserve"> 6</w:t>
            </w:r>
          </w:p>
        </w:tc>
        <w:tc>
          <w:tcPr>
            <w:tcW w:w="708" w:type="dxa"/>
            <w:vAlign w:val="center"/>
          </w:tcPr>
          <w:p w:rsidR="00EF142D" w:rsidRPr="00653F56" w:rsidRDefault="00EF142D" w:rsidP="00203666">
            <w:pPr>
              <w:pStyle w:val="TableBodyText"/>
            </w:pPr>
            <w:r w:rsidRPr="00653F56">
              <w:t xml:space="preserve"> 42</w:t>
            </w:r>
          </w:p>
        </w:tc>
        <w:tc>
          <w:tcPr>
            <w:tcW w:w="851" w:type="dxa"/>
            <w:vAlign w:val="center"/>
          </w:tcPr>
          <w:p w:rsidR="00EF142D" w:rsidRPr="00653F56" w:rsidRDefault="00EF142D" w:rsidP="00203666">
            <w:pPr>
              <w:pStyle w:val="TableBodyText"/>
            </w:pPr>
            <w:r w:rsidRPr="00653F56">
              <w:t xml:space="preserve"> 18 227</w:t>
            </w:r>
          </w:p>
        </w:tc>
      </w:tr>
      <w:tr w:rsidR="00EF142D" w:rsidRPr="00666ECE" w:rsidTr="004E70FF">
        <w:tc>
          <w:tcPr>
            <w:tcW w:w="850" w:type="dxa"/>
            <w:vAlign w:val="bottom"/>
          </w:tcPr>
          <w:p w:rsidR="00EF142D" w:rsidRPr="00666ECE" w:rsidRDefault="00EF142D" w:rsidP="004E70FF">
            <w:pPr>
              <w:pStyle w:val="TableBodyText"/>
            </w:pPr>
            <w:r w:rsidRPr="00666ECE">
              <w:t>2011</w:t>
            </w:r>
          </w:p>
        </w:tc>
        <w:tc>
          <w:tcPr>
            <w:tcW w:w="710" w:type="dxa"/>
          </w:tcPr>
          <w:p w:rsidR="00EF142D" w:rsidRDefault="00EF142D" w:rsidP="00203666">
            <w:pPr>
              <w:pStyle w:val="TableBodyText"/>
            </w:pPr>
            <w:r w:rsidRPr="002249A0">
              <w:t>no.</w:t>
            </w:r>
          </w:p>
        </w:tc>
        <w:tc>
          <w:tcPr>
            <w:tcW w:w="992" w:type="dxa"/>
            <w:vAlign w:val="center"/>
          </w:tcPr>
          <w:p w:rsidR="00EF142D" w:rsidRPr="00653F56" w:rsidRDefault="00EF142D" w:rsidP="00203666">
            <w:pPr>
              <w:pStyle w:val="TableBodyText"/>
            </w:pPr>
            <w:r w:rsidRPr="00653F56">
              <w:t xml:space="preserve"> 1 915</w:t>
            </w:r>
          </w:p>
        </w:tc>
        <w:tc>
          <w:tcPr>
            <w:tcW w:w="850" w:type="dxa"/>
            <w:vAlign w:val="center"/>
          </w:tcPr>
          <w:p w:rsidR="00EF142D" w:rsidRPr="00653F56" w:rsidRDefault="00EF142D" w:rsidP="00203666">
            <w:pPr>
              <w:pStyle w:val="TableBodyText"/>
            </w:pPr>
            <w:r w:rsidRPr="00653F56">
              <w:t xml:space="preserve"> 2 252</w:t>
            </w:r>
          </w:p>
        </w:tc>
        <w:tc>
          <w:tcPr>
            <w:tcW w:w="851" w:type="dxa"/>
            <w:vAlign w:val="center"/>
          </w:tcPr>
          <w:p w:rsidR="00EF142D" w:rsidRPr="00653F56" w:rsidRDefault="00EF142D" w:rsidP="00203666">
            <w:pPr>
              <w:pStyle w:val="TableBodyText"/>
            </w:pPr>
            <w:r w:rsidRPr="00653F56">
              <w:t xml:space="preserve"> 3 385</w:t>
            </w:r>
          </w:p>
        </w:tc>
        <w:tc>
          <w:tcPr>
            <w:tcW w:w="850" w:type="dxa"/>
            <w:vAlign w:val="center"/>
          </w:tcPr>
          <w:p w:rsidR="00EF142D" w:rsidRPr="00653F56" w:rsidRDefault="00EF142D" w:rsidP="00203666">
            <w:pPr>
              <w:pStyle w:val="TableBodyText"/>
            </w:pPr>
            <w:r w:rsidRPr="00653F56">
              <w:t xml:space="preserve"> 2 000</w:t>
            </w:r>
          </w:p>
        </w:tc>
        <w:tc>
          <w:tcPr>
            <w:tcW w:w="851" w:type="dxa"/>
            <w:vAlign w:val="center"/>
          </w:tcPr>
          <w:p w:rsidR="00EF142D" w:rsidRPr="00653F56" w:rsidRDefault="00EF142D" w:rsidP="00203666">
            <w:pPr>
              <w:pStyle w:val="TableBodyText"/>
            </w:pPr>
            <w:r w:rsidRPr="00653F56">
              <w:t xml:space="preserve"> 4 059</w:t>
            </w:r>
          </w:p>
        </w:tc>
        <w:tc>
          <w:tcPr>
            <w:tcW w:w="709" w:type="dxa"/>
            <w:vAlign w:val="center"/>
          </w:tcPr>
          <w:p w:rsidR="00EF142D" w:rsidRPr="00653F56" w:rsidRDefault="00EF142D" w:rsidP="00203666">
            <w:pPr>
              <w:pStyle w:val="TableBodyText"/>
            </w:pPr>
            <w:r w:rsidRPr="00653F56">
              <w:t xml:space="preserve"> 2 463</w:t>
            </w:r>
          </w:p>
        </w:tc>
        <w:tc>
          <w:tcPr>
            <w:tcW w:w="567" w:type="dxa"/>
            <w:tcBorders>
              <w:left w:val="nil"/>
            </w:tcBorders>
            <w:vAlign w:val="center"/>
          </w:tcPr>
          <w:p w:rsidR="00EF142D" w:rsidRPr="00653F56" w:rsidRDefault="00EF142D" w:rsidP="00203666">
            <w:pPr>
              <w:pStyle w:val="TableBodyText"/>
            </w:pPr>
            <w:r w:rsidRPr="00653F56">
              <w:t xml:space="preserve"> 46</w:t>
            </w:r>
          </w:p>
        </w:tc>
        <w:tc>
          <w:tcPr>
            <w:tcW w:w="708" w:type="dxa"/>
            <w:vAlign w:val="center"/>
          </w:tcPr>
          <w:p w:rsidR="00EF142D" w:rsidRPr="00653F56" w:rsidRDefault="00EF142D" w:rsidP="00203666">
            <w:pPr>
              <w:pStyle w:val="TableBodyText"/>
            </w:pPr>
            <w:r w:rsidRPr="00653F56">
              <w:t xml:space="preserve"> 228</w:t>
            </w:r>
          </w:p>
        </w:tc>
        <w:tc>
          <w:tcPr>
            <w:tcW w:w="851" w:type="dxa"/>
            <w:vAlign w:val="center"/>
          </w:tcPr>
          <w:p w:rsidR="00EF142D" w:rsidRPr="00653F56" w:rsidRDefault="00EF142D" w:rsidP="00203666">
            <w:pPr>
              <w:pStyle w:val="TableBodyText"/>
            </w:pPr>
            <w:r w:rsidRPr="00653F56">
              <w:t xml:space="preserve"> 16 348</w:t>
            </w:r>
          </w:p>
        </w:tc>
      </w:tr>
      <w:tr w:rsidR="00EF142D" w:rsidRPr="00666ECE" w:rsidTr="004E70FF">
        <w:trPr>
          <w:trHeight w:val="283"/>
        </w:trPr>
        <w:tc>
          <w:tcPr>
            <w:tcW w:w="850" w:type="dxa"/>
            <w:vAlign w:val="bottom"/>
          </w:tcPr>
          <w:p w:rsidR="00EF142D" w:rsidRPr="00666ECE" w:rsidRDefault="00EF142D" w:rsidP="004E70FF">
            <w:pPr>
              <w:pStyle w:val="TableBodyText"/>
            </w:pPr>
            <w:r w:rsidRPr="00666ECE">
              <w:t>201</w:t>
            </w:r>
            <w:r>
              <w:t>2</w:t>
            </w:r>
          </w:p>
        </w:tc>
        <w:tc>
          <w:tcPr>
            <w:tcW w:w="710" w:type="dxa"/>
          </w:tcPr>
          <w:p w:rsidR="00EF142D" w:rsidRDefault="00EF142D" w:rsidP="00203666">
            <w:pPr>
              <w:pStyle w:val="TableBodyText"/>
            </w:pPr>
            <w:r w:rsidRPr="002249A0">
              <w:t>no.</w:t>
            </w:r>
          </w:p>
        </w:tc>
        <w:tc>
          <w:tcPr>
            <w:tcW w:w="992" w:type="dxa"/>
            <w:vAlign w:val="bottom"/>
          </w:tcPr>
          <w:p w:rsidR="00EF142D" w:rsidRDefault="00EF142D" w:rsidP="00203666">
            <w:pPr>
              <w:pStyle w:val="TableBodyText"/>
              <w:rPr>
                <w:rFonts w:cs="Arial"/>
              </w:rPr>
            </w:pPr>
            <w:r>
              <w:rPr>
                <w:rFonts w:cs="Arial"/>
              </w:rPr>
              <w:t xml:space="preserve"> 2 288</w:t>
            </w:r>
          </w:p>
        </w:tc>
        <w:tc>
          <w:tcPr>
            <w:tcW w:w="850" w:type="dxa"/>
            <w:vAlign w:val="bottom"/>
          </w:tcPr>
          <w:p w:rsidR="00EF142D" w:rsidRDefault="00EF142D" w:rsidP="00203666">
            <w:pPr>
              <w:pStyle w:val="TableBodyText"/>
              <w:rPr>
                <w:rFonts w:cs="Arial"/>
              </w:rPr>
            </w:pPr>
            <w:r>
              <w:rPr>
                <w:rFonts w:cs="Arial"/>
              </w:rPr>
              <w:t xml:space="preserve"> 2 382</w:t>
            </w:r>
          </w:p>
        </w:tc>
        <w:tc>
          <w:tcPr>
            <w:tcW w:w="851" w:type="dxa"/>
            <w:vAlign w:val="bottom"/>
          </w:tcPr>
          <w:p w:rsidR="00EF142D" w:rsidRDefault="00EF142D" w:rsidP="00203666">
            <w:pPr>
              <w:pStyle w:val="TableBodyText"/>
              <w:rPr>
                <w:rFonts w:cs="Arial"/>
              </w:rPr>
            </w:pPr>
            <w:r>
              <w:rPr>
                <w:rFonts w:cs="Arial"/>
              </w:rPr>
              <w:t xml:space="preserve"> 3 901</w:t>
            </w:r>
          </w:p>
        </w:tc>
        <w:tc>
          <w:tcPr>
            <w:tcW w:w="850" w:type="dxa"/>
            <w:vAlign w:val="bottom"/>
          </w:tcPr>
          <w:p w:rsidR="00EF142D" w:rsidRDefault="00EF142D" w:rsidP="00203666">
            <w:pPr>
              <w:pStyle w:val="TableBodyText"/>
              <w:rPr>
                <w:rFonts w:cs="Arial"/>
              </w:rPr>
            </w:pPr>
            <w:r>
              <w:rPr>
                <w:rFonts w:cs="Arial"/>
              </w:rPr>
              <w:t xml:space="preserve"> 1 871</w:t>
            </w:r>
          </w:p>
        </w:tc>
        <w:tc>
          <w:tcPr>
            <w:tcW w:w="851" w:type="dxa"/>
            <w:vAlign w:val="bottom"/>
          </w:tcPr>
          <w:p w:rsidR="00EF142D" w:rsidRDefault="00EF142D" w:rsidP="00203666">
            <w:pPr>
              <w:pStyle w:val="TableBodyText"/>
              <w:rPr>
                <w:rFonts w:cs="Arial"/>
              </w:rPr>
            </w:pPr>
            <w:r>
              <w:rPr>
                <w:rFonts w:cs="Arial"/>
              </w:rPr>
              <w:t xml:space="preserve"> 2 804</w:t>
            </w:r>
          </w:p>
        </w:tc>
        <w:tc>
          <w:tcPr>
            <w:tcW w:w="709" w:type="dxa"/>
            <w:vAlign w:val="bottom"/>
          </w:tcPr>
          <w:p w:rsidR="00EF142D" w:rsidRDefault="00EF142D" w:rsidP="00203666">
            <w:pPr>
              <w:pStyle w:val="TableBodyText"/>
              <w:rPr>
                <w:rFonts w:cs="Arial"/>
              </w:rPr>
            </w:pPr>
            <w:r>
              <w:rPr>
                <w:rFonts w:cs="Arial"/>
              </w:rPr>
              <w:t xml:space="preserve"> 2 344</w:t>
            </w:r>
          </w:p>
        </w:tc>
        <w:tc>
          <w:tcPr>
            <w:tcW w:w="567" w:type="dxa"/>
            <w:vAlign w:val="bottom"/>
          </w:tcPr>
          <w:p w:rsidR="00EF142D" w:rsidRDefault="00EF142D" w:rsidP="00203666">
            <w:pPr>
              <w:pStyle w:val="TableBodyText"/>
              <w:rPr>
                <w:rFonts w:cs="Arial"/>
              </w:rPr>
            </w:pPr>
            <w:r>
              <w:rPr>
                <w:rFonts w:cs="Arial"/>
              </w:rPr>
              <w:t xml:space="preserve">  47</w:t>
            </w:r>
          </w:p>
        </w:tc>
        <w:tc>
          <w:tcPr>
            <w:tcW w:w="708" w:type="dxa"/>
            <w:vAlign w:val="bottom"/>
          </w:tcPr>
          <w:p w:rsidR="00EF142D" w:rsidRDefault="00EF142D" w:rsidP="00203666">
            <w:pPr>
              <w:pStyle w:val="TableBodyText"/>
              <w:rPr>
                <w:rFonts w:cs="Arial"/>
              </w:rPr>
            </w:pPr>
            <w:r>
              <w:rPr>
                <w:rFonts w:cs="Arial"/>
              </w:rPr>
              <w:t xml:space="preserve">  207</w:t>
            </w:r>
          </w:p>
        </w:tc>
        <w:tc>
          <w:tcPr>
            <w:tcW w:w="851" w:type="dxa"/>
            <w:vAlign w:val="bottom"/>
          </w:tcPr>
          <w:p w:rsidR="00EF142D" w:rsidRDefault="00EF142D" w:rsidP="00203666">
            <w:pPr>
              <w:pStyle w:val="TableBodyText"/>
              <w:rPr>
                <w:rFonts w:cs="Arial"/>
              </w:rPr>
            </w:pPr>
            <w:r>
              <w:rPr>
                <w:rFonts w:cs="Arial"/>
              </w:rPr>
              <w:t xml:space="preserve"> 15 844</w:t>
            </w:r>
          </w:p>
        </w:tc>
      </w:tr>
      <w:tr w:rsidR="00203666" w:rsidRPr="00666ECE" w:rsidTr="00203666">
        <w:tc>
          <w:tcPr>
            <w:tcW w:w="8789" w:type="dxa"/>
            <w:gridSpan w:val="11"/>
          </w:tcPr>
          <w:p w:rsidR="00203666" w:rsidRPr="00666ECE" w:rsidRDefault="00203666" w:rsidP="00203666">
            <w:pPr>
              <w:pStyle w:val="TableBodyText"/>
              <w:jc w:val="left"/>
            </w:pPr>
            <w:r w:rsidRPr="00666ECE">
              <w:t>Proportion of secondary school students in government schools</w:t>
            </w:r>
            <w:r>
              <w:t xml:space="preserve"> who were part time students</w:t>
            </w:r>
            <w:r w:rsidRPr="00666ECE">
              <w:rPr>
                <w:b/>
                <w:position w:val="6"/>
                <w:sz w:val="18"/>
              </w:rPr>
              <w:t>b</w:t>
            </w:r>
          </w:p>
        </w:tc>
      </w:tr>
      <w:tr w:rsidR="00EF142D" w:rsidRPr="00666ECE" w:rsidTr="00203666">
        <w:tc>
          <w:tcPr>
            <w:tcW w:w="850" w:type="dxa"/>
          </w:tcPr>
          <w:p w:rsidR="00EF142D" w:rsidRPr="00666ECE" w:rsidRDefault="00EF142D" w:rsidP="00203666">
            <w:pPr>
              <w:pStyle w:val="TableBodyText"/>
            </w:pPr>
            <w:r w:rsidRPr="00666ECE">
              <w:t>2008</w:t>
            </w:r>
          </w:p>
        </w:tc>
        <w:tc>
          <w:tcPr>
            <w:tcW w:w="710" w:type="dxa"/>
          </w:tcPr>
          <w:p w:rsidR="00EF142D" w:rsidRPr="00653F56" w:rsidRDefault="00203666" w:rsidP="00203666">
            <w:pPr>
              <w:pStyle w:val="TableBodyText"/>
            </w:pPr>
            <w:r>
              <w:t>%</w:t>
            </w:r>
          </w:p>
        </w:tc>
        <w:tc>
          <w:tcPr>
            <w:tcW w:w="992" w:type="dxa"/>
            <w:vAlign w:val="bottom"/>
          </w:tcPr>
          <w:p w:rsidR="00EF142D" w:rsidRPr="00653F56" w:rsidRDefault="00EF142D" w:rsidP="00203666">
            <w:pPr>
              <w:pStyle w:val="TableBodyText"/>
            </w:pPr>
            <w:r w:rsidRPr="00653F56">
              <w:t>0.7</w:t>
            </w:r>
          </w:p>
        </w:tc>
        <w:tc>
          <w:tcPr>
            <w:tcW w:w="850" w:type="dxa"/>
            <w:vAlign w:val="bottom"/>
          </w:tcPr>
          <w:p w:rsidR="00EF142D" w:rsidRPr="00653F56" w:rsidRDefault="00EF142D" w:rsidP="00203666">
            <w:pPr>
              <w:pStyle w:val="TableBodyText"/>
            </w:pPr>
            <w:r w:rsidRPr="00653F56">
              <w:t>1.0</w:t>
            </w:r>
          </w:p>
        </w:tc>
        <w:tc>
          <w:tcPr>
            <w:tcW w:w="851" w:type="dxa"/>
            <w:vAlign w:val="bottom"/>
          </w:tcPr>
          <w:p w:rsidR="00EF142D" w:rsidRPr="00653F56" w:rsidRDefault="00EF142D" w:rsidP="00203666">
            <w:pPr>
              <w:pStyle w:val="TableBodyText"/>
            </w:pPr>
            <w:r w:rsidRPr="00653F56">
              <w:t>1.6</w:t>
            </w:r>
          </w:p>
        </w:tc>
        <w:tc>
          <w:tcPr>
            <w:tcW w:w="850" w:type="dxa"/>
            <w:vAlign w:val="bottom"/>
          </w:tcPr>
          <w:p w:rsidR="00EF142D" w:rsidRPr="00653F56" w:rsidRDefault="00EF142D" w:rsidP="00203666">
            <w:pPr>
              <w:pStyle w:val="TableBodyText"/>
            </w:pPr>
            <w:r w:rsidRPr="00653F56">
              <w:t>2.1</w:t>
            </w:r>
          </w:p>
        </w:tc>
        <w:tc>
          <w:tcPr>
            <w:tcW w:w="851" w:type="dxa"/>
            <w:vAlign w:val="bottom"/>
          </w:tcPr>
          <w:p w:rsidR="00EF142D" w:rsidRPr="00653F56" w:rsidRDefault="00EF142D" w:rsidP="00203666">
            <w:pPr>
              <w:pStyle w:val="TableBodyText"/>
            </w:pPr>
            <w:r w:rsidRPr="00653F56">
              <w:t>9.8</w:t>
            </w:r>
          </w:p>
        </w:tc>
        <w:tc>
          <w:tcPr>
            <w:tcW w:w="709" w:type="dxa"/>
            <w:vAlign w:val="bottom"/>
          </w:tcPr>
          <w:p w:rsidR="00EF142D" w:rsidRPr="00653F56" w:rsidRDefault="00EF142D" w:rsidP="00203666">
            <w:pPr>
              <w:pStyle w:val="TableBodyText"/>
            </w:pPr>
            <w:r w:rsidRPr="00653F56">
              <w:t>5.7</w:t>
            </w:r>
          </w:p>
        </w:tc>
        <w:tc>
          <w:tcPr>
            <w:tcW w:w="567" w:type="dxa"/>
          </w:tcPr>
          <w:p w:rsidR="00EF142D" w:rsidRPr="00653F56" w:rsidRDefault="00EF142D" w:rsidP="00203666">
            <w:pPr>
              <w:pStyle w:val="TableBodyText"/>
            </w:pPr>
            <w:r w:rsidRPr="00653F56">
              <w:t>–</w:t>
            </w:r>
          </w:p>
        </w:tc>
        <w:tc>
          <w:tcPr>
            <w:tcW w:w="708" w:type="dxa"/>
            <w:vAlign w:val="bottom"/>
          </w:tcPr>
          <w:p w:rsidR="00EF142D" w:rsidRPr="00653F56" w:rsidRDefault="00EF142D" w:rsidP="00203666">
            <w:pPr>
              <w:pStyle w:val="TableBodyText"/>
            </w:pPr>
            <w:r w:rsidRPr="00653F56">
              <w:t>3.1</w:t>
            </w:r>
          </w:p>
        </w:tc>
        <w:tc>
          <w:tcPr>
            <w:tcW w:w="851" w:type="dxa"/>
            <w:vAlign w:val="bottom"/>
          </w:tcPr>
          <w:p w:rsidR="00EF142D" w:rsidRPr="00653F56" w:rsidRDefault="00EF142D" w:rsidP="00203666">
            <w:pPr>
              <w:pStyle w:val="TableBodyText"/>
            </w:pPr>
            <w:r w:rsidRPr="00653F56">
              <w:t>1.9</w:t>
            </w:r>
          </w:p>
        </w:tc>
      </w:tr>
      <w:tr w:rsidR="00203666" w:rsidRPr="00666ECE" w:rsidTr="00203666">
        <w:tc>
          <w:tcPr>
            <w:tcW w:w="850" w:type="dxa"/>
          </w:tcPr>
          <w:p w:rsidR="00203666" w:rsidRPr="00666ECE" w:rsidRDefault="00203666" w:rsidP="00203666">
            <w:pPr>
              <w:pStyle w:val="TableBodyText"/>
            </w:pPr>
            <w:r w:rsidRPr="00666ECE">
              <w:t>2009</w:t>
            </w:r>
          </w:p>
        </w:tc>
        <w:tc>
          <w:tcPr>
            <w:tcW w:w="710" w:type="dxa"/>
          </w:tcPr>
          <w:p w:rsidR="00203666" w:rsidRDefault="00203666" w:rsidP="00203666">
            <w:pPr>
              <w:pStyle w:val="TableBodyText"/>
            </w:pPr>
            <w:r w:rsidRPr="008D2AA9">
              <w:t>%</w:t>
            </w:r>
          </w:p>
        </w:tc>
        <w:tc>
          <w:tcPr>
            <w:tcW w:w="992" w:type="dxa"/>
            <w:vAlign w:val="bottom"/>
          </w:tcPr>
          <w:p w:rsidR="00203666" w:rsidRPr="00653F56" w:rsidRDefault="00203666" w:rsidP="00203666">
            <w:pPr>
              <w:pStyle w:val="TableBodyText"/>
            </w:pPr>
            <w:r w:rsidRPr="00653F56">
              <w:t>0.6</w:t>
            </w:r>
          </w:p>
        </w:tc>
        <w:tc>
          <w:tcPr>
            <w:tcW w:w="850" w:type="dxa"/>
            <w:vAlign w:val="bottom"/>
          </w:tcPr>
          <w:p w:rsidR="00203666" w:rsidRPr="00653F56" w:rsidRDefault="00203666" w:rsidP="00203666">
            <w:pPr>
              <w:pStyle w:val="TableBodyText"/>
            </w:pPr>
            <w:r w:rsidRPr="00653F56">
              <w:t>1.2</w:t>
            </w:r>
          </w:p>
        </w:tc>
        <w:tc>
          <w:tcPr>
            <w:tcW w:w="851" w:type="dxa"/>
            <w:vAlign w:val="bottom"/>
          </w:tcPr>
          <w:p w:rsidR="00203666" w:rsidRPr="00653F56" w:rsidRDefault="00203666" w:rsidP="00203666">
            <w:pPr>
              <w:pStyle w:val="TableBodyText"/>
            </w:pPr>
            <w:r w:rsidRPr="00653F56">
              <w:t>1.7</w:t>
            </w:r>
          </w:p>
        </w:tc>
        <w:tc>
          <w:tcPr>
            <w:tcW w:w="850" w:type="dxa"/>
            <w:vAlign w:val="bottom"/>
          </w:tcPr>
          <w:p w:rsidR="00203666" w:rsidRPr="00653F56" w:rsidRDefault="00203666" w:rsidP="00203666">
            <w:pPr>
              <w:pStyle w:val="TableBodyText"/>
            </w:pPr>
            <w:r w:rsidRPr="00653F56">
              <w:t>1.2</w:t>
            </w:r>
          </w:p>
        </w:tc>
        <w:tc>
          <w:tcPr>
            <w:tcW w:w="851" w:type="dxa"/>
            <w:vAlign w:val="bottom"/>
          </w:tcPr>
          <w:p w:rsidR="00203666" w:rsidRPr="00653F56" w:rsidRDefault="00203666" w:rsidP="00203666">
            <w:pPr>
              <w:pStyle w:val="TableBodyText"/>
            </w:pPr>
            <w:r w:rsidRPr="00653F56">
              <w:t>9.7</w:t>
            </w:r>
          </w:p>
        </w:tc>
        <w:tc>
          <w:tcPr>
            <w:tcW w:w="709" w:type="dxa"/>
            <w:vAlign w:val="bottom"/>
          </w:tcPr>
          <w:p w:rsidR="00203666" w:rsidRPr="00653F56" w:rsidRDefault="00203666" w:rsidP="00203666">
            <w:pPr>
              <w:pStyle w:val="TableBodyText"/>
            </w:pPr>
            <w:r w:rsidRPr="00653F56">
              <w:t>7.4</w:t>
            </w:r>
          </w:p>
        </w:tc>
        <w:tc>
          <w:tcPr>
            <w:tcW w:w="567" w:type="dxa"/>
          </w:tcPr>
          <w:p w:rsidR="00203666" w:rsidRPr="00653F56" w:rsidRDefault="00203666" w:rsidP="00203666">
            <w:pPr>
              <w:pStyle w:val="TableBodyText"/>
            </w:pPr>
            <w:r w:rsidRPr="00653F56">
              <w:t>–</w:t>
            </w:r>
          </w:p>
        </w:tc>
        <w:tc>
          <w:tcPr>
            <w:tcW w:w="708" w:type="dxa"/>
            <w:vAlign w:val="bottom"/>
          </w:tcPr>
          <w:p w:rsidR="00203666" w:rsidRPr="00653F56" w:rsidRDefault="00203666" w:rsidP="00203666">
            <w:pPr>
              <w:pStyle w:val="TableBodyText"/>
            </w:pPr>
            <w:r w:rsidRPr="00653F56">
              <w:t>2.0</w:t>
            </w:r>
          </w:p>
        </w:tc>
        <w:tc>
          <w:tcPr>
            <w:tcW w:w="851" w:type="dxa"/>
            <w:vAlign w:val="bottom"/>
          </w:tcPr>
          <w:p w:rsidR="00203666" w:rsidRPr="00653F56" w:rsidRDefault="00203666" w:rsidP="00203666">
            <w:pPr>
              <w:pStyle w:val="TableBodyText"/>
            </w:pPr>
            <w:r w:rsidRPr="00653F56">
              <w:t>1.9</w:t>
            </w:r>
          </w:p>
        </w:tc>
      </w:tr>
      <w:tr w:rsidR="00203666" w:rsidRPr="00666ECE" w:rsidTr="00203666">
        <w:tc>
          <w:tcPr>
            <w:tcW w:w="850" w:type="dxa"/>
          </w:tcPr>
          <w:p w:rsidR="00203666" w:rsidRPr="00666ECE" w:rsidRDefault="00203666" w:rsidP="00203666">
            <w:pPr>
              <w:pStyle w:val="TableBodyText"/>
            </w:pPr>
            <w:r w:rsidRPr="00666ECE">
              <w:t>2010</w:t>
            </w:r>
          </w:p>
        </w:tc>
        <w:tc>
          <w:tcPr>
            <w:tcW w:w="710" w:type="dxa"/>
          </w:tcPr>
          <w:p w:rsidR="00203666" w:rsidRDefault="00203666" w:rsidP="00203666">
            <w:pPr>
              <w:pStyle w:val="TableBodyText"/>
            </w:pPr>
            <w:r w:rsidRPr="008D2AA9">
              <w:t>%</w:t>
            </w:r>
          </w:p>
        </w:tc>
        <w:tc>
          <w:tcPr>
            <w:tcW w:w="992" w:type="dxa"/>
            <w:vAlign w:val="bottom"/>
          </w:tcPr>
          <w:p w:rsidR="00203666" w:rsidRPr="00653F56" w:rsidRDefault="00203666" w:rsidP="00203666">
            <w:pPr>
              <w:pStyle w:val="TableBodyText"/>
            </w:pPr>
            <w:r w:rsidRPr="00653F56">
              <w:t>0.6</w:t>
            </w:r>
          </w:p>
        </w:tc>
        <w:tc>
          <w:tcPr>
            <w:tcW w:w="850" w:type="dxa"/>
            <w:vAlign w:val="bottom"/>
          </w:tcPr>
          <w:p w:rsidR="00203666" w:rsidRPr="00653F56" w:rsidRDefault="00203666" w:rsidP="00203666">
            <w:pPr>
              <w:pStyle w:val="TableBodyText"/>
            </w:pPr>
            <w:r w:rsidRPr="00653F56">
              <w:t>1.2</w:t>
            </w:r>
          </w:p>
        </w:tc>
        <w:tc>
          <w:tcPr>
            <w:tcW w:w="851" w:type="dxa"/>
            <w:vAlign w:val="bottom"/>
          </w:tcPr>
          <w:p w:rsidR="00203666" w:rsidRPr="00653F56" w:rsidRDefault="00203666" w:rsidP="00203666">
            <w:pPr>
              <w:pStyle w:val="TableBodyText"/>
            </w:pPr>
            <w:r w:rsidRPr="00653F56">
              <w:t>1.8</w:t>
            </w:r>
          </w:p>
        </w:tc>
        <w:tc>
          <w:tcPr>
            <w:tcW w:w="850" w:type="dxa"/>
            <w:vAlign w:val="bottom"/>
          </w:tcPr>
          <w:p w:rsidR="00203666" w:rsidRPr="00653F56" w:rsidRDefault="00203666" w:rsidP="00203666">
            <w:pPr>
              <w:pStyle w:val="TableBodyText"/>
            </w:pPr>
            <w:r w:rsidRPr="00653F56">
              <w:t>2.8</w:t>
            </w:r>
          </w:p>
        </w:tc>
        <w:tc>
          <w:tcPr>
            <w:tcW w:w="851" w:type="dxa"/>
            <w:vAlign w:val="bottom"/>
          </w:tcPr>
          <w:p w:rsidR="00203666" w:rsidRPr="00653F56" w:rsidRDefault="00203666" w:rsidP="00203666">
            <w:pPr>
              <w:pStyle w:val="TableBodyText"/>
            </w:pPr>
            <w:r w:rsidRPr="00653F56">
              <w:t>9.3</w:t>
            </w:r>
          </w:p>
        </w:tc>
        <w:tc>
          <w:tcPr>
            <w:tcW w:w="709" w:type="dxa"/>
            <w:vAlign w:val="bottom"/>
          </w:tcPr>
          <w:p w:rsidR="00203666" w:rsidRPr="00653F56" w:rsidRDefault="00203666" w:rsidP="00203666">
            <w:pPr>
              <w:pStyle w:val="TableBodyText"/>
            </w:pPr>
            <w:r w:rsidRPr="00653F56">
              <w:t>7.9</w:t>
            </w:r>
          </w:p>
        </w:tc>
        <w:tc>
          <w:tcPr>
            <w:tcW w:w="567" w:type="dxa"/>
          </w:tcPr>
          <w:p w:rsidR="00203666" w:rsidRPr="00653F56" w:rsidRDefault="00203666" w:rsidP="00203666">
            <w:pPr>
              <w:pStyle w:val="TableBodyText"/>
            </w:pPr>
            <w:r w:rsidRPr="00653F56">
              <w:t>–</w:t>
            </w:r>
          </w:p>
        </w:tc>
        <w:tc>
          <w:tcPr>
            <w:tcW w:w="708" w:type="dxa"/>
            <w:vAlign w:val="bottom"/>
          </w:tcPr>
          <w:p w:rsidR="00203666" w:rsidRPr="00653F56" w:rsidRDefault="00203666" w:rsidP="00203666">
            <w:pPr>
              <w:pStyle w:val="TableBodyText"/>
            </w:pPr>
            <w:r w:rsidRPr="00653F56">
              <w:t>0.4</w:t>
            </w:r>
          </w:p>
        </w:tc>
        <w:tc>
          <w:tcPr>
            <w:tcW w:w="851" w:type="dxa"/>
            <w:vAlign w:val="bottom"/>
          </w:tcPr>
          <w:p w:rsidR="00203666" w:rsidRPr="00653F56" w:rsidRDefault="00203666" w:rsidP="00203666">
            <w:pPr>
              <w:pStyle w:val="TableBodyText"/>
            </w:pPr>
            <w:r w:rsidRPr="00653F56">
              <w:t>2.0</w:t>
            </w:r>
          </w:p>
        </w:tc>
      </w:tr>
      <w:tr w:rsidR="00203666" w:rsidRPr="00666ECE" w:rsidTr="00203666">
        <w:tc>
          <w:tcPr>
            <w:tcW w:w="850" w:type="dxa"/>
            <w:shd w:val="clear" w:color="auto" w:fill="auto"/>
          </w:tcPr>
          <w:p w:rsidR="00203666" w:rsidRPr="00666ECE" w:rsidRDefault="00203666" w:rsidP="00203666">
            <w:pPr>
              <w:pStyle w:val="TableBodyText"/>
            </w:pPr>
            <w:r w:rsidRPr="00666ECE">
              <w:t>2011</w:t>
            </w:r>
          </w:p>
        </w:tc>
        <w:tc>
          <w:tcPr>
            <w:tcW w:w="710" w:type="dxa"/>
          </w:tcPr>
          <w:p w:rsidR="00203666" w:rsidRDefault="00203666" w:rsidP="00203666">
            <w:pPr>
              <w:pStyle w:val="TableBodyText"/>
            </w:pPr>
            <w:r w:rsidRPr="008D2AA9">
              <w:t>%</w:t>
            </w:r>
          </w:p>
        </w:tc>
        <w:tc>
          <w:tcPr>
            <w:tcW w:w="992" w:type="dxa"/>
            <w:shd w:val="clear" w:color="auto" w:fill="auto"/>
            <w:vAlign w:val="bottom"/>
          </w:tcPr>
          <w:p w:rsidR="00203666" w:rsidRPr="00653F56" w:rsidRDefault="00203666" w:rsidP="00203666">
            <w:pPr>
              <w:pStyle w:val="TableBodyText"/>
            </w:pPr>
            <w:r w:rsidRPr="00653F56">
              <w:t>0.6</w:t>
            </w:r>
          </w:p>
        </w:tc>
        <w:tc>
          <w:tcPr>
            <w:tcW w:w="850" w:type="dxa"/>
            <w:shd w:val="clear" w:color="auto" w:fill="auto"/>
            <w:vAlign w:val="bottom"/>
          </w:tcPr>
          <w:p w:rsidR="00203666" w:rsidRPr="00653F56" w:rsidRDefault="00203666" w:rsidP="00203666">
            <w:pPr>
              <w:pStyle w:val="TableBodyText"/>
            </w:pPr>
            <w:r w:rsidRPr="00653F56">
              <w:t>1.0</w:t>
            </w:r>
          </w:p>
        </w:tc>
        <w:tc>
          <w:tcPr>
            <w:tcW w:w="851" w:type="dxa"/>
            <w:shd w:val="clear" w:color="auto" w:fill="auto"/>
            <w:vAlign w:val="bottom"/>
          </w:tcPr>
          <w:p w:rsidR="00203666" w:rsidRPr="00653F56" w:rsidRDefault="00203666" w:rsidP="00203666">
            <w:pPr>
              <w:pStyle w:val="TableBodyText"/>
            </w:pPr>
            <w:r w:rsidRPr="00653F56">
              <w:t>1.9</w:t>
            </w:r>
          </w:p>
        </w:tc>
        <w:tc>
          <w:tcPr>
            <w:tcW w:w="850" w:type="dxa"/>
            <w:shd w:val="clear" w:color="auto" w:fill="auto"/>
            <w:vAlign w:val="bottom"/>
          </w:tcPr>
          <w:p w:rsidR="00203666" w:rsidRPr="00653F56" w:rsidRDefault="00203666" w:rsidP="00203666">
            <w:pPr>
              <w:pStyle w:val="TableBodyText"/>
            </w:pPr>
            <w:r w:rsidRPr="00653F56">
              <w:t>2.6</w:t>
            </w:r>
          </w:p>
        </w:tc>
        <w:tc>
          <w:tcPr>
            <w:tcW w:w="851" w:type="dxa"/>
            <w:shd w:val="clear" w:color="auto" w:fill="auto"/>
            <w:vAlign w:val="bottom"/>
          </w:tcPr>
          <w:p w:rsidR="00203666" w:rsidRPr="00653F56" w:rsidRDefault="00203666" w:rsidP="00203666">
            <w:pPr>
              <w:pStyle w:val="TableBodyText"/>
            </w:pPr>
            <w:r w:rsidRPr="00653F56">
              <w:t>6.3</w:t>
            </w:r>
          </w:p>
        </w:tc>
        <w:tc>
          <w:tcPr>
            <w:tcW w:w="709" w:type="dxa"/>
            <w:shd w:val="clear" w:color="auto" w:fill="auto"/>
            <w:vAlign w:val="bottom"/>
          </w:tcPr>
          <w:p w:rsidR="00203666" w:rsidRPr="00653F56" w:rsidRDefault="00203666" w:rsidP="00203666">
            <w:pPr>
              <w:pStyle w:val="TableBodyText"/>
            </w:pPr>
            <w:r w:rsidRPr="00653F56">
              <w:t>9.1</w:t>
            </w:r>
          </w:p>
        </w:tc>
        <w:tc>
          <w:tcPr>
            <w:tcW w:w="567" w:type="dxa"/>
            <w:shd w:val="clear" w:color="auto" w:fill="auto"/>
            <w:vAlign w:val="bottom"/>
          </w:tcPr>
          <w:p w:rsidR="00203666" w:rsidRPr="00653F56" w:rsidRDefault="00203666" w:rsidP="00203666">
            <w:pPr>
              <w:pStyle w:val="TableBodyText"/>
            </w:pPr>
            <w:r w:rsidRPr="00653F56">
              <w:t>0.3</w:t>
            </w:r>
          </w:p>
        </w:tc>
        <w:tc>
          <w:tcPr>
            <w:tcW w:w="708" w:type="dxa"/>
            <w:shd w:val="clear" w:color="auto" w:fill="auto"/>
            <w:vAlign w:val="bottom"/>
          </w:tcPr>
          <w:p w:rsidR="00203666" w:rsidRPr="00653F56" w:rsidRDefault="00203666" w:rsidP="00203666">
            <w:pPr>
              <w:pStyle w:val="TableBodyText"/>
            </w:pPr>
            <w:r w:rsidRPr="00653F56">
              <w:t>2.1</w:t>
            </w:r>
          </w:p>
        </w:tc>
        <w:tc>
          <w:tcPr>
            <w:tcW w:w="851" w:type="dxa"/>
            <w:shd w:val="clear" w:color="auto" w:fill="auto"/>
            <w:vAlign w:val="bottom"/>
          </w:tcPr>
          <w:p w:rsidR="00203666" w:rsidRPr="00653F56" w:rsidRDefault="00203666" w:rsidP="00203666">
            <w:pPr>
              <w:pStyle w:val="TableBodyText"/>
            </w:pPr>
            <w:r w:rsidRPr="00653F56">
              <w:t>1.8</w:t>
            </w:r>
          </w:p>
        </w:tc>
      </w:tr>
      <w:tr w:rsidR="00203666" w:rsidRPr="00666ECE" w:rsidTr="00203666">
        <w:tc>
          <w:tcPr>
            <w:tcW w:w="850" w:type="dxa"/>
            <w:tcBorders>
              <w:bottom w:val="single" w:sz="6" w:space="0" w:color="auto"/>
            </w:tcBorders>
            <w:shd w:val="clear" w:color="auto" w:fill="auto"/>
          </w:tcPr>
          <w:p w:rsidR="00203666" w:rsidRPr="00666ECE" w:rsidRDefault="00203666" w:rsidP="00203666">
            <w:pPr>
              <w:pStyle w:val="TableBodyText"/>
            </w:pPr>
            <w:r w:rsidRPr="00666ECE">
              <w:t>201</w:t>
            </w:r>
            <w:r>
              <w:t>2</w:t>
            </w:r>
          </w:p>
        </w:tc>
        <w:tc>
          <w:tcPr>
            <w:tcW w:w="710" w:type="dxa"/>
            <w:tcBorders>
              <w:bottom w:val="single" w:sz="6" w:space="0" w:color="auto"/>
            </w:tcBorders>
          </w:tcPr>
          <w:p w:rsidR="00203666" w:rsidRDefault="00203666" w:rsidP="00203666">
            <w:pPr>
              <w:pStyle w:val="TableBodyText"/>
            </w:pPr>
            <w:r w:rsidRPr="008D2AA9">
              <w:t>%</w:t>
            </w:r>
          </w:p>
        </w:tc>
        <w:tc>
          <w:tcPr>
            <w:tcW w:w="992" w:type="dxa"/>
            <w:tcBorders>
              <w:bottom w:val="single" w:sz="6" w:space="0" w:color="auto"/>
            </w:tcBorders>
            <w:shd w:val="clear" w:color="auto" w:fill="auto"/>
            <w:vAlign w:val="bottom"/>
          </w:tcPr>
          <w:p w:rsidR="00203666" w:rsidRDefault="00203666" w:rsidP="00203666">
            <w:pPr>
              <w:pStyle w:val="TableBodyText"/>
              <w:rPr>
                <w:rFonts w:cs="Arial"/>
              </w:rPr>
            </w:pPr>
            <w:r>
              <w:rPr>
                <w:rFonts w:cs="Arial"/>
              </w:rPr>
              <w:t>0.7</w:t>
            </w:r>
          </w:p>
        </w:tc>
        <w:tc>
          <w:tcPr>
            <w:tcW w:w="850" w:type="dxa"/>
            <w:tcBorders>
              <w:bottom w:val="single" w:sz="6" w:space="0" w:color="auto"/>
            </w:tcBorders>
            <w:shd w:val="clear" w:color="auto" w:fill="auto"/>
            <w:vAlign w:val="bottom"/>
          </w:tcPr>
          <w:p w:rsidR="00203666" w:rsidRDefault="00203666" w:rsidP="00203666">
            <w:pPr>
              <w:pStyle w:val="TableBodyText"/>
              <w:rPr>
                <w:rFonts w:cs="Arial"/>
              </w:rPr>
            </w:pPr>
            <w:r>
              <w:rPr>
                <w:rFonts w:cs="Arial"/>
              </w:rPr>
              <w:t>1.1</w:t>
            </w:r>
          </w:p>
        </w:tc>
        <w:tc>
          <w:tcPr>
            <w:tcW w:w="851" w:type="dxa"/>
            <w:tcBorders>
              <w:bottom w:val="single" w:sz="6" w:space="0" w:color="auto"/>
            </w:tcBorders>
            <w:shd w:val="clear" w:color="auto" w:fill="auto"/>
            <w:vAlign w:val="bottom"/>
          </w:tcPr>
          <w:p w:rsidR="00203666" w:rsidRDefault="00203666" w:rsidP="00203666">
            <w:pPr>
              <w:pStyle w:val="TableBodyText"/>
              <w:rPr>
                <w:rFonts w:cs="Arial"/>
              </w:rPr>
            </w:pPr>
            <w:r>
              <w:rPr>
                <w:rFonts w:cs="Arial"/>
              </w:rPr>
              <w:t>2.2</w:t>
            </w:r>
          </w:p>
        </w:tc>
        <w:tc>
          <w:tcPr>
            <w:tcW w:w="850" w:type="dxa"/>
            <w:tcBorders>
              <w:bottom w:val="single" w:sz="6" w:space="0" w:color="auto"/>
            </w:tcBorders>
            <w:shd w:val="clear" w:color="auto" w:fill="auto"/>
            <w:vAlign w:val="bottom"/>
          </w:tcPr>
          <w:p w:rsidR="00203666" w:rsidRDefault="00203666" w:rsidP="00203666">
            <w:pPr>
              <w:pStyle w:val="TableBodyText"/>
              <w:rPr>
                <w:rFonts w:cs="Arial"/>
              </w:rPr>
            </w:pPr>
            <w:r>
              <w:rPr>
                <w:rFonts w:cs="Arial"/>
              </w:rPr>
              <w:t>2.4</w:t>
            </w:r>
          </w:p>
        </w:tc>
        <w:tc>
          <w:tcPr>
            <w:tcW w:w="851" w:type="dxa"/>
            <w:tcBorders>
              <w:bottom w:val="single" w:sz="6" w:space="0" w:color="auto"/>
            </w:tcBorders>
            <w:shd w:val="clear" w:color="auto" w:fill="auto"/>
            <w:vAlign w:val="bottom"/>
          </w:tcPr>
          <w:p w:rsidR="00203666" w:rsidRDefault="00203666" w:rsidP="00203666">
            <w:pPr>
              <w:pStyle w:val="TableBodyText"/>
              <w:rPr>
                <w:rFonts w:cs="Arial"/>
              </w:rPr>
            </w:pPr>
            <w:r>
              <w:rPr>
                <w:rFonts w:cs="Arial"/>
              </w:rPr>
              <w:t>4.4</w:t>
            </w:r>
          </w:p>
        </w:tc>
        <w:tc>
          <w:tcPr>
            <w:tcW w:w="709" w:type="dxa"/>
            <w:tcBorders>
              <w:bottom w:val="single" w:sz="6" w:space="0" w:color="auto"/>
            </w:tcBorders>
            <w:shd w:val="clear" w:color="auto" w:fill="auto"/>
            <w:vAlign w:val="bottom"/>
          </w:tcPr>
          <w:p w:rsidR="00203666" w:rsidRDefault="00203666" w:rsidP="00203666">
            <w:pPr>
              <w:pStyle w:val="TableBodyText"/>
              <w:rPr>
                <w:rFonts w:cs="Arial"/>
              </w:rPr>
            </w:pPr>
            <w:r>
              <w:rPr>
                <w:rFonts w:cs="Arial"/>
              </w:rPr>
              <w:t>8.7</w:t>
            </w:r>
          </w:p>
        </w:tc>
        <w:tc>
          <w:tcPr>
            <w:tcW w:w="567" w:type="dxa"/>
            <w:tcBorders>
              <w:bottom w:val="single" w:sz="6" w:space="0" w:color="auto"/>
            </w:tcBorders>
            <w:shd w:val="clear" w:color="auto" w:fill="auto"/>
            <w:vAlign w:val="bottom"/>
          </w:tcPr>
          <w:p w:rsidR="00203666" w:rsidRDefault="00203666" w:rsidP="00203666">
            <w:pPr>
              <w:pStyle w:val="TableBodyText"/>
              <w:rPr>
                <w:rFonts w:cs="Arial"/>
              </w:rPr>
            </w:pPr>
            <w:r>
              <w:rPr>
                <w:rFonts w:cs="Arial"/>
              </w:rPr>
              <w:t>0.3</w:t>
            </w:r>
          </w:p>
        </w:tc>
        <w:tc>
          <w:tcPr>
            <w:tcW w:w="708" w:type="dxa"/>
            <w:tcBorders>
              <w:bottom w:val="single" w:sz="6" w:space="0" w:color="auto"/>
            </w:tcBorders>
            <w:shd w:val="clear" w:color="auto" w:fill="auto"/>
            <w:vAlign w:val="bottom"/>
          </w:tcPr>
          <w:p w:rsidR="00203666" w:rsidRDefault="00203666" w:rsidP="00203666">
            <w:pPr>
              <w:pStyle w:val="TableBodyText"/>
              <w:rPr>
                <w:rFonts w:cs="Arial"/>
              </w:rPr>
            </w:pPr>
            <w:r>
              <w:rPr>
                <w:rFonts w:cs="Arial"/>
              </w:rPr>
              <w:t>1.9</w:t>
            </w:r>
          </w:p>
        </w:tc>
        <w:tc>
          <w:tcPr>
            <w:tcW w:w="851" w:type="dxa"/>
            <w:tcBorders>
              <w:bottom w:val="single" w:sz="6" w:space="0" w:color="auto"/>
            </w:tcBorders>
            <w:shd w:val="clear" w:color="auto" w:fill="auto"/>
            <w:vAlign w:val="bottom"/>
          </w:tcPr>
          <w:p w:rsidR="00203666" w:rsidRDefault="00203666" w:rsidP="00203666">
            <w:pPr>
              <w:pStyle w:val="TableBodyText"/>
              <w:rPr>
                <w:rFonts w:cs="Arial"/>
              </w:rPr>
            </w:pPr>
            <w:r>
              <w:rPr>
                <w:rFonts w:cs="Arial"/>
              </w:rPr>
              <w:t>1.7</w:t>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w:t>
      </w:r>
      <w:r w:rsidR="00203666">
        <w:rPr>
          <w:rFonts w:ascii="Arial" w:hAnsi="Arial"/>
          <w:sz w:val="18"/>
          <w:szCs w:val="20"/>
        </w:rPr>
        <w:t>N</w:t>
      </w:r>
      <w:r w:rsidRPr="00666ECE">
        <w:rPr>
          <w:rFonts w:ascii="Arial" w:hAnsi="Arial"/>
          <w:sz w:val="18"/>
          <w:szCs w:val="20"/>
        </w:rPr>
        <w:t xml:space="preserve">umber of part time secondary students. </w:t>
      </w:r>
      <w:r w:rsidRPr="00666ECE">
        <w:rPr>
          <w:rFonts w:ascii="Arial" w:hAnsi="Arial"/>
          <w:b/>
          <w:position w:val="6"/>
          <w:sz w:val="18"/>
          <w:szCs w:val="20"/>
        </w:rPr>
        <w:t>b</w:t>
      </w:r>
      <w:r w:rsidRPr="00666ECE">
        <w:rPr>
          <w:rFonts w:ascii="Arial" w:hAnsi="Arial"/>
          <w:sz w:val="18"/>
          <w:szCs w:val="20"/>
        </w:rPr>
        <w:t> </w:t>
      </w:r>
      <w:r w:rsidR="00203666">
        <w:rPr>
          <w:rFonts w:ascii="Arial" w:hAnsi="Arial"/>
          <w:sz w:val="18"/>
          <w:szCs w:val="20"/>
        </w:rPr>
        <w:t>N</w:t>
      </w:r>
      <w:r w:rsidRPr="00666ECE">
        <w:rPr>
          <w:rFonts w:ascii="Arial" w:hAnsi="Arial"/>
          <w:sz w:val="18"/>
          <w:szCs w:val="20"/>
        </w:rPr>
        <w:t>umber of part time secondary students divided by number of full time and part time secondary students. – Nil or rounded to zero.</w:t>
      </w:r>
    </w:p>
    <w:p w:rsidR="00666ECE" w:rsidRPr="00666ECE" w:rsidRDefault="00666ECE" w:rsidP="00666ECE">
      <w:pPr>
        <w:keepLines/>
        <w:spacing w:before="80" w:after="120" w:line="220" w:lineRule="exact"/>
        <w:jc w:val="both"/>
        <w:rPr>
          <w:rFonts w:ascii="Arial" w:hAnsi="Arial"/>
          <w:sz w:val="18"/>
          <w:szCs w:val="20"/>
        </w:rPr>
      </w:pPr>
      <w:r w:rsidRPr="000E6F59">
        <w:rPr>
          <w:rFonts w:ascii="Arial" w:hAnsi="Arial"/>
          <w:i/>
          <w:sz w:val="18"/>
          <w:szCs w:val="20"/>
        </w:rPr>
        <w:t>Source</w:t>
      </w:r>
      <w:r w:rsidRPr="000E6F59">
        <w:rPr>
          <w:rFonts w:ascii="Arial" w:hAnsi="Arial"/>
          <w:sz w:val="18"/>
          <w:szCs w:val="20"/>
        </w:rPr>
        <w:t>: ABS (201</w:t>
      </w:r>
      <w:r w:rsidR="00653F56">
        <w:rPr>
          <w:rFonts w:ascii="Arial" w:hAnsi="Arial"/>
          <w:sz w:val="18"/>
          <w:szCs w:val="20"/>
        </w:rPr>
        <w:t>3</w:t>
      </w:r>
      <w:r w:rsidRPr="000E6F59">
        <w:rPr>
          <w:rFonts w:ascii="Arial" w:hAnsi="Arial"/>
          <w:sz w:val="18"/>
          <w:szCs w:val="20"/>
        </w:rPr>
        <w:t xml:space="preserve"> and unpublished) </w:t>
      </w:r>
      <w:r w:rsidRPr="000E6F59">
        <w:rPr>
          <w:rFonts w:ascii="Arial" w:hAnsi="Arial"/>
          <w:i/>
          <w:sz w:val="18"/>
          <w:szCs w:val="20"/>
        </w:rPr>
        <w:t>Schools Australia 201</w:t>
      </w:r>
      <w:r w:rsidR="00653F56">
        <w:rPr>
          <w:rFonts w:ascii="Arial" w:hAnsi="Arial"/>
          <w:i/>
          <w:sz w:val="18"/>
          <w:szCs w:val="20"/>
        </w:rPr>
        <w:t>2</w:t>
      </w:r>
      <w:r w:rsidRPr="000E6F59">
        <w:rPr>
          <w:rFonts w:ascii="Arial" w:hAnsi="Arial"/>
          <w:sz w:val="18"/>
          <w:szCs w:val="20"/>
        </w:rPr>
        <w:t>, Cat. no. 4221.0; table 4A.1.</w:t>
      </w:r>
    </w:p>
    <w:p w:rsidR="00666ECE" w:rsidRPr="00666ECE" w:rsidRDefault="00666ECE" w:rsidP="00666ECE">
      <w:pPr>
        <w:keepNext/>
        <w:spacing w:before="480" w:line="320" w:lineRule="exact"/>
        <w:outlineLvl w:val="3"/>
        <w:rPr>
          <w:rFonts w:ascii="Arial" w:hAnsi="Arial"/>
          <w:i/>
          <w:sz w:val="24"/>
        </w:rPr>
      </w:pPr>
      <w:r w:rsidRPr="00666ECE">
        <w:rPr>
          <w:rFonts w:ascii="Arial" w:hAnsi="Arial"/>
          <w:i/>
          <w:sz w:val="24"/>
        </w:rPr>
        <w:t>Special needs groups</w:t>
      </w:r>
    </w:p>
    <w:p w:rsidR="00666ECE" w:rsidRPr="00666ECE" w:rsidRDefault="00666ECE" w:rsidP="00666ECE">
      <w:pPr>
        <w:spacing w:before="240" w:line="320" w:lineRule="atLeast"/>
        <w:jc w:val="both"/>
        <w:rPr>
          <w:szCs w:val="20"/>
        </w:rPr>
      </w:pPr>
      <w:r w:rsidRPr="00666ECE">
        <w:rPr>
          <w:szCs w:val="20"/>
        </w:rPr>
        <w:t>Some groups of students in school education have been identified as having special needs. These special needs groups include:</w:t>
      </w:r>
    </w:p>
    <w:p w:rsidR="00666ECE" w:rsidRPr="00666ECE" w:rsidRDefault="00666ECE" w:rsidP="003B149C">
      <w:pPr>
        <w:pStyle w:val="ListBullet"/>
      </w:pPr>
      <w:r w:rsidRPr="00666ECE">
        <w:t>Indigenous students</w:t>
      </w:r>
    </w:p>
    <w:p w:rsidR="00666ECE" w:rsidRPr="00666ECE" w:rsidRDefault="00666ECE" w:rsidP="003B149C">
      <w:pPr>
        <w:pStyle w:val="ListBullet"/>
      </w:pPr>
      <w:r w:rsidRPr="00666ECE">
        <w:t>students from language backgrounds other than English (LBOTE)</w:t>
      </w:r>
    </w:p>
    <w:p w:rsidR="00666ECE" w:rsidRPr="00666ECE" w:rsidRDefault="00666ECE" w:rsidP="0037267A">
      <w:pPr>
        <w:pStyle w:val="ListBullet"/>
      </w:pPr>
      <w:r w:rsidRPr="00666ECE">
        <w:t>students with disabilit</w:t>
      </w:r>
      <w:r w:rsidR="001E2082">
        <w:t>y</w:t>
      </w:r>
    </w:p>
    <w:p w:rsidR="00666ECE" w:rsidRPr="00666ECE" w:rsidRDefault="00666ECE" w:rsidP="003B149C">
      <w:pPr>
        <w:pStyle w:val="ListBullet"/>
      </w:pPr>
      <w:r w:rsidRPr="00666ECE">
        <w:lastRenderedPageBreak/>
        <w:t>geographically remote students</w:t>
      </w:r>
    </w:p>
    <w:p w:rsidR="00666ECE" w:rsidRPr="00666ECE" w:rsidRDefault="00666ECE" w:rsidP="003B149C">
      <w:pPr>
        <w:pStyle w:val="ListBullet"/>
      </w:pPr>
      <w:r w:rsidRPr="00666ECE">
        <w:t>students from families of low socio</w:t>
      </w:r>
      <w:r w:rsidR="009131A4">
        <w:t>-</w:t>
      </w:r>
      <w:r w:rsidRPr="00666ECE">
        <w:t>economic status.</w:t>
      </w:r>
    </w:p>
    <w:p w:rsidR="00666ECE" w:rsidRPr="000E6F59" w:rsidRDefault="00666ECE" w:rsidP="00F4596F">
      <w:pPr>
        <w:spacing w:before="240" w:line="320" w:lineRule="atLeast"/>
        <w:jc w:val="both"/>
        <w:rPr>
          <w:szCs w:val="20"/>
        </w:rPr>
      </w:pPr>
      <w:r w:rsidRPr="00666ECE">
        <w:rPr>
          <w:szCs w:val="20"/>
        </w:rPr>
        <w:t xml:space="preserve">Government schools provide education for a high proportion of students from special needs </w:t>
      </w:r>
      <w:r w:rsidRPr="006040C5">
        <w:rPr>
          <w:szCs w:val="20"/>
        </w:rPr>
        <w:t>groups. In 201</w:t>
      </w:r>
      <w:r w:rsidR="00653F56" w:rsidRPr="006040C5">
        <w:rPr>
          <w:szCs w:val="20"/>
        </w:rPr>
        <w:t>2</w:t>
      </w:r>
      <w:r w:rsidRPr="006040C5">
        <w:rPr>
          <w:szCs w:val="20"/>
        </w:rPr>
        <w:t xml:space="preserve">, </w:t>
      </w:r>
      <w:r w:rsidR="00B43174" w:rsidRPr="006040C5">
        <w:rPr>
          <w:szCs w:val="20"/>
        </w:rPr>
        <w:t>84.7</w:t>
      </w:r>
      <w:r w:rsidRPr="006040C5">
        <w:rPr>
          <w:szCs w:val="20"/>
        </w:rPr>
        <w:t xml:space="preserve"> per cent of Indigenous students and</w:t>
      </w:r>
      <w:r w:rsidRPr="006040C5">
        <w:rPr>
          <w:szCs w:val="20"/>
        </w:rPr>
        <w:br/>
      </w:r>
      <w:r w:rsidR="006040C5" w:rsidRPr="006040C5">
        <w:rPr>
          <w:szCs w:val="20"/>
        </w:rPr>
        <w:t>76.6</w:t>
      </w:r>
      <w:r w:rsidRPr="006040C5">
        <w:rPr>
          <w:szCs w:val="20"/>
        </w:rPr>
        <w:t xml:space="preserve"> per cent of students </w:t>
      </w:r>
      <w:r w:rsidRPr="000E6F59">
        <w:rPr>
          <w:szCs w:val="20"/>
        </w:rPr>
        <w:t xml:space="preserve">with </w:t>
      </w:r>
      <w:r w:rsidRPr="00F4596F">
        <w:rPr>
          <w:szCs w:val="20"/>
          <w:shd w:val="clear" w:color="auto" w:fill="FFFFFF" w:themeFill="background1"/>
        </w:rPr>
        <w:t>disabilit</w:t>
      </w:r>
      <w:r w:rsidR="001E2082" w:rsidRPr="00F4596F">
        <w:rPr>
          <w:szCs w:val="20"/>
          <w:shd w:val="clear" w:color="auto" w:fill="FFFFFF" w:themeFill="background1"/>
        </w:rPr>
        <w:t>y</w:t>
      </w:r>
      <w:r w:rsidRPr="00F4596F">
        <w:rPr>
          <w:szCs w:val="20"/>
          <w:shd w:val="clear" w:color="auto" w:fill="FFFFFF" w:themeFill="background1"/>
        </w:rPr>
        <w:t>, attended</w:t>
      </w:r>
      <w:r w:rsidRPr="000E6F59">
        <w:rPr>
          <w:szCs w:val="20"/>
        </w:rPr>
        <w:t xml:space="preserve"> government schools (tables</w:t>
      </w:r>
      <w:r w:rsidR="000B2CA3">
        <w:rPr>
          <w:szCs w:val="20"/>
        </w:rPr>
        <w:t xml:space="preserve"> </w:t>
      </w:r>
      <w:r w:rsidRPr="000E6F59">
        <w:rPr>
          <w:szCs w:val="20"/>
        </w:rPr>
        <w:t>4A.2</w:t>
      </w:r>
      <w:r w:rsidR="009807CA">
        <w:rPr>
          <w:szCs w:val="20"/>
        </w:rPr>
        <w:t>9</w:t>
      </w:r>
      <w:r w:rsidRPr="000E6F59">
        <w:rPr>
          <w:szCs w:val="20"/>
        </w:rPr>
        <w:t xml:space="preserve"> and</w:t>
      </w:r>
      <w:r w:rsidR="006451F8">
        <w:rPr>
          <w:szCs w:val="20"/>
        </w:rPr>
        <w:t> </w:t>
      </w:r>
      <w:r w:rsidRPr="000E6F59">
        <w:rPr>
          <w:szCs w:val="20"/>
        </w:rPr>
        <w:t>4A.</w:t>
      </w:r>
      <w:r w:rsidR="009807CA">
        <w:rPr>
          <w:szCs w:val="20"/>
        </w:rPr>
        <w:t>31</w:t>
      </w:r>
      <w:r w:rsidRPr="000E6F59">
        <w:rPr>
          <w:szCs w:val="20"/>
        </w:rPr>
        <w:t>). Further information on student body mix in government, non</w:t>
      </w:r>
      <w:r w:rsidR="000B2CA3">
        <w:rPr>
          <w:szCs w:val="20"/>
        </w:rPr>
        <w:noBreakHyphen/>
      </w:r>
      <w:r w:rsidRPr="000E6F59">
        <w:rPr>
          <w:szCs w:val="20"/>
        </w:rPr>
        <w:t>government and all schools is in tables 4A.</w:t>
      </w:r>
      <w:r w:rsidR="009807CA">
        <w:rPr>
          <w:szCs w:val="20"/>
        </w:rPr>
        <w:t>32</w:t>
      </w:r>
      <w:r w:rsidRPr="000E6F59">
        <w:rPr>
          <w:szCs w:val="20"/>
        </w:rPr>
        <w:t>–3</w:t>
      </w:r>
      <w:r w:rsidR="009807CA">
        <w:rPr>
          <w:szCs w:val="20"/>
        </w:rPr>
        <w:t>4</w:t>
      </w:r>
      <w:r w:rsidRPr="000E6F59">
        <w:rPr>
          <w:szCs w:val="20"/>
        </w:rPr>
        <w:t xml:space="preserve">. </w:t>
      </w:r>
    </w:p>
    <w:p w:rsidR="00666ECE" w:rsidRPr="000E6F59" w:rsidRDefault="00666ECE" w:rsidP="00666ECE">
      <w:pPr>
        <w:keepNext/>
        <w:spacing w:before="480" w:line="320" w:lineRule="exact"/>
        <w:outlineLvl w:val="3"/>
        <w:rPr>
          <w:rFonts w:ascii="Arial" w:hAnsi="Arial"/>
          <w:i/>
          <w:sz w:val="24"/>
        </w:rPr>
      </w:pPr>
      <w:r w:rsidRPr="000E6F59">
        <w:rPr>
          <w:rFonts w:ascii="Arial" w:hAnsi="Arial"/>
          <w:i/>
          <w:sz w:val="24"/>
        </w:rPr>
        <w:t>Indigenous students</w:t>
      </w:r>
    </w:p>
    <w:p w:rsidR="00666ECE" w:rsidRPr="00B43174" w:rsidRDefault="00666ECE" w:rsidP="00F4596F">
      <w:pPr>
        <w:spacing w:before="240" w:line="320" w:lineRule="atLeast"/>
        <w:jc w:val="both"/>
        <w:rPr>
          <w:szCs w:val="20"/>
        </w:rPr>
      </w:pPr>
      <w:r w:rsidRPr="000E6F59">
        <w:rPr>
          <w:szCs w:val="20"/>
        </w:rPr>
        <w:t xml:space="preserve">The number and proportion of full </w:t>
      </w:r>
      <w:r w:rsidRPr="007055A8">
        <w:rPr>
          <w:szCs w:val="20"/>
        </w:rPr>
        <w:t xml:space="preserve">time </w:t>
      </w:r>
      <w:r w:rsidR="0019719B" w:rsidRPr="007055A8">
        <w:rPr>
          <w:szCs w:val="20"/>
        </w:rPr>
        <w:t>s</w:t>
      </w:r>
      <w:r w:rsidRPr="007055A8">
        <w:rPr>
          <w:szCs w:val="20"/>
        </w:rPr>
        <w:t xml:space="preserve">tudents </w:t>
      </w:r>
      <w:r w:rsidR="001B6514">
        <w:rPr>
          <w:szCs w:val="20"/>
        </w:rPr>
        <w:t>who</w:t>
      </w:r>
      <w:r w:rsidR="0019719B" w:rsidRPr="007055A8">
        <w:rPr>
          <w:szCs w:val="20"/>
        </w:rPr>
        <w:t xml:space="preserve"> are Indigenous </w:t>
      </w:r>
      <w:r w:rsidRPr="007055A8">
        <w:rPr>
          <w:szCs w:val="20"/>
        </w:rPr>
        <w:t xml:space="preserve">varies greatly across jurisdictions (table 4.5). In all jurisdictions, the proportion of full time Indigenous students was </w:t>
      </w:r>
      <w:r w:rsidR="006451F8" w:rsidRPr="00F4596F">
        <w:rPr>
          <w:szCs w:val="20"/>
          <w:shd w:val="clear" w:color="auto" w:fill="FFFFFF" w:themeFill="background1"/>
        </w:rPr>
        <w:t xml:space="preserve">much </w:t>
      </w:r>
      <w:r w:rsidRPr="00F4596F">
        <w:rPr>
          <w:szCs w:val="20"/>
          <w:shd w:val="clear" w:color="auto" w:fill="FFFFFF" w:themeFill="background1"/>
        </w:rPr>
        <w:t xml:space="preserve">higher in </w:t>
      </w:r>
      <w:r w:rsidRPr="00B43174">
        <w:rPr>
          <w:szCs w:val="20"/>
          <w:shd w:val="clear" w:color="auto" w:fill="FFFFFF" w:themeFill="background1"/>
        </w:rPr>
        <w:t>government schools than in non</w:t>
      </w:r>
      <w:r w:rsidR="006451F8" w:rsidRPr="00B43174">
        <w:rPr>
          <w:szCs w:val="20"/>
          <w:shd w:val="clear" w:color="auto" w:fill="FFFFFF" w:themeFill="background1"/>
        </w:rPr>
        <w:noBreakHyphen/>
      </w:r>
      <w:r w:rsidRPr="00B43174">
        <w:rPr>
          <w:szCs w:val="20"/>
          <w:shd w:val="clear" w:color="auto" w:fill="FFFFFF" w:themeFill="background1"/>
        </w:rPr>
        <w:t xml:space="preserve">government schools. Nationally, the proportion of full time students </w:t>
      </w:r>
      <w:r w:rsidR="0061654B" w:rsidRPr="00B43174">
        <w:rPr>
          <w:szCs w:val="20"/>
          <w:shd w:val="clear" w:color="auto" w:fill="FFFFFF" w:themeFill="background1"/>
        </w:rPr>
        <w:t>who were</w:t>
      </w:r>
      <w:r w:rsidR="0019719B" w:rsidRPr="00B43174">
        <w:rPr>
          <w:szCs w:val="20"/>
        </w:rPr>
        <w:t xml:space="preserve"> Indigenous </w:t>
      </w:r>
      <w:r w:rsidRPr="00B43174">
        <w:rPr>
          <w:szCs w:val="20"/>
        </w:rPr>
        <w:t xml:space="preserve">was </w:t>
      </w:r>
      <w:r w:rsidR="00972691" w:rsidRPr="00B43174">
        <w:rPr>
          <w:szCs w:val="20"/>
        </w:rPr>
        <w:t>6.</w:t>
      </w:r>
      <w:r w:rsidR="00B43174" w:rsidRPr="00B43174">
        <w:rPr>
          <w:szCs w:val="20"/>
        </w:rPr>
        <w:t>4</w:t>
      </w:r>
      <w:r w:rsidR="0037267A" w:rsidRPr="00B43174">
        <w:rPr>
          <w:szCs w:val="20"/>
        </w:rPr>
        <w:t xml:space="preserve"> </w:t>
      </w:r>
      <w:r w:rsidRPr="00B43174">
        <w:rPr>
          <w:szCs w:val="20"/>
        </w:rPr>
        <w:t>per</w:t>
      </w:r>
      <w:r w:rsidR="0037267A" w:rsidRPr="00B43174">
        <w:rPr>
          <w:szCs w:val="20"/>
        </w:rPr>
        <w:t xml:space="preserve"> </w:t>
      </w:r>
      <w:r w:rsidRPr="00B43174">
        <w:rPr>
          <w:szCs w:val="20"/>
        </w:rPr>
        <w:t xml:space="preserve">cent in government schools and </w:t>
      </w:r>
      <w:r w:rsidR="00972691" w:rsidRPr="00B43174">
        <w:rPr>
          <w:szCs w:val="20"/>
        </w:rPr>
        <w:t>2.</w:t>
      </w:r>
      <w:r w:rsidR="00B43174" w:rsidRPr="00B43174">
        <w:rPr>
          <w:szCs w:val="20"/>
        </w:rPr>
        <w:t>1</w:t>
      </w:r>
      <w:r w:rsidR="00972691" w:rsidRPr="00B43174">
        <w:rPr>
          <w:szCs w:val="20"/>
        </w:rPr>
        <w:t xml:space="preserve"> </w:t>
      </w:r>
      <w:r w:rsidRPr="00B43174">
        <w:rPr>
          <w:szCs w:val="20"/>
        </w:rPr>
        <w:t>per cent in non</w:t>
      </w:r>
      <w:r w:rsidR="006451F8" w:rsidRPr="00B43174">
        <w:rPr>
          <w:szCs w:val="20"/>
        </w:rPr>
        <w:noBreakHyphen/>
      </w:r>
      <w:r w:rsidRPr="00B43174">
        <w:rPr>
          <w:szCs w:val="20"/>
        </w:rPr>
        <w:t>government schools in 201</w:t>
      </w:r>
      <w:r w:rsidR="00653F56" w:rsidRPr="00B43174">
        <w:rPr>
          <w:szCs w:val="20"/>
        </w:rPr>
        <w:t>2</w:t>
      </w:r>
      <w:r w:rsidRPr="00B43174">
        <w:rPr>
          <w:szCs w:val="20"/>
        </w:rPr>
        <w:t xml:space="preserve"> (table 4.5).</w:t>
      </w:r>
    </w:p>
    <w:p w:rsidR="00666ECE" w:rsidRPr="0063025F" w:rsidRDefault="00666ECE" w:rsidP="002C3941">
      <w:pPr>
        <w:pStyle w:val="TableTitle"/>
      </w:pPr>
      <w:r w:rsidRPr="007A7568">
        <w:rPr>
          <w:b w:val="0"/>
        </w:rPr>
        <w:t xml:space="preserve">Table </w:t>
      </w:r>
      <w:bookmarkStart w:id="11" w:name="OLE_LINK15"/>
      <w:r w:rsidR="00EB256F" w:rsidRPr="007A7568">
        <w:rPr>
          <w:b w:val="0"/>
        </w:rPr>
        <w:t>4.</w:t>
      </w:r>
      <w:r w:rsidR="00EC06F7" w:rsidRPr="007A7568">
        <w:rPr>
          <w:b w:val="0"/>
          <w:noProof/>
        </w:rPr>
        <w:t>5</w:t>
      </w:r>
      <w:bookmarkEnd w:id="11"/>
      <w:r w:rsidRPr="007A7568">
        <w:rPr>
          <w:b w:val="0"/>
        </w:rPr>
        <w:tab/>
      </w:r>
      <w:r w:rsidRPr="0063025F">
        <w:t>Indigenous full time students, 201</w:t>
      </w:r>
      <w:r w:rsidR="00653F56" w:rsidRPr="0063025F">
        <w:t>2</w:t>
      </w:r>
    </w:p>
    <w:tbl>
      <w:tblPr>
        <w:tblW w:w="8789" w:type="dxa"/>
        <w:tblLayout w:type="fixed"/>
        <w:tblCellMar>
          <w:left w:w="0" w:type="dxa"/>
          <w:right w:w="0" w:type="dxa"/>
        </w:tblCellMar>
        <w:tblLook w:val="0000" w:firstRow="0" w:lastRow="0" w:firstColumn="0" w:lastColumn="0" w:noHBand="0" w:noVBand="0"/>
      </w:tblPr>
      <w:tblGrid>
        <w:gridCol w:w="2700"/>
        <w:gridCol w:w="676"/>
        <w:gridCol w:w="735"/>
        <w:gridCol w:w="567"/>
        <w:gridCol w:w="567"/>
        <w:gridCol w:w="567"/>
        <w:gridCol w:w="567"/>
        <w:gridCol w:w="567"/>
        <w:gridCol w:w="567"/>
        <w:gridCol w:w="567"/>
        <w:gridCol w:w="709"/>
      </w:tblGrid>
      <w:tr w:rsidR="00203666" w:rsidRPr="000E6F59" w:rsidTr="00203666">
        <w:tc>
          <w:tcPr>
            <w:tcW w:w="2700"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rPr>
                <w:rFonts w:ascii="Arial" w:hAnsi="Arial"/>
                <w:i/>
                <w:sz w:val="20"/>
                <w:szCs w:val="20"/>
              </w:rPr>
            </w:pPr>
          </w:p>
        </w:tc>
        <w:tc>
          <w:tcPr>
            <w:tcW w:w="676" w:type="dxa"/>
            <w:tcBorders>
              <w:top w:val="single" w:sz="6" w:space="0" w:color="auto"/>
              <w:bottom w:val="single" w:sz="4" w:space="0" w:color="auto"/>
            </w:tcBorders>
          </w:tcPr>
          <w:p w:rsidR="00203666" w:rsidRPr="000E6F59" w:rsidRDefault="00203666" w:rsidP="00666ECE">
            <w:pPr>
              <w:keepNext/>
              <w:keepLines/>
              <w:spacing w:before="80" w:after="80" w:line="220" w:lineRule="atLeast"/>
              <w:ind w:left="6" w:right="113"/>
              <w:jc w:val="right"/>
              <w:rPr>
                <w:rFonts w:ascii="Arial" w:hAnsi="Arial"/>
                <w:i/>
                <w:sz w:val="20"/>
                <w:szCs w:val="20"/>
              </w:rPr>
            </w:pPr>
          </w:p>
        </w:tc>
        <w:tc>
          <w:tcPr>
            <w:tcW w:w="735"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NSW</w:t>
            </w:r>
          </w:p>
        </w:tc>
        <w:tc>
          <w:tcPr>
            <w:tcW w:w="567"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Vic</w:t>
            </w:r>
          </w:p>
        </w:tc>
        <w:tc>
          <w:tcPr>
            <w:tcW w:w="567"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Qld</w:t>
            </w:r>
          </w:p>
        </w:tc>
        <w:tc>
          <w:tcPr>
            <w:tcW w:w="567"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WA</w:t>
            </w:r>
          </w:p>
        </w:tc>
        <w:tc>
          <w:tcPr>
            <w:tcW w:w="567"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SA</w:t>
            </w:r>
          </w:p>
        </w:tc>
        <w:tc>
          <w:tcPr>
            <w:tcW w:w="567"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Tas</w:t>
            </w:r>
          </w:p>
        </w:tc>
        <w:tc>
          <w:tcPr>
            <w:tcW w:w="567"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ACT</w:t>
            </w:r>
          </w:p>
        </w:tc>
        <w:tc>
          <w:tcPr>
            <w:tcW w:w="567"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NT</w:t>
            </w:r>
          </w:p>
        </w:tc>
        <w:tc>
          <w:tcPr>
            <w:tcW w:w="709" w:type="dxa"/>
            <w:tcBorders>
              <w:top w:val="single" w:sz="6" w:space="0" w:color="auto"/>
              <w:bottom w:val="single" w:sz="4" w:space="0" w:color="auto"/>
            </w:tcBorders>
            <w:shd w:val="clear" w:color="auto" w:fill="auto"/>
          </w:tcPr>
          <w:p w:rsidR="00203666" w:rsidRPr="000E6F59" w:rsidRDefault="00203666" w:rsidP="00666EC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Aust</w:t>
            </w:r>
          </w:p>
        </w:tc>
      </w:tr>
      <w:tr w:rsidR="00203666" w:rsidRPr="000E6F59" w:rsidTr="00203666">
        <w:tc>
          <w:tcPr>
            <w:tcW w:w="8789" w:type="dxa"/>
            <w:gridSpan w:val="11"/>
            <w:tcBorders>
              <w:top w:val="single" w:sz="4" w:space="0" w:color="auto"/>
            </w:tcBorders>
          </w:tcPr>
          <w:p w:rsidR="00203666" w:rsidRPr="000E6F59" w:rsidRDefault="00203666" w:rsidP="00666ECE">
            <w:pPr>
              <w:keepNext/>
              <w:keepLines/>
              <w:spacing w:after="40" w:line="220" w:lineRule="atLeast"/>
              <w:ind w:left="6" w:right="113"/>
              <w:rPr>
                <w:rFonts w:ascii="Arial" w:hAnsi="Arial"/>
                <w:sz w:val="20"/>
                <w:szCs w:val="20"/>
              </w:rPr>
            </w:pPr>
            <w:r w:rsidRPr="000E6F59">
              <w:rPr>
                <w:rFonts w:ascii="Arial" w:hAnsi="Arial"/>
                <w:sz w:val="20"/>
                <w:szCs w:val="20"/>
              </w:rPr>
              <w:t>Ind</w:t>
            </w:r>
            <w:r>
              <w:rPr>
                <w:rFonts w:ascii="Arial" w:hAnsi="Arial"/>
                <w:sz w:val="20"/>
                <w:szCs w:val="20"/>
              </w:rPr>
              <w:t xml:space="preserve">igenous full time students </w:t>
            </w:r>
            <w:r w:rsidRPr="000E6F59">
              <w:rPr>
                <w:rFonts w:ascii="Arial" w:hAnsi="Arial"/>
                <w:b/>
                <w:position w:val="6"/>
                <w:sz w:val="18"/>
                <w:szCs w:val="20"/>
              </w:rPr>
              <w:t>a</w:t>
            </w:r>
          </w:p>
        </w:tc>
      </w:tr>
      <w:tr w:rsidR="00203666" w:rsidRPr="000E6F59" w:rsidTr="00203666">
        <w:tc>
          <w:tcPr>
            <w:tcW w:w="2700" w:type="dxa"/>
            <w:shd w:val="clear" w:color="auto" w:fill="auto"/>
          </w:tcPr>
          <w:p w:rsidR="00203666" w:rsidRPr="000E6F59" w:rsidRDefault="00203666" w:rsidP="00666ECE">
            <w:pPr>
              <w:keepNext/>
              <w:keepLines/>
              <w:spacing w:after="40" w:line="220" w:lineRule="atLeast"/>
              <w:ind w:left="180" w:right="113"/>
              <w:rPr>
                <w:rFonts w:ascii="Arial" w:hAnsi="Arial"/>
                <w:sz w:val="20"/>
                <w:szCs w:val="20"/>
              </w:rPr>
            </w:pPr>
            <w:r w:rsidRPr="000E6F59">
              <w:rPr>
                <w:rFonts w:ascii="Arial" w:hAnsi="Arial"/>
                <w:sz w:val="20"/>
                <w:szCs w:val="20"/>
              </w:rPr>
              <w:t>Government schools</w:t>
            </w:r>
          </w:p>
        </w:tc>
        <w:tc>
          <w:tcPr>
            <w:tcW w:w="676" w:type="dxa"/>
          </w:tcPr>
          <w:p w:rsidR="00203666" w:rsidRDefault="00203666" w:rsidP="00B43174">
            <w:pPr>
              <w:pStyle w:val="TableBodyText"/>
            </w:pPr>
            <w:r>
              <w:t>(‘000)</w:t>
            </w:r>
          </w:p>
        </w:tc>
        <w:tc>
          <w:tcPr>
            <w:tcW w:w="735" w:type="dxa"/>
            <w:shd w:val="clear" w:color="auto" w:fill="auto"/>
            <w:vAlign w:val="bottom"/>
          </w:tcPr>
          <w:p w:rsidR="00203666" w:rsidRDefault="00203666" w:rsidP="00B43174">
            <w:pPr>
              <w:pStyle w:val="TableBodyText"/>
            </w:pPr>
            <w:r>
              <w:t>47.0</w:t>
            </w:r>
          </w:p>
        </w:tc>
        <w:tc>
          <w:tcPr>
            <w:tcW w:w="567" w:type="dxa"/>
            <w:shd w:val="clear" w:color="auto" w:fill="auto"/>
            <w:vAlign w:val="bottom"/>
          </w:tcPr>
          <w:p w:rsidR="00203666" w:rsidRDefault="00203666" w:rsidP="00B43174">
            <w:pPr>
              <w:pStyle w:val="TableBodyText"/>
            </w:pPr>
            <w:r>
              <w:t>9.7</w:t>
            </w:r>
          </w:p>
        </w:tc>
        <w:tc>
          <w:tcPr>
            <w:tcW w:w="567" w:type="dxa"/>
            <w:shd w:val="clear" w:color="auto" w:fill="auto"/>
            <w:vAlign w:val="bottom"/>
          </w:tcPr>
          <w:p w:rsidR="00203666" w:rsidRDefault="00203666" w:rsidP="00B43174">
            <w:pPr>
              <w:pStyle w:val="TableBodyText"/>
            </w:pPr>
            <w:r>
              <w:t>43.2</w:t>
            </w:r>
          </w:p>
        </w:tc>
        <w:tc>
          <w:tcPr>
            <w:tcW w:w="567" w:type="dxa"/>
            <w:shd w:val="clear" w:color="auto" w:fill="auto"/>
            <w:vAlign w:val="bottom"/>
          </w:tcPr>
          <w:p w:rsidR="00203666" w:rsidRDefault="00203666" w:rsidP="00B43174">
            <w:pPr>
              <w:pStyle w:val="TableBodyText"/>
            </w:pPr>
            <w:r>
              <w:t>20.0</w:t>
            </w:r>
          </w:p>
        </w:tc>
        <w:tc>
          <w:tcPr>
            <w:tcW w:w="567" w:type="dxa"/>
            <w:shd w:val="clear" w:color="auto" w:fill="auto"/>
            <w:vAlign w:val="bottom"/>
          </w:tcPr>
          <w:p w:rsidR="00203666" w:rsidRDefault="00203666" w:rsidP="00B43174">
            <w:pPr>
              <w:pStyle w:val="TableBodyText"/>
            </w:pPr>
            <w:r>
              <w:t>9.0</w:t>
            </w:r>
          </w:p>
        </w:tc>
        <w:tc>
          <w:tcPr>
            <w:tcW w:w="567" w:type="dxa"/>
            <w:shd w:val="clear" w:color="auto" w:fill="auto"/>
            <w:vAlign w:val="bottom"/>
          </w:tcPr>
          <w:p w:rsidR="00203666" w:rsidRDefault="00203666" w:rsidP="00B43174">
            <w:pPr>
              <w:pStyle w:val="TableBodyText"/>
            </w:pPr>
            <w:r>
              <w:t>4.7</w:t>
            </w:r>
          </w:p>
        </w:tc>
        <w:tc>
          <w:tcPr>
            <w:tcW w:w="567" w:type="dxa"/>
            <w:shd w:val="clear" w:color="auto" w:fill="auto"/>
            <w:vAlign w:val="bottom"/>
          </w:tcPr>
          <w:p w:rsidR="00203666" w:rsidRDefault="00203666" w:rsidP="00B43174">
            <w:pPr>
              <w:pStyle w:val="TableBodyText"/>
            </w:pPr>
            <w:r>
              <w:t>1.2</w:t>
            </w:r>
          </w:p>
        </w:tc>
        <w:tc>
          <w:tcPr>
            <w:tcW w:w="567" w:type="dxa"/>
            <w:shd w:val="clear" w:color="auto" w:fill="auto"/>
            <w:vAlign w:val="bottom"/>
          </w:tcPr>
          <w:p w:rsidR="00203666" w:rsidRDefault="00203666" w:rsidP="00B43174">
            <w:pPr>
              <w:pStyle w:val="TableBodyText"/>
            </w:pPr>
            <w:r>
              <w:t>13.1</w:t>
            </w:r>
          </w:p>
        </w:tc>
        <w:tc>
          <w:tcPr>
            <w:tcW w:w="709" w:type="dxa"/>
            <w:shd w:val="clear" w:color="auto" w:fill="auto"/>
            <w:vAlign w:val="bottom"/>
          </w:tcPr>
          <w:p w:rsidR="00203666" w:rsidRDefault="00203666" w:rsidP="00B43174">
            <w:pPr>
              <w:pStyle w:val="TableBodyText"/>
            </w:pPr>
            <w:r>
              <w:t>147.9</w:t>
            </w:r>
          </w:p>
        </w:tc>
      </w:tr>
      <w:tr w:rsidR="00203666" w:rsidRPr="000E6F59" w:rsidTr="00203666">
        <w:tc>
          <w:tcPr>
            <w:tcW w:w="2700" w:type="dxa"/>
            <w:shd w:val="clear" w:color="auto" w:fill="auto"/>
          </w:tcPr>
          <w:p w:rsidR="00203666" w:rsidRPr="000E6F59" w:rsidRDefault="00203666" w:rsidP="00666ECE">
            <w:pPr>
              <w:keepNext/>
              <w:keepLines/>
              <w:spacing w:after="40" w:line="220" w:lineRule="atLeast"/>
              <w:ind w:left="180" w:right="113"/>
              <w:rPr>
                <w:rFonts w:ascii="Arial" w:hAnsi="Arial"/>
                <w:sz w:val="20"/>
                <w:szCs w:val="20"/>
              </w:rPr>
            </w:pPr>
            <w:r w:rsidRPr="000E6F59">
              <w:rPr>
                <w:rFonts w:ascii="Arial" w:hAnsi="Arial"/>
                <w:sz w:val="20"/>
                <w:szCs w:val="20"/>
              </w:rPr>
              <w:t>Non-government schools</w:t>
            </w:r>
          </w:p>
        </w:tc>
        <w:tc>
          <w:tcPr>
            <w:tcW w:w="676" w:type="dxa"/>
          </w:tcPr>
          <w:p w:rsidR="00203666" w:rsidRDefault="00203666" w:rsidP="00B43174">
            <w:pPr>
              <w:pStyle w:val="TableBodyText"/>
            </w:pPr>
            <w:r>
              <w:t>(‘000)</w:t>
            </w:r>
          </w:p>
        </w:tc>
        <w:tc>
          <w:tcPr>
            <w:tcW w:w="735" w:type="dxa"/>
            <w:shd w:val="clear" w:color="auto" w:fill="auto"/>
            <w:vAlign w:val="bottom"/>
          </w:tcPr>
          <w:p w:rsidR="00203666" w:rsidRDefault="00203666" w:rsidP="00B43174">
            <w:pPr>
              <w:pStyle w:val="TableBodyText"/>
            </w:pPr>
            <w:r>
              <w:t>7.8</w:t>
            </w:r>
          </w:p>
        </w:tc>
        <w:tc>
          <w:tcPr>
            <w:tcW w:w="567" w:type="dxa"/>
            <w:shd w:val="clear" w:color="auto" w:fill="auto"/>
            <w:vAlign w:val="bottom"/>
          </w:tcPr>
          <w:p w:rsidR="00203666" w:rsidRDefault="00203666" w:rsidP="00B43174">
            <w:pPr>
              <w:pStyle w:val="TableBodyText"/>
            </w:pPr>
            <w:r>
              <w:t>1.6</w:t>
            </w:r>
          </w:p>
        </w:tc>
        <w:tc>
          <w:tcPr>
            <w:tcW w:w="567" w:type="dxa"/>
            <w:shd w:val="clear" w:color="auto" w:fill="auto"/>
            <w:vAlign w:val="bottom"/>
          </w:tcPr>
          <w:p w:rsidR="00203666" w:rsidRDefault="00203666" w:rsidP="00B43174">
            <w:pPr>
              <w:pStyle w:val="TableBodyText"/>
            </w:pPr>
            <w:r>
              <w:t>8.1</w:t>
            </w:r>
          </w:p>
        </w:tc>
        <w:tc>
          <w:tcPr>
            <w:tcW w:w="567" w:type="dxa"/>
            <w:shd w:val="clear" w:color="auto" w:fill="auto"/>
            <w:vAlign w:val="bottom"/>
          </w:tcPr>
          <w:p w:rsidR="00203666" w:rsidRDefault="00203666" w:rsidP="00B43174">
            <w:pPr>
              <w:pStyle w:val="TableBodyText"/>
            </w:pPr>
            <w:r>
              <w:t>3.7</w:t>
            </w:r>
          </w:p>
        </w:tc>
        <w:tc>
          <w:tcPr>
            <w:tcW w:w="567" w:type="dxa"/>
            <w:shd w:val="clear" w:color="auto" w:fill="auto"/>
            <w:vAlign w:val="bottom"/>
          </w:tcPr>
          <w:p w:rsidR="00203666" w:rsidRDefault="00203666" w:rsidP="00B43174">
            <w:pPr>
              <w:pStyle w:val="TableBodyText"/>
            </w:pPr>
            <w:r>
              <w:t>1.1</w:t>
            </w:r>
          </w:p>
        </w:tc>
        <w:tc>
          <w:tcPr>
            <w:tcW w:w="567" w:type="dxa"/>
            <w:shd w:val="clear" w:color="auto" w:fill="auto"/>
            <w:vAlign w:val="bottom"/>
          </w:tcPr>
          <w:p w:rsidR="00203666" w:rsidRDefault="00203666" w:rsidP="00B43174">
            <w:pPr>
              <w:pStyle w:val="TableBodyText"/>
            </w:pPr>
            <w:r>
              <w:t>0.9</w:t>
            </w:r>
          </w:p>
        </w:tc>
        <w:tc>
          <w:tcPr>
            <w:tcW w:w="567" w:type="dxa"/>
            <w:shd w:val="clear" w:color="auto" w:fill="auto"/>
            <w:vAlign w:val="bottom"/>
          </w:tcPr>
          <w:p w:rsidR="00203666" w:rsidRDefault="00203666" w:rsidP="00B43174">
            <w:pPr>
              <w:pStyle w:val="TableBodyText"/>
            </w:pPr>
            <w:r>
              <w:t>0.3</w:t>
            </w:r>
          </w:p>
        </w:tc>
        <w:tc>
          <w:tcPr>
            <w:tcW w:w="567" w:type="dxa"/>
            <w:shd w:val="clear" w:color="auto" w:fill="auto"/>
            <w:vAlign w:val="bottom"/>
          </w:tcPr>
          <w:p w:rsidR="00203666" w:rsidRDefault="00203666" w:rsidP="00B43174">
            <w:pPr>
              <w:pStyle w:val="TableBodyText"/>
            </w:pPr>
            <w:r>
              <w:t>3.0</w:t>
            </w:r>
          </w:p>
        </w:tc>
        <w:tc>
          <w:tcPr>
            <w:tcW w:w="709" w:type="dxa"/>
            <w:shd w:val="clear" w:color="auto" w:fill="auto"/>
            <w:vAlign w:val="bottom"/>
          </w:tcPr>
          <w:p w:rsidR="00203666" w:rsidRDefault="00203666" w:rsidP="00B43174">
            <w:pPr>
              <w:pStyle w:val="TableBodyText"/>
            </w:pPr>
            <w:r>
              <w:t>26.6</w:t>
            </w:r>
          </w:p>
        </w:tc>
      </w:tr>
      <w:tr w:rsidR="00203666" w:rsidRPr="000E6F59" w:rsidTr="00203666">
        <w:tc>
          <w:tcPr>
            <w:tcW w:w="2700" w:type="dxa"/>
            <w:shd w:val="clear" w:color="auto" w:fill="auto"/>
          </w:tcPr>
          <w:p w:rsidR="00203666" w:rsidRPr="000E6F59" w:rsidRDefault="00203666" w:rsidP="00666ECE">
            <w:pPr>
              <w:keepNext/>
              <w:keepLines/>
              <w:spacing w:after="40" w:line="220" w:lineRule="atLeast"/>
              <w:ind w:left="180" w:right="113"/>
              <w:rPr>
                <w:rFonts w:ascii="Arial" w:hAnsi="Arial"/>
                <w:b/>
                <w:sz w:val="20"/>
                <w:szCs w:val="20"/>
              </w:rPr>
            </w:pPr>
            <w:r w:rsidRPr="000E6F59">
              <w:rPr>
                <w:rFonts w:ascii="Arial" w:hAnsi="Arial"/>
                <w:b/>
                <w:sz w:val="20"/>
                <w:szCs w:val="20"/>
              </w:rPr>
              <w:t>All schools</w:t>
            </w:r>
            <w:r w:rsidRPr="000E6F59">
              <w:rPr>
                <w:rFonts w:ascii="Arial" w:hAnsi="Arial"/>
                <w:b/>
                <w:position w:val="6"/>
                <w:sz w:val="18"/>
                <w:szCs w:val="20"/>
              </w:rPr>
              <w:t>b</w:t>
            </w:r>
          </w:p>
        </w:tc>
        <w:tc>
          <w:tcPr>
            <w:tcW w:w="676" w:type="dxa"/>
          </w:tcPr>
          <w:p w:rsidR="00203666" w:rsidRDefault="00203666" w:rsidP="00B43174">
            <w:pPr>
              <w:pStyle w:val="TableBodyText"/>
            </w:pPr>
            <w:r>
              <w:t>(‘000)</w:t>
            </w:r>
          </w:p>
        </w:tc>
        <w:tc>
          <w:tcPr>
            <w:tcW w:w="735" w:type="dxa"/>
            <w:shd w:val="clear" w:color="auto" w:fill="auto"/>
            <w:vAlign w:val="bottom"/>
          </w:tcPr>
          <w:p w:rsidR="00203666" w:rsidRDefault="00203666" w:rsidP="00B43174">
            <w:pPr>
              <w:pStyle w:val="TableBodyText"/>
            </w:pPr>
            <w:r>
              <w:t>54.8</w:t>
            </w:r>
          </w:p>
        </w:tc>
        <w:tc>
          <w:tcPr>
            <w:tcW w:w="567" w:type="dxa"/>
            <w:shd w:val="clear" w:color="auto" w:fill="auto"/>
            <w:vAlign w:val="bottom"/>
          </w:tcPr>
          <w:p w:rsidR="00203666" w:rsidRDefault="00203666" w:rsidP="00B43174">
            <w:pPr>
              <w:pStyle w:val="TableBodyText"/>
            </w:pPr>
            <w:r>
              <w:t>11.3</w:t>
            </w:r>
          </w:p>
        </w:tc>
        <w:tc>
          <w:tcPr>
            <w:tcW w:w="567" w:type="dxa"/>
            <w:shd w:val="clear" w:color="auto" w:fill="auto"/>
            <w:vAlign w:val="bottom"/>
          </w:tcPr>
          <w:p w:rsidR="00203666" w:rsidRDefault="00203666" w:rsidP="00B43174">
            <w:pPr>
              <w:pStyle w:val="TableBodyText"/>
            </w:pPr>
            <w:r>
              <w:t>51.3</w:t>
            </w:r>
          </w:p>
        </w:tc>
        <w:tc>
          <w:tcPr>
            <w:tcW w:w="567" w:type="dxa"/>
            <w:shd w:val="clear" w:color="auto" w:fill="auto"/>
            <w:vAlign w:val="bottom"/>
          </w:tcPr>
          <w:p w:rsidR="00203666" w:rsidRDefault="00203666" w:rsidP="00B43174">
            <w:pPr>
              <w:pStyle w:val="TableBodyText"/>
            </w:pPr>
            <w:r>
              <w:t>23.8</w:t>
            </w:r>
          </w:p>
        </w:tc>
        <w:tc>
          <w:tcPr>
            <w:tcW w:w="567" w:type="dxa"/>
            <w:shd w:val="clear" w:color="auto" w:fill="auto"/>
            <w:vAlign w:val="bottom"/>
          </w:tcPr>
          <w:p w:rsidR="00203666" w:rsidRDefault="00203666" w:rsidP="00B43174">
            <w:pPr>
              <w:pStyle w:val="TableBodyText"/>
            </w:pPr>
            <w:r>
              <w:t>10.1</w:t>
            </w:r>
          </w:p>
        </w:tc>
        <w:tc>
          <w:tcPr>
            <w:tcW w:w="567" w:type="dxa"/>
            <w:shd w:val="clear" w:color="auto" w:fill="auto"/>
            <w:vAlign w:val="bottom"/>
          </w:tcPr>
          <w:p w:rsidR="00203666" w:rsidRDefault="00203666" w:rsidP="00B43174">
            <w:pPr>
              <w:pStyle w:val="TableBodyText"/>
            </w:pPr>
            <w:r>
              <w:t>5.6</w:t>
            </w:r>
          </w:p>
        </w:tc>
        <w:tc>
          <w:tcPr>
            <w:tcW w:w="567" w:type="dxa"/>
            <w:shd w:val="clear" w:color="auto" w:fill="auto"/>
            <w:vAlign w:val="bottom"/>
          </w:tcPr>
          <w:p w:rsidR="00203666" w:rsidRDefault="00203666" w:rsidP="00B43174">
            <w:pPr>
              <w:pStyle w:val="TableBodyText"/>
            </w:pPr>
            <w:r>
              <w:t>1.5</w:t>
            </w:r>
          </w:p>
        </w:tc>
        <w:tc>
          <w:tcPr>
            <w:tcW w:w="567" w:type="dxa"/>
            <w:shd w:val="clear" w:color="auto" w:fill="auto"/>
            <w:vAlign w:val="bottom"/>
          </w:tcPr>
          <w:p w:rsidR="00203666" w:rsidRDefault="00203666" w:rsidP="00B43174">
            <w:pPr>
              <w:pStyle w:val="TableBodyText"/>
            </w:pPr>
            <w:r>
              <w:t>16.1</w:t>
            </w:r>
          </w:p>
        </w:tc>
        <w:tc>
          <w:tcPr>
            <w:tcW w:w="709" w:type="dxa"/>
            <w:shd w:val="clear" w:color="auto" w:fill="auto"/>
            <w:vAlign w:val="bottom"/>
          </w:tcPr>
          <w:p w:rsidR="00203666" w:rsidRDefault="00203666" w:rsidP="00B43174">
            <w:pPr>
              <w:pStyle w:val="TableBodyText"/>
            </w:pPr>
            <w:r>
              <w:t>174.5</w:t>
            </w:r>
          </w:p>
        </w:tc>
      </w:tr>
      <w:tr w:rsidR="00203666" w:rsidRPr="000E6F59" w:rsidTr="00203666">
        <w:tc>
          <w:tcPr>
            <w:tcW w:w="8789" w:type="dxa"/>
            <w:gridSpan w:val="11"/>
          </w:tcPr>
          <w:p w:rsidR="00203666" w:rsidRPr="000E6F59" w:rsidRDefault="00203666" w:rsidP="00203666">
            <w:pPr>
              <w:pStyle w:val="TableBodyText"/>
              <w:jc w:val="left"/>
              <w:rPr>
                <w:b/>
              </w:rPr>
            </w:pPr>
            <w:r w:rsidRPr="000E6F59">
              <w:t>Indigenous full time students as a proporti</w:t>
            </w:r>
            <w:r>
              <w:t>on of all full time students</w:t>
            </w:r>
          </w:p>
        </w:tc>
      </w:tr>
      <w:tr w:rsidR="00203666" w:rsidRPr="000E6F59" w:rsidTr="00203666">
        <w:tc>
          <w:tcPr>
            <w:tcW w:w="2700" w:type="dxa"/>
            <w:shd w:val="clear" w:color="auto" w:fill="auto"/>
          </w:tcPr>
          <w:p w:rsidR="00203666" w:rsidRPr="000E6F59" w:rsidRDefault="00203666" w:rsidP="00666ECE">
            <w:pPr>
              <w:keepNext/>
              <w:keepLines/>
              <w:spacing w:after="40" w:line="220" w:lineRule="atLeast"/>
              <w:ind w:left="6" w:right="113" w:firstLine="174"/>
              <w:rPr>
                <w:rFonts w:ascii="Arial" w:hAnsi="Arial"/>
                <w:sz w:val="20"/>
                <w:szCs w:val="20"/>
              </w:rPr>
            </w:pPr>
            <w:r w:rsidRPr="000E6F59">
              <w:rPr>
                <w:rFonts w:ascii="Arial" w:hAnsi="Arial"/>
                <w:sz w:val="20"/>
                <w:szCs w:val="20"/>
              </w:rPr>
              <w:t>Government schools</w:t>
            </w:r>
          </w:p>
        </w:tc>
        <w:tc>
          <w:tcPr>
            <w:tcW w:w="676" w:type="dxa"/>
          </w:tcPr>
          <w:p w:rsidR="00203666" w:rsidRDefault="00203666" w:rsidP="00B43174">
            <w:pPr>
              <w:pStyle w:val="TableBodyText"/>
            </w:pPr>
            <w:r>
              <w:t>%</w:t>
            </w:r>
          </w:p>
        </w:tc>
        <w:tc>
          <w:tcPr>
            <w:tcW w:w="735" w:type="dxa"/>
            <w:shd w:val="clear" w:color="auto" w:fill="auto"/>
            <w:vAlign w:val="center"/>
          </w:tcPr>
          <w:p w:rsidR="00203666" w:rsidRDefault="00203666" w:rsidP="00B43174">
            <w:pPr>
              <w:pStyle w:val="TableBodyText"/>
            </w:pPr>
            <w:r>
              <w:t>6.3</w:t>
            </w:r>
          </w:p>
        </w:tc>
        <w:tc>
          <w:tcPr>
            <w:tcW w:w="567" w:type="dxa"/>
            <w:shd w:val="clear" w:color="auto" w:fill="auto"/>
            <w:vAlign w:val="center"/>
          </w:tcPr>
          <w:p w:rsidR="00203666" w:rsidRDefault="00203666" w:rsidP="00B43174">
            <w:pPr>
              <w:pStyle w:val="TableBodyText"/>
            </w:pPr>
            <w:r>
              <w:t>1.8</w:t>
            </w:r>
          </w:p>
        </w:tc>
        <w:tc>
          <w:tcPr>
            <w:tcW w:w="567" w:type="dxa"/>
            <w:shd w:val="clear" w:color="auto" w:fill="auto"/>
            <w:vAlign w:val="center"/>
          </w:tcPr>
          <w:p w:rsidR="00203666" w:rsidRDefault="00203666" w:rsidP="00B43174">
            <w:pPr>
              <w:pStyle w:val="TableBodyText"/>
            </w:pPr>
            <w:r>
              <w:t>8.7</w:t>
            </w:r>
          </w:p>
        </w:tc>
        <w:tc>
          <w:tcPr>
            <w:tcW w:w="567" w:type="dxa"/>
            <w:shd w:val="clear" w:color="auto" w:fill="auto"/>
            <w:vAlign w:val="center"/>
          </w:tcPr>
          <w:p w:rsidR="00203666" w:rsidRDefault="00203666" w:rsidP="00B43174">
            <w:pPr>
              <w:pStyle w:val="TableBodyText"/>
            </w:pPr>
            <w:r>
              <w:t>8.2</w:t>
            </w:r>
          </w:p>
        </w:tc>
        <w:tc>
          <w:tcPr>
            <w:tcW w:w="567" w:type="dxa"/>
            <w:shd w:val="clear" w:color="auto" w:fill="auto"/>
            <w:vAlign w:val="center"/>
          </w:tcPr>
          <w:p w:rsidR="00203666" w:rsidRDefault="00203666" w:rsidP="00B43174">
            <w:pPr>
              <w:pStyle w:val="TableBodyText"/>
            </w:pPr>
            <w:r>
              <w:t>5.4</w:t>
            </w:r>
          </w:p>
        </w:tc>
        <w:tc>
          <w:tcPr>
            <w:tcW w:w="567" w:type="dxa"/>
            <w:shd w:val="clear" w:color="auto" w:fill="auto"/>
            <w:vAlign w:val="center"/>
          </w:tcPr>
          <w:p w:rsidR="00203666" w:rsidRDefault="00203666" w:rsidP="00B43174">
            <w:pPr>
              <w:pStyle w:val="TableBodyText"/>
            </w:pPr>
            <w:r>
              <w:t>8.4</w:t>
            </w:r>
          </w:p>
        </w:tc>
        <w:tc>
          <w:tcPr>
            <w:tcW w:w="567" w:type="dxa"/>
            <w:shd w:val="clear" w:color="auto" w:fill="auto"/>
            <w:vAlign w:val="center"/>
          </w:tcPr>
          <w:p w:rsidR="00203666" w:rsidRDefault="00203666" w:rsidP="00B43174">
            <w:pPr>
              <w:pStyle w:val="TableBodyText"/>
            </w:pPr>
            <w:r>
              <w:t>3.3</w:t>
            </w:r>
          </w:p>
        </w:tc>
        <w:tc>
          <w:tcPr>
            <w:tcW w:w="567" w:type="dxa"/>
            <w:shd w:val="clear" w:color="auto" w:fill="auto"/>
            <w:vAlign w:val="center"/>
          </w:tcPr>
          <w:p w:rsidR="00203666" w:rsidRDefault="00203666" w:rsidP="00B43174">
            <w:pPr>
              <w:pStyle w:val="TableBodyText"/>
            </w:pPr>
            <w:r>
              <w:t>44.5</w:t>
            </w:r>
          </w:p>
        </w:tc>
        <w:tc>
          <w:tcPr>
            <w:tcW w:w="709" w:type="dxa"/>
            <w:shd w:val="clear" w:color="auto" w:fill="auto"/>
            <w:vAlign w:val="center"/>
          </w:tcPr>
          <w:p w:rsidR="00203666" w:rsidRDefault="00203666" w:rsidP="00B43174">
            <w:pPr>
              <w:pStyle w:val="TableBodyText"/>
            </w:pPr>
            <w:r>
              <w:t>6.4</w:t>
            </w:r>
          </w:p>
        </w:tc>
      </w:tr>
      <w:tr w:rsidR="00203666" w:rsidRPr="000E6F59" w:rsidTr="00203666">
        <w:tc>
          <w:tcPr>
            <w:tcW w:w="2700" w:type="dxa"/>
            <w:shd w:val="clear" w:color="auto" w:fill="auto"/>
          </w:tcPr>
          <w:p w:rsidR="00203666" w:rsidRPr="000E6F59" w:rsidRDefault="00203666" w:rsidP="00666ECE">
            <w:pPr>
              <w:keepNext/>
              <w:keepLines/>
              <w:spacing w:after="40" w:line="220" w:lineRule="atLeast"/>
              <w:ind w:left="6" w:right="113" w:firstLine="174"/>
              <w:rPr>
                <w:rFonts w:ascii="Arial" w:hAnsi="Arial"/>
                <w:sz w:val="20"/>
                <w:szCs w:val="20"/>
              </w:rPr>
            </w:pPr>
            <w:r w:rsidRPr="000E6F59">
              <w:rPr>
                <w:rFonts w:ascii="Arial" w:hAnsi="Arial"/>
                <w:sz w:val="20"/>
                <w:szCs w:val="20"/>
              </w:rPr>
              <w:t>Non-government schools</w:t>
            </w:r>
          </w:p>
        </w:tc>
        <w:tc>
          <w:tcPr>
            <w:tcW w:w="676" w:type="dxa"/>
          </w:tcPr>
          <w:p w:rsidR="00203666" w:rsidRDefault="00203666" w:rsidP="00B43174">
            <w:pPr>
              <w:pStyle w:val="TableBodyText"/>
            </w:pPr>
            <w:r>
              <w:t>%</w:t>
            </w:r>
          </w:p>
        </w:tc>
        <w:tc>
          <w:tcPr>
            <w:tcW w:w="735" w:type="dxa"/>
            <w:shd w:val="clear" w:color="auto" w:fill="auto"/>
            <w:vAlign w:val="center"/>
          </w:tcPr>
          <w:p w:rsidR="00203666" w:rsidRDefault="00203666" w:rsidP="00B43174">
            <w:pPr>
              <w:pStyle w:val="TableBodyText"/>
            </w:pPr>
            <w:r>
              <w:t>2.0</w:t>
            </w:r>
          </w:p>
        </w:tc>
        <w:tc>
          <w:tcPr>
            <w:tcW w:w="567" w:type="dxa"/>
            <w:shd w:val="clear" w:color="auto" w:fill="auto"/>
            <w:vAlign w:val="center"/>
          </w:tcPr>
          <w:p w:rsidR="00203666" w:rsidRDefault="00203666" w:rsidP="00B43174">
            <w:pPr>
              <w:pStyle w:val="TableBodyText"/>
            </w:pPr>
            <w:r>
              <w:t>0.5</w:t>
            </w:r>
          </w:p>
        </w:tc>
        <w:tc>
          <w:tcPr>
            <w:tcW w:w="567" w:type="dxa"/>
            <w:shd w:val="clear" w:color="auto" w:fill="auto"/>
            <w:vAlign w:val="center"/>
          </w:tcPr>
          <w:p w:rsidR="00203666" w:rsidRDefault="00203666" w:rsidP="00B43174">
            <w:pPr>
              <w:pStyle w:val="TableBodyText"/>
            </w:pPr>
            <w:r>
              <w:t>3.2</w:t>
            </w:r>
          </w:p>
        </w:tc>
        <w:tc>
          <w:tcPr>
            <w:tcW w:w="567" w:type="dxa"/>
            <w:shd w:val="clear" w:color="auto" w:fill="auto"/>
            <w:vAlign w:val="center"/>
          </w:tcPr>
          <w:p w:rsidR="00203666" w:rsidRDefault="00203666" w:rsidP="00B43174">
            <w:pPr>
              <w:pStyle w:val="TableBodyText"/>
            </w:pPr>
            <w:r>
              <w:t>2.9</w:t>
            </w:r>
          </w:p>
        </w:tc>
        <w:tc>
          <w:tcPr>
            <w:tcW w:w="567" w:type="dxa"/>
            <w:shd w:val="clear" w:color="auto" w:fill="auto"/>
            <w:vAlign w:val="center"/>
          </w:tcPr>
          <w:p w:rsidR="00203666" w:rsidRDefault="00203666" w:rsidP="00B43174">
            <w:pPr>
              <w:pStyle w:val="TableBodyText"/>
            </w:pPr>
            <w:r>
              <w:t>1.2</w:t>
            </w:r>
          </w:p>
        </w:tc>
        <w:tc>
          <w:tcPr>
            <w:tcW w:w="567" w:type="dxa"/>
            <w:shd w:val="clear" w:color="auto" w:fill="auto"/>
            <w:vAlign w:val="center"/>
          </w:tcPr>
          <w:p w:rsidR="00203666" w:rsidRDefault="00203666" w:rsidP="00B43174">
            <w:pPr>
              <w:pStyle w:val="TableBodyText"/>
            </w:pPr>
            <w:r>
              <w:t>3.9</w:t>
            </w:r>
          </w:p>
        </w:tc>
        <w:tc>
          <w:tcPr>
            <w:tcW w:w="567" w:type="dxa"/>
            <w:shd w:val="clear" w:color="auto" w:fill="auto"/>
            <w:vAlign w:val="center"/>
          </w:tcPr>
          <w:p w:rsidR="00203666" w:rsidRDefault="00203666" w:rsidP="00B43174">
            <w:pPr>
              <w:pStyle w:val="TableBodyText"/>
            </w:pPr>
            <w:r>
              <w:t>1.2</w:t>
            </w:r>
          </w:p>
        </w:tc>
        <w:tc>
          <w:tcPr>
            <w:tcW w:w="567" w:type="dxa"/>
            <w:shd w:val="clear" w:color="auto" w:fill="auto"/>
            <w:vAlign w:val="center"/>
          </w:tcPr>
          <w:p w:rsidR="00203666" w:rsidRDefault="00203666" w:rsidP="00B43174">
            <w:pPr>
              <w:pStyle w:val="TableBodyText"/>
            </w:pPr>
            <w:r>
              <w:t>28.9</w:t>
            </w:r>
          </w:p>
        </w:tc>
        <w:tc>
          <w:tcPr>
            <w:tcW w:w="709" w:type="dxa"/>
            <w:shd w:val="clear" w:color="auto" w:fill="auto"/>
            <w:vAlign w:val="center"/>
          </w:tcPr>
          <w:p w:rsidR="00203666" w:rsidRDefault="00203666" w:rsidP="00B43174">
            <w:pPr>
              <w:pStyle w:val="TableBodyText"/>
            </w:pPr>
            <w:r>
              <w:t>2.1</w:t>
            </w:r>
          </w:p>
        </w:tc>
      </w:tr>
      <w:tr w:rsidR="00203666" w:rsidRPr="000E6F59" w:rsidTr="00203666">
        <w:tc>
          <w:tcPr>
            <w:tcW w:w="2700" w:type="dxa"/>
            <w:tcBorders>
              <w:bottom w:val="single" w:sz="4" w:space="0" w:color="auto"/>
            </w:tcBorders>
            <w:shd w:val="clear" w:color="auto" w:fill="auto"/>
          </w:tcPr>
          <w:p w:rsidR="00203666" w:rsidRPr="000E6F59" w:rsidRDefault="00203666" w:rsidP="00666ECE">
            <w:pPr>
              <w:keepNext/>
              <w:keepLines/>
              <w:spacing w:after="40" w:line="220" w:lineRule="atLeast"/>
              <w:ind w:left="6" w:right="113" w:firstLine="174"/>
              <w:rPr>
                <w:rFonts w:ascii="Arial" w:hAnsi="Arial"/>
                <w:b/>
                <w:sz w:val="20"/>
                <w:szCs w:val="20"/>
              </w:rPr>
            </w:pPr>
            <w:r w:rsidRPr="000E6F59">
              <w:rPr>
                <w:rFonts w:ascii="Arial" w:hAnsi="Arial"/>
                <w:b/>
                <w:sz w:val="20"/>
                <w:szCs w:val="20"/>
              </w:rPr>
              <w:t>All schools</w:t>
            </w:r>
          </w:p>
        </w:tc>
        <w:tc>
          <w:tcPr>
            <w:tcW w:w="676" w:type="dxa"/>
            <w:tcBorders>
              <w:bottom w:val="single" w:sz="4" w:space="0" w:color="auto"/>
            </w:tcBorders>
          </w:tcPr>
          <w:p w:rsidR="00203666" w:rsidRDefault="00203666" w:rsidP="00B43174">
            <w:pPr>
              <w:pStyle w:val="TableBodyText"/>
            </w:pPr>
            <w:r>
              <w:t>%</w:t>
            </w:r>
          </w:p>
        </w:tc>
        <w:tc>
          <w:tcPr>
            <w:tcW w:w="735" w:type="dxa"/>
            <w:tcBorders>
              <w:bottom w:val="single" w:sz="4" w:space="0" w:color="auto"/>
            </w:tcBorders>
            <w:shd w:val="clear" w:color="auto" w:fill="auto"/>
            <w:vAlign w:val="center"/>
          </w:tcPr>
          <w:p w:rsidR="00203666" w:rsidRDefault="00203666" w:rsidP="00B43174">
            <w:pPr>
              <w:pStyle w:val="TableBodyText"/>
            </w:pPr>
            <w:r>
              <w:t>4.8</w:t>
            </w:r>
          </w:p>
        </w:tc>
        <w:tc>
          <w:tcPr>
            <w:tcW w:w="567" w:type="dxa"/>
            <w:tcBorders>
              <w:bottom w:val="single" w:sz="4" w:space="0" w:color="auto"/>
            </w:tcBorders>
            <w:shd w:val="clear" w:color="auto" w:fill="auto"/>
            <w:vAlign w:val="center"/>
          </w:tcPr>
          <w:p w:rsidR="00203666" w:rsidRDefault="00203666" w:rsidP="00B43174">
            <w:pPr>
              <w:pStyle w:val="TableBodyText"/>
            </w:pPr>
            <w:r>
              <w:t>1.3</w:t>
            </w:r>
          </w:p>
        </w:tc>
        <w:tc>
          <w:tcPr>
            <w:tcW w:w="567" w:type="dxa"/>
            <w:tcBorders>
              <w:bottom w:val="single" w:sz="4" w:space="0" w:color="auto"/>
            </w:tcBorders>
            <w:shd w:val="clear" w:color="auto" w:fill="auto"/>
            <w:vAlign w:val="center"/>
          </w:tcPr>
          <w:p w:rsidR="00203666" w:rsidRDefault="00203666" w:rsidP="00B43174">
            <w:pPr>
              <w:pStyle w:val="TableBodyText"/>
            </w:pPr>
            <w:r>
              <w:t>6.9</w:t>
            </w:r>
          </w:p>
        </w:tc>
        <w:tc>
          <w:tcPr>
            <w:tcW w:w="567" w:type="dxa"/>
            <w:tcBorders>
              <w:bottom w:val="single" w:sz="4" w:space="0" w:color="auto"/>
            </w:tcBorders>
            <w:shd w:val="clear" w:color="auto" w:fill="auto"/>
            <w:vAlign w:val="center"/>
          </w:tcPr>
          <w:p w:rsidR="00203666" w:rsidRDefault="00203666" w:rsidP="00B43174">
            <w:pPr>
              <w:pStyle w:val="TableBodyText"/>
            </w:pPr>
            <w:r>
              <w:t>6.4</w:t>
            </w:r>
          </w:p>
        </w:tc>
        <w:tc>
          <w:tcPr>
            <w:tcW w:w="567" w:type="dxa"/>
            <w:tcBorders>
              <w:bottom w:val="single" w:sz="4" w:space="0" w:color="auto"/>
            </w:tcBorders>
            <w:shd w:val="clear" w:color="auto" w:fill="auto"/>
            <w:vAlign w:val="center"/>
          </w:tcPr>
          <w:p w:rsidR="00203666" w:rsidRDefault="00203666" w:rsidP="00B43174">
            <w:pPr>
              <w:pStyle w:val="TableBodyText"/>
            </w:pPr>
            <w:r>
              <w:t>3.9</w:t>
            </w:r>
          </w:p>
        </w:tc>
        <w:tc>
          <w:tcPr>
            <w:tcW w:w="567" w:type="dxa"/>
            <w:tcBorders>
              <w:bottom w:val="single" w:sz="4" w:space="0" w:color="auto"/>
            </w:tcBorders>
            <w:shd w:val="clear" w:color="auto" w:fill="auto"/>
            <w:vAlign w:val="center"/>
          </w:tcPr>
          <w:p w:rsidR="00203666" w:rsidRDefault="00203666" w:rsidP="00B43174">
            <w:pPr>
              <w:pStyle w:val="TableBodyText"/>
            </w:pPr>
            <w:r>
              <w:t>7.0</w:t>
            </w:r>
          </w:p>
        </w:tc>
        <w:tc>
          <w:tcPr>
            <w:tcW w:w="567" w:type="dxa"/>
            <w:tcBorders>
              <w:bottom w:val="single" w:sz="4" w:space="0" w:color="auto"/>
            </w:tcBorders>
            <w:shd w:val="clear" w:color="auto" w:fill="auto"/>
            <w:vAlign w:val="center"/>
          </w:tcPr>
          <w:p w:rsidR="00203666" w:rsidRDefault="00203666" w:rsidP="00B43174">
            <w:pPr>
              <w:pStyle w:val="TableBodyText"/>
            </w:pPr>
            <w:r>
              <w:t>2.4</w:t>
            </w:r>
          </w:p>
        </w:tc>
        <w:tc>
          <w:tcPr>
            <w:tcW w:w="567" w:type="dxa"/>
            <w:tcBorders>
              <w:bottom w:val="single" w:sz="4" w:space="0" w:color="auto"/>
            </w:tcBorders>
            <w:shd w:val="clear" w:color="auto" w:fill="auto"/>
            <w:vAlign w:val="center"/>
          </w:tcPr>
          <w:p w:rsidR="00203666" w:rsidRDefault="00203666" w:rsidP="00B43174">
            <w:pPr>
              <w:pStyle w:val="TableBodyText"/>
            </w:pPr>
            <w:r>
              <w:t>40.4</w:t>
            </w:r>
          </w:p>
        </w:tc>
        <w:tc>
          <w:tcPr>
            <w:tcW w:w="709" w:type="dxa"/>
            <w:tcBorders>
              <w:bottom w:val="single" w:sz="4" w:space="0" w:color="auto"/>
            </w:tcBorders>
            <w:shd w:val="clear" w:color="auto" w:fill="auto"/>
            <w:vAlign w:val="center"/>
          </w:tcPr>
          <w:p w:rsidR="00203666" w:rsidRDefault="00203666" w:rsidP="00B43174">
            <w:pPr>
              <w:pStyle w:val="TableBodyText"/>
            </w:pPr>
            <w:r>
              <w:t>4.9</w:t>
            </w:r>
          </w:p>
        </w:tc>
      </w:tr>
    </w:tbl>
    <w:p w:rsidR="00666ECE" w:rsidRPr="000E6F59" w:rsidRDefault="00666ECE" w:rsidP="00666ECE">
      <w:pPr>
        <w:keepLines/>
        <w:spacing w:before="80" w:line="220" w:lineRule="exact"/>
        <w:jc w:val="both"/>
        <w:rPr>
          <w:rFonts w:ascii="Arial" w:hAnsi="Arial"/>
          <w:sz w:val="18"/>
          <w:szCs w:val="20"/>
        </w:rPr>
      </w:pPr>
      <w:r w:rsidRPr="000E6F59">
        <w:rPr>
          <w:rFonts w:ascii="Arial" w:hAnsi="Arial"/>
          <w:b/>
          <w:position w:val="6"/>
          <w:sz w:val="18"/>
          <w:szCs w:val="20"/>
        </w:rPr>
        <w:t>a</w:t>
      </w:r>
      <w:r w:rsidRPr="000E6F59">
        <w:rPr>
          <w:rFonts w:ascii="Arial" w:hAnsi="Arial"/>
          <w:sz w:val="18"/>
          <w:szCs w:val="20"/>
        </w:rPr>
        <w:sym w:font="Symbol" w:char="F020"/>
      </w:r>
      <w:r w:rsidRPr="000E6F59">
        <w:rPr>
          <w:rFonts w:ascii="Arial" w:hAnsi="Arial"/>
          <w:sz w:val="18"/>
          <w:szCs w:val="20"/>
        </w:rPr>
        <w:t xml:space="preserve"> Students counted as Indigenous are those who have identified as being of Indigenous origin. It is possible that the number of Indigenous students may be under-represented in some jurisdictions. </w:t>
      </w:r>
      <w:r w:rsidRPr="000E6F59">
        <w:rPr>
          <w:rFonts w:ascii="Arial" w:hAnsi="Arial"/>
          <w:b/>
          <w:position w:val="6"/>
          <w:sz w:val="18"/>
          <w:szCs w:val="20"/>
        </w:rPr>
        <w:t>b</w:t>
      </w:r>
      <w:r w:rsidRPr="000E6F59">
        <w:rPr>
          <w:rFonts w:ascii="Arial" w:hAnsi="Arial"/>
          <w:sz w:val="18"/>
          <w:szCs w:val="20"/>
        </w:rPr>
        <w:t> Totals may not add as a result of rounding.</w:t>
      </w:r>
    </w:p>
    <w:p w:rsidR="00666ECE" w:rsidRPr="00666ECE" w:rsidRDefault="00666ECE" w:rsidP="00666ECE">
      <w:pPr>
        <w:keepLines/>
        <w:spacing w:before="80" w:after="120" w:line="220" w:lineRule="exact"/>
        <w:jc w:val="both"/>
        <w:rPr>
          <w:rFonts w:ascii="Arial" w:hAnsi="Arial"/>
          <w:sz w:val="18"/>
          <w:szCs w:val="20"/>
        </w:rPr>
      </w:pPr>
      <w:r w:rsidRPr="000E6F59">
        <w:rPr>
          <w:rFonts w:ascii="Arial" w:hAnsi="Arial"/>
          <w:i/>
          <w:sz w:val="18"/>
          <w:szCs w:val="20"/>
        </w:rPr>
        <w:t>Source</w:t>
      </w:r>
      <w:r w:rsidRPr="000E6F59">
        <w:rPr>
          <w:rFonts w:ascii="Arial" w:hAnsi="Arial"/>
          <w:sz w:val="18"/>
          <w:szCs w:val="20"/>
        </w:rPr>
        <w:t>: ABS (201</w:t>
      </w:r>
      <w:r w:rsidR="00653F56">
        <w:rPr>
          <w:rFonts w:ascii="Arial" w:hAnsi="Arial"/>
          <w:sz w:val="18"/>
          <w:szCs w:val="20"/>
        </w:rPr>
        <w:t>3</w:t>
      </w:r>
      <w:r w:rsidRPr="000E6F59">
        <w:rPr>
          <w:rFonts w:ascii="Arial" w:hAnsi="Arial"/>
          <w:sz w:val="18"/>
          <w:szCs w:val="20"/>
        </w:rPr>
        <w:t xml:space="preserve">) </w:t>
      </w:r>
      <w:r w:rsidRPr="000E6F59">
        <w:rPr>
          <w:rFonts w:ascii="Arial" w:hAnsi="Arial"/>
          <w:i/>
          <w:sz w:val="18"/>
          <w:szCs w:val="20"/>
        </w:rPr>
        <w:t>Schools Australia 201</w:t>
      </w:r>
      <w:r w:rsidR="00653F56">
        <w:rPr>
          <w:rFonts w:ascii="Arial" w:hAnsi="Arial"/>
          <w:i/>
          <w:sz w:val="18"/>
          <w:szCs w:val="20"/>
        </w:rPr>
        <w:t>2</w:t>
      </w:r>
      <w:r w:rsidRPr="000E6F59">
        <w:rPr>
          <w:rFonts w:ascii="Arial" w:hAnsi="Arial"/>
          <w:sz w:val="18"/>
          <w:szCs w:val="20"/>
        </w:rPr>
        <w:t>, Cat. no. 4221.0; table 4A.2</w:t>
      </w:r>
      <w:r w:rsidR="009807CA">
        <w:rPr>
          <w:rFonts w:ascii="Arial" w:hAnsi="Arial"/>
          <w:sz w:val="18"/>
          <w:szCs w:val="20"/>
        </w:rPr>
        <w:t>9</w:t>
      </w:r>
      <w:r w:rsidRPr="000E6F59">
        <w:rPr>
          <w:rFonts w:ascii="Arial" w:hAnsi="Arial"/>
          <w:sz w:val="18"/>
          <w:szCs w:val="20"/>
        </w:rPr>
        <w:t>.</w:t>
      </w:r>
    </w:p>
    <w:p w:rsidR="00666ECE" w:rsidRPr="00666ECE" w:rsidRDefault="00666ECE" w:rsidP="00666ECE">
      <w:pPr>
        <w:keepNext/>
        <w:spacing w:before="480" w:line="320" w:lineRule="exact"/>
        <w:outlineLvl w:val="3"/>
        <w:rPr>
          <w:rFonts w:ascii="Arial" w:hAnsi="Arial"/>
          <w:i/>
          <w:sz w:val="24"/>
        </w:rPr>
      </w:pPr>
      <w:r w:rsidRPr="00666ECE">
        <w:rPr>
          <w:rFonts w:ascii="Arial" w:hAnsi="Arial"/>
          <w:i/>
          <w:sz w:val="24"/>
        </w:rPr>
        <w:t xml:space="preserve">Students from language backgrounds other than English </w:t>
      </w:r>
    </w:p>
    <w:p w:rsidR="00666ECE" w:rsidRPr="00666ECE" w:rsidRDefault="00666ECE" w:rsidP="00666ECE">
      <w:pPr>
        <w:spacing w:before="240" w:line="320" w:lineRule="atLeast"/>
        <w:jc w:val="both"/>
        <w:rPr>
          <w:szCs w:val="20"/>
        </w:rPr>
      </w:pPr>
      <w:r w:rsidRPr="00666ECE">
        <w:rPr>
          <w:szCs w:val="20"/>
        </w:rPr>
        <w:t>The proportion of LBOTE students is based on data from the Australian Bureau of Statistics (ABS) 20</w:t>
      </w:r>
      <w:r w:rsidR="000E6F59">
        <w:rPr>
          <w:szCs w:val="20"/>
        </w:rPr>
        <w:t>11</w:t>
      </w:r>
      <w:r w:rsidRPr="00666ECE">
        <w:rPr>
          <w:szCs w:val="20"/>
        </w:rPr>
        <w:t xml:space="preserve"> Census of Population and </w:t>
      </w:r>
      <w:r w:rsidRPr="00E87EFD">
        <w:rPr>
          <w:szCs w:val="20"/>
          <w:shd w:val="clear" w:color="auto" w:fill="FFFFFF" w:themeFill="background1"/>
        </w:rPr>
        <w:t>Housing</w:t>
      </w:r>
      <w:r w:rsidR="00203666" w:rsidRPr="00E87EFD">
        <w:rPr>
          <w:szCs w:val="20"/>
          <w:shd w:val="clear" w:color="auto" w:fill="FFFFFF" w:themeFill="background1"/>
        </w:rPr>
        <w:t xml:space="preserve"> </w:t>
      </w:r>
      <w:r w:rsidR="00203666" w:rsidRPr="00097127">
        <w:rPr>
          <w:szCs w:val="20"/>
          <w:shd w:val="clear" w:color="auto" w:fill="FFFFFF" w:themeFill="background1"/>
        </w:rPr>
        <w:t>(</w:t>
      </w:r>
      <w:r w:rsidR="00E87EFD" w:rsidRPr="00097127">
        <w:rPr>
          <w:szCs w:val="20"/>
          <w:shd w:val="clear" w:color="auto" w:fill="FFFFFF" w:themeFill="background1"/>
        </w:rPr>
        <w:t xml:space="preserve">Australian Government Department of Education, unpublished). </w:t>
      </w:r>
      <w:r w:rsidRPr="00097127">
        <w:rPr>
          <w:szCs w:val="20"/>
          <w:shd w:val="clear" w:color="auto" w:fill="FFFFFF" w:themeFill="background1"/>
        </w:rPr>
        <w:t>S</w:t>
      </w:r>
      <w:r w:rsidRPr="00666ECE">
        <w:rPr>
          <w:szCs w:val="20"/>
        </w:rPr>
        <w:t xml:space="preserve">tudents are counted as having a </w:t>
      </w:r>
      <w:r w:rsidR="000B2CA3">
        <w:rPr>
          <w:szCs w:val="20"/>
        </w:rPr>
        <w:t>LBOTE</w:t>
      </w:r>
      <w:r w:rsidRPr="00666ECE">
        <w:rPr>
          <w:szCs w:val="20"/>
        </w:rPr>
        <w:t xml:space="preserve"> if their home language is not English or if they (or at least one parent) were born in a non-English speaking country.</w:t>
      </w:r>
    </w:p>
    <w:p w:rsidR="00666ECE" w:rsidRPr="00666ECE" w:rsidRDefault="00666ECE" w:rsidP="00666ECE">
      <w:pPr>
        <w:spacing w:before="240" w:line="320" w:lineRule="atLeast"/>
        <w:jc w:val="both"/>
        <w:rPr>
          <w:szCs w:val="20"/>
        </w:rPr>
      </w:pPr>
      <w:r w:rsidRPr="00666ECE">
        <w:rPr>
          <w:szCs w:val="20"/>
        </w:rPr>
        <w:lastRenderedPageBreak/>
        <w:t xml:space="preserve">The proportion of students </w:t>
      </w:r>
      <w:r w:rsidR="001B6514">
        <w:rPr>
          <w:szCs w:val="20"/>
        </w:rPr>
        <w:t>with a</w:t>
      </w:r>
      <w:r w:rsidR="0019719B">
        <w:rPr>
          <w:szCs w:val="20"/>
        </w:rPr>
        <w:t xml:space="preserve"> LBOTE </w:t>
      </w:r>
      <w:r w:rsidRPr="00666ECE">
        <w:rPr>
          <w:szCs w:val="20"/>
        </w:rPr>
        <w:t>in government and non-government schools varied across jurisdictions in 20</w:t>
      </w:r>
      <w:r w:rsidR="000E6F59">
        <w:rPr>
          <w:szCs w:val="20"/>
        </w:rPr>
        <w:t>11</w:t>
      </w:r>
      <w:r w:rsidRPr="00666ECE">
        <w:rPr>
          <w:szCs w:val="20"/>
        </w:rPr>
        <w:t xml:space="preserve"> (figure 4.2).</w:t>
      </w:r>
    </w:p>
    <w:p w:rsidR="00666ECE" w:rsidRPr="00666ECE" w:rsidRDefault="00666ECE" w:rsidP="002C3941">
      <w:pPr>
        <w:pStyle w:val="FigureTitle"/>
      </w:pPr>
      <w:r w:rsidRPr="007A7568">
        <w:rPr>
          <w:b w:val="0"/>
        </w:rPr>
        <w:t xml:space="preserve">Figure </w:t>
      </w:r>
      <w:bookmarkStart w:id="12" w:name="OLE_LINK16"/>
      <w:r w:rsidR="00EB256F" w:rsidRPr="007A7568">
        <w:rPr>
          <w:b w:val="0"/>
        </w:rPr>
        <w:t>4.</w:t>
      </w:r>
      <w:r w:rsidR="00EC06F7" w:rsidRPr="007A7568">
        <w:rPr>
          <w:b w:val="0"/>
          <w:noProof/>
        </w:rPr>
        <w:t>2</w:t>
      </w:r>
      <w:bookmarkEnd w:id="12"/>
      <w:r w:rsidRPr="007A7568">
        <w:rPr>
          <w:b w:val="0"/>
        </w:rPr>
        <w:tab/>
      </w:r>
      <w:r w:rsidRPr="0063025F">
        <w:t>Students from a language background other than English as a proportion of all students, 20</w:t>
      </w:r>
      <w:r w:rsidR="000E6F59" w:rsidRPr="0063025F">
        <w:t>11</w:t>
      </w:r>
      <w:r w:rsidRPr="00666ECE">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28900"/>
                  <wp:effectExtent l="0" t="0" r="0" b="0"/>
                  <wp:docPr id="2" name="Picture 2" descr="Figure 4.2 Students from a language background other than English as a proportion of all student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28900"/>
                          </a:xfrm>
                          <a:prstGeom prst="rect">
                            <a:avLst/>
                          </a:prstGeom>
                          <a:noFill/>
                          <a:ln>
                            <a:noFill/>
                          </a:ln>
                        </pic:spPr>
                      </pic:pic>
                    </a:graphicData>
                  </a:graphic>
                </wp:inline>
              </w:drawing>
            </w:r>
          </w:p>
        </w:tc>
      </w:tr>
    </w:tbl>
    <w:p w:rsidR="00666ECE" w:rsidRPr="000E6F59"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w:t>
      </w:r>
      <w:r w:rsidR="00203666">
        <w:rPr>
          <w:rFonts w:ascii="Arial" w:hAnsi="Arial"/>
          <w:sz w:val="18"/>
          <w:szCs w:val="20"/>
        </w:rPr>
        <w:t>N</w:t>
      </w:r>
      <w:r w:rsidRPr="00666ECE">
        <w:rPr>
          <w:rFonts w:ascii="Arial" w:hAnsi="Arial"/>
          <w:sz w:val="18"/>
          <w:szCs w:val="20"/>
        </w:rPr>
        <w:t>umbers of LBOTE students are sourced from the 20</w:t>
      </w:r>
      <w:r w:rsidR="005605D5">
        <w:rPr>
          <w:rFonts w:ascii="Arial" w:hAnsi="Arial"/>
          <w:sz w:val="18"/>
          <w:szCs w:val="20"/>
        </w:rPr>
        <w:t>11</w:t>
      </w:r>
      <w:r w:rsidRPr="00666ECE">
        <w:rPr>
          <w:rFonts w:ascii="Arial" w:hAnsi="Arial"/>
          <w:sz w:val="18"/>
          <w:szCs w:val="20"/>
        </w:rPr>
        <w:t xml:space="preserve"> Census of Population and Housing, whilst </w:t>
      </w:r>
      <w:r w:rsidRPr="000E6F59">
        <w:rPr>
          <w:rFonts w:ascii="Arial" w:hAnsi="Arial"/>
          <w:sz w:val="18"/>
          <w:szCs w:val="20"/>
        </w:rPr>
        <w:t xml:space="preserve">data on all full time students are sourced from the ABS Schools Australia collection. </w:t>
      </w:r>
      <w:r w:rsidRPr="000E6F59">
        <w:rPr>
          <w:rFonts w:ascii="Arial" w:hAnsi="Arial"/>
          <w:b/>
          <w:position w:val="6"/>
          <w:sz w:val="18"/>
          <w:szCs w:val="20"/>
        </w:rPr>
        <w:t>b</w:t>
      </w:r>
      <w:r w:rsidRPr="000E6F59">
        <w:rPr>
          <w:rFonts w:ascii="Arial" w:hAnsi="Arial"/>
          <w:sz w:val="18"/>
          <w:szCs w:val="20"/>
        </w:rPr>
        <w:t> See table 4A.</w:t>
      </w:r>
      <w:r w:rsidR="009807CA">
        <w:rPr>
          <w:rFonts w:ascii="Arial" w:hAnsi="Arial"/>
          <w:sz w:val="18"/>
          <w:szCs w:val="20"/>
        </w:rPr>
        <w:t>30</w:t>
      </w:r>
      <w:r w:rsidRPr="000E6F59">
        <w:rPr>
          <w:rFonts w:ascii="Arial" w:hAnsi="Arial"/>
          <w:sz w:val="18"/>
          <w:szCs w:val="20"/>
        </w:rPr>
        <w:t xml:space="preserve"> for details of LBOTE definitions.</w:t>
      </w:r>
    </w:p>
    <w:p w:rsidR="00666ECE" w:rsidRPr="000E6F59" w:rsidRDefault="00666ECE" w:rsidP="00666ECE">
      <w:pPr>
        <w:keepLines/>
        <w:spacing w:before="80" w:after="120" w:line="220" w:lineRule="exact"/>
        <w:jc w:val="both"/>
        <w:rPr>
          <w:rFonts w:ascii="Arial" w:hAnsi="Arial"/>
          <w:sz w:val="18"/>
          <w:szCs w:val="20"/>
        </w:rPr>
      </w:pPr>
      <w:r w:rsidRPr="000E6F59">
        <w:rPr>
          <w:rFonts w:ascii="Arial" w:hAnsi="Arial"/>
          <w:i/>
          <w:sz w:val="18"/>
          <w:szCs w:val="20"/>
        </w:rPr>
        <w:t>Source</w:t>
      </w:r>
      <w:r w:rsidRPr="000E6F59">
        <w:rPr>
          <w:rFonts w:ascii="Arial" w:hAnsi="Arial"/>
          <w:sz w:val="18"/>
          <w:szCs w:val="20"/>
        </w:rPr>
        <w:t xml:space="preserve">: </w:t>
      </w:r>
      <w:r w:rsidR="001D6209" w:rsidRPr="001D6209">
        <w:rPr>
          <w:rFonts w:ascii="Arial" w:hAnsi="Arial"/>
          <w:sz w:val="18"/>
          <w:szCs w:val="20"/>
        </w:rPr>
        <w:t xml:space="preserve">Australian Government </w:t>
      </w:r>
      <w:r w:rsidR="007D2D50" w:rsidRPr="007D2D50">
        <w:rPr>
          <w:rFonts w:ascii="Arial" w:hAnsi="Arial"/>
          <w:sz w:val="18"/>
          <w:szCs w:val="20"/>
        </w:rPr>
        <w:t>Department of Education</w:t>
      </w:r>
      <w:r w:rsidR="006451F8" w:rsidRPr="006451F8">
        <w:rPr>
          <w:rFonts w:ascii="Arial" w:hAnsi="Arial"/>
          <w:sz w:val="18"/>
          <w:szCs w:val="20"/>
        </w:rPr>
        <w:t xml:space="preserve"> (unpublished) based on the ABS 2011 Census of Population and Housing;</w:t>
      </w:r>
      <w:r w:rsidR="006451F8">
        <w:rPr>
          <w:rFonts w:ascii="Arial" w:hAnsi="Arial"/>
          <w:sz w:val="18"/>
          <w:szCs w:val="20"/>
        </w:rPr>
        <w:t xml:space="preserve"> </w:t>
      </w:r>
      <w:r w:rsidR="003B149C" w:rsidRPr="000E6F59">
        <w:rPr>
          <w:rFonts w:ascii="Arial" w:hAnsi="Arial"/>
          <w:sz w:val="18"/>
          <w:szCs w:val="20"/>
        </w:rPr>
        <w:t xml:space="preserve">ABS (2012) </w:t>
      </w:r>
      <w:r w:rsidR="003B149C" w:rsidRPr="000E6F59">
        <w:rPr>
          <w:rFonts w:ascii="Arial" w:hAnsi="Arial"/>
          <w:i/>
          <w:sz w:val="18"/>
          <w:szCs w:val="20"/>
        </w:rPr>
        <w:t>Schools Australia 2011</w:t>
      </w:r>
      <w:r w:rsidR="003B149C" w:rsidRPr="000E6F59">
        <w:rPr>
          <w:rFonts w:ascii="Arial" w:hAnsi="Arial"/>
          <w:sz w:val="18"/>
          <w:szCs w:val="20"/>
        </w:rPr>
        <w:t>, Cat. no. 4221.0;</w:t>
      </w:r>
      <w:r w:rsidR="003B149C">
        <w:rPr>
          <w:rFonts w:ascii="Arial" w:hAnsi="Arial"/>
          <w:sz w:val="18"/>
          <w:szCs w:val="20"/>
        </w:rPr>
        <w:t xml:space="preserve"> </w:t>
      </w:r>
      <w:r w:rsidRPr="000E6F59">
        <w:rPr>
          <w:rFonts w:ascii="Arial" w:hAnsi="Arial"/>
          <w:sz w:val="18"/>
          <w:szCs w:val="20"/>
        </w:rPr>
        <w:t>table 4A.</w:t>
      </w:r>
      <w:r w:rsidR="009807CA">
        <w:rPr>
          <w:rFonts w:ascii="Arial" w:hAnsi="Arial"/>
          <w:sz w:val="18"/>
          <w:szCs w:val="20"/>
        </w:rPr>
        <w:t>30</w:t>
      </w:r>
      <w:r w:rsidRPr="000E6F59">
        <w:rPr>
          <w:rFonts w:ascii="Arial" w:hAnsi="Arial"/>
          <w:sz w:val="18"/>
          <w:szCs w:val="20"/>
        </w:rPr>
        <w:t>.</w:t>
      </w:r>
    </w:p>
    <w:p w:rsidR="00666ECE" w:rsidRPr="007055A8" w:rsidRDefault="006451F8" w:rsidP="00F4596F">
      <w:pPr>
        <w:keepNext/>
        <w:shd w:val="clear" w:color="auto" w:fill="FFFFFF" w:themeFill="background1"/>
        <w:spacing w:before="480" w:line="320" w:lineRule="exact"/>
        <w:outlineLvl w:val="3"/>
        <w:rPr>
          <w:rFonts w:ascii="Arial" w:hAnsi="Arial"/>
          <w:i/>
          <w:sz w:val="24"/>
        </w:rPr>
      </w:pPr>
      <w:r w:rsidRPr="007055A8">
        <w:rPr>
          <w:rFonts w:ascii="Arial" w:hAnsi="Arial"/>
          <w:i/>
          <w:sz w:val="24"/>
        </w:rPr>
        <w:t xml:space="preserve">Students with </w:t>
      </w:r>
      <w:r w:rsidRPr="00F4596F">
        <w:rPr>
          <w:rFonts w:ascii="Arial" w:hAnsi="Arial"/>
          <w:i/>
          <w:sz w:val="24"/>
          <w:shd w:val="clear" w:color="auto" w:fill="FFFFFF" w:themeFill="background1"/>
        </w:rPr>
        <w:t>disability</w:t>
      </w:r>
    </w:p>
    <w:p w:rsidR="00666ECE" w:rsidRPr="007055A8" w:rsidRDefault="00666ECE" w:rsidP="00F4596F">
      <w:pPr>
        <w:shd w:val="clear" w:color="auto" w:fill="FFFFFF" w:themeFill="background1"/>
        <w:spacing w:before="240" w:line="320" w:lineRule="atLeast"/>
        <w:jc w:val="both"/>
        <w:rPr>
          <w:szCs w:val="20"/>
        </w:rPr>
      </w:pPr>
      <w:r w:rsidRPr="007055A8">
        <w:rPr>
          <w:szCs w:val="20"/>
        </w:rPr>
        <w:t xml:space="preserve">Students with </w:t>
      </w:r>
      <w:r w:rsidRPr="00F4596F">
        <w:rPr>
          <w:szCs w:val="20"/>
          <w:shd w:val="clear" w:color="auto" w:fill="FFFFFF" w:themeFill="background1"/>
        </w:rPr>
        <w:t>disabilit</w:t>
      </w:r>
      <w:r w:rsidR="006451F8" w:rsidRPr="00F4596F">
        <w:rPr>
          <w:szCs w:val="20"/>
          <w:shd w:val="clear" w:color="auto" w:fill="FFFFFF" w:themeFill="background1"/>
        </w:rPr>
        <w:t>y</w:t>
      </w:r>
      <w:r w:rsidRPr="00F4596F">
        <w:rPr>
          <w:szCs w:val="20"/>
          <w:shd w:val="clear" w:color="auto" w:fill="FFFFFF" w:themeFill="background1"/>
        </w:rPr>
        <w:t xml:space="preserve"> are educated in both mainstream and special schools. Students with disabilit</w:t>
      </w:r>
      <w:r w:rsidR="006451F8" w:rsidRPr="00F4596F">
        <w:rPr>
          <w:szCs w:val="20"/>
          <w:shd w:val="clear" w:color="auto" w:fill="FFFFFF" w:themeFill="background1"/>
        </w:rPr>
        <w:t>y</w:t>
      </w:r>
      <w:r w:rsidRPr="007055A8">
        <w:rPr>
          <w:szCs w:val="20"/>
        </w:rPr>
        <w:t xml:space="preserve"> are those students who satisfy the criteria for enrolment in special education services or programs provided in the State or Territory in which they are enrolled. These criteria vary across jurisdictions. </w:t>
      </w:r>
    </w:p>
    <w:p w:rsidR="00666ECE" w:rsidRPr="00231E34" w:rsidRDefault="00666ECE" w:rsidP="00F4596F">
      <w:pPr>
        <w:spacing w:before="240" w:line="320" w:lineRule="atLeast"/>
        <w:jc w:val="both"/>
        <w:rPr>
          <w:rStyle w:val="DraftingNote"/>
          <w:color w:val="auto"/>
        </w:rPr>
      </w:pPr>
      <w:r w:rsidRPr="007055A8">
        <w:rPr>
          <w:szCs w:val="20"/>
        </w:rPr>
        <w:t>Nationally in 201</w:t>
      </w:r>
      <w:r w:rsidR="00653F56">
        <w:rPr>
          <w:szCs w:val="20"/>
        </w:rPr>
        <w:t>2</w:t>
      </w:r>
      <w:r w:rsidRPr="007055A8">
        <w:rPr>
          <w:szCs w:val="20"/>
        </w:rPr>
        <w:t xml:space="preserve">, the proportion of </w:t>
      </w:r>
      <w:r w:rsidRPr="00620779">
        <w:rPr>
          <w:szCs w:val="20"/>
        </w:rPr>
        <w:t xml:space="preserve">students with </w:t>
      </w:r>
      <w:r w:rsidRPr="00620779">
        <w:rPr>
          <w:szCs w:val="20"/>
          <w:shd w:val="clear" w:color="auto" w:fill="FFFFFF" w:themeFill="background1"/>
        </w:rPr>
        <w:t>disabilit</w:t>
      </w:r>
      <w:r w:rsidR="006451F8" w:rsidRPr="00620779">
        <w:rPr>
          <w:szCs w:val="20"/>
          <w:shd w:val="clear" w:color="auto" w:fill="FFFFFF" w:themeFill="background1"/>
        </w:rPr>
        <w:t>y</w:t>
      </w:r>
      <w:r w:rsidRPr="00620779">
        <w:rPr>
          <w:szCs w:val="20"/>
          <w:shd w:val="clear" w:color="auto" w:fill="FFFFFF" w:themeFill="background1"/>
        </w:rPr>
        <w:t xml:space="preserve"> f</w:t>
      </w:r>
      <w:r w:rsidRPr="00620779">
        <w:rPr>
          <w:szCs w:val="20"/>
        </w:rPr>
        <w:t xml:space="preserve">or all schools was </w:t>
      </w:r>
      <w:r w:rsidR="002D33DC" w:rsidRPr="00620779">
        <w:rPr>
          <w:szCs w:val="20"/>
        </w:rPr>
        <w:t>5.1</w:t>
      </w:r>
      <w:r w:rsidRPr="00620779">
        <w:rPr>
          <w:szCs w:val="20"/>
        </w:rPr>
        <w:t> per cent and almost twice as high in government schools (</w:t>
      </w:r>
      <w:r w:rsidR="002D33DC" w:rsidRPr="00620779">
        <w:rPr>
          <w:szCs w:val="20"/>
        </w:rPr>
        <w:t>6.</w:t>
      </w:r>
      <w:r w:rsidR="00620779" w:rsidRPr="00620779">
        <w:rPr>
          <w:szCs w:val="20"/>
        </w:rPr>
        <w:t>1</w:t>
      </w:r>
      <w:r w:rsidRPr="00620779">
        <w:rPr>
          <w:szCs w:val="20"/>
        </w:rPr>
        <w:t xml:space="preserve"> per cent), </w:t>
      </w:r>
      <w:r w:rsidR="001B6514">
        <w:rPr>
          <w:szCs w:val="20"/>
        </w:rPr>
        <w:t>than in</w:t>
      </w:r>
      <w:r w:rsidRPr="00620779">
        <w:rPr>
          <w:szCs w:val="20"/>
        </w:rPr>
        <w:t xml:space="preserve"> non-government </w:t>
      </w:r>
      <w:r w:rsidRPr="00104AF2">
        <w:rPr>
          <w:szCs w:val="20"/>
          <w:shd w:val="clear" w:color="auto" w:fill="FFFFFF" w:themeFill="background1"/>
        </w:rPr>
        <w:t>schools (</w:t>
      </w:r>
      <w:r w:rsidR="002D33DC" w:rsidRPr="00104AF2">
        <w:rPr>
          <w:szCs w:val="20"/>
          <w:shd w:val="clear" w:color="auto" w:fill="FFFFFF" w:themeFill="background1"/>
        </w:rPr>
        <w:t>3.</w:t>
      </w:r>
      <w:r w:rsidR="00620779" w:rsidRPr="00104AF2">
        <w:rPr>
          <w:szCs w:val="20"/>
          <w:shd w:val="clear" w:color="auto" w:fill="FFFFFF" w:themeFill="background1"/>
        </w:rPr>
        <w:t>4</w:t>
      </w:r>
      <w:r w:rsidRPr="00104AF2">
        <w:rPr>
          <w:szCs w:val="20"/>
          <w:shd w:val="clear" w:color="auto" w:fill="FFFFFF" w:themeFill="background1"/>
        </w:rPr>
        <w:t xml:space="preserve"> per cent) (figure 4.3). Information regarding attainment and participation for students with disabilit</w:t>
      </w:r>
      <w:r w:rsidR="006451F8" w:rsidRPr="00104AF2">
        <w:rPr>
          <w:szCs w:val="20"/>
          <w:shd w:val="clear" w:color="auto" w:fill="FFFFFF" w:themeFill="background1"/>
        </w:rPr>
        <w:t>y</w:t>
      </w:r>
      <w:r w:rsidRPr="00104AF2">
        <w:rPr>
          <w:szCs w:val="20"/>
          <w:shd w:val="clear" w:color="auto" w:fill="FFFFFF" w:themeFill="background1"/>
        </w:rPr>
        <w:t>, based on the ABS 2009 Survey of Education and Training and</w:t>
      </w:r>
      <w:r w:rsidRPr="007055A8">
        <w:rPr>
          <w:szCs w:val="20"/>
        </w:rPr>
        <w:t xml:space="preserve"> the 20</w:t>
      </w:r>
      <w:r w:rsidR="00037A0A" w:rsidRPr="007055A8">
        <w:rPr>
          <w:szCs w:val="20"/>
        </w:rPr>
        <w:t>11</w:t>
      </w:r>
      <w:r w:rsidRPr="007055A8">
        <w:rPr>
          <w:szCs w:val="20"/>
        </w:rPr>
        <w:t xml:space="preserve"> Census of Population and Housing</w:t>
      </w:r>
      <w:r w:rsidR="0019719B" w:rsidRPr="007055A8">
        <w:rPr>
          <w:szCs w:val="20"/>
        </w:rPr>
        <w:t>,</w:t>
      </w:r>
      <w:r w:rsidRPr="007055A8">
        <w:rPr>
          <w:szCs w:val="20"/>
        </w:rPr>
        <w:t xml:space="preserve"> are included in the attachment to </w:t>
      </w:r>
      <w:r w:rsidRPr="00F4596F">
        <w:rPr>
          <w:szCs w:val="20"/>
        </w:rPr>
        <w:t xml:space="preserve">the Services for people with disability chapter of </w:t>
      </w:r>
      <w:r w:rsidR="000B2CA3" w:rsidRPr="00F4596F">
        <w:rPr>
          <w:szCs w:val="20"/>
        </w:rPr>
        <w:t>this</w:t>
      </w:r>
      <w:r w:rsidRPr="00F4596F">
        <w:rPr>
          <w:szCs w:val="20"/>
        </w:rPr>
        <w:t xml:space="preserve"> Report (</w:t>
      </w:r>
      <w:r w:rsidRPr="00231E34">
        <w:rPr>
          <w:szCs w:val="20"/>
        </w:rPr>
        <w:t>tables 14A.1</w:t>
      </w:r>
      <w:r w:rsidR="00037A0A" w:rsidRPr="00231E34">
        <w:rPr>
          <w:szCs w:val="20"/>
        </w:rPr>
        <w:t>4</w:t>
      </w:r>
      <w:r w:rsidR="00231E34" w:rsidRPr="00231E34">
        <w:rPr>
          <w:szCs w:val="20"/>
        </w:rPr>
        <w:t>0</w:t>
      </w:r>
      <w:r w:rsidRPr="00231E34">
        <w:rPr>
          <w:szCs w:val="20"/>
        </w:rPr>
        <w:t>–1</w:t>
      </w:r>
      <w:r w:rsidR="00037A0A" w:rsidRPr="00231E34">
        <w:rPr>
          <w:szCs w:val="20"/>
        </w:rPr>
        <w:t>4</w:t>
      </w:r>
      <w:r w:rsidR="00231E34" w:rsidRPr="00231E34">
        <w:rPr>
          <w:szCs w:val="20"/>
        </w:rPr>
        <w:t>3</w:t>
      </w:r>
      <w:r w:rsidR="00037A0A" w:rsidRPr="00231E34">
        <w:rPr>
          <w:szCs w:val="20"/>
        </w:rPr>
        <w:t>)</w:t>
      </w:r>
      <w:r w:rsidR="008D3CBD">
        <w:rPr>
          <w:szCs w:val="20"/>
        </w:rPr>
        <w:t>.</w:t>
      </w:r>
      <w:r w:rsidR="009E6DB8" w:rsidRPr="00231E34">
        <w:rPr>
          <w:szCs w:val="20"/>
        </w:rPr>
        <w:t xml:space="preserve"> </w:t>
      </w:r>
    </w:p>
    <w:p w:rsidR="00666ECE" w:rsidRPr="006040C5" w:rsidRDefault="00666ECE" w:rsidP="002C3941">
      <w:pPr>
        <w:pStyle w:val="FigureTitle"/>
        <w:rPr>
          <w:position w:val="6"/>
          <w:sz w:val="18"/>
        </w:rPr>
      </w:pPr>
      <w:r w:rsidRPr="007A7568">
        <w:rPr>
          <w:b w:val="0"/>
        </w:rPr>
        <w:lastRenderedPageBreak/>
        <w:t xml:space="preserve">Figure </w:t>
      </w:r>
      <w:bookmarkStart w:id="13" w:name="OLE_LINK17"/>
      <w:r w:rsidR="00EB256F" w:rsidRPr="007A7568">
        <w:rPr>
          <w:b w:val="0"/>
        </w:rPr>
        <w:t>4.</w:t>
      </w:r>
      <w:r w:rsidR="00EC06F7" w:rsidRPr="007A7568">
        <w:rPr>
          <w:b w:val="0"/>
          <w:noProof/>
        </w:rPr>
        <w:t>3</w:t>
      </w:r>
      <w:bookmarkEnd w:id="13"/>
      <w:r w:rsidRPr="007A7568">
        <w:rPr>
          <w:b w:val="0"/>
        </w:rPr>
        <w:tab/>
      </w:r>
      <w:r w:rsidRPr="0063025F">
        <w:t xml:space="preserve">Funded students with </w:t>
      </w:r>
      <w:r w:rsidRPr="0063025F">
        <w:rPr>
          <w:shd w:val="clear" w:color="auto" w:fill="FFFFFF" w:themeFill="background1"/>
        </w:rPr>
        <w:t>disabilit</w:t>
      </w:r>
      <w:r w:rsidR="006451F8" w:rsidRPr="0063025F">
        <w:rPr>
          <w:shd w:val="clear" w:color="auto" w:fill="FFFFFF" w:themeFill="background1"/>
        </w:rPr>
        <w:t>y</w:t>
      </w:r>
      <w:r w:rsidRPr="0063025F">
        <w:rPr>
          <w:shd w:val="clear" w:color="auto" w:fill="FFFFFF" w:themeFill="background1"/>
        </w:rPr>
        <w:t xml:space="preserve"> </w:t>
      </w:r>
      <w:r w:rsidRPr="0063025F">
        <w:t>as a proportion of all students, 201</w:t>
      </w:r>
      <w:r w:rsidR="00653F56" w:rsidRPr="0063025F">
        <w:t>2</w:t>
      </w:r>
      <w:r w:rsidRPr="006040C5">
        <w:rPr>
          <w:position w:val="6"/>
          <w:sz w:val="18"/>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53F56" w:rsidTr="0036281D">
        <w:tc>
          <w:tcPr>
            <w:tcW w:w="8777" w:type="dxa"/>
          </w:tcPr>
          <w:p w:rsidR="00666ECE" w:rsidRPr="00653F56" w:rsidRDefault="008B34BD" w:rsidP="00666ECE">
            <w:pPr>
              <w:keepNext/>
              <w:spacing w:before="120" w:after="120" w:line="240" w:lineRule="atLeast"/>
              <w:jc w:val="center"/>
              <w:rPr>
                <w:color w:val="FF0000"/>
                <w:szCs w:val="20"/>
              </w:rPr>
            </w:pPr>
            <w:r>
              <w:rPr>
                <w:noProof/>
                <w:color w:val="FF0000"/>
                <w:szCs w:val="20"/>
              </w:rPr>
              <w:drawing>
                <wp:inline distT="0" distB="0" distL="0" distR="0">
                  <wp:extent cx="5391150" cy="2628900"/>
                  <wp:effectExtent l="0" t="0" r="0" b="0"/>
                  <wp:docPr id="3" name="Picture 3" descr="Figure 4.3 Funded students with disability as a proportion of all students,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28900"/>
                          </a:xfrm>
                          <a:prstGeom prst="rect">
                            <a:avLst/>
                          </a:prstGeom>
                          <a:noFill/>
                          <a:ln>
                            <a:noFill/>
                          </a:ln>
                        </pic:spPr>
                      </pic:pic>
                    </a:graphicData>
                  </a:graphic>
                </wp:inline>
              </w:drawing>
            </w:r>
          </w:p>
        </w:tc>
      </w:tr>
    </w:tbl>
    <w:p w:rsidR="00666ECE" w:rsidRPr="00666ECE" w:rsidRDefault="00666ECE" w:rsidP="008B0548">
      <w:pPr>
        <w:pStyle w:val="Note"/>
      </w:pPr>
      <w:r w:rsidRPr="008B0548">
        <w:rPr>
          <w:rStyle w:val="NoteLabel"/>
        </w:rPr>
        <w:t>a</w:t>
      </w:r>
      <w:r w:rsidRPr="00666ECE">
        <w:sym w:font="Symbol" w:char="F020"/>
      </w:r>
      <w:r w:rsidRPr="00666ECE">
        <w:t> </w:t>
      </w:r>
      <w:r w:rsidRPr="007055A8">
        <w:t xml:space="preserve">The ABS total student data refer to the number of full time students (not FTE students). </w:t>
      </w:r>
      <w:r w:rsidRPr="008B0548">
        <w:rPr>
          <w:rStyle w:val="NoteLabel"/>
        </w:rPr>
        <w:t>b</w:t>
      </w:r>
      <w:r w:rsidRPr="007055A8">
        <w:t xml:space="preserve"> To be an eligible student </w:t>
      </w:r>
      <w:r w:rsidRPr="00640DB6">
        <w:rPr>
          <w:shd w:val="clear" w:color="auto" w:fill="FFFFFF" w:themeFill="background1"/>
        </w:rPr>
        <w:t>with disabilit</w:t>
      </w:r>
      <w:r w:rsidR="006451F8" w:rsidRPr="00640DB6">
        <w:rPr>
          <w:shd w:val="clear" w:color="auto" w:fill="FFFFFF" w:themeFill="background1"/>
        </w:rPr>
        <w:t>y</w:t>
      </w:r>
      <w:r w:rsidRPr="00640DB6">
        <w:rPr>
          <w:shd w:val="clear" w:color="auto" w:fill="FFFFFF" w:themeFill="background1"/>
        </w:rPr>
        <w:t xml:space="preserve">, the student (among other things) must satisfy the criteria for enrolment in special education services or special education programs provided by the government of the State or Territory in which the student resides. Data should be used with caution as these criteria vary across jurisdictions; for example, SA data include a large number of students in the communication and language </w:t>
      </w:r>
      <w:r w:rsidR="003F05B7">
        <w:rPr>
          <w:shd w:val="clear" w:color="auto" w:fill="FFFFFF" w:themeFill="background1"/>
        </w:rPr>
        <w:t>impairment category. This sub-set of students is not</w:t>
      </w:r>
      <w:r w:rsidR="00E51DA8" w:rsidRPr="00640DB6">
        <w:rPr>
          <w:shd w:val="clear" w:color="auto" w:fill="FFFFFF" w:themeFill="background1"/>
        </w:rPr>
        <w:t xml:space="preserve"> counted by other states and territories under funded students with disability, as </w:t>
      </w:r>
      <w:r w:rsidR="00E51DA8">
        <w:rPr>
          <w:shd w:val="clear" w:color="auto" w:fill="FFFFFF" w:themeFill="background1"/>
        </w:rPr>
        <w:t>these jurisdictions</w:t>
      </w:r>
      <w:r w:rsidR="00E51DA8" w:rsidRPr="007055A8">
        <w:t xml:space="preserve"> fund these students with other specific programs. </w:t>
      </w:r>
      <w:r w:rsidR="00E51DA8" w:rsidRPr="008B0548">
        <w:rPr>
          <w:rStyle w:val="NoteLabel"/>
        </w:rPr>
        <w:t>c</w:t>
      </w:r>
      <w:r w:rsidR="00E51DA8" w:rsidRPr="007055A8">
        <w:t xml:space="preserve"> Excludes Full Fee Paying </w:t>
      </w:r>
      <w:r w:rsidRPr="007055A8">
        <w:t>Overseas students and students</w:t>
      </w:r>
      <w:r w:rsidRPr="00666ECE">
        <w:t xml:space="preserve"> on Christmas and Cocos Islands from both the government and non</w:t>
      </w:r>
      <w:r w:rsidR="00203666">
        <w:noBreakHyphen/>
      </w:r>
      <w:r w:rsidRPr="00666ECE">
        <w:t>government sectors.</w:t>
      </w:r>
    </w:p>
    <w:p w:rsidR="00666ECE" w:rsidRPr="00666ECE" w:rsidRDefault="00666ECE" w:rsidP="00666ECE">
      <w:pPr>
        <w:keepLines/>
        <w:spacing w:before="80" w:after="120" w:line="220" w:lineRule="exact"/>
        <w:jc w:val="both"/>
        <w:rPr>
          <w:rFonts w:ascii="Arial" w:hAnsi="Arial"/>
          <w:sz w:val="18"/>
          <w:szCs w:val="20"/>
        </w:rPr>
      </w:pPr>
      <w:r w:rsidRPr="000E6F59">
        <w:rPr>
          <w:rFonts w:ascii="Arial" w:hAnsi="Arial"/>
          <w:i/>
          <w:sz w:val="18"/>
          <w:szCs w:val="20"/>
        </w:rPr>
        <w:t>Source</w:t>
      </w:r>
      <w:r w:rsidRPr="000E6F59">
        <w:rPr>
          <w:rFonts w:ascii="Arial" w:hAnsi="Arial"/>
          <w:sz w:val="18"/>
          <w:szCs w:val="20"/>
        </w:rPr>
        <w:t xml:space="preserve">: </w:t>
      </w:r>
      <w:r w:rsidR="001D6209" w:rsidRPr="001D6209">
        <w:rPr>
          <w:rFonts w:ascii="Arial" w:hAnsi="Arial"/>
          <w:sz w:val="18"/>
          <w:szCs w:val="20"/>
        </w:rPr>
        <w:t xml:space="preserve">Australian Government </w:t>
      </w:r>
      <w:r w:rsidR="007D2D50" w:rsidRPr="007D2D50">
        <w:rPr>
          <w:rFonts w:ascii="Arial" w:hAnsi="Arial"/>
          <w:sz w:val="18"/>
          <w:szCs w:val="20"/>
        </w:rPr>
        <w:t>Department of Education</w:t>
      </w:r>
      <w:r w:rsidR="006451F8" w:rsidRPr="000E6F59">
        <w:rPr>
          <w:rFonts w:ascii="Arial" w:hAnsi="Arial"/>
          <w:sz w:val="18"/>
          <w:szCs w:val="20"/>
        </w:rPr>
        <w:t xml:space="preserve"> (unpublished); </w:t>
      </w:r>
      <w:r w:rsidRPr="000E6F59">
        <w:rPr>
          <w:rFonts w:ascii="Arial" w:hAnsi="Arial"/>
          <w:sz w:val="18"/>
          <w:szCs w:val="20"/>
        </w:rPr>
        <w:t>ABS (201</w:t>
      </w:r>
      <w:r w:rsidR="00653F56">
        <w:rPr>
          <w:rFonts w:ascii="Arial" w:hAnsi="Arial"/>
          <w:sz w:val="18"/>
          <w:szCs w:val="20"/>
        </w:rPr>
        <w:t>3</w:t>
      </w:r>
      <w:r w:rsidRPr="000E6F59">
        <w:rPr>
          <w:rFonts w:ascii="Arial" w:hAnsi="Arial"/>
          <w:sz w:val="18"/>
          <w:szCs w:val="20"/>
        </w:rPr>
        <w:t xml:space="preserve">) </w:t>
      </w:r>
      <w:r w:rsidRPr="000E6F59">
        <w:rPr>
          <w:rFonts w:ascii="Arial" w:hAnsi="Arial"/>
          <w:i/>
          <w:sz w:val="18"/>
          <w:szCs w:val="20"/>
        </w:rPr>
        <w:t>Schools Australia 201</w:t>
      </w:r>
      <w:r w:rsidR="00653F56">
        <w:rPr>
          <w:rFonts w:ascii="Arial" w:hAnsi="Arial"/>
          <w:i/>
          <w:sz w:val="18"/>
          <w:szCs w:val="20"/>
        </w:rPr>
        <w:t>2</w:t>
      </w:r>
      <w:r w:rsidRPr="000E6F59">
        <w:rPr>
          <w:rFonts w:ascii="Arial" w:hAnsi="Arial"/>
          <w:sz w:val="18"/>
          <w:szCs w:val="20"/>
        </w:rPr>
        <w:t>, Cat. no. 4221.0; table 4A.</w:t>
      </w:r>
      <w:r w:rsidR="009807CA">
        <w:rPr>
          <w:rFonts w:ascii="Arial" w:hAnsi="Arial"/>
          <w:sz w:val="18"/>
          <w:szCs w:val="20"/>
        </w:rPr>
        <w:t>31</w:t>
      </w:r>
      <w:r w:rsidRPr="000E6F59">
        <w:rPr>
          <w:rFonts w:ascii="Arial" w:hAnsi="Arial"/>
          <w:sz w:val="18"/>
          <w:szCs w:val="20"/>
        </w:rPr>
        <w:t>.</w:t>
      </w:r>
    </w:p>
    <w:p w:rsidR="00666ECE" w:rsidRPr="00666ECE" w:rsidRDefault="00666ECE" w:rsidP="00666ECE">
      <w:pPr>
        <w:keepNext/>
        <w:spacing w:before="480" w:line="320" w:lineRule="exact"/>
        <w:outlineLvl w:val="3"/>
        <w:rPr>
          <w:rFonts w:ascii="Arial" w:hAnsi="Arial"/>
          <w:i/>
          <w:sz w:val="24"/>
        </w:rPr>
      </w:pPr>
      <w:r w:rsidRPr="00666ECE">
        <w:rPr>
          <w:rFonts w:ascii="Arial" w:hAnsi="Arial"/>
          <w:i/>
          <w:sz w:val="24"/>
        </w:rPr>
        <w:t>Geographically remote students</w:t>
      </w:r>
      <w:r w:rsidR="00643280">
        <w:rPr>
          <w:rFonts w:ascii="Arial" w:hAnsi="Arial"/>
          <w:i/>
          <w:sz w:val="24"/>
        </w:rPr>
        <w:t xml:space="preserve"> </w:t>
      </w:r>
    </w:p>
    <w:p w:rsidR="00666ECE" w:rsidRPr="00666ECE" w:rsidRDefault="00666ECE" w:rsidP="00666ECE">
      <w:pPr>
        <w:spacing w:before="240" w:line="320" w:lineRule="atLeast"/>
        <w:jc w:val="both"/>
        <w:rPr>
          <w:szCs w:val="20"/>
        </w:rPr>
      </w:pPr>
      <w:r w:rsidRPr="00666ECE">
        <w:rPr>
          <w:szCs w:val="20"/>
        </w:rPr>
        <w:t>Identification of geographically remote students is based on the school location according to the metropolitan zone, provincial zone, remote areas and very remote</w:t>
      </w:r>
      <w:r w:rsidRPr="00666ECE">
        <w:rPr>
          <w:szCs w:val="20"/>
        </w:rPr>
        <w:br/>
        <w:t xml:space="preserve">areas as defined in the </w:t>
      </w:r>
      <w:r w:rsidR="0019719B">
        <w:rPr>
          <w:szCs w:val="20"/>
        </w:rPr>
        <w:t xml:space="preserve">former </w:t>
      </w:r>
      <w:r w:rsidRPr="00666ECE">
        <w:rPr>
          <w:szCs w:val="20"/>
        </w:rPr>
        <w:t xml:space="preserve">MCEETYA </w:t>
      </w:r>
      <w:r w:rsidR="0019719B">
        <w:rPr>
          <w:szCs w:val="20"/>
        </w:rPr>
        <w:t xml:space="preserve">(now replaced by SCSEEC) </w:t>
      </w:r>
      <w:r w:rsidRPr="00666ECE">
        <w:rPr>
          <w:szCs w:val="20"/>
        </w:rPr>
        <w:t>agreed classification</w:t>
      </w:r>
      <w:r w:rsidRPr="00666ECE">
        <w:rPr>
          <w:position w:val="6"/>
          <w:sz w:val="22"/>
          <w:szCs w:val="20"/>
        </w:rPr>
        <w:footnoteReference w:id="2"/>
      </w:r>
      <w:r w:rsidRPr="00666ECE">
        <w:rPr>
          <w:szCs w:val="20"/>
        </w:rPr>
        <w:t xml:space="preserve"> (see section 4.6 for a definition of the geographic classification used). The proportion of students </w:t>
      </w:r>
      <w:r w:rsidR="0013774C" w:rsidRPr="00104AF2">
        <w:rPr>
          <w:szCs w:val="20"/>
          <w:shd w:val="clear" w:color="auto" w:fill="FFFFFF" w:themeFill="background1"/>
        </w:rPr>
        <w:t>enrolled in</w:t>
      </w:r>
      <w:r w:rsidRPr="00666ECE">
        <w:rPr>
          <w:szCs w:val="20"/>
        </w:rPr>
        <w:t xml:space="preserve"> schools in remote areas varies greatly across jurisdictions (table 4.6).</w:t>
      </w:r>
    </w:p>
    <w:p w:rsidR="00666ECE" w:rsidRPr="006040C5" w:rsidRDefault="00666ECE" w:rsidP="00666ECE">
      <w:pPr>
        <w:spacing w:before="240" w:line="320" w:lineRule="atLeast"/>
        <w:jc w:val="both"/>
        <w:rPr>
          <w:szCs w:val="20"/>
        </w:rPr>
      </w:pPr>
      <w:r w:rsidRPr="000E6F59">
        <w:rPr>
          <w:szCs w:val="20"/>
        </w:rPr>
        <w:t>Nationally in 201</w:t>
      </w:r>
      <w:r w:rsidR="00643280">
        <w:rPr>
          <w:szCs w:val="20"/>
        </w:rPr>
        <w:t>2</w:t>
      </w:r>
      <w:r w:rsidRPr="000E6F59">
        <w:rPr>
          <w:szCs w:val="20"/>
        </w:rPr>
        <w:t xml:space="preserve">, the proportion of students enrolled in </w:t>
      </w:r>
      <w:r w:rsidR="00746562">
        <w:rPr>
          <w:szCs w:val="20"/>
        </w:rPr>
        <w:t xml:space="preserve">schools in remote areas was 1.4 </w:t>
      </w:r>
      <w:r w:rsidRPr="000E6F59">
        <w:rPr>
          <w:szCs w:val="20"/>
        </w:rPr>
        <w:t xml:space="preserve">per cent, and more than twice as </w:t>
      </w:r>
      <w:r w:rsidRPr="006040C5">
        <w:rPr>
          <w:szCs w:val="20"/>
        </w:rPr>
        <w:t>high in government schools (</w:t>
      </w:r>
      <w:r w:rsidR="00810456" w:rsidRPr="006040C5">
        <w:rPr>
          <w:szCs w:val="20"/>
        </w:rPr>
        <w:t>1.7</w:t>
      </w:r>
      <w:r w:rsidRPr="006040C5">
        <w:rPr>
          <w:szCs w:val="20"/>
        </w:rPr>
        <w:t xml:space="preserve"> per cent) </w:t>
      </w:r>
      <w:r w:rsidRPr="006040C5">
        <w:rPr>
          <w:szCs w:val="20"/>
        </w:rPr>
        <w:lastRenderedPageBreak/>
        <w:t>than in non-government schools (</w:t>
      </w:r>
      <w:r w:rsidR="00810456" w:rsidRPr="006040C5">
        <w:rPr>
          <w:szCs w:val="20"/>
        </w:rPr>
        <w:t>0.8</w:t>
      </w:r>
      <w:r w:rsidRPr="006040C5">
        <w:rPr>
          <w:szCs w:val="20"/>
        </w:rPr>
        <w:t xml:space="preserve"> per cent). </w:t>
      </w:r>
      <w:r w:rsidRPr="000E6F59">
        <w:rPr>
          <w:szCs w:val="20"/>
        </w:rPr>
        <w:t xml:space="preserve">Nationally, the proportion of students enrolled in schools in very remote </w:t>
      </w:r>
      <w:r w:rsidRPr="006040C5">
        <w:rPr>
          <w:szCs w:val="20"/>
        </w:rPr>
        <w:t xml:space="preserve">areas was </w:t>
      </w:r>
      <w:r w:rsidR="00810456" w:rsidRPr="006040C5">
        <w:rPr>
          <w:szCs w:val="20"/>
        </w:rPr>
        <w:t>0.9</w:t>
      </w:r>
      <w:r w:rsidRPr="006040C5">
        <w:rPr>
          <w:szCs w:val="20"/>
        </w:rPr>
        <w:t xml:space="preserve"> per cent, and </w:t>
      </w:r>
      <w:r w:rsidR="006040C5" w:rsidRPr="006040C5">
        <w:rPr>
          <w:szCs w:val="20"/>
        </w:rPr>
        <w:t>over three</w:t>
      </w:r>
      <w:r w:rsidRPr="006040C5">
        <w:rPr>
          <w:szCs w:val="20"/>
        </w:rPr>
        <w:t xml:space="preserve"> times as high in government schools (</w:t>
      </w:r>
      <w:r w:rsidR="00810456" w:rsidRPr="006040C5">
        <w:rPr>
          <w:szCs w:val="20"/>
        </w:rPr>
        <w:t>1</w:t>
      </w:r>
      <w:r w:rsidR="006040C5" w:rsidRPr="006040C5">
        <w:rPr>
          <w:szCs w:val="20"/>
        </w:rPr>
        <w:t>.0</w:t>
      </w:r>
      <w:r w:rsidRPr="006040C5">
        <w:rPr>
          <w:szCs w:val="20"/>
        </w:rPr>
        <w:t xml:space="preserve"> per cent), than </w:t>
      </w:r>
      <w:r w:rsidR="000B2CA3" w:rsidRPr="006040C5">
        <w:rPr>
          <w:szCs w:val="20"/>
        </w:rPr>
        <w:t xml:space="preserve">in </w:t>
      </w:r>
      <w:r w:rsidRPr="006040C5">
        <w:rPr>
          <w:szCs w:val="20"/>
        </w:rPr>
        <w:t>non-government schools (</w:t>
      </w:r>
      <w:r w:rsidR="00810456" w:rsidRPr="006040C5">
        <w:rPr>
          <w:szCs w:val="20"/>
        </w:rPr>
        <w:t>0.3</w:t>
      </w:r>
      <w:r w:rsidRPr="006040C5">
        <w:rPr>
          <w:szCs w:val="20"/>
        </w:rPr>
        <w:t xml:space="preserve"> per cent) (table 4.6). </w:t>
      </w:r>
    </w:p>
    <w:p w:rsidR="00666ECE" w:rsidRPr="00666ECE" w:rsidRDefault="00666ECE" w:rsidP="00666ECE">
      <w:pPr>
        <w:spacing w:before="240" w:line="320" w:lineRule="atLeast"/>
        <w:jc w:val="both"/>
        <w:rPr>
          <w:szCs w:val="20"/>
        </w:rPr>
      </w:pPr>
      <w:r w:rsidRPr="000E6F59">
        <w:rPr>
          <w:szCs w:val="20"/>
        </w:rPr>
        <w:t>Table 4A.3</w:t>
      </w:r>
      <w:r w:rsidR="009807CA">
        <w:rPr>
          <w:szCs w:val="20"/>
        </w:rPr>
        <w:t>5</w:t>
      </w:r>
      <w:r w:rsidRPr="000E6F59">
        <w:rPr>
          <w:szCs w:val="20"/>
        </w:rPr>
        <w:t xml:space="preserve"> includes</w:t>
      </w:r>
      <w:r w:rsidRPr="00666ECE">
        <w:rPr>
          <w:szCs w:val="20"/>
        </w:rPr>
        <w:t xml:space="preserve"> data relating to students </w:t>
      </w:r>
      <w:r w:rsidR="0013774C" w:rsidRPr="00104AF2">
        <w:rPr>
          <w:szCs w:val="20"/>
          <w:shd w:val="clear" w:color="auto" w:fill="FFFFFF" w:themeFill="background1"/>
        </w:rPr>
        <w:t>enrolled in</w:t>
      </w:r>
      <w:r w:rsidRPr="00104AF2">
        <w:rPr>
          <w:szCs w:val="20"/>
          <w:shd w:val="clear" w:color="auto" w:fill="FFFFFF" w:themeFill="background1"/>
        </w:rPr>
        <w:t xml:space="preserve"> primary</w:t>
      </w:r>
      <w:r w:rsidRPr="00666ECE">
        <w:rPr>
          <w:szCs w:val="20"/>
        </w:rPr>
        <w:t xml:space="preserve"> and secondary schools located in metropolitan and provincial zones, as well as </w:t>
      </w:r>
      <w:r w:rsidR="000B2CA3">
        <w:rPr>
          <w:szCs w:val="20"/>
        </w:rPr>
        <w:t xml:space="preserve">in </w:t>
      </w:r>
      <w:r w:rsidRPr="00666ECE">
        <w:rPr>
          <w:szCs w:val="20"/>
        </w:rPr>
        <w:t xml:space="preserve">remote and very remote areas. </w:t>
      </w:r>
    </w:p>
    <w:p w:rsidR="00666ECE" w:rsidRPr="006040C5" w:rsidRDefault="00666ECE" w:rsidP="002C3941">
      <w:pPr>
        <w:pStyle w:val="TableTitle"/>
      </w:pPr>
      <w:r w:rsidRPr="007A7568">
        <w:rPr>
          <w:b w:val="0"/>
        </w:rPr>
        <w:t xml:space="preserve">Table </w:t>
      </w:r>
      <w:bookmarkStart w:id="14" w:name="OLE_LINK18"/>
      <w:r w:rsidR="00EB256F" w:rsidRPr="007A7568">
        <w:rPr>
          <w:b w:val="0"/>
        </w:rPr>
        <w:t>4.</w:t>
      </w:r>
      <w:r w:rsidR="00EC06F7" w:rsidRPr="007A7568">
        <w:rPr>
          <w:b w:val="0"/>
          <w:noProof/>
        </w:rPr>
        <w:t>6</w:t>
      </w:r>
      <w:bookmarkEnd w:id="14"/>
      <w:r w:rsidRPr="007A7568">
        <w:rPr>
          <w:b w:val="0"/>
        </w:rPr>
        <w:tab/>
      </w:r>
      <w:r w:rsidRPr="0063025F">
        <w:t xml:space="preserve">Students </w:t>
      </w:r>
      <w:r w:rsidR="0013774C" w:rsidRPr="0063025F">
        <w:rPr>
          <w:shd w:val="clear" w:color="auto" w:fill="FFFFFF" w:themeFill="background1"/>
        </w:rPr>
        <w:t>enrolled in</w:t>
      </w:r>
      <w:r w:rsidRPr="0063025F">
        <w:t xml:space="preserve"> schools in remote and very remote areas as a proportion of all students, 201</w:t>
      </w:r>
      <w:r w:rsidR="00643280" w:rsidRPr="0063025F">
        <w:t>2</w:t>
      </w:r>
      <w:r w:rsidR="00D804E8" w:rsidRPr="0063025F">
        <w:t xml:space="preserve"> (per cent)</w:t>
      </w:r>
      <w:r w:rsidRPr="006040C5">
        <w:rPr>
          <w:position w:val="6"/>
          <w:sz w:val="18"/>
        </w:rPr>
        <w:t xml:space="preserve">a, b </w:t>
      </w:r>
    </w:p>
    <w:tbl>
      <w:tblPr>
        <w:tblW w:w="8790" w:type="dxa"/>
        <w:tblLayout w:type="fixed"/>
        <w:tblCellMar>
          <w:left w:w="0" w:type="dxa"/>
          <w:right w:w="0" w:type="dxa"/>
        </w:tblCellMar>
        <w:tblLook w:val="0000" w:firstRow="0" w:lastRow="0" w:firstColumn="0" w:lastColumn="0" w:noHBand="0" w:noVBand="0"/>
      </w:tblPr>
      <w:tblGrid>
        <w:gridCol w:w="2139"/>
        <w:gridCol w:w="739"/>
        <w:gridCol w:w="739"/>
        <w:gridCol w:w="739"/>
        <w:gridCol w:w="739"/>
        <w:gridCol w:w="739"/>
        <w:gridCol w:w="739"/>
        <w:gridCol w:w="739"/>
        <w:gridCol w:w="739"/>
        <w:gridCol w:w="739"/>
      </w:tblGrid>
      <w:tr w:rsidR="00666ECE" w:rsidRPr="00666ECE" w:rsidTr="0036281D">
        <w:tc>
          <w:tcPr>
            <w:tcW w:w="21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rPr>
                <w:rFonts w:ascii="Arial" w:hAnsi="Arial"/>
                <w:i/>
                <w:sz w:val="20"/>
                <w:szCs w:val="20"/>
              </w:rPr>
            </w:pPr>
          </w:p>
        </w:tc>
        <w:tc>
          <w:tcPr>
            <w:tcW w:w="7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NSW</w:t>
            </w:r>
          </w:p>
        </w:tc>
        <w:tc>
          <w:tcPr>
            <w:tcW w:w="7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Vic</w:t>
            </w:r>
          </w:p>
        </w:tc>
        <w:tc>
          <w:tcPr>
            <w:tcW w:w="7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Qld</w:t>
            </w:r>
          </w:p>
        </w:tc>
        <w:tc>
          <w:tcPr>
            <w:tcW w:w="7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WA</w:t>
            </w:r>
          </w:p>
        </w:tc>
        <w:tc>
          <w:tcPr>
            <w:tcW w:w="7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SA</w:t>
            </w:r>
          </w:p>
        </w:tc>
        <w:tc>
          <w:tcPr>
            <w:tcW w:w="7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Tas</w:t>
            </w:r>
          </w:p>
        </w:tc>
        <w:tc>
          <w:tcPr>
            <w:tcW w:w="7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ACT</w:t>
            </w:r>
          </w:p>
        </w:tc>
        <w:tc>
          <w:tcPr>
            <w:tcW w:w="7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NT</w:t>
            </w:r>
          </w:p>
        </w:tc>
        <w:tc>
          <w:tcPr>
            <w:tcW w:w="739" w:type="dxa"/>
            <w:tcBorders>
              <w:top w:val="single" w:sz="6" w:space="0" w:color="auto"/>
              <w:bottom w:val="single" w:sz="6" w:space="0" w:color="auto"/>
            </w:tcBorders>
            <w:shd w:val="clear" w:color="auto" w:fill="auto"/>
          </w:tcPr>
          <w:p w:rsidR="00666ECE" w:rsidRPr="00666ECE" w:rsidRDefault="00666ECE" w:rsidP="00666ECE">
            <w:pPr>
              <w:keepNext/>
              <w:keepLines/>
              <w:spacing w:before="80" w:after="80" w:line="220" w:lineRule="atLeast"/>
              <w:ind w:left="6" w:right="113"/>
              <w:jc w:val="right"/>
              <w:rPr>
                <w:rFonts w:ascii="Arial" w:hAnsi="Arial"/>
                <w:i/>
                <w:sz w:val="20"/>
                <w:szCs w:val="20"/>
              </w:rPr>
            </w:pPr>
            <w:r w:rsidRPr="00666ECE">
              <w:rPr>
                <w:rFonts w:ascii="Arial" w:hAnsi="Arial"/>
                <w:i/>
                <w:sz w:val="20"/>
                <w:szCs w:val="20"/>
              </w:rPr>
              <w:t>Aust</w:t>
            </w:r>
          </w:p>
        </w:tc>
      </w:tr>
      <w:tr w:rsidR="00666ECE" w:rsidRPr="00666ECE" w:rsidTr="0036281D">
        <w:tc>
          <w:tcPr>
            <w:tcW w:w="2139" w:type="dxa"/>
          </w:tcPr>
          <w:p w:rsidR="00666ECE" w:rsidRPr="00666ECE" w:rsidRDefault="00666ECE" w:rsidP="00666ECE">
            <w:pPr>
              <w:keepNext/>
              <w:keepLines/>
              <w:spacing w:after="40" w:line="220" w:lineRule="atLeast"/>
              <w:ind w:left="6" w:right="113"/>
              <w:rPr>
                <w:rFonts w:ascii="Arial" w:hAnsi="Arial"/>
                <w:sz w:val="20"/>
                <w:szCs w:val="20"/>
              </w:rPr>
            </w:pPr>
            <w:r w:rsidRPr="00666ECE">
              <w:rPr>
                <w:rFonts w:ascii="Arial" w:hAnsi="Arial"/>
                <w:sz w:val="20"/>
                <w:szCs w:val="20"/>
              </w:rPr>
              <w:t>Remote areas</w:t>
            </w:r>
          </w:p>
        </w:tc>
        <w:tc>
          <w:tcPr>
            <w:tcW w:w="739" w:type="dxa"/>
          </w:tcPr>
          <w:p w:rsidR="00666ECE" w:rsidRPr="00666ECE" w:rsidRDefault="00666ECE" w:rsidP="00F32C6E">
            <w:pPr>
              <w:pStyle w:val="TableBodyText"/>
              <w:rPr>
                <w:highlight w:val="red"/>
              </w:rPr>
            </w:pPr>
          </w:p>
        </w:tc>
        <w:tc>
          <w:tcPr>
            <w:tcW w:w="739" w:type="dxa"/>
          </w:tcPr>
          <w:p w:rsidR="00666ECE" w:rsidRPr="00666ECE" w:rsidRDefault="00666ECE" w:rsidP="00F32C6E">
            <w:pPr>
              <w:pStyle w:val="TableBodyText"/>
              <w:rPr>
                <w:highlight w:val="red"/>
              </w:rPr>
            </w:pPr>
          </w:p>
        </w:tc>
        <w:tc>
          <w:tcPr>
            <w:tcW w:w="739" w:type="dxa"/>
          </w:tcPr>
          <w:p w:rsidR="00666ECE" w:rsidRPr="00666ECE" w:rsidRDefault="00666ECE" w:rsidP="00F32C6E">
            <w:pPr>
              <w:pStyle w:val="TableBodyText"/>
              <w:rPr>
                <w:highlight w:val="red"/>
              </w:rPr>
            </w:pPr>
          </w:p>
        </w:tc>
        <w:tc>
          <w:tcPr>
            <w:tcW w:w="739" w:type="dxa"/>
          </w:tcPr>
          <w:p w:rsidR="00666ECE" w:rsidRPr="00666ECE" w:rsidRDefault="00666ECE" w:rsidP="00F32C6E">
            <w:pPr>
              <w:pStyle w:val="TableBodyText"/>
              <w:rPr>
                <w:highlight w:val="red"/>
              </w:rPr>
            </w:pPr>
          </w:p>
        </w:tc>
        <w:tc>
          <w:tcPr>
            <w:tcW w:w="739" w:type="dxa"/>
          </w:tcPr>
          <w:p w:rsidR="00666ECE" w:rsidRPr="00666ECE" w:rsidRDefault="00666ECE" w:rsidP="00F32C6E">
            <w:pPr>
              <w:pStyle w:val="TableBodyText"/>
              <w:rPr>
                <w:highlight w:val="red"/>
              </w:rPr>
            </w:pPr>
          </w:p>
        </w:tc>
        <w:tc>
          <w:tcPr>
            <w:tcW w:w="739" w:type="dxa"/>
          </w:tcPr>
          <w:p w:rsidR="00666ECE" w:rsidRPr="00666ECE" w:rsidRDefault="00666ECE" w:rsidP="00F32C6E">
            <w:pPr>
              <w:pStyle w:val="TableBodyText"/>
              <w:rPr>
                <w:highlight w:val="red"/>
              </w:rPr>
            </w:pPr>
          </w:p>
        </w:tc>
        <w:tc>
          <w:tcPr>
            <w:tcW w:w="739" w:type="dxa"/>
          </w:tcPr>
          <w:p w:rsidR="00666ECE" w:rsidRPr="00666ECE" w:rsidRDefault="00666ECE" w:rsidP="00F32C6E">
            <w:pPr>
              <w:pStyle w:val="TableBodyText"/>
              <w:rPr>
                <w:highlight w:val="red"/>
              </w:rPr>
            </w:pPr>
          </w:p>
        </w:tc>
        <w:tc>
          <w:tcPr>
            <w:tcW w:w="739" w:type="dxa"/>
          </w:tcPr>
          <w:p w:rsidR="00666ECE" w:rsidRPr="00666ECE" w:rsidRDefault="00666ECE" w:rsidP="00F32C6E">
            <w:pPr>
              <w:pStyle w:val="TableBodyText"/>
              <w:rPr>
                <w:highlight w:val="red"/>
              </w:rPr>
            </w:pPr>
          </w:p>
        </w:tc>
        <w:tc>
          <w:tcPr>
            <w:tcW w:w="739" w:type="dxa"/>
          </w:tcPr>
          <w:p w:rsidR="00666ECE" w:rsidRPr="00666ECE" w:rsidRDefault="00666ECE" w:rsidP="00F32C6E">
            <w:pPr>
              <w:pStyle w:val="TableBodyText"/>
              <w:rPr>
                <w:highlight w:val="red"/>
              </w:rPr>
            </w:pPr>
          </w:p>
        </w:tc>
      </w:tr>
      <w:tr w:rsidR="006040C5" w:rsidRPr="00666ECE" w:rsidTr="0036281D">
        <w:tc>
          <w:tcPr>
            <w:tcW w:w="2139" w:type="dxa"/>
          </w:tcPr>
          <w:p w:rsidR="006040C5" w:rsidRPr="00666ECE" w:rsidRDefault="006040C5" w:rsidP="00666ECE">
            <w:pPr>
              <w:keepNext/>
              <w:keepLines/>
              <w:spacing w:after="40" w:line="220" w:lineRule="atLeast"/>
              <w:ind w:left="136" w:right="113"/>
              <w:rPr>
                <w:rFonts w:ascii="Arial" w:hAnsi="Arial"/>
                <w:sz w:val="20"/>
                <w:szCs w:val="20"/>
              </w:rPr>
            </w:pPr>
            <w:r w:rsidRPr="00666ECE">
              <w:rPr>
                <w:rFonts w:ascii="Arial" w:hAnsi="Arial"/>
                <w:sz w:val="20"/>
                <w:szCs w:val="20"/>
              </w:rPr>
              <w:t>Government schools</w:t>
            </w:r>
          </w:p>
        </w:tc>
        <w:tc>
          <w:tcPr>
            <w:tcW w:w="739" w:type="dxa"/>
            <w:vAlign w:val="center"/>
          </w:tcPr>
          <w:p w:rsidR="006040C5" w:rsidRPr="006040C5" w:rsidRDefault="006040C5" w:rsidP="006040C5">
            <w:pPr>
              <w:pStyle w:val="TableBodyText"/>
            </w:pPr>
            <w:r w:rsidRPr="006040C5">
              <w:t xml:space="preserve">  0.5</w:t>
            </w:r>
          </w:p>
        </w:tc>
        <w:tc>
          <w:tcPr>
            <w:tcW w:w="739" w:type="dxa"/>
            <w:vAlign w:val="center"/>
          </w:tcPr>
          <w:p w:rsidR="006040C5" w:rsidRPr="006040C5" w:rsidRDefault="006040C5" w:rsidP="006040C5">
            <w:pPr>
              <w:pStyle w:val="TableBodyText"/>
            </w:pPr>
            <w:r w:rsidRPr="006040C5">
              <w:t xml:space="preserve">  0.1</w:t>
            </w:r>
          </w:p>
        </w:tc>
        <w:tc>
          <w:tcPr>
            <w:tcW w:w="739" w:type="dxa"/>
            <w:vAlign w:val="center"/>
          </w:tcPr>
          <w:p w:rsidR="006040C5" w:rsidRPr="006040C5" w:rsidRDefault="006040C5" w:rsidP="006040C5">
            <w:pPr>
              <w:pStyle w:val="TableBodyText"/>
            </w:pPr>
            <w:r w:rsidRPr="006040C5">
              <w:t xml:space="preserve">  2.0</w:t>
            </w:r>
          </w:p>
        </w:tc>
        <w:tc>
          <w:tcPr>
            <w:tcW w:w="739" w:type="dxa"/>
            <w:vAlign w:val="center"/>
          </w:tcPr>
          <w:p w:rsidR="006040C5" w:rsidRPr="006040C5" w:rsidRDefault="006040C5" w:rsidP="006040C5">
            <w:pPr>
              <w:pStyle w:val="TableBodyText"/>
            </w:pPr>
            <w:r w:rsidRPr="006040C5">
              <w:t xml:space="preserve">  5.5</w:t>
            </w:r>
          </w:p>
        </w:tc>
        <w:tc>
          <w:tcPr>
            <w:tcW w:w="739" w:type="dxa"/>
            <w:vAlign w:val="center"/>
          </w:tcPr>
          <w:p w:rsidR="006040C5" w:rsidRPr="006040C5" w:rsidRDefault="006040C5" w:rsidP="006040C5">
            <w:pPr>
              <w:pStyle w:val="TableBodyText"/>
            </w:pPr>
            <w:r w:rsidRPr="006040C5">
              <w:t xml:space="preserve">  3.5</w:t>
            </w:r>
          </w:p>
        </w:tc>
        <w:tc>
          <w:tcPr>
            <w:tcW w:w="739" w:type="dxa"/>
            <w:vAlign w:val="center"/>
          </w:tcPr>
          <w:p w:rsidR="006040C5" w:rsidRPr="006040C5" w:rsidRDefault="006040C5" w:rsidP="006040C5">
            <w:pPr>
              <w:pStyle w:val="TableBodyText"/>
            </w:pPr>
            <w:r w:rsidRPr="006040C5">
              <w:t xml:space="preserve">  0.8</w:t>
            </w:r>
          </w:p>
        </w:tc>
        <w:tc>
          <w:tcPr>
            <w:tcW w:w="739" w:type="dxa"/>
            <w:vAlign w:val="center"/>
          </w:tcPr>
          <w:p w:rsidR="006040C5" w:rsidRPr="006040C5" w:rsidRDefault="006040C5" w:rsidP="006040C5">
            <w:pPr>
              <w:pStyle w:val="TableBodyText"/>
            </w:pPr>
            <w:r w:rsidRPr="006040C5">
              <w:t>..</w:t>
            </w:r>
          </w:p>
        </w:tc>
        <w:tc>
          <w:tcPr>
            <w:tcW w:w="739" w:type="dxa"/>
            <w:vAlign w:val="center"/>
          </w:tcPr>
          <w:p w:rsidR="006040C5" w:rsidRPr="006040C5" w:rsidRDefault="006040C5" w:rsidP="006040C5">
            <w:pPr>
              <w:pStyle w:val="TableBodyText"/>
            </w:pPr>
            <w:r w:rsidRPr="006040C5">
              <w:t xml:space="preserve">  17.0</w:t>
            </w:r>
          </w:p>
        </w:tc>
        <w:tc>
          <w:tcPr>
            <w:tcW w:w="739" w:type="dxa"/>
            <w:vAlign w:val="center"/>
          </w:tcPr>
          <w:p w:rsidR="006040C5" w:rsidRPr="006040C5" w:rsidRDefault="006040C5" w:rsidP="006040C5">
            <w:pPr>
              <w:pStyle w:val="TableBodyText"/>
            </w:pPr>
            <w:r w:rsidRPr="006040C5">
              <w:t xml:space="preserve">  1.7</w:t>
            </w:r>
          </w:p>
        </w:tc>
      </w:tr>
      <w:tr w:rsidR="006040C5" w:rsidRPr="00666ECE" w:rsidTr="0036281D">
        <w:tc>
          <w:tcPr>
            <w:tcW w:w="2139" w:type="dxa"/>
          </w:tcPr>
          <w:p w:rsidR="006040C5" w:rsidRPr="00666ECE" w:rsidRDefault="006040C5" w:rsidP="00666ECE">
            <w:pPr>
              <w:keepNext/>
              <w:keepLines/>
              <w:spacing w:after="40" w:line="220" w:lineRule="atLeast"/>
              <w:ind w:left="136" w:right="113"/>
              <w:rPr>
                <w:rFonts w:ascii="Arial" w:hAnsi="Arial"/>
                <w:sz w:val="20"/>
                <w:szCs w:val="20"/>
              </w:rPr>
            </w:pPr>
            <w:r w:rsidRPr="00666ECE">
              <w:rPr>
                <w:rFonts w:ascii="Arial" w:hAnsi="Arial"/>
                <w:sz w:val="20"/>
                <w:szCs w:val="20"/>
              </w:rPr>
              <w:t>Non-government schools</w:t>
            </w:r>
          </w:p>
        </w:tc>
        <w:tc>
          <w:tcPr>
            <w:tcW w:w="739" w:type="dxa"/>
            <w:vAlign w:val="center"/>
          </w:tcPr>
          <w:p w:rsidR="006040C5" w:rsidRPr="006040C5" w:rsidRDefault="006040C5" w:rsidP="006040C5">
            <w:pPr>
              <w:pStyle w:val="TableBodyText"/>
            </w:pPr>
            <w:r w:rsidRPr="006040C5">
              <w:t xml:space="preserve">  0.2</w:t>
            </w:r>
          </w:p>
        </w:tc>
        <w:tc>
          <w:tcPr>
            <w:tcW w:w="739" w:type="dxa"/>
            <w:vAlign w:val="center"/>
          </w:tcPr>
          <w:p w:rsidR="006040C5" w:rsidRPr="006040C5" w:rsidRDefault="006040C5" w:rsidP="006040C5">
            <w:pPr>
              <w:pStyle w:val="TableBodyText"/>
            </w:pPr>
            <w:r w:rsidRPr="006040C5">
              <w:t>–</w:t>
            </w:r>
          </w:p>
        </w:tc>
        <w:tc>
          <w:tcPr>
            <w:tcW w:w="739" w:type="dxa"/>
            <w:vAlign w:val="center"/>
          </w:tcPr>
          <w:p w:rsidR="006040C5" w:rsidRPr="006040C5" w:rsidRDefault="006040C5" w:rsidP="006040C5">
            <w:pPr>
              <w:pStyle w:val="TableBodyText"/>
            </w:pPr>
            <w:r w:rsidRPr="006040C5">
              <w:t xml:space="preserve">  0.8</w:t>
            </w:r>
          </w:p>
        </w:tc>
        <w:tc>
          <w:tcPr>
            <w:tcW w:w="739" w:type="dxa"/>
            <w:vAlign w:val="center"/>
          </w:tcPr>
          <w:p w:rsidR="006040C5" w:rsidRPr="006040C5" w:rsidRDefault="006040C5" w:rsidP="006040C5">
            <w:pPr>
              <w:pStyle w:val="TableBodyText"/>
            </w:pPr>
            <w:r w:rsidRPr="006040C5">
              <w:t xml:space="preserve">  1.9</w:t>
            </w:r>
          </w:p>
        </w:tc>
        <w:tc>
          <w:tcPr>
            <w:tcW w:w="739" w:type="dxa"/>
            <w:vAlign w:val="center"/>
          </w:tcPr>
          <w:p w:rsidR="006040C5" w:rsidRPr="006040C5" w:rsidRDefault="006040C5" w:rsidP="006040C5">
            <w:pPr>
              <w:pStyle w:val="TableBodyText"/>
            </w:pPr>
            <w:r w:rsidRPr="006040C5">
              <w:t xml:space="preserve">  1.4</w:t>
            </w:r>
          </w:p>
        </w:tc>
        <w:tc>
          <w:tcPr>
            <w:tcW w:w="739" w:type="dxa"/>
            <w:vAlign w:val="center"/>
          </w:tcPr>
          <w:p w:rsidR="006040C5" w:rsidRPr="006040C5" w:rsidRDefault="006040C5" w:rsidP="006040C5">
            <w:pPr>
              <w:pStyle w:val="TableBodyText"/>
            </w:pPr>
            <w:r w:rsidRPr="006040C5">
              <w:t xml:space="preserve">  0.4</w:t>
            </w:r>
          </w:p>
        </w:tc>
        <w:tc>
          <w:tcPr>
            <w:tcW w:w="739" w:type="dxa"/>
            <w:vAlign w:val="center"/>
          </w:tcPr>
          <w:p w:rsidR="006040C5" w:rsidRPr="006040C5" w:rsidRDefault="006040C5" w:rsidP="006040C5">
            <w:pPr>
              <w:pStyle w:val="TableBodyText"/>
            </w:pPr>
            <w:r w:rsidRPr="006040C5">
              <w:t>..</w:t>
            </w:r>
          </w:p>
        </w:tc>
        <w:tc>
          <w:tcPr>
            <w:tcW w:w="739" w:type="dxa"/>
            <w:vAlign w:val="center"/>
          </w:tcPr>
          <w:p w:rsidR="006040C5" w:rsidRPr="006040C5" w:rsidRDefault="006040C5" w:rsidP="006040C5">
            <w:pPr>
              <w:pStyle w:val="TableBodyText"/>
            </w:pPr>
            <w:r w:rsidRPr="006040C5">
              <w:t xml:space="preserve">  29.0</w:t>
            </w:r>
          </w:p>
        </w:tc>
        <w:tc>
          <w:tcPr>
            <w:tcW w:w="739" w:type="dxa"/>
            <w:vAlign w:val="center"/>
          </w:tcPr>
          <w:p w:rsidR="006040C5" w:rsidRPr="006040C5" w:rsidRDefault="006040C5" w:rsidP="006040C5">
            <w:pPr>
              <w:pStyle w:val="TableBodyText"/>
            </w:pPr>
            <w:r w:rsidRPr="006040C5">
              <w:t xml:space="preserve">  0.8</w:t>
            </w:r>
          </w:p>
        </w:tc>
      </w:tr>
      <w:tr w:rsidR="006040C5" w:rsidRPr="00666ECE" w:rsidTr="0036281D">
        <w:tc>
          <w:tcPr>
            <w:tcW w:w="2139" w:type="dxa"/>
          </w:tcPr>
          <w:p w:rsidR="006040C5" w:rsidRPr="00666ECE" w:rsidRDefault="006040C5" w:rsidP="00666ECE">
            <w:pPr>
              <w:keepNext/>
              <w:keepLines/>
              <w:spacing w:after="40" w:line="220" w:lineRule="atLeast"/>
              <w:ind w:left="136" w:right="113"/>
              <w:rPr>
                <w:rFonts w:ascii="Arial" w:hAnsi="Arial"/>
                <w:b/>
                <w:sz w:val="20"/>
                <w:szCs w:val="20"/>
              </w:rPr>
            </w:pPr>
            <w:r w:rsidRPr="00666ECE">
              <w:rPr>
                <w:rFonts w:ascii="Arial" w:hAnsi="Arial"/>
                <w:b/>
                <w:sz w:val="20"/>
                <w:szCs w:val="20"/>
              </w:rPr>
              <w:t>All schools</w:t>
            </w:r>
          </w:p>
        </w:tc>
        <w:tc>
          <w:tcPr>
            <w:tcW w:w="739" w:type="dxa"/>
            <w:vAlign w:val="center"/>
          </w:tcPr>
          <w:p w:rsidR="006040C5" w:rsidRPr="006040C5" w:rsidRDefault="006040C5" w:rsidP="006040C5">
            <w:pPr>
              <w:pStyle w:val="TableBodyText"/>
            </w:pPr>
            <w:r w:rsidRPr="006040C5">
              <w:t xml:space="preserve">  0.4</w:t>
            </w:r>
          </w:p>
        </w:tc>
        <w:tc>
          <w:tcPr>
            <w:tcW w:w="739" w:type="dxa"/>
            <w:vAlign w:val="center"/>
          </w:tcPr>
          <w:p w:rsidR="006040C5" w:rsidRPr="006040C5" w:rsidRDefault="006040C5" w:rsidP="006040C5">
            <w:pPr>
              <w:pStyle w:val="TableBodyText"/>
            </w:pPr>
            <w:r w:rsidRPr="006040C5">
              <w:t xml:space="preserve">  0.1</w:t>
            </w:r>
          </w:p>
        </w:tc>
        <w:tc>
          <w:tcPr>
            <w:tcW w:w="739" w:type="dxa"/>
            <w:vAlign w:val="center"/>
          </w:tcPr>
          <w:p w:rsidR="006040C5" w:rsidRPr="006040C5" w:rsidRDefault="006040C5" w:rsidP="006040C5">
            <w:pPr>
              <w:pStyle w:val="TableBodyText"/>
            </w:pPr>
            <w:r w:rsidRPr="006040C5">
              <w:t xml:space="preserve">  1.6</w:t>
            </w:r>
          </w:p>
        </w:tc>
        <w:tc>
          <w:tcPr>
            <w:tcW w:w="739" w:type="dxa"/>
            <w:vAlign w:val="center"/>
          </w:tcPr>
          <w:p w:rsidR="006040C5" w:rsidRPr="006040C5" w:rsidRDefault="006040C5" w:rsidP="006040C5">
            <w:pPr>
              <w:pStyle w:val="TableBodyText"/>
            </w:pPr>
            <w:r w:rsidRPr="006040C5">
              <w:t xml:space="preserve">  4.3</w:t>
            </w:r>
          </w:p>
        </w:tc>
        <w:tc>
          <w:tcPr>
            <w:tcW w:w="739" w:type="dxa"/>
            <w:vAlign w:val="center"/>
          </w:tcPr>
          <w:p w:rsidR="006040C5" w:rsidRPr="006040C5" w:rsidRDefault="006040C5" w:rsidP="006040C5">
            <w:pPr>
              <w:pStyle w:val="TableBodyText"/>
            </w:pPr>
            <w:r w:rsidRPr="006040C5">
              <w:t xml:space="preserve">  2.8</w:t>
            </w:r>
          </w:p>
        </w:tc>
        <w:tc>
          <w:tcPr>
            <w:tcW w:w="739" w:type="dxa"/>
            <w:vAlign w:val="center"/>
          </w:tcPr>
          <w:p w:rsidR="006040C5" w:rsidRPr="006040C5" w:rsidRDefault="006040C5" w:rsidP="006040C5">
            <w:pPr>
              <w:pStyle w:val="TableBodyText"/>
            </w:pPr>
            <w:r w:rsidRPr="006040C5">
              <w:t xml:space="preserve">  0.7</w:t>
            </w:r>
          </w:p>
        </w:tc>
        <w:tc>
          <w:tcPr>
            <w:tcW w:w="739" w:type="dxa"/>
            <w:vAlign w:val="center"/>
          </w:tcPr>
          <w:p w:rsidR="006040C5" w:rsidRPr="006040C5" w:rsidRDefault="006040C5" w:rsidP="006040C5">
            <w:pPr>
              <w:pStyle w:val="TableBodyText"/>
            </w:pPr>
            <w:r w:rsidRPr="006040C5">
              <w:t>..</w:t>
            </w:r>
          </w:p>
        </w:tc>
        <w:tc>
          <w:tcPr>
            <w:tcW w:w="739" w:type="dxa"/>
            <w:vAlign w:val="center"/>
          </w:tcPr>
          <w:p w:rsidR="006040C5" w:rsidRPr="006040C5" w:rsidRDefault="006040C5" w:rsidP="006040C5">
            <w:pPr>
              <w:pStyle w:val="TableBodyText"/>
            </w:pPr>
            <w:r w:rsidRPr="006040C5">
              <w:t xml:space="preserve">  20.0</w:t>
            </w:r>
          </w:p>
        </w:tc>
        <w:tc>
          <w:tcPr>
            <w:tcW w:w="739" w:type="dxa"/>
            <w:vAlign w:val="center"/>
          </w:tcPr>
          <w:p w:rsidR="006040C5" w:rsidRPr="006040C5" w:rsidRDefault="006040C5" w:rsidP="006040C5">
            <w:pPr>
              <w:pStyle w:val="TableBodyText"/>
            </w:pPr>
            <w:r w:rsidRPr="006040C5">
              <w:t xml:space="preserve">  1.4</w:t>
            </w:r>
          </w:p>
        </w:tc>
      </w:tr>
      <w:tr w:rsidR="00666ECE" w:rsidRPr="00666ECE" w:rsidTr="0036281D">
        <w:tc>
          <w:tcPr>
            <w:tcW w:w="2139" w:type="dxa"/>
          </w:tcPr>
          <w:p w:rsidR="00666ECE" w:rsidRPr="00666ECE" w:rsidRDefault="00666ECE" w:rsidP="00666ECE">
            <w:pPr>
              <w:keepNext/>
              <w:keepLines/>
              <w:spacing w:after="40" w:line="220" w:lineRule="atLeast"/>
              <w:ind w:left="6" w:right="113"/>
              <w:rPr>
                <w:rFonts w:ascii="Arial" w:hAnsi="Arial"/>
                <w:sz w:val="20"/>
                <w:szCs w:val="20"/>
              </w:rPr>
            </w:pPr>
            <w:r w:rsidRPr="00666ECE">
              <w:rPr>
                <w:rFonts w:ascii="Arial" w:hAnsi="Arial"/>
                <w:sz w:val="20"/>
                <w:szCs w:val="20"/>
              </w:rPr>
              <w:t>Very remote areas</w:t>
            </w:r>
          </w:p>
        </w:tc>
        <w:tc>
          <w:tcPr>
            <w:tcW w:w="739" w:type="dxa"/>
          </w:tcPr>
          <w:p w:rsidR="00666ECE" w:rsidRPr="006040C5" w:rsidRDefault="00666ECE" w:rsidP="006040C5">
            <w:pPr>
              <w:pStyle w:val="TableBodyText"/>
              <w:rPr>
                <w:highlight w:val="red"/>
              </w:rPr>
            </w:pPr>
          </w:p>
        </w:tc>
        <w:tc>
          <w:tcPr>
            <w:tcW w:w="739" w:type="dxa"/>
          </w:tcPr>
          <w:p w:rsidR="00666ECE" w:rsidRPr="006040C5" w:rsidRDefault="00666ECE" w:rsidP="006040C5">
            <w:pPr>
              <w:pStyle w:val="TableBodyText"/>
              <w:rPr>
                <w:highlight w:val="red"/>
              </w:rPr>
            </w:pPr>
          </w:p>
        </w:tc>
        <w:tc>
          <w:tcPr>
            <w:tcW w:w="739" w:type="dxa"/>
          </w:tcPr>
          <w:p w:rsidR="00666ECE" w:rsidRPr="006040C5" w:rsidRDefault="00666ECE" w:rsidP="006040C5">
            <w:pPr>
              <w:pStyle w:val="TableBodyText"/>
              <w:rPr>
                <w:highlight w:val="red"/>
              </w:rPr>
            </w:pPr>
          </w:p>
        </w:tc>
        <w:tc>
          <w:tcPr>
            <w:tcW w:w="739" w:type="dxa"/>
          </w:tcPr>
          <w:p w:rsidR="00666ECE" w:rsidRPr="006040C5" w:rsidRDefault="00666ECE" w:rsidP="006040C5">
            <w:pPr>
              <w:pStyle w:val="TableBodyText"/>
              <w:rPr>
                <w:highlight w:val="red"/>
              </w:rPr>
            </w:pPr>
          </w:p>
        </w:tc>
        <w:tc>
          <w:tcPr>
            <w:tcW w:w="739" w:type="dxa"/>
          </w:tcPr>
          <w:p w:rsidR="00666ECE" w:rsidRPr="006040C5" w:rsidRDefault="00666ECE" w:rsidP="006040C5">
            <w:pPr>
              <w:pStyle w:val="TableBodyText"/>
              <w:rPr>
                <w:highlight w:val="red"/>
              </w:rPr>
            </w:pPr>
          </w:p>
        </w:tc>
        <w:tc>
          <w:tcPr>
            <w:tcW w:w="739" w:type="dxa"/>
          </w:tcPr>
          <w:p w:rsidR="00666ECE" w:rsidRPr="006040C5" w:rsidRDefault="00666ECE" w:rsidP="006040C5">
            <w:pPr>
              <w:pStyle w:val="TableBodyText"/>
              <w:rPr>
                <w:highlight w:val="red"/>
              </w:rPr>
            </w:pPr>
          </w:p>
        </w:tc>
        <w:tc>
          <w:tcPr>
            <w:tcW w:w="739" w:type="dxa"/>
          </w:tcPr>
          <w:p w:rsidR="00666ECE" w:rsidRPr="006040C5" w:rsidRDefault="00666ECE" w:rsidP="006040C5">
            <w:pPr>
              <w:pStyle w:val="TableBodyText"/>
              <w:rPr>
                <w:highlight w:val="red"/>
              </w:rPr>
            </w:pPr>
          </w:p>
        </w:tc>
        <w:tc>
          <w:tcPr>
            <w:tcW w:w="739" w:type="dxa"/>
          </w:tcPr>
          <w:p w:rsidR="00666ECE" w:rsidRPr="006040C5" w:rsidRDefault="00666ECE" w:rsidP="006040C5">
            <w:pPr>
              <w:pStyle w:val="TableBodyText"/>
              <w:rPr>
                <w:highlight w:val="red"/>
              </w:rPr>
            </w:pPr>
          </w:p>
        </w:tc>
        <w:tc>
          <w:tcPr>
            <w:tcW w:w="739" w:type="dxa"/>
          </w:tcPr>
          <w:p w:rsidR="00666ECE" w:rsidRPr="006040C5" w:rsidRDefault="00666ECE" w:rsidP="006040C5">
            <w:pPr>
              <w:pStyle w:val="TableBodyText"/>
              <w:rPr>
                <w:highlight w:val="red"/>
              </w:rPr>
            </w:pPr>
          </w:p>
        </w:tc>
      </w:tr>
      <w:tr w:rsidR="006040C5" w:rsidRPr="00666ECE" w:rsidTr="0036281D">
        <w:tc>
          <w:tcPr>
            <w:tcW w:w="2139" w:type="dxa"/>
          </w:tcPr>
          <w:p w:rsidR="006040C5" w:rsidRPr="00666ECE" w:rsidRDefault="006040C5" w:rsidP="00666ECE">
            <w:pPr>
              <w:keepNext/>
              <w:keepLines/>
              <w:spacing w:after="40" w:line="220" w:lineRule="atLeast"/>
              <w:ind w:left="136" w:right="113"/>
              <w:rPr>
                <w:rFonts w:ascii="Arial" w:hAnsi="Arial"/>
                <w:sz w:val="20"/>
                <w:szCs w:val="20"/>
              </w:rPr>
            </w:pPr>
            <w:r w:rsidRPr="00666ECE">
              <w:rPr>
                <w:rFonts w:ascii="Arial" w:hAnsi="Arial"/>
                <w:sz w:val="20"/>
                <w:szCs w:val="20"/>
              </w:rPr>
              <w:t>Government schools</w:t>
            </w:r>
          </w:p>
        </w:tc>
        <w:tc>
          <w:tcPr>
            <w:tcW w:w="739" w:type="dxa"/>
            <w:vAlign w:val="center"/>
          </w:tcPr>
          <w:p w:rsidR="006040C5" w:rsidRPr="006040C5" w:rsidRDefault="006040C5" w:rsidP="006040C5">
            <w:pPr>
              <w:pStyle w:val="TableBodyText"/>
            </w:pPr>
            <w:r w:rsidRPr="006040C5">
              <w:t xml:space="preserve">  0.1</w:t>
            </w:r>
          </w:p>
        </w:tc>
        <w:tc>
          <w:tcPr>
            <w:tcW w:w="739" w:type="dxa"/>
            <w:vAlign w:val="center"/>
          </w:tcPr>
          <w:p w:rsidR="006040C5" w:rsidRPr="006040C5" w:rsidRDefault="006040C5" w:rsidP="006040C5">
            <w:pPr>
              <w:pStyle w:val="TableBodyText"/>
            </w:pPr>
            <w:r w:rsidRPr="006040C5">
              <w:t>..</w:t>
            </w:r>
          </w:p>
        </w:tc>
        <w:tc>
          <w:tcPr>
            <w:tcW w:w="739" w:type="dxa"/>
            <w:vAlign w:val="center"/>
          </w:tcPr>
          <w:p w:rsidR="006040C5" w:rsidRPr="006040C5" w:rsidRDefault="006040C5" w:rsidP="006040C5">
            <w:pPr>
              <w:pStyle w:val="TableBodyText"/>
            </w:pPr>
            <w:r w:rsidRPr="006040C5">
              <w:t xml:space="preserve">  1.5</w:t>
            </w:r>
          </w:p>
        </w:tc>
        <w:tc>
          <w:tcPr>
            <w:tcW w:w="739" w:type="dxa"/>
            <w:vAlign w:val="center"/>
          </w:tcPr>
          <w:p w:rsidR="006040C5" w:rsidRPr="006040C5" w:rsidRDefault="006040C5" w:rsidP="006040C5">
            <w:pPr>
              <w:pStyle w:val="TableBodyText"/>
            </w:pPr>
            <w:r w:rsidRPr="006040C5">
              <w:t xml:space="preserve">  3.0</w:t>
            </w:r>
          </w:p>
        </w:tc>
        <w:tc>
          <w:tcPr>
            <w:tcW w:w="739" w:type="dxa"/>
            <w:vAlign w:val="center"/>
          </w:tcPr>
          <w:p w:rsidR="006040C5" w:rsidRPr="006040C5" w:rsidRDefault="006040C5" w:rsidP="006040C5">
            <w:pPr>
              <w:pStyle w:val="TableBodyText"/>
            </w:pPr>
            <w:r w:rsidRPr="006040C5">
              <w:t xml:space="preserve">  1.2</w:t>
            </w:r>
          </w:p>
        </w:tc>
        <w:tc>
          <w:tcPr>
            <w:tcW w:w="739" w:type="dxa"/>
            <w:vAlign w:val="center"/>
          </w:tcPr>
          <w:p w:rsidR="006040C5" w:rsidRPr="006040C5" w:rsidRDefault="006040C5" w:rsidP="006040C5">
            <w:pPr>
              <w:pStyle w:val="TableBodyText"/>
            </w:pPr>
            <w:r w:rsidRPr="006040C5">
              <w:t xml:space="preserve">  0.4</w:t>
            </w:r>
          </w:p>
        </w:tc>
        <w:tc>
          <w:tcPr>
            <w:tcW w:w="739" w:type="dxa"/>
            <w:vAlign w:val="center"/>
          </w:tcPr>
          <w:p w:rsidR="006040C5" w:rsidRPr="006040C5" w:rsidRDefault="006040C5" w:rsidP="006040C5">
            <w:pPr>
              <w:pStyle w:val="TableBodyText"/>
            </w:pPr>
            <w:r w:rsidRPr="006040C5">
              <w:t>..</w:t>
            </w:r>
          </w:p>
        </w:tc>
        <w:tc>
          <w:tcPr>
            <w:tcW w:w="739" w:type="dxa"/>
            <w:vAlign w:val="center"/>
          </w:tcPr>
          <w:p w:rsidR="006040C5" w:rsidRPr="006040C5" w:rsidRDefault="006040C5" w:rsidP="006040C5">
            <w:pPr>
              <w:pStyle w:val="TableBodyText"/>
            </w:pPr>
            <w:r w:rsidRPr="006040C5">
              <w:t xml:space="preserve">  29.1</w:t>
            </w:r>
          </w:p>
        </w:tc>
        <w:tc>
          <w:tcPr>
            <w:tcW w:w="739" w:type="dxa"/>
            <w:vAlign w:val="center"/>
          </w:tcPr>
          <w:p w:rsidR="006040C5" w:rsidRPr="006040C5" w:rsidRDefault="006040C5" w:rsidP="006040C5">
            <w:pPr>
              <w:pStyle w:val="TableBodyText"/>
            </w:pPr>
            <w:r w:rsidRPr="006040C5">
              <w:t xml:space="preserve">  1.0</w:t>
            </w:r>
          </w:p>
        </w:tc>
      </w:tr>
      <w:tr w:rsidR="006040C5" w:rsidRPr="00666ECE" w:rsidTr="0036281D">
        <w:tc>
          <w:tcPr>
            <w:tcW w:w="2139" w:type="dxa"/>
          </w:tcPr>
          <w:p w:rsidR="006040C5" w:rsidRPr="00666ECE" w:rsidRDefault="006040C5" w:rsidP="00666ECE">
            <w:pPr>
              <w:keepNext/>
              <w:keepLines/>
              <w:spacing w:after="40" w:line="220" w:lineRule="atLeast"/>
              <w:ind w:left="136" w:right="113"/>
              <w:rPr>
                <w:rFonts w:ascii="Arial" w:hAnsi="Arial"/>
                <w:sz w:val="20"/>
                <w:szCs w:val="20"/>
              </w:rPr>
            </w:pPr>
            <w:r w:rsidRPr="00666ECE">
              <w:rPr>
                <w:rFonts w:ascii="Arial" w:hAnsi="Arial"/>
                <w:sz w:val="20"/>
                <w:szCs w:val="20"/>
              </w:rPr>
              <w:t>Non-government schools</w:t>
            </w:r>
          </w:p>
        </w:tc>
        <w:tc>
          <w:tcPr>
            <w:tcW w:w="739" w:type="dxa"/>
            <w:vAlign w:val="center"/>
          </w:tcPr>
          <w:p w:rsidR="006040C5" w:rsidRDefault="006040C5" w:rsidP="006040C5">
            <w:pPr>
              <w:pStyle w:val="TableBodyText"/>
            </w:pPr>
            <w:r>
              <w:t xml:space="preserve">  0.1</w:t>
            </w:r>
          </w:p>
        </w:tc>
        <w:tc>
          <w:tcPr>
            <w:tcW w:w="739" w:type="dxa"/>
            <w:vAlign w:val="center"/>
          </w:tcPr>
          <w:p w:rsidR="006040C5" w:rsidRDefault="006040C5" w:rsidP="006040C5">
            <w:pPr>
              <w:pStyle w:val="TableBodyText"/>
            </w:pPr>
            <w:r>
              <w:t>..</w:t>
            </w:r>
          </w:p>
        </w:tc>
        <w:tc>
          <w:tcPr>
            <w:tcW w:w="739" w:type="dxa"/>
            <w:vAlign w:val="center"/>
          </w:tcPr>
          <w:p w:rsidR="006040C5" w:rsidRDefault="006040C5" w:rsidP="006040C5">
            <w:pPr>
              <w:pStyle w:val="TableBodyText"/>
            </w:pPr>
            <w:r>
              <w:t xml:space="preserve">  0.3</w:t>
            </w:r>
          </w:p>
        </w:tc>
        <w:tc>
          <w:tcPr>
            <w:tcW w:w="739" w:type="dxa"/>
            <w:vAlign w:val="center"/>
          </w:tcPr>
          <w:p w:rsidR="006040C5" w:rsidRDefault="006040C5" w:rsidP="006040C5">
            <w:pPr>
              <w:pStyle w:val="TableBodyText"/>
            </w:pPr>
            <w:r>
              <w:t xml:space="preserve">  1.2</w:t>
            </w:r>
          </w:p>
        </w:tc>
        <w:tc>
          <w:tcPr>
            <w:tcW w:w="739" w:type="dxa"/>
            <w:vAlign w:val="center"/>
          </w:tcPr>
          <w:p w:rsidR="006040C5" w:rsidRDefault="006040C5" w:rsidP="006040C5">
            <w:pPr>
              <w:pStyle w:val="TableBodyText"/>
            </w:pPr>
            <w:r>
              <w:t xml:space="preserve">  0.1</w:t>
            </w:r>
          </w:p>
        </w:tc>
        <w:tc>
          <w:tcPr>
            <w:tcW w:w="739" w:type="dxa"/>
            <w:vAlign w:val="center"/>
          </w:tcPr>
          <w:p w:rsidR="006040C5" w:rsidRDefault="006040C5" w:rsidP="006040C5">
            <w:pPr>
              <w:pStyle w:val="TableBodyText"/>
            </w:pPr>
            <w:r>
              <w:t>–</w:t>
            </w:r>
          </w:p>
        </w:tc>
        <w:tc>
          <w:tcPr>
            <w:tcW w:w="739" w:type="dxa"/>
            <w:vAlign w:val="center"/>
          </w:tcPr>
          <w:p w:rsidR="006040C5" w:rsidRDefault="006040C5" w:rsidP="006040C5">
            <w:pPr>
              <w:pStyle w:val="TableBodyText"/>
            </w:pPr>
            <w:r>
              <w:t>..</w:t>
            </w:r>
          </w:p>
        </w:tc>
        <w:tc>
          <w:tcPr>
            <w:tcW w:w="739" w:type="dxa"/>
            <w:vAlign w:val="center"/>
          </w:tcPr>
          <w:p w:rsidR="006040C5" w:rsidRDefault="006040C5" w:rsidP="006040C5">
            <w:pPr>
              <w:pStyle w:val="TableBodyText"/>
            </w:pPr>
            <w:r>
              <w:t xml:space="preserve">  12.5</w:t>
            </w:r>
          </w:p>
        </w:tc>
        <w:tc>
          <w:tcPr>
            <w:tcW w:w="739" w:type="dxa"/>
            <w:vAlign w:val="center"/>
          </w:tcPr>
          <w:p w:rsidR="006040C5" w:rsidRDefault="006040C5" w:rsidP="006040C5">
            <w:pPr>
              <w:pStyle w:val="TableBodyText"/>
            </w:pPr>
            <w:r>
              <w:t xml:space="preserve">  0.3</w:t>
            </w:r>
          </w:p>
        </w:tc>
      </w:tr>
      <w:tr w:rsidR="006040C5" w:rsidRPr="00666ECE" w:rsidTr="0036281D">
        <w:tc>
          <w:tcPr>
            <w:tcW w:w="2139" w:type="dxa"/>
            <w:tcBorders>
              <w:bottom w:val="single" w:sz="6" w:space="0" w:color="auto"/>
            </w:tcBorders>
            <w:shd w:val="clear" w:color="auto" w:fill="auto"/>
          </w:tcPr>
          <w:p w:rsidR="006040C5" w:rsidRPr="00666ECE" w:rsidRDefault="006040C5" w:rsidP="00666ECE">
            <w:pPr>
              <w:keepNext/>
              <w:keepLines/>
              <w:spacing w:after="40" w:line="220" w:lineRule="atLeast"/>
              <w:ind w:left="136" w:right="113"/>
              <w:rPr>
                <w:rFonts w:ascii="Arial" w:hAnsi="Arial"/>
                <w:b/>
                <w:sz w:val="20"/>
                <w:szCs w:val="20"/>
              </w:rPr>
            </w:pPr>
            <w:r w:rsidRPr="00666ECE">
              <w:rPr>
                <w:rFonts w:ascii="Arial" w:hAnsi="Arial"/>
                <w:b/>
                <w:sz w:val="20"/>
                <w:szCs w:val="20"/>
              </w:rPr>
              <w:t>All schools</w:t>
            </w:r>
          </w:p>
        </w:tc>
        <w:tc>
          <w:tcPr>
            <w:tcW w:w="739" w:type="dxa"/>
            <w:tcBorders>
              <w:bottom w:val="single" w:sz="6" w:space="0" w:color="auto"/>
            </w:tcBorders>
            <w:shd w:val="clear" w:color="auto" w:fill="auto"/>
            <w:vAlign w:val="center"/>
          </w:tcPr>
          <w:p w:rsidR="006040C5" w:rsidRDefault="006040C5" w:rsidP="006040C5">
            <w:pPr>
              <w:pStyle w:val="TableBodyText"/>
            </w:pPr>
            <w:r>
              <w:t xml:space="preserve">  0.1</w:t>
            </w:r>
          </w:p>
        </w:tc>
        <w:tc>
          <w:tcPr>
            <w:tcW w:w="739" w:type="dxa"/>
            <w:tcBorders>
              <w:bottom w:val="single" w:sz="6" w:space="0" w:color="auto"/>
            </w:tcBorders>
            <w:shd w:val="clear" w:color="auto" w:fill="auto"/>
            <w:vAlign w:val="center"/>
          </w:tcPr>
          <w:p w:rsidR="006040C5" w:rsidRDefault="006040C5" w:rsidP="006040C5">
            <w:pPr>
              <w:pStyle w:val="TableBodyText"/>
            </w:pPr>
            <w:r>
              <w:t>..</w:t>
            </w:r>
          </w:p>
        </w:tc>
        <w:tc>
          <w:tcPr>
            <w:tcW w:w="739" w:type="dxa"/>
            <w:tcBorders>
              <w:bottom w:val="single" w:sz="6" w:space="0" w:color="auto"/>
            </w:tcBorders>
            <w:shd w:val="clear" w:color="auto" w:fill="auto"/>
            <w:vAlign w:val="center"/>
          </w:tcPr>
          <w:p w:rsidR="006040C5" w:rsidRDefault="006040C5" w:rsidP="006040C5">
            <w:pPr>
              <w:pStyle w:val="TableBodyText"/>
            </w:pPr>
            <w:r>
              <w:t xml:space="preserve">  1.0</w:t>
            </w:r>
          </w:p>
        </w:tc>
        <w:tc>
          <w:tcPr>
            <w:tcW w:w="739" w:type="dxa"/>
            <w:tcBorders>
              <w:bottom w:val="single" w:sz="6" w:space="0" w:color="auto"/>
            </w:tcBorders>
            <w:shd w:val="clear" w:color="auto" w:fill="auto"/>
            <w:vAlign w:val="center"/>
          </w:tcPr>
          <w:p w:rsidR="006040C5" w:rsidRDefault="006040C5" w:rsidP="006040C5">
            <w:pPr>
              <w:pStyle w:val="TableBodyText"/>
            </w:pPr>
            <w:r>
              <w:t xml:space="preserve">  2.4</w:t>
            </w:r>
          </w:p>
        </w:tc>
        <w:tc>
          <w:tcPr>
            <w:tcW w:w="739" w:type="dxa"/>
            <w:tcBorders>
              <w:bottom w:val="single" w:sz="6" w:space="0" w:color="auto"/>
            </w:tcBorders>
            <w:shd w:val="clear" w:color="auto" w:fill="auto"/>
            <w:vAlign w:val="center"/>
          </w:tcPr>
          <w:p w:rsidR="006040C5" w:rsidRDefault="006040C5" w:rsidP="006040C5">
            <w:pPr>
              <w:pStyle w:val="TableBodyText"/>
            </w:pPr>
            <w:r>
              <w:t xml:space="preserve">  0.8</w:t>
            </w:r>
          </w:p>
        </w:tc>
        <w:tc>
          <w:tcPr>
            <w:tcW w:w="739" w:type="dxa"/>
            <w:tcBorders>
              <w:bottom w:val="single" w:sz="6" w:space="0" w:color="auto"/>
            </w:tcBorders>
            <w:shd w:val="clear" w:color="auto" w:fill="auto"/>
            <w:vAlign w:val="center"/>
          </w:tcPr>
          <w:p w:rsidR="006040C5" w:rsidRDefault="006040C5" w:rsidP="006040C5">
            <w:pPr>
              <w:pStyle w:val="TableBodyText"/>
            </w:pPr>
            <w:r>
              <w:t xml:space="preserve">  0.3</w:t>
            </w:r>
          </w:p>
        </w:tc>
        <w:tc>
          <w:tcPr>
            <w:tcW w:w="739" w:type="dxa"/>
            <w:tcBorders>
              <w:bottom w:val="single" w:sz="6" w:space="0" w:color="auto"/>
            </w:tcBorders>
            <w:shd w:val="clear" w:color="auto" w:fill="auto"/>
            <w:vAlign w:val="center"/>
          </w:tcPr>
          <w:p w:rsidR="006040C5" w:rsidRDefault="006040C5" w:rsidP="006040C5">
            <w:pPr>
              <w:pStyle w:val="TableBodyText"/>
            </w:pPr>
            <w:r>
              <w:t>..</w:t>
            </w:r>
          </w:p>
        </w:tc>
        <w:tc>
          <w:tcPr>
            <w:tcW w:w="739" w:type="dxa"/>
            <w:tcBorders>
              <w:bottom w:val="single" w:sz="6" w:space="0" w:color="auto"/>
            </w:tcBorders>
            <w:shd w:val="clear" w:color="auto" w:fill="auto"/>
            <w:vAlign w:val="center"/>
          </w:tcPr>
          <w:p w:rsidR="006040C5" w:rsidRDefault="006040C5" w:rsidP="006040C5">
            <w:pPr>
              <w:pStyle w:val="TableBodyText"/>
            </w:pPr>
            <w:r>
              <w:t xml:space="preserve">  24.7</w:t>
            </w:r>
          </w:p>
        </w:tc>
        <w:tc>
          <w:tcPr>
            <w:tcW w:w="739" w:type="dxa"/>
            <w:tcBorders>
              <w:bottom w:val="single" w:sz="6" w:space="0" w:color="auto"/>
            </w:tcBorders>
            <w:shd w:val="clear" w:color="auto" w:fill="auto"/>
            <w:vAlign w:val="center"/>
          </w:tcPr>
          <w:p w:rsidR="006040C5" w:rsidRDefault="006040C5" w:rsidP="006040C5">
            <w:pPr>
              <w:pStyle w:val="TableBodyText"/>
            </w:pPr>
            <w:r>
              <w:t xml:space="preserve">  0.9</w:t>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Proportions are based on school sector (for example, students in government schools in remote areas as a proportion of all government school students). </w:t>
      </w:r>
      <w:r w:rsidRPr="00666ECE">
        <w:rPr>
          <w:rFonts w:ascii="Arial" w:hAnsi="Arial"/>
          <w:b/>
          <w:position w:val="6"/>
          <w:sz w:val="18"/>
          <w:szCs w:val="20"/>
        </w:rPr>
        <w:t>b</w:t>
      </w:r>
      <w:r w:rsidRPr="00666ECE">
        <w:rPr>
          <w:rFonts w:ascii="Arial" w:hAnsi="Arial"/>
          <w:sz w:val="18"/>
          <w:szCs w:val="20"/>
        </w:rPr>
        <w:t> Victoria has no very remote areas. The ACT has no remote or very remote areas. .. Not applicable. – Nil or rounded to zero.</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xml:space="preserve">: </w:t>
      </w:r>
      <w:r w:rsidR="001D6209">
        <w:rPr>
          <w:rFonts w:ascii="Arial" w:hAnsi="Arial"/>
          <w:sz w:val="18"/>
          <w:szCs w:val="20"/>
        </w:rPr>
        <w:t xml:space="preserve">Australian Government </w:t>
      </w:r>
      <w:r w:rsidR="007D2D50" w:rsidRPr="007D2D50">
        <w:rPr>
          <w:rFonts w:ascii="Arial" w:hAnsi="Arial"/>
          <w:sz w:val="18"/>
          <w:szCs w:val="20"/>
        </w:rPr>
        <w:t>Department of Education</w:t>
      </w:r>
      <w:r w:rsidRPr="00666ECE">
        <w:rPr>
          <w:rFonts w:ascii="Arial" w:hAnsi="Arial"/>
          <w:sz w:val="18"/>
          <w:szCs w:val="20"/>
        </w:rPr>
        <w:t xml:space="preserve"> (unpublished</w:t>
      </w:r>
      <w:r w:rsidRPr="000E6F59">
        <w:rPr>
          <w:rFonts w:ascii="Arial" w:hAnsi="Arial"/>
          <w:sz w:val="18"/>
          <w:szCs w:val="20"/>
        </w:rPr>
        <w:t>); table 4A.3</w:t>
      </w:r>
      <w:r w:rsidR="009807CA">
        <w:rPr>
          <w:rFonts w:ascii="Arial" w:hAnsi="Arial"/>
          <w:sz w:val="18"/>
          <w:szCs w:val="20"/>
        </w:rPr>
        <w:t>5</w:t>
      </w:r>
      <w:r w:rsidRPr="000E6F59">
        <w:rPr>
          <w:rFonts w:ascii="Arial" w:hAnsi="Arial"/>
          <w:sz w:val="18"/>
          <w:szCs w:val="20"/>
        </w:rPr>
        <w:t>.</w:t>
      </w:r>
    </w:p>
    <w:p w:rsidR="00666ECE" w:rsidRPr="00666ECE" w:rsidRDefault="00666ECE" w:rsidP="00666ECE">
      <w:pPr>
        <w:keepNext/>
        <w:spacing w:before="480" w:line="320" w:lineRule="exact"/>
        <w:outlineLvl w:val="3"/>
        <w:rPr>
          <w:rFonts w:ascii="Arial" w:hAnsi="Arial"/>
          <w:i/>
          <w:sz w:val="24"/>
        </w:rPr>
      </w:pPr>
      <w:r w:rsidRPr="00666ECE">
        <w:rPr>
          <w:rFonts w:ascii="Arial" w:hAnsi="Arial"/>
          <w:i/>
          <w:sz w:val="24"/>
        </w:rPr>
        <w:t>Students from families of low socio</w:t>
      </w:r>
      <w:r w:rsidR="009131A4">
        <w:rPr>
          <w:rFonts w:ascii="Arial" w:hAnsi="Arial"/>
          <w:i/>
          <w:sz w:val="24"/>
        </w:rPr>
        <w:t>-</w:t>
      </w:r>
      <w:r w:rsidRPr="00666ECE">
        <w:rPr>
          <w:rFonts w:ascii="Arial" w:hAnsi="Arial"/>
          <w:i/>
          <w:sz w:val="24"/>
        </w:rPr>
        <w:t>economic status</w:t>
      </w:r>
    </w:p>
    <w:p w:rsidR="00666ECE" w:rsidRPr="00640DB6" w:rsidRDefault="00666ECE" w:rsidP="00666ECE">
      <w:pPr>
        <w:spacing w:before="240" w:line="320" w:lineRule="atLeast"/>
        <w:jc w:val="both"/>
        <w:rPr>
          <w:rStyle w:val="DraftingNote"/>
          <w:color w:val="auto"/>
        </w:rPr>
      </w:pPr>
      <w:r w:rsidRPr="00666ECE">
        <w:rPr>
          <w:szCs w:val="20"/>
        </w:rPr>
        <w:t xml:space="preserve">A range of </w:t>
      </w:r>
      <w:r w:rsidR="0019719B">
        <w:rPr>
          <w:szCs w:val="20"/>
        </w:rPr>
        <w:t xml:space="preserve">measures by </w:t>
      </w:r>
      <w:r w:rsidRPr="00666ECE">
        <w:rPr>
          <w:szCs w:val="20"/>
        </w:rPr>
        <w:t>socio</w:t>
      </w:r>
      <w:r w:rsidR="009131A4">
        <w:rPr>
          <w:szCs w:val="20"/>
        </w:rPr>
        <w:t>-</w:t>
      </w:r>
      <w:r w:rsidRPr="00666ECE">
        <w:rPr>
          <w:szCs w:val="20"/>
        </w:rPr>
        <w:t>economic status, such as learning outcomes by parental occupation and parental education</w:t>
      </w:r>
      <w:r w:rsidR="0019719B">
        <w:rPr>
          <w:szCs w:val="20"/>
        </w:rPr>
        <w:t>,</w:t>
      </w:r>
      <w:r w:rsidRPr="00666ECE">
        <w:rPr>
          <w:szCs w:val="20"/>
        </w:rPr>
        <w:t xml:space="preserve"> are included in this Report. Approximately 1700 schools in Australia (over 17 per cent of all schools) have been identified to participate in the Smarter Schools National Partnership for Low Socio</w:t>
      </w:r>
      <w:r w:rsidR="009131A4">
        <w:rPr>
          <w:szCs w:val="20"/>
        </w:rPr>
        <w:noBreakHyphen/>
      </w:r>
      <w:r w:rsidRPr="00666ECE">
        <w:rPr>
          <w:szCs w:val="20"/>
        </w:rPr>
        <w:t xml:space="preserve">economic Status School Communities. These disadvantaged schools were identified using the ABS Index of </w:t>
      </w:r>
      <w:r w:rsidRPr="00640DB6">
        <w:rPr>
          <w:szCs w:val="20"/>
        </w:rPr>
        <w:t>Relative Socio-economic Disadvantage (IRSD), based on student address or school location. Further measures of socio-economic status are being developed.</w:t>
      </w:r>
      <w:r w:rsidR="003A5B31" w:rsidRPr="00640DB6">
        <w:rPr>
          <w:szCs w:val="20"/>
        </w:rPr>
        <w:t xml:space="preserve"> </w:t>
      </w:r>
    </w:p>
    <w:p w:rsidR="00666ECE" w:rsidRPr="00666ECE" w:rsidRDefault="00666ECE" w:rsidP="00666ECE">
      <w:pPr>
        <w:keepNext/>
        <w:spacing w:before="600" w:line="400" w:lineRule="exact"/>
        <w:ind w:left="907" w:hanging="907"/>
        <w:outlineLvl w:val="1"/>
        <w:rPr>
          <w:rFonts w:ascii="Arial" w:hAnsi="Arial"/>
          <w:b/>
          <w:sz w:val="32"/>
        </w:rPr>
      </w:pPr>
      <w:bookmarkStart w:id="15" w:name="_Toc374962348"/>
      <w:r w:rsidRPr="00666ECE">
        <w:rPr>
          <w:rFonts w:ascii="Arial" w:hAnsi="Arial"/>
          <w:b/>
          <w:sz w:val="32"/>
        </w:rPr>
        <w:t>4.2</w:t>
      </w:r>
      <w:r w:rsidRPr="00666ECE">
        <w:rPr>
          <w:rFonts w:ascii="Arial" w:hAnsi="Arial"/>
          <w:b/>
          <w:sz w:val="32"/>
        </w:rPr>
        <w:tab/>
        <w:t>Framework of performance indicators</w:t>
      </w:r>
      <w:bookmarkEnd w:id="15"/>
    </w:p>
    <w:p w:rsidR="00666ECE" w:rsidRPr="00666ECE" w:rsidRDefault="00666ECE" w:rsidP="00666ECE">
      <w:pPr>
        <w:spacing w:before="240" w:line="320" w:lineRule="atLeast"/>
        <w:jc w:val="both"/>
        <w:rPr>
          <w:szCs w:val="20"/>
        </w:rPr>
      </w:pPr>
      <w:r w:rsidRPr="00666ECE">
        <w:rPr>
          <w:szCs w:val="20"/>
        </w:rPr>
        <w:t>This chapter provides performance information on the equity, effectiveness and efficiency of government expenditure on all schools in Australia.</w:t>
      </w:r>
    </w:p>
    <w:p w:rsidR="00666ECE" w:rsidRPr="00666ECE" w:rsidRDefault="00666ECE" w:rsidP="00666ECE">
      <w:pPr>
        <w:spacing w:before="240" w:line="320" w:lineRule="atLeast"/>
        <w:jc w:val="both"/>
        <w:rPr>
          <w:szCs w:val="20"/>
        </w:rPr>
      </w:pPr>
      <w:r w:rsidRPr="00666ECE">
        <w:rPr>
          <w:szCs w:val="20"/>
        </w:rPr>
        <w:lastRenderedPageBreak/>
        <w:t>Governments own and operate government schools, and have a direct interest in the equity, efficiency and effectiveness of their operation. In addition, governments are committed to providing access to education for all students and contribute to the funding of non-government schools. However, this chapter does not report on non</w:t>
      </w:r>
      <w:r w:rsidRPr="00666ECE">
        <w:rPr>
          <w:szCs w:val="20"/>
        </w:rPr>
        <w:noBreakHyphen/>
        <w:t>government sources of funding, and so does not compare the efficiency of government and non-government schools.</w:t>
      </w:r>
    </w:p>
    <w:p w:rsidR="00666ECE" w:rsidRPr="00666ECE" w:rsidRDefault="00666ECE" w:rsidP="00666ECE">
      <w:pPr>
        <w:spacing w:before="240" w:line="320" w:lineRule="atLeast"/>
        <w:jc w:val="both"/>
        <w:rPr>
          <w:szCs w:val="20"/>
        </w:rPr>
      </w:pPr>
      <w:r w:rsidRPr="00666ECE">
        <w:rPr>
          <w:szCs w:val="20"/>
        </w:rPr>
        <w:t>Box 4.1 describes the educational goals for young Australians, agreed by education Ministers in the Melbourne Declaration. Commitments to action by governments in eight inter-related areas are also included in the Melbourne Declaration (MCEETYA 2008).</w:t>
      </w:r>
      <w:r w:rsidRPr="00666ECE">
        <w:rPr>
          <w:position w:val="6"/>
          <w:sz w:val="22"/>
          <w:szCs w:val="20"/>
        </w:rPr>
        <w:footnoteReference w:id="3"/>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36281D">
        <w:tc>
          <w:tcPr>
            <w:tcW w:w="8771" w:type="dxa"/>
            <w:tcBorders>
              <w:top w:val="single" w:sz="6" w:space="0" w:color="auto"/>
              <w:bottom w:val="nil"/>
            </w:tcBorders>
          </w:tcPr>
          <w:p w:rsidR="00666ECE" w:rsidRPr="0063025F" w:rsidRDefault="00666ECE" w:rsidP="00666ECE">
            <w:pPr>
              <w:keepNext/>
              <w:keepLines/>
              <w:spacing w:before="120" w:line="280" w:lineRule="exact"/>
              <w:ind w:left="1304" w:hanging="1304"/>
              <w:rPr>
                <w:rFonts w:ascii="Arial" w:hAnsi="Arial"/>
                <w:b/>
                <w:sz w:val="24"/>
              </w:rPr>
            </w:pPr>
            <w:r w:rsidRPr="0063025F">
              <w:rPr>
                <w:rFonts w:ascii="Arial" w:hAnsi="Arial"/>
                <w:sz w:val="24"/>
              </w:rPr>
              <w:t xml:space="preserve">Box </w:t>
            </w:r>
            <w:bookmarkStart w:id="16" w:name="OLE_LINK1"/>
            <w:r w:rsidR="00EB256F" w:rsidRPr="0063025F">
              <w:rPr>
                <w:rFonts w:ascii="Arial" w:hAnsi="Arial"/>
                <w:sz w:val="24"/>
              </w:rPr>
              <w:t>4.</w:t>
            </w:r>
            <w:r w:rsidR="00EC06F7" w:rsidRPr="0063025F">
              <w:rPr>
                <w:rFonts w:ascii="Arial" w:hAnsi="Arial"/>
                <w:noProof/>
                <w:sz w:val="24"/>
              </w:rPr>
              <w:t>1</w:t>
            </w:r>
            <w:bookmarkEnd w:id="16"/>
            <w:r w:rsidRPr="0063025F">
              <w:rPr>
                <w:rFonts w:ascii="Arial" w:hAnsi="Arial"/>
                <w:b/>
                <w:sz w:val="24"/>
              </w:rPr>
              <w:tab/>
              <w:t xml:space="preserve">National goals for schooling in the 21st century </w:t>
            </w:r>
          </w:p>
        </w:tc>
      </w:tr>
      <w:tr w:rsidR="00666ECE" w:rsidRPr="00666ECE" w:rsidTr="0036281D">
        <w:trPr>
          <w:cantSplit/>
        </w:trPr>
        <w:tc>
          <w:tcPr>
            <w:tcW w:w="8771" w:type="dxa"/>
            <w:tcBorders>
              <w:top w:val="nil"/>
              <w:left w:val="single" w:sz="6" w:space="0" w:color="auto"/>
              <w:bottom w:val="nil"/>
              <w:right w:val="single" w:sz="6" w:space="0" w:color="auto"/>
            </w:tcBorders>
          </w:tcPr>
          <w:p w:rsidR="00666ECE" w:rsidRPr="00666ECE" w:rsidRDefault="00666ECE" w:rsidP="00666ECE">
            <w:pPr>
              <w:keepNext/>
              <w:spacing w:before="120" w:line="280" w:lineRule="atLeast"/>
              <w:jc w:val="both"/>
              <w:rPr>
                <w:rFonts w:ascii="Arial" w:hAnsi="Arial"/>
                <w:sz w:val="22"/>
                <w:szCs w:val="20"/>
              </w:rPr>
            </w:pPr>
            <w:bookmarkStart w:id="17" w:name="OLE_LINK67"/>
            <w:bookmarkStart w:id="18" w:name="OLE_LINK70"/>
            <w:r w:rsidRPr="00666ECE">
              <w:rPr>
                <w:rFonts w:ascii="Arial" w:hAnsi="Arial"/>
                <w:sz w:val="22"/>
                <w:szCs w:val="20"/>
              </w:rPr>
              <w:t>In December 2008, the MCEETYA endorsed the following national goals for school education.</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Improving educational outcomes for all young Australians is central to the nation’s social and economic prosperity and will position young people to live fulfilling, productive and responsible lives. Young Australians are therefore placed at the centre of the Melbourne Declaration on Educational Goals.</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These goals are:</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 xml:space="preserve">Goal 1: Australian schooling promotes equity and excellence </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Goal 2: All young Australians become:</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successful learners</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confident and creative individuals</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active and informed citizens.</w:t>
            </w:r>
            <w:bookmarkEnd w:id="17"/>
            <w:bookmarkEnd w:id="18"/>
          </w:p>
        </w:tc>
      </w:tr>
      <w:tr w:rsidR="00666ECE" w:rsidRPr="00666ECE" w:rsidTr="0036281D">
        <w:trPr>
          <w:cantSplit/>
        </w:trPr>
        <w:tc>
          <w:tcPr>
            <w:tcW w:w="8771" w:type="dxa"/>
            <w:tcBorders>
              <w:top w:val="nil"/>
              <w:left w:val="single" w:sz="6" w:space="0" w:color="auto"/>
              <w:bottom w:val="nil"/>
              <w:right w:val="single" w:sz="6" w:space="0" w:color="auto"/>
            </w:tcBorders>
          </w:tcPr>
          <w:p w:rsidR="00666ECE" w:rsidRPr="00666ECE" w:rsidRDefault="00666ECE" w:rsidP="00666ECE">
            <w:pPr>
              <w:keepLines/>
              <w:spacing w:before="18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xml:space="preserve">: Adapted from MCEETYA (2008). </w:t>
            </w: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color w:val="FF00FF"/>
                <w:sz w:val="14"/>
                <w:szCs w:val="20"/>
              </w:rPr>
            </w:pPr>
          </w:p>
        </w:tc>
      </w:tr>
    </w:tbl>
    <w:p w:rsidR="00666ECE" w:rsidRPr="00666ECE" w:rsidRDefault="00666ECE" w:rsidP="00666ECE">
      <w:pPr>
        <w:spacing w:before="240" w:line="320" w:lineRule="atLeast"/>
        <w:jc w:val="both"/>
        <w:rPr>
          <w:szCs w:val="20"/>
        </w:rPr>
      </w:pPr>
      <w:r w:rsidRPr="00666ECE">
        <w:rPr>
          <w:szCs w:val="20"/>
        </w:rPr>
        <w:t>The performance of school education is reported against the indicator framework in figure 4.4. This framework reflects the objectives in box 4.1, and is aligned with the NEA and N</w:t>
      </w:r>
      <w:r w:rsidR="000B2CA3">
        <w:rPr>
          <w:szCs w:val="20"/>
        </w:rPr>
        <w:t>ational Indigenous Reform Agreement (N</w:t>
      </w:r>
      <w:r w:rsidRPr="00666ECE">
        <w:rPr>
          <w:szCs w:val="20"/>
        </w:rPr>
        <w:t>IRA</w:t>
      </w:r>
      <w:r w:rsidR="000B2CA3">
        <w:rPr>
          <w:szCs w:val="20"/>
        </w:rPr>
        <w:t>)</w:t>
      </w:r>
      <w:r w:rsidRPr="00666ECE">
        <w:rPr>
          <w:szCs w:val="20"/>
        </w:rPr>
        <w:t xml:space="preserve">. </w:t>
      </w:r>
    </w:p>
    <w:p w:rsidR="00666ECE" w:rsidRPr="00666ECE" w:rsidRDefault="00666ECE" w:rsidP="00666ECE">
      <w:pPr>
        <w:spacing w:before="240" w:line="320" w:lineRule="atLeast"/>
        <w:jc w:val="both"/>
        <w:rPr>
          <w:szCs w:val="20"/>
        </w:rPr>
      </w:pPr>
      <w:r w:rsidRPr="00666ECE">
        <w:rPr>
          <w:szCs w:val="20"/>
        </w:rPr>
        <w:t xml:space="preserve">COAG has agreed six National Agreements to enhance accountability to the public for the outcomes achieved or outputs delivered by a range of government services (see chapter 1 for more detail on reforms to federal financial relations). </w:t>
      </w:r>
    </w:p>
    <w:p w:rsidR="00666ECE" w:rsidRPr="009A7B9C" w:rsidRDefault="00666ECE" w:rsidP="00666ECE">
      <w:pPr>
        <w:spacing w:before="240" w:line="320" w:lineRule="atLeast"/>
        <w:jc w:val="both"/>
        <w:rPr>
          <w:rStyle w:val="DraftingNote"/>
          <w:color w:val="auto"/>
        </w:rPr>
      </w:pPr>
      <w:r w:rsidRPr="00666ECE">
        <w:rPr>
          <w:szCs w:val="20"/>
        </w:rPr>
        <w:lastRenderedPageBreak/>
        <w:t>The NEA covers the area of school education, and education and training indicators in the NIRA establish specific outcomes for reducing the level of disadvantage experienced by Indigenous Australians. Both agreements include sets of performance indicators, for which the Steering Committee collates performance information for analysis by the COAG Reform Council (CRC). Performance indicators reported in this chapter are aligned with school education performance indicators in the NEA.</w:t>
      </w:r>
      <w:r w:rsidR="003932A0">
        <w:rPr>
          <w:szCs w:val="20"/>
        </w:rPr>
        <w:t xml:space="preserve"> </w:t>
      </w:r>
      <w:r w:rsidR="004B4EC9">
        <w:rPr>
          <w:szCs w:val="20"/>
        </w:rPr>
        <w:t>The NEA was reviewed in 2011 and 2012</w:t>
      </w:r>
      <w:r w:rsidR="001B6514">
        <w:rPr>
          <w:szCs w:val="20"/>
        </w:rPr>
        <w:t>,</w:t>
      </w:r>
      <w:r w:rsidR="004B4EC9">
        <w:rPr>
          <w:szCs w:val="20"/>
        </w:rPr>
        <w:t xml:space="preserve"> resulting in changes </w:t>
      </w:r>
      <w:r w:rsidR="00921F85" w:rsidRPr="00921F85">
        <w:rPr>
          <w:szCs w:val="20"/>
        </w:rPr>
        <w:t>that have been reflec</w:t>
      </w:r>
      <w:r w:rsidR="00921F85">
        <w:rPr>
          <w:szCs w:val="20"/>
        </w:rPr>
        <w:t xml:space="preserve">ted in this Report, as </w:t>
      </w:r>
      <w:r w:rsidR="00921F85" w:rsidRPr="009A7B9C">
        <w:rPr>
          <w:szCs w:val="20"/>
        </w:rPr>
        <w:t>relevant</w:t>
      </w:r>
      <w:r w:rsidR="004B4EC9" w:rsidRPr="009A7B9C">
        <w:rPr>
          <w:szCs w:val="20"/>
        </w:rPr>
        <w:t xml:space="preserve">. </w:t>
      </w:r>
    </w:p>
    <w:p w:rsidR="00666ECE" w:rsidRPr="00666ECE" w:rsidRDefault="00666ECE" w:rsidP="00666ECE">
      <w:pPr>
        <w:spacing w:before="240" w:line="320" w:lineRule="atLeast"/>
        <w:jc w:val="both"/>
        <w:rPr>
          <w:szCs w:val="20"/>
        </w:rPr>
      </w:pPr>
      <w:r w:rsidRPr="00666ECE">
        <w:rPr>
          <w:szCs w:val="20"/>
        </w:rPr>
        <w:t xml:space="preserve">The performance indicator framework provides information on equity, efficiency and effectiveness, and distinguishes the outputs and outcomes of school education </w:t>
      </w:r>
      <w:r w:rsidR="00921F85">
        <w:rPr>
          <w:szCs w:val="20"/>
        </w:rPr>
        <w:t xml:space="preserve">services </w:t>
      </w:r>
      <w:r w:rsidRPr="00666ECE">
        <w:rPr>
          <w:szCs w:val="20"/>
        </w:rPr>
        <w:t xml:space="preserve">(figure 4.4). The performance indicator framework shows which data are </w:t>
      </w:r>
      <w:r w:rsidR="001B6514">
        <w:rPr>
          <w:szCs w:val="20"/>
        </w:rPr>
        <w:t xml:space="preserve">complete and </w:t>
      </w:r>
      <w:r w:rsidRPr="00666ECE">
        <w:rPr>
          <w:szCs w:val="20"/>
        </w:rPr>
        <w:t>comparable in the 201</w:t>
      </w:r>
      <w:r w:rsidR="00643280">
        <w:rPr>
          <w:szCs w:val="20"/>
        </w:rPr>
        <w:t>4</w:t>
      </w:r>
      <w:r w:rsidRPr="00666ECE">
        <w:rPr>
          <w:szCs w:val="20"/>
        </w:rPr>
        <w:t xml:space="preserve"> Report. For data that are not considered directly comparable, the text includes relevant caveats and supporting commentary. Chapter 1 discusses data comparability from a Report-wide perspective (see section 1.6).</w:t>
      </w:r>
    </w:p>
    <w:p w:rsidR="00666ECE" w:rsidRPr="00666ECE" w:rsidRDefault="00666ECE" w:rsidP="00666ECE">
      <w:pPr>
        <w:autoSpaceDE w:val="0"/>
        <w:autoSpaceDN w:val="0"/>
        <w:adjustRightInd w:val="0"/>
        <w:spacing w:before="240" w:line="320" w:lineRule="atLeast"/>
        <w:jc w:val="both"/>
        <w:rPr>
          <w:szCs w:val="26"/>
        </w:rPr>
      </w:pPr>
      <w:r w:rsidRPr="00666ECE">
        <w:t>Different delivery contexts and locations influence the equity, effectiveness and efficiency of school education services. Results are also affected by the broader education environment (for example, availability of employment and fu</w:t>
      </w:r>
      <w:r w:rsidR="004B4EC9">
        <w:t xml:space="preserve">rther educational alternatives and </w:t>
      </w:r>
      <w:r w:rsidRPr="00666ECE">
        <w:t xml:space="preserve">population movements). </w:t>
      </w:r>
    </w:p>
    <w:p w:rsidR="00666ECE" w:rsidRPr="00666ECE" w:rsidRDefault="00666ECE" w:rsidP="00666ECE">
      <w:pPr>
        <w:spacing w:before="240" w:line="320" w:lineRule="atLeast"/>
        <w:jc w:val="both"/>
        <w:rPr>
          <w:szCs w:val="20"/>
        </w:rPr>
      </w:pPr>
      <w:r w:rsidRPr="00666ECE">
        <w:rPr>
          <w:szCs w:val="20"/>
        </w:rPr>
        <w:t xml:space="preserve">The Report’s </w:t>
      </w:r>
      <w:r w:rsidR="00570434">
        <w:rPr>
          <w:szCs w:val="20"/>
        </w:rPr>
        <w:t>S</w:t>
      </w:r>
      <w:r w:rsidRPr="00666ECE">
        <w:rPr>
          <w:szCs w:val="20"/>
        </w:rPr>
        <w:t xml:space="preserve">tatistical </w:t>
      </w:r>
      <w:r w:rsidR="00570434">
        <w:rPr>
          <w:szCs w:val="20"/>
        </w:rPr>
        <w:t>context chapter</w:t>
      </w:r>
      <w:r w:rsidRPr="00666ECE">
        <w:rPr>
          <w:szCs w:val="20"/>
        </w:rPr>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w:t>
      </w:r>
      <w:r w:rsidR="00921F85">
        <w:rPr>
          <w:szCs w:val="20"/>
        </w:rPr>
        <w:t>chapter 2</w:t>
      </w:r>
      <w:r w:rsidRPr="00666ECE">
        <w:rPr>
          <w:szCs w:val="20"/>
        </w:rPr>
        <w:t>).</w:t>
      </w:r>
    </w:p>
    <w:p w:rsidR="00666ECE" w:rsidRPr="002C3941" w:rsidRDefault="00666ECE" w:rsidP="002C3941">
      <w:pPr>
        <w:pStyle w:val="FigureTitle"/>
      </w:pPr>
      <w:r w:rsidRPr="007A7568">
        <w:rPr>
          <w:b w:val="0"/>
        </w:rPr>
        <w:lastRenderedPageBreak/>
        <w:t xml:space="preserve">Figure </w:t>
      </w:r>
      <w:bookmarkStart w:id="19" w:name="OLE_LINK20"/>
      <w:r w:rsidR="00EB256F" w:rsidRPr="007A7568">
        <w:rPr>
          <w:b w:val="0"/>
        </w:rPr>
        <w:t>4.</w:t>
      </w:r>
      <w:r w:rsidR="00EC06F7" w:rsidRPr="007A7568">
        <w:rPr>
          <w:b w:val="0"/>
        </w:rPr>
        <w:t>4</w:t>
      </w:r>
      <w:bookmarkEnd w:id="19"/>
      <w:r w:rsidRPr="007A7568">
        <w:rPr>
          <w:b w:val="0"/>
        </w:rPr>
        <w:tab/>
      </w:r>
      <w:r w:rsidRPr="002C3941">
        <w:t>School education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536FF3" w:rsidRDefault="008B34BD" w:rsidP="00536FF3">
            <w:pPr>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drawing>
                <wp:inline distT="0" distB="0" distL="0" distR="0">
                  <wp:extent cx="5514975" cy="5838825"/>
                  <wp:effectExtent l="0" t="0" r="9525" b="0"/>
                  <wp:docPr id="5" name="Picture 5" descr="Figure 4.4 School education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4975" cy="5838825"/>
                          </a:xfrm>
                          <a:prstGeom prst="rect">
                            <a:avLst/>
                          </a:prstGeom>
                          <a:noFill/>
                          <a:ln>
                            <a:noFill/>
                          </a:ln>
                        </pic:spPr>
                      </pic:pic>
                    </a:graphicData>
                  </a:graphic>
                </wp:inline>
              </w:drawing>
            </w:r>
          </w:p>
        </w:tc>
      </w:tr>
    </w:tbl>
    <w:p w:rsidR="00666ECE" w:rsidRPr="00666ECE" w:rsidRDefault="00666ECE" w:rsidP="00666ECE">
      <w:pPr>
        <w:keepNext/>
        <w:spacing w:before="600" w:line="400" w:lineRule="exact"/>
        <w:ind w:left="907" w:hanging="907"/>
        <w:outlineLvl w:val="1"/>
        <w:rPr>
          <w:rFonts w:ascii="Arial" w:hAnsi="Arial"/>
          <w:b/>
          <w:sz w:val="32"/>
        </w:rPr>
      </w:pPr>
      <w:bookmarkStart w:id="20" w:name="_Toc374962349"/>
      <w:r w:rsidRPr="00666ECE">
        <w:rPr>
          <w:rFonts w:ascii="Arial" w:hAnsi="Arial"/>
          <w:b/>
          <w:sz w:val="32"/>
        </w:rPr>
        <w:t>4.3</w:t>
      </w:r>
      <w:r w:rsidRPr="00666ECE">
        <w:rPr>
          <w:rFonts w:ascii="Arial" w:hAnsi="Arial"/>
          <w:b/>
          <w:sz w:val="32"/>
        </w:rPr>
        <w:tab/>
        <w:t>Key performance indicator results</w:t>
      </w:r>
      <w:bookmarkEnd w:id="20"/>
    </w:p>
    <w:p w:rsidR="00666ECE" w:rsidRDefault="00666ECE" w:rsidP="00666ECE">
      <w:pPr>
        <w:spacing w:before="240" w:line="320" w:lineRule="atLeast"/>
        <w:jc w:val="both"/>
        <w:rPr>
          <w:szCs w:val="20"/>
        </w:rPr>
      </w:pPr>
      <w:r w:rsidRPr="00666ECE">
        <w:rPr>
          <w:szCs w:val="20"/>
        </w:rPr>
        <w:t>The framework of performance indicators provides information on equity, efficiency and effectiveness, and distinguishes the outputs and outcomes of school education. This approach is consistent with the Steering Committee’s general performance indicator framework and service process diagram outlined in chapter 1 (see figures 1.2 and 1.3).</w:t>
      </w:r>
    </w:p>
    <w:p w:rsidR="0057698F" w:rsidRDefault="0057698F" w:rsidP="00640DB6">
      <w:pPr>
        <w:pStyle w:val="BodyText"/>
      </w:pPr>
      <w:r>
        <w:lastRenderedPageBreak/>
        <w:t xml:space="preserve">Data quality information (DQI) is being progressively introduced for all indicators in the Report. The purpose of DQI is to provide structured and consistent information about quality aspects of data </w:t>
      </w:r>
      <w:r w:rsidR="0061654B">
        <w:t xml:space="preserve">used to </w:t>
      </w:r>
      <w:r>
        <w:t>report</w:t>
      </w:r>
      <w:r w:rsidR="0061654B">
        <w:t xml:space="preserve"> on performance indicators.</w:t>
      </w:r>
      <w:r>
        <w:t xml:space="preserve">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w:t>
      </w:r>
      <w:r w:rsidR="0061654B">
        <w:t xml:space="preserve">note </w:t>
      </w:r>
      <w:r>
        <w:t>key data gaps and issues identified by the Steering Committee. All DQI for the 201</w:t>
      </w:r>
      <w:r w:rsidR="00643280">
        <w:t>4</w:t>
      </w:r>
      <w:r>
        <w:t xml:space="preserve"> Report can be found at www.pc.gov.au/gsp/reports/rogs/201</w:t>
      </w:r>
      <w:r w:rsidR="00B43174">
        <w:t>4</w:t>
      </w:r>
      <w:r>
        <w:t>.</w:t>
      </w:r>
    </w:p>
    <w:p w:rsidR="00666ECE" w:rsidRPr="00666ECE" w:rsidRDefault="00666ECE" w:rsidP="00666ECE">
      <w:pPr>
        <w:keepNext/>
        <w:spacing w:before="560" w:line="320" w:lineRule="exact"/>
        <w:outlineLvl w:val="2"/>
        <w:rPr>
          <w:rFonts w:ascii="Arial" w:hAnsi="Arial"/>
          <w:b/>
        </w:rPr>
      </w:pPr>
      <w:r w:rsidRPr="00666ECE">
        <w:rPr>
          <w:rFonts w:ascii="Arial" w:hAnsi="Arial"/>
          <w:b/>
        </w:rPr>
        <w:t>Outputs</w:t>
      </w:r>
    </w:p>
    <w:p w:rsidR="00666ECE" w:rsidRPr="00666ECE" w:rsidRDefault="00666ECE" w:rsidP="00666ECE">
      <w:pPr>
        <w:spacing w:before="240" w:line="320" w:lineRule="atLeast"/>
        <w:jc w:val="both"/>
        <w:rPr>
          <w:szCs w:val="20"/>
        </w:rPr>
      </w:pPr>
      <w:r w:rsidRPr="00666ECE">
        <w:rPr>
          <w:szCs w:val="20"/>
        </w:rPr>
        <w:t>Outputs are the services delivered (while outcomes are the impact of these services on the status of an individual or group) (see chapter 1, section 1.5).</w:t>
      </w:r>
    </w:p>
    <w:p w:rsidR="00666ECE" w:rsidRPr="00666ECE" w:rsidRDefault="00666ECE" w:rsidP="00666ECE">
      <w:pPr>
        <w:keepNext/>
        <w:spacing w:before="480" w:line="320" w:lineRule="exact"/>
        <w:outlineLvl w:val="3"/>
        <w:rPr>
          <w:rFonts w:ascii="Arial" w:hAnsi="Arial"/>
          <w:i/>
          <w:sz w:val="24"/>
        </w:rPr>
      </w:pPr>
      <w:r w:rsidRPr="00666ECE">
        <w:rPr>
          <w:rFonts w:ascii="Arial" w:hAnsi="Arial"/>
          <w:i/>
          <w:sz w:val="24"/>
        </w:rPr>
        <w:t>Equity and effectiveness</w:t>
      </w:r>
    </w:p>
    <w:p w:rsidR="00666ECE" w:rsidRPr="00666ECE" w:rsidRDefault="00666ECE" w:rsidP="00666ECE">
      <w:pPr>
        <w:keepNext/>
        <w:spacing w:before="480" w:line="320" w:lineRule="exact"/>
        <w:outlineLvl w:val="4"/>
        <w:rPr>
          <w:i/>
        </w:rPr>
      </w:pPr>
      <w:r w:rsidRPr="00666ECE">
        <w:rPr>
          <w:i/>
        </w:rPr>
        <w:t>Attendance and participation</w:t>
      </w:r>
    </w:p>
    <w:p w:rsidR="00666ECE" w:rsidRPr="00666ECE" w:rsidRDefault="00666ECE" w:rsidP="00666ECE">
      <w:pPr>
        <w:spacing w:before="240" w:line="320" w:lineRule="atLeast"/>
        <w:jc w:val="both"/>
        <w:rPr>
          <w:szCs w:val="20"/>
        </w:rPr>
      </w:pPr>
      <w:r w:rsidRPr="00666ECE">
        <w:rPr>
          <w:szCs w:val="20"/>
        </w:rPr>
        <w:t>‘Attendance and participation’ is an indicator of governments’ objective to develop fully the talents and capacities of young people through equitable access to, and participation in, education and learning</w:t>
      </w:r>
      <w:r w:rsidR="001B6514">
        <w:rPr>
          <w:szCs w:val="20"/>
        </w:rPr>
        <w:t>,</w:t>
      </w:r>
      <w:r w:rsidRPr="00666ECE">
        <w:rPr>
          <w:szCs w:val="20"/>
        </w:rPr>
        <w:t xml:space="preserve"> </w:t>
      </w:r>
      <w:r w:rsidR="0019719B">
        <w:rPr>
          <w:szCs w:val="20"/>
        </w:rPr>
        <w:t>to complete</w:t>
      </w:r>
      <w:r w:rsidRPr="00666ECE">
        <w:rPr>
          <w:szCs w:val="20"/>
        </w:rPr>
        <w:t xml:space="preserve"> school education to year 12 or its equivalent (box 4.2). National and international research confirms a link between attendance and student achievement, although numerous interrelated factors influence attendance and achievement in complex ways. </w:t>
      </w:r>
    </w:p>
    <w:p w:rsidR="00666ECE" w:rsidRPr="00666ECE" w:rsidRDefault="00666ECE" w:rsidP="00666ECE">
      <w:pPr>
        <w:spacing w:before="240" w:line="320" w:lineRule="atLeast"/>
        <w:jc w:val="both"/>
        <w:rPr>
          <w:szCs w:val="20"/>
        </w:rPr>
      </w:pPr>
      <w:r w:rsidRPr="00666ECE">
        <w:rPr>
          <w:szCs w:val="20"/>
        </w:rPr>
        <w:t xml:space="preserve">In addition, attendance and participation rates for special needs groups are an indication of the equity of access to school education (box 4.2). </w:t>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36281D">
        <w:tc>
          <w:tcPr>
            <w:tcW w:w="8771" w:type="dxa"/>
            <w:tcBorders>
              <w:top w:val="single" w:sz="6" w:space="0" w:color="auto"/>
              <w:bottom w:val="nil"/>
            </w:tcBorders>
          </w:tcPr>
          <w:p w:rsidR="00666ECE" w:rsidRPr="0063025F" w:rsidRDefault="00666ECE" w:rsidP="002C3941">
            <w:pPr>
              <w:pStyle w:val="BoxTitle"/>
            </w:pPr>
            <w:r w:rsidRPr="007A7568">
              <w:rPr>
                <w:b w:val="0"/>
              </w:rPr>
              <w:t xml:space="preserve">Box </w:t>
            </w:r>
            <w:r w:rsidR="00EB256F" w:rsidRPr="007A7568">
              <w:rPr>
                <w:b w:val="0"/>
              </w:rPr>
              <w:t>4.</w:t>
            </w:r>
            <w:r w:rsidR="00EC06F7" w:rsidRPr="007A7568">
              <w:rPr>
                <w:b w:val="0"/>
                <w:noProof/>
              </w:rPr>
              <w:t>2</w:t>
            </w:r>
            <w:r w:rsidRPr="0063025F">
              <w:tab/>
              <w:t>Attendance and participation</w:t>
            </w:r>
          </w:p>
        </w:tc>
      </w:tr>
      <w:tr w:rsidR="00666ECE" w:rsidRPr="00666ECE" w:rsidTr="00D95E3D">
        <w:trPr>
          <w:cantSplit/>
          <w:trHeight w:val="3349"/>
        </w:trPr>
        <w:tc>
          <w:tcPr>
            <w:tcW w:w="8771" w:type="dxa"/>
            <w:tcBorders>
              <w:top w:val="nil"/>
              <w:left w:val="single" w:sz="6" w:space="0" w:color="auto"/>
              <w:bottom w:val="nil"/>
              <w:right w:val="single" w:sz="6" w:space="0" w:color="auto"/>
            </w:tcBorders>
          </w:tcPr>
          <w:p w:rsidR="00666ECE" w:rsidRPr="00666ECE" w:rsidRDefault="004B4EC9" w:rsidP="00666ECE">
            <w:pPr>
              <w:keepNext/>
              <w:spacing w:before="120" w:line="280" w:lineRule="atLeast"/>
              <w:jc w:val="both"/>
              <w:rPr>
                <w:rFonts w:ascii="Arial" w:hAnsi="Arial"/>
                <w:sz w:val="22"/>
                <w:szCs w:val="20"/>
              </w:rPr>
            </w:pPr>
            <w:r>
              <w:rPr>
                <w:rFonts w:ascii="Arial" w:hAnsi="Arial"/>
                <w:sz w:val="22"/>
                <w:szCs w:val="20"/>
              </w:rPr>
              <w:t>‘Attendance and participation’</w:t>
            </w:r>
            <w:r w:rsidR="00666ECE" w:rsidRPr="00666ECE">
              <w:rPr>
                <w:rFonts w:ascii="Arial" w:hAnsi="Arial"/>
                <w:sz w:val="22"/>
                <w:szCs w:val="20"/>
              </w:rPr>
              <w:t xml:space="preserve"> i</w:t>
            </w:r>
            <w:r w:rsidR="0019719B">
              <w:rPr>
                <w:rFonts w:ascii="Arial" w:hAnsi="Arial"/>
                <w:sz w:val="22"/>
                <w:szCs w:val="20"/>
              </w:rPr>
              <w:t>s defined by four measures</w:t>
            </w:r>
            <w:r w:rsidR="00921F85">
              <w:rPr>
                <w:rFonts w:ascii="Arial" w:hAnsi="Arial"/>
                <w:sz w:val="22"/>
                <w:szCs w:val="20"/>
              </w:rPr>
              <w:t>.</w:t>
            </w:r>
          </w:p>
          <w:p w:rsidR="00666ECE" w:rsidRPr="00666ECE" w:rsidRDefault="00666ECE" w:rsidP="00666ECE">
            <w:pPr>
              <w:keepNext/>
              <w:spacing w:before="120" w:line="280" w:lineRule="atLeast"/>
              <w:jc w:val="both"/>
              <w:rPr>
                <w:rFonts w:ascii="Arial" w:hAnsi="Arial"/>
                <w:i/>
                <w:sz w:val="22"/>
                <w:szCs w:val="20"/>
              </w:rPr>
            </w:pPr>
            <w:r w:rsidRPr="00666ECE">
              <w:rPr>
                <w:rFonts w:ascii="Arial" w:hAnsi="Arial"/>
                <w:i/>
                <w:sz w:val="22"/>
                <w:szCs w:val="20"/>
              </w:rPr>
              <w:t>Attendance</w:t>
            </w:r>
          </w:p>
          <w:p w:rsidR="00666ECE" w:rsidRPr="00666ECE" w:rsidRDefault="0019719B" w:rsidP="00666ECE">
            <w:pPr>
              <w:keepNext/>
              <w:numPr>
                <w:ilvl w:val="0"/>
                <w:numId w:val="1"/>
              </w:numPr>
              <w:spacing w:before="120" w:line="280" w:lineRule="atLeast"/>
              <w:jc w:val="both"/>
              <w:rPr>
                <w:rFonts w:ascii="Arial" w:hAnsi="Arial"/>
                <w:sz w:val="22"/>
                <w:szCs w:val="20"/>
              </w:rPr>
            </w:pPr>
            <w:r>
              <w:rPr>
                <w:rFonts w:ascii="Arial" w:hAnsi="Arial"/>
                <w:sz w:val="22"/>
                <w:szCs w:val="20"/>
              </w:rPr>
              <w:t>Th</w:t>
            </w:r>
            <w:r w:rsidR="00666ECE" w:rsidRPr="00666ECE">
              <w:rPr>
                <w:rFonts w:ascii="Arial" w:hAnsi="Arial"/>
                <w:sz w:val="22"/>
                <w:szCs w:val="20"/>
              </w:rPr>
              <w:t xml:space="preserve">e number of actual full time equivalent ‘student days attended’ over the collection period as a percentage of the total number of possible student days attended over the collection period. </w:t>
            </w:r>
            <w:r w:rsidR="004B4EC9">
              <w:rPr>
                <w:rFonts w:ascii="Arial" w:hAnsi="Arial"/>
                <w:sz w:val="22"/>
                <w:szCs w:val="20"/>
              </w:rPr>
              <w:t>A</w:t>
            </w:r>
            <w:r w:rsidR="00666ECE" w:rsidRPr="00666ECE">
              <w:rPr>
                <w:rFonts w:ascii="Arial" w:hAnsi="Arial"/>
                <w:sz w:val="22"/>
                <w:szCs w:val="20"/>
              </w:rPr>
              <w:t xml:space="preserve"> high student attendance rate is desirable. </w:t>
            </w:r>
          </w:p>
          <w:p w:rsidR="00666ECE" w:rsidRPr="00666ECE" w:rsidRDefault="00666ECE" w:rsidP="00666ECE">
            <w:pPr>
              <w:keepNext/>
              <w:spacing w:before="120" w:line="280" w:lineRule="atLeast"/>
              <w:ind w:left="284"/>
              <w:jc w:val="both"/>
              <w:rPr>
                <w:rFonts w:ascii="Arial" w:hAnsi="Arial"/>
                <w:sz w:val="22"/>
                <w:szCs w:val="20"/>
              </w:rPr>
            </w:pPr>
            <w:r w:rsidRPr="00666ECE">
              <w:rPr>
                <w:rFonts w:ascii="Arial" w:hAnsi="Arial"/>
                <w:sz w:val="22"/>
                <w:szCs w:val="20"/>
              </w:rPr>
              <w:t>Data on student attendance are collected for each State and Territory by school sector (government, Catholic and independent), sex, year level (1–10) and Indigenous status (Indigenous and non-Indigenous students).</w:t>
            </w:r>
          </w:p>
          <w:p w:rsidR="001C174A" w:rsidRDefault="00666ECE" w:rsidP="00F04B7F">
            <w:pPr>
              <w:keepNext/>
              <w:spacing w:before="120" w:line="280" w:lineRule="atLeast"/>
              <w:ind w:left="284"/>
              <w:jc w:val="both"/>
              <w:rPr>
                <w:rFonts w:ascii="Arial" w:hAnsi="Arial"/>
                <w:sz w:val="22"/>
                <w:szCs w:val="20"/>
              </w:rPr>
            </w:pPr>
            <w:r w:rsidRPr="00666ECE">
              <w:rPr>
                <w:rFonts w:ascii="Arial" w:hAnsi="Arial"/>
                <w:sz w:val="22"/>
                <w:szCs w:val="20"/>
              </w:rPr>
              <w:t xml:space="preserve">Data </w:t>
            </w:r>
            <w:r w:rsidR="00F04B7F">
              <w:rPr>
                <w:rFonts w:ascii="Arial" w:hAnsi="Arial"/>
                <w:sz w:val="22"/>
                <w:szCs w:val="20"/>
              </w:rPr>
              <w:t xml:space="preserve">reported </w:t>
            </w:r>
            <w:r w:rsidRPr="00666ECE">
              <w:rPr>
                <w:rFonts w:ascii="Arial" w:hAnsi="Arial"/>
                <w:sz w:val="22"/>
                <w:szCs w:val="20"/>
              </w:rPr>
              <w:t>for this measure are</w:t>
            </w:r>
            <w:r w:rsidR="001C174A">
              <w:rPr>
                <w:rFonts w:ascii="Arial" w:hAnsi="Arial"/>
                <w:sz w:val="22"/>
                <w:szCs w:val="20"/>
              </w:rPr>
              <w:t>:</w:t>
            </w:r>
          </w:p>
          <w:p w:rsidR="001C174A" w:rsidRDefault="00666ECE" w:rsidP="00C54EC5">
            <w:pPr>
              <w:pStyle w:val="BoxListBullet"/>
              <w:ind w:hanging="22"/>
            </w:pPr>
            <w:r w:rsidRPr="00666ECE">
              <w:t>not</w:t>
            </w:r>
            <w:r w:rsidR="00F04B7F" w:rsidRPr="00F04B7F">
              <w:t xml:space="preserve"> </w:t>
            </w:r>
            <w:r w:rsidR="00F04B7F">
              <w:t>comparable across juris</w:t>
            </w:r>
            <w:r w:rsidR="001B6514">
              <w:t>dictions</w:t>
            </w:r>
          </w:p>
          <w:p w:rsidR="00666ECE" w:rsidRDefault="00F04B7F" w:rsidP="00C54EC5">
            <w:pPr>
              <w:pStyle w:val="BoxListBullet"/>
              <w:tabs>
                <w:tab w:val="clear" w:pos="284"/>
                <w:tab w:val="num" w:pos="687"/>
              </w:tabs>
              <w:ind w:left="687" w:hanging="425"/>
            </w:pPr>
            <w:r w:rsidRPr="00F04B7F">
              <w:t xml:space="preserve">complete for the current reporting period (subject to caveats). All required </w:t>
            </w:r>
            <w:r>
              <w:t>2012</w:t>
            </w:r>
            <w:r w:rsidRPr="00F04B7F">
              <w:t xml:space="preserve"> data are available for all jurisdictions providing the service.</w:t>
            </w:r>
          </w:p>
          <w:p w:rsidR="00C54EC5" w:rsidRDefault="00C54EC5" w:rsidP="00C54EC5">
            <w:pPr>
              <w:keepNext/>
              <w:spacing w:before="120" w:line="280" w:lineRule="atLeast"/>
              <w:ind w:left="284"/>
              <w:jc w:val="both"/>
              <w:rPr>
                <w:rFonts w:ascii="Arial" w:hAnsi="Arial"/>
                <w:sz w:val="22"/>
                <w:szCs w:val="20"/>
              </w:rPr>
            </w:pPr>
            <w:r w:rsidRPr="00666ECE">
              <w:rPr>
                <w:rFonts w:ascii="Arial" w:hAnsi="Arial"/>
                <w:sz w:val="22"/>
                <w:szCs w:val="20"/>
              </w:rPr>
              <w:t>It is intended to measure student attendance over a single consistent time period (the first semester) for all schools. However, current reporting against the measure is transitional, with most jurisdictions providing government school data for the first semester, and non</w:t>
            </w:r>
            <w:r w:rsidRPr="00666ECE">
              <w:rPr>
                <w:rFonts w:ascii="Arial" w:hAnsi="Arial"/>
                <w:sz w:val="22"/>
                <w:szCs w:val="20"/>
              </w:rPr>
              <w:noBreakHyphen/>
              <w:t>government schools providing data over a period including the last 20 days in May.</w:t>
            </w:r>
          </w:p>
          <w:p w:rsidR="00C54EC5" w:rsidRPr="00666ECE" w:rsidRDefault="00C54EC5" w:rsidP="00C54EC5">
            <w:pPr>
              <w:keepNext/>
              <w:spacing w:before="120" w:line="280" w:lineRule="atLeast"/>
              <w:jc w:val="both"/>
              <w:rPr>
                <w:rFonts w:ascii="Arial" w:hAnsi="Arial"/>
                <w:i/>
                <w:sz w:val="22"/>
                <w:szCs w:val="20"/>
              </w:rPr>
            </w:pPr>
            <w:r w:rsidRPr="00666ECE">
              <w:rPr>
                <w:rFonts w:ascii="Arial" w:hAnsi="Arial"/>
                <w:i/>
                <w:sz w:val="22"/>
                <w:szCs w:val="20"/>
              </w:rPr>
              <w:t>Participation</w:t>
            </w:r>
          </w:p>
          <w:p w:rsidR="00C54EC5" w:rsidRPr="00666ECE" w:rsidRDefault="00C54EC5" w:rsidP="00C54EC5">
            <w:pPr>
              <w:keepNext/>
              <w:numPr>
                <w:ilvl w:val="0"/>
                <w:numId w:val="1"/>
              </w:numPr>
              <w:spacing w:before="120" w:line="280" w:lineRule="atLeast"/>
              <w:jc w:val="both"/>
              <w:rPr>
                <w:rFonts w:ascii="Arial" w:hAnsi="Arial"/>
                <w:sz w:val="22"/>
                <w:szCs w:val="20"/>
              </w:rPr>
            </w:pPr>
            <w:r>
              <w:rPr>
                <w:rFonts w:ascii="Arial" w:hAnsi="Arial"/>
                <w:sz w:val="22"/>
                <w:szCs w:val="20"/>
              </w:rPr>
              <w:t>T</w:t>
            </w:r>
            <w:r w:rsidRPr="00666ECE">
              <w:rPr>
                <w:rFonts w:ascii="Arial" w:hAnsi="Arial"/>
                <w:sz w:val="22"/>
                <w:szCs w:val="20"/>
              </w:rPr>
              <w:t>he total number of children aged 6–15 years and enrolled in school (full time and part time enrolments) as a proportion of the estimated resident population of the same age</w:t>
            </w:r>
            <w:r>
              <w:rPr>
                <w:rFonts w:ascii="Arial" w:hAnsi="Arial"/>
                <w:sz w:val="22"/>
                <w:szCs w:val="20"/>
              </w:rPr>
              <w:t>.</w:t>
            </w:r>
          </w:p>
          <w:p w:rsidR="00C54EC5" w:rsidRPr="00666ECE" w:rsidRDefault="00C54EC5" w:rsidP="00C54EC5">
            <w:pPr>
              <w:keepNext/>
              <w:numPr>
                <w:ilvl w:val="0"/>
                <w:numId w:val="1"/>
              </w:numPr>
              <w:spacing w:before="120" w:line="280" w:lineRule="atLeast"/>
              <w:jc w:val="both"/>
              <w:rPr>
                <w:b/>
                <w:sz w:val="24"/>
              </w:rPr>
            </w:pPr>
            <w:r>
              <w:rPr>
                <w:rFonts w:ascii="Arial" w:hAnsi="Arial"/>
                <w:sz w:val="22"/>
                <w:szCs w:val="20"/>
              </w:rPr>
              <w:t>T</w:t>
            </w:r>
            <w:r w:rsidRPr="00666ECE">
              <w:rPr>
                <w:rFonts w:ascii="Arial" w:hAnsi="Arial"/>
                <w:sz w:val="22"/>
                <w:szCs w:val="20"/>
              </w:rPr>
              <w:t xml:space="preserve">he number of full time and part time school students of a particular age expressed as a proportion of the estimated resident population of the same age, for each year for 14–19 year olds. </w:t>
            </w:r>
          </w:p>
          <w:p w:rsidR="00C54EC5" w:rsidRPr="00C54EC5" w:rsidRDefault="00C54EC5" w:rsidP="00C54EC5">
            <w:pPr>
              <w:keepNext/>
              <w:spacing w:before="120" w:line="280" w:lineRule="atLeast"/>
              <w:ind w:left="284"/>
              <w:jc w:val="both"/>
              <w:rPr>
                <w:rFonts w:ascii="Arial" w:hAnsi="Arial"/>
                <w:sz w:val="22"/>
                <w:szCs w:val="20"/>
              </w:rPr>
            </w:pPr>
            <w:r>
              <w:rPr>
                <w:rFonts w:ascii="Arial" w:hAnsi="Arial"/>
                <w:sz w:val="22"/>
                <w:szCs w:val="20"/>
              </w:rPr>
              <w:t>A</w:t>
            </w:r>
            <w:r w:rsidRPr="00666ECE">
              <w:rPr>
                <w:rFonts w:ascii="Arial" w:hAnsi="Arial"/>
                <w:sz w:val="22"/>
                <w:szCs w:val="20"/>
              </w:rPr>
              <w:t xml:space="preserve"> higher or increasing participation rate suggests an improvement in educational outcomes through greater access to school education. Participation rates in school education need to be interpreted with care</w:t>
            </w:r>
            <w:r w:rsidR="001B6514">
              <w:rPr>
                <w:rFonts w:ascii="Arial" w:hAnsi="Arial"/>
                <w:sz w:val="22"/>
                <w:szCs w:val="20"/>
              </w:rPr>
              <w:t>,</w:t>
            </w:r>
            <w:r w:rsidRPr="00666ECE">
              <w:rPr>
                <w:rFonts w:ascii="Arial" w:hAnsi="Arial"/>
                <w:sz w:val="22"/>
                <w:szCs w:val="20"/>
              </w:rPr>
              <w:t xml:space="preserve"> because rates are influenced by jurisdictional differences in age/grade structures, and the participation rate is an age-based rate. The rate is comparable over time within a jurisdiction, but may not be directly comparable across jurisdictions where there are differences in the age</w:t>
            </w:r>
            <w:r>
              <w:rPr>
                <w:rFonts w:ascii="Arial" w:hAnsi="Arial"/>
                <w:sz w:val="22"/>
                <w:szCs w:val="20"/>
              </w:rPr>
              <w:t>/grade structure.</w:t>
            </w:r>
          </w:p>
        </w:tc>
      </w:tr>
      <w:tr w:rsidR="00666ECE" w:rsidRPr="00666ECE" w:rsidTr="0036281D">
        <w:trPr>
          <w:cantSplit/>
          <w:trHeight w:val="279"/>
        </w:trPr>
        <w:tc>
          <w:tcPr>
            <w:tcW w:w="8771" w:type="dxa"/>
            <w:tcBorders>
              <w:top w:val="nil"/>
              <w:left w:val="single" w:sz="6" w:space="0" w:color="auto"/>
              <w:bottom w:val="nil"/>
              <w:right w:val="single" w:sz="6" w:space="0" w:color="auto"/>
            </w:tcBorders>
          </w:tcPr>
          <w:p w:rsidR="00666ECE" w:rsidRPr="00666ECE" w:rsidRDefault="00666ECE" w:rsidP="00666ECE">
            <w:pPr>
              <w:spacing w:before="180" w:line="220" w:lineRule="exact"/>
              <w:jc w:val="right"/>
              <w:rPr>
                <w:rFonts w:ascii="Arial" w:hAnsi="Arial"/>
                <w:sz w:val="18"/>
                <w:szCs w:val="20"/>
              </w:rPr>
            </w:pPr>
            <w:r w:rsidRPr="00666ECE">
              <w:rPr>
                <w:rFonts w:ascii="Arial" w:hAnsi="Arial"/>
                <w:sz w:val="18"/>
                <w:szCs w:val="20"/>
              </w:rPr>
              <w:t>(Continued next page)</w:t>
            </w: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color w:val="FF00FF"/>
                <w:sz w:val="14"/>
                <w:szCs w:val="20"/>
              </w:rPr>
            </w:pPr>
          </w:p>
        </w:tc>
      </w:tr>
    </w:tbl>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5D7450">
        <w:tc>
          <w:tcPr>
            <w:tcW w:w="8771" w:type="dxa"/>
            <w:tcBorders>
              <w:top w:val="single" w:sz="6" w:space="0" w:color="auto"/>
              <w:bottom w:val="nil"/>
            </w:tcBorders>
          </w:tcPr>
          <w:p w:rsidR="00666ECE" w:rsidRPr="00666ECE" w:rsidRDefault="00666ECE" w:rsidP="00666ECE">
            <w:pPr>
              <w:keepNext/>
              <w:keepLines/>
              <w:spacing w:before="120" w:line="280" w:lineRule="exact"/>
              <w:ind w:left="1304" w:hanging="1304"/>
              <w:rPr>
                <w:rFonts w:ascii="Arial" w:hAnsi="Arial"/>
                <w:b/>
              </w:rPr>
            </w:pPr>
            <w:r w:rsidRPr="0063025F">
              <w:rPr>
                <w:rFonts w:ascii="Arial" w:hAnsi="Arial"/>
                <w:sz w:val="24"/>
              </w:rPr>
              <w:t xml:space="preserve">Box </w:t>
            </w:r>
            <w:r w:rsidR="00EB256F" w:rsidRPr="0063025F">
              <w:rPr>
                <w:rFonts w:ascii="Arial" w:hAnsi="Arial"/>
                <w:sz w:val="24"/>
              </w:rPr>
              <w:t>4.</w:t>
            </w:r>
            <w:r w:rsidRPr="0063025F">
              <w:rPr>
                <w:rFonts w:ascii="Arial" w:hAnsi="Arial"/>
                <w:sz w:val="24"/>
              </w:rPr>
              <w:t>2</w:t>
            </w:r>
            <w:r w:rsidRPr="00666ECE">
              <w:rPr>
                <w:rFonts w:ascii="Arial" w:hAnsi="Arial"/>
                <w:b/>
              </w:rPr>
              <w:tab/>
            </w:r>
            <w:r w:rsidRPr="00B64D68">
              <w:rPr>
                <w:rFonts w:ascii="Arial" w:hAnsi="Arial"/>
                <w:sz w:val="18"/>
                <w:szCs w:val="18"/>
              </w:rPr>
              <w:t>(continued)</w:t>
            </w:r>
          </w:p>
        </w:tc>
      </w:tr>
      <w:tr w:rsidR="00666ECE" w:rsidRPr="00666ECE" w:rsidTr="005D7450">
        <w:trPr>
          <w:cantSplit/>
        </w:trPr>
        <w:tc>
          <w:tcPr>
            <w:tcW w:w="8771" w:type="dxa"/>
            <w:tcBorders>
              <w:top w:val="nil"/>
              <w:left w:val="single" w:sz="6" w:space="0" w:color="auto"/>
              <w:bottom w:val="nil"/>
              <w:right w:val="single" w:sz="4" w:space="0" w:color="auto"/>
            </w:tcBorders>
          </w:tcPr>
          <w:p w:rsidR="001936FB" w:rsidRDefault="001936FB" w:rsidP="00104AF2">
            <w:pPr>
              <w:keepNext/>
              <w:shd w:val="clear" w:color="auto" w:fill="FFFFFF" w:themeFill="background1"/>
              <w:spacing w:before="120" w:line="280" w:lineRule="atLeast"/>
              <w:ind w:left="284"/>
              <w:jc w:val="both"/>
              <w:rPr>
                <w:rFonts w:ascii="Arial" w:hAnsi="Arial"/>
                <w:sz w:val="22"/>
                <w:szCs w:val="20"/>
              </w:rPr>
            </w:pPr>
            <w:r w:rsidRPr="001936FB">
              <w:rPr>
                <w:rFonts w:ascii="Arial" w:hAnsi="Arial"/>
                <w:sz w:val="22"/>
                <w:szCs w:val="20"/>
              </w:rPr>
              <w:t>Proportions that exceed 100 per cent may reflect disparities between the sources of data for students and residential population, multiple enrolments by individual students or students residing in one jurisdiction enrolling in schools in another jurisdiction.</w:t>
            </w:r>
          </w:p>
          <w:p w:rsidR="00666ECE" w:rsidRPr="00666ECE" w:rsidRDefault="00666ECE" w:rsidP="00666ECE">
            <w:pPr>
              <w:keepNext/>
              <w:spacing w:before="120" w:line="280" w:lineRule="atLeast"/>
              <w:ind w:left="284"/>
              <w:jc w:val="both"/>
              <w:rPr>
                <w:rFonts w:ascii="Arial" w:hAnsi="Arial"/>
                <w:sz w:val="22"/>
                <w:szCs w:val="20"/>
              </w:rPr>
            </w:pPr>
            <w:r w:rsidRPr="00666ECE">
              <w:rPr>
                <w:rFonts w:ascii="Arial" w:hAnsi="Arial"/>
                <w:sz w:val="22"/>
                <w:szCs w:val="20"/>
              </w:rPr>
              <w:t xml:space="preserve">These measures do not provide information on young people who develop their talents and capacities through other options for delivering post-compulsory education and training — for example, work-based training and enrolment in technical and further education (TAFE) delivered programs. A broader participation indicator that accounts for some of these factors is reported in the </w:t>
            </w:r>
            <w:r w:rsidR="009D7D07">
              <w:rPr>
                <w:rFonts w:ascii="Arial" w:hAnsi="Arial"/>
                <w:sz w:val="22"/>
                <w:szCs w:val="20"/>
              </w:rPr>
              <w:t>Child care</w:t>
            </w:r>
            <w:r w:rsidRPr="00666ECE">
              <w:rPr>
                <w:rFonts w:ascii="Arial" w:hAnsi="Arial"/>
                <w:sz w:val="22"/>
                <w:szCs w:val="20"/>
              </w:rPr>
              <w:t xml:space="preserve">, education and training </w:t>
            </w:r>
            <w:r w:rsidR="003932A0">
              <w:rPr>
                <w:rFonts w:ascii="Arial" w:hAnsi="Arial"/>
                <w:sz w:val="22"/>
                <w:szCs w:val="20"/>
              </w:rPr>
              <w:t>sector overview</w:t>
            </w:r>
            <w:r w:rsidRPr="00666ECE">
              <w:rPr>
                <w:rFonts w:ascii="Arial" w:hAnsi="Arial"/>
                <w:sz w:val="22"/>
                <w:szCs w:val="20"/>
              </w:rPr>
              <w:t>.</w:t>
            </w:r>
          </w:p>
          <w:p w:rsidR="00666ECE" w:rsidRPr="006216A4" w:rsidRDefault="0019719B" w:rsidP="00666ECE">
            <w:pPr>
              <w:keepNext/>
              <w:numPr>
                <w:ilvl w:val="0"/>
                <w:numId w:val="1"/>
              </w:numPr>
              <w:spacing w:before="120" w:line="280" w:lineRule="atLeast"/>
              <w:jc w:val="both"/>
              <w:rPr>
                <w:rFonts w:ascii="Arial" w:hAnsi="Arial"/>
                <w:sz w:val="22"/>
                <w:szCs w:val="20"/>
              </w:rPr>
            </w:pPr>
            <w:r>
              <w:rPr>
                <w:rFonts w:ascii="Arial" w:hAnsi="Arial"/>
                <w:sz w:val="22"/>
                <w:szCs w:val="20"/>
              </w:rPr>
              <w:t>T</w:t>
            </w:r>
            <w:r w:rsidR="00666ECE" w:rsidRPr="00666ECE">
              <w:rPr>
                <w:rFonts w:ascii="Arial" w:hAnsi="Arial"/>
                <w:sz w:val="22"/>
                <w:szCs w:val="20"/>
              </w:rPr>
              <w:t xml:space="preserve">he proportion </w:t>
            </w:r>
            <w:r w:rsidR="00666ECE" w:rsidRPr="006216A4">
              <w:rPr>
                <w:rFonts w:ascii="Arial" w:hAnsi="Arial"/>
                <w:sz w:val="22"/>
                <w:szCs w:val="20"/>
              </w:rPr>
              <w:t xml:space="preserve">of 15–19 year olds who have successfully completed at least one unit of competency as part of a VET qualification at </w:t>
            </w:r>
            <w:r w:rsidR="000B3B25">
              <w:rPr>
                <w:rFonts w:ascii="Arial" w:hAnsi="Arial"/>
                <w:sz w:val="22"/>
                <w:szCs w:val="20"/>
              </w:rPr>
              <w:t>Australian Qualifications Framework (</w:t>
            </w:r>
            <w:r w:rsidR="00666ECE" w:rsidRPr="006216A4">
              <w:rPr>
                <w:rFonts w:ascii="Arial" w:hAnsi="Arial"/>
                <w:sz w:val="22"/>
                <w:szCs w:val="20"/>
              </w:rPr>
              <w:t>AQF</w:t>
            </w:r>
            <w:r w:rsidR="000B3B25">
              <w:rPr>
                <w:rFonts w:ascii="Arial" w:hAnsi="Arial"/>
                <w:sz w:val="22"/>
                <w:szCs w:val="20"/>
              </w:rPr>
              <w:t>)</w:t>
            </w:r>
            <w:r w:rsidR="00666ECE" w:rsidRPr="006216A4">
              <w:rPr>
                <w:rFonts w:ascii="Arial" w:hAnsi="Arial"/>
                <w:sz w:val="22"/>
                <w:szCs w:val="20"/>
              </w:rPr>
              <w:t xml:space="preserve"> Certificate II or above</w:t>
            </w:r>
            <w:r w:rsidRPr="006216A4">
              <w:rPr>
                <w:rFonts w:ascii="Arial" w:hAnsi="Arial"/>
                <w:sz w:val="22"/>
                <w:szCs w:val="20"/>
              </w:rPr>
              <w:t>.</w:t>
            </w:r>
          </w:p>
          <w:p w:rsidR="001C174A" w:rsidRDefault="00666ECE" w:rsidP="00F04B7F">
            <w:pPr>
              <w:keepNext/>
              <w:shd w:val="clear" w:color="auto" w:fill="FFFFFF" w:themeFill="background1"/>
              <w:spacing w:before="120" w:line="280" w:lineRule="atLeast"/>
              <w:ind w:left="262"/>
              <w:jc w:val="both"/>
              <w:rPr>
                <w:rFonts w:ascii="Arial" w:hAnsi="Arial"/>
                <w:sz w:val="22"/>
                <w:szCs w:val="20"/>
              </w:rPr>
            </w:pPr>
            <w:r w:rsidRPr="006216A4">
              <w:rPr>
                <w:rFonts w:ascii="Arial" w:hAnsi="Arial"/>
                <w:sz w:val="22"/>
                <w:szCs w:val="20"/>
              </w:rPr>
              <w:t xml:space="preserve">Data </w:t>
            </w:r>
            <w:r w:rsidR="00F04B7F">
              <w:rPr>
                <w:rFonts w:ascii="Arial" w:hAnsi="Arial"/>
                <w:sz w:val="22"/>
                <w:szCs w:val="20"/>
              </w:rPr>
              <w:t xml:space="preserve">reported </w:t>
            </w:r>
            <w:r w:rsidRPr="006216A4">
              <w:rPr>
                <w:rFonts w:ascii="Arial" w:hAnsi="Arial"/>
                <w:sz w:val="22"/>
                <w:szCs w:val="20"/>
              </w:rPr>
              <w:t xml:space="preserve">for these three measures are </w:t>
            </w:r>
          </w:p>
          <w:p w:rsidR="001C174A" w:rsidRDefault="00F04B7F" w:rsidP="001C174A">
            <w:pPr>
              <w:pStyle w:val="BoxListBullet"/>
            </w:pPr>
            <w:r w:rsidRPr="00F04B7F">
              <w:t>comparable (subject to caveats) across jurisdictions and over time.</w:t>
            </w:r>
            <w:r>
              <w:t xml:space="preserve"> </w:t>
            </w:r>
          </w:p>
          <w:p w:rsidR="00666ECE" w:rsidRPr="006216A4" w:rsidRDefault="00F04B7F" w:rsidP="001C174A">
            <w:pPr>
              <w:pStyle w:val="BoxListBullet"/>
            </w:pPr>
            <w:r w:rsidRPr="00F04B7F">
              <w:t xml:space="preserve">complete for the current reporting period (subject to caveats). All required </w:t>
            </w:r>
            <w:r w:rsidR="00BA1348">
              <w:t xml:space="preserve">2011 and 2012 </w:t>
            </w:r>
            <w:r w:rsidRPr="00F04B7F">
              <w:t>data are available for all jurisdictions providing the service.</w:t>
            </w:r>
          </w:p>
          <w:p w:rsidR="00666ECE" w:rsidRPr="00666ECE" w:rsidRDefault="00666ECE" w:rsidP="00666ECE">
            <w:pPr>
              <w:keepNext/>
              <w:spacing w:before="60" w:line="280" w:lineRule="atLeast"/>
              <w:ind w:left="17"/>
              <w:jc w:val="both"/>
              <w:rPr>
                <w:rFonts w:ascii="Arial" w:hAnsi="Arial"/>
                <w:sz w:val="22"/>
                <w:szCs w:val="20"/>
              </w:rPr>
            </w:pPr>
            <w:r w:rsidRPr="006216A4">
              <w:rPr>
                <w:rFonts w:ascii="Arial" w:hAnsi="Arial"/>
                <w:sz w:val="22"/>
                <w:szCs w:val="20"/>
              </w:rPr>
              <w:t>Care should be exercised in relation to the data for Indigenous students, particularly in some jurisdictions and in the non-government sectors</w:t>
            </w:r>
            <w:r w:rsidRPr="00666ECE">
              <w:rPr>
                <w:rFonts w:ascii="Arial" w:hAnsi="Arial"/>
                <w:sz w:val="22"/>
                <w:szCs w:val="20"/>
              </w:rPr>
              <w:t>, due to small population sizes.</w:t>
            </w:r>
          </w:p>
          <w:p w:rsidR="00666ECE" w:rsidRPr="00666ECE" w:rsidRDefault="0057698F" w:rsidP="00643280">
            <w:pPr>
              <w:pStyle w:val="Box"/>
              <w:rPr>
                <w:color w:val="FF0000"/>
              </w:rPr>
            </w:pPr>
            <w:r>
              <w:t xml:space="preserve">Information about data quality for this indicator is at </w:t>
            </w:r>
            <w:r w:rsidR="00643280" w:rsidRPr="00C77140">
              <w:t>www.pc.gov.au/gsp/reports/rogs/2014</w:t>
            </w:r>
            <w:r>
              <w:t>.</w:t>
            </w: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color w:val="FF00FF"/>
                <w:sz w:val="14"/>
                <w:szCs w:val="20"/>
              </w:rPr>
            </w:pPr>
          </w:p>
        </w:tc>
      </w:tr>
    </w:tbl>
    <w:p w:rsidR="00666ECE" w:rsidRPr="00666ECE" w:rsidRDefault="00666ECE" w:rsidP="00666ECE">
      <w:pPr>
        <w:keepNext/>
        <w:spacing w:before="480" w:line="320" w:lineRule="exact"/>
        <w:outlineLvl w:val="4"/>
        <w:rPr>
          <w:i/>
        </w:rPr>
      </w:pPr>
      <w:r w:rsidRPr="00666ECE">
        <w:rPr>
          <w:i/>
        </w:rPr>
        <w:t xml:space="preserve">Attendance </w:t>
      </w:r>
    </w:p>
    <w:p w:rsidR="00666ECE" w:rsidRPr="00666ECE" w:rsidRDefault="00666ECE" w:rsidP="00666ECE">
      <w:pPr>
        <w:spacing w:before="240" w:line="320" w:lineRule="atLeast"/>
        <w:jc w:val="both"/>
        <w:rPr>
          <w:szCs w:val="20"/>
        </w:rPr>
      </w:pPr>
      <w:r w:rsidRPr="00666ECE">
        <w:rPr>
          <w:szCs w:val="20"/>
        </w:rPr>
        <w:t>School attendance is measured in a specific collection period during the school year (see box 4.2 for details), and results may not be representative of school attendance throughout the school year.</w:t>
      </w:r>
    </w:p>
    <w:p w:rsidR="00666ECE" w:rsidRPr="00666ECE" w:rsidRDefault="00666ECE" w:rsidP="00666ECE">
      <w:pPr>
        <w:spacing w:before="240" w:line="320" w:lineRule="atLeast"/>
        <w:jc w:val="both"/>
        <w:rPr>
          <w:szCs w:val="20"/>
        </w:rPr>
      </w:pPr>
      <w:r w:rsidRPr="00666ECE">
        <w:rPr>
          <w:szCs w:val="20"/>
        </w:rPr>
        <w:t xml:space="preserve">For all students </w:t>
      </w:r>
      <w:r w:rsidRPr="00602605">
        <w:rPr>
          <w:szCs w:val="20"/>
        </w:rPr>
        <w:t>in 201</w:t>
      </w:r>
      <w:r w:rsidR="00643280">
        <w:rPr>
          <w:szCs w:val="20"/>
        </w:rPr>
        <w:t>2</w:t>
      </w:r>
      <w:r w:rsidRPr="00602605">
        <w:rPr>
          <w:szCs w:val="20"/>
        </w:rPr>
        <w:t>, attendance</w:t>
      </w:r>
      <w:r w:rsidRPr="00666ECE">
        <w:rPr>
          <w:szCs w:val="20"/>
        </w:rPr>
        <w:t xml:space="preserve"> was </w:t>
      </w:r>
      <w:r w:rsidR="004B4EC9">
        <w:rPr>
          <w:szCs w:val="20"/>
        </w:rPr>
        <w:t>relativel</w:t>
      </w:r>
      <w:r w:rsidRPr="00666ECE">
        <w:rPr>
          <w:szCs w:val="20"/>
        </w:rPr>
        <w:t>y stable across years 1–5. In general, from year 6 attendance gradually declined to year 10 (typically the end of compulsory schooling</w:t>
      </w:r>
      <w:r w:rsidRPr="007344D0">
        <w:rPr>
          <w:szCs w:val="20"/>
        </w:rPr>
        <w:t>) (tables 4A.1</w:t>
      </w:r>
      <w:r w:rsidR="00B64C33">
        <w:rPr>
          <w:szCs w:val="20"/>
        </w:rPr>
        <w:t>30</w:t>
      </w:r>
      <w:r w:rsidRPr="007344D0">
        <w:rPr>
          <w:szCs w:val="20"/>
        </w:rPr>
        <w:t>–1</w:t>
      </w:r>
      <w:r w:rsidR="00976613">
        <w:rPr>
          <w:szCs w:val="20"/>
        </w:rPr>
        <w:t>3</w:t>
      </w:r>
      <w:r w:rsidR="00FE38EF">
        <w:rPr>
          <w:szCs w:val="20"/>
        </w:rPr>
        <w:t>5</w:t>
      </w:r>
      <w:r w:rsidRPr="007344D0">
        <w:rPr>
          <w:szCs w:val="20"/>
        </w:rPr>
        <w:t>).</w:t>
      </w:r>
    </w:p>
    <w:p w:rsidR="003A5B31" w:rsidRPr="00666ECE" w:rsidRDefault="00666ECE" w:rsidP="003A5B31">
      <w:pPr>
        <w:spacing w:before="240" w:line="320" w:lineRule="atLeast"/>
        <w:jc w:val="both"/>
        <w:rPr>
          <w:szCs w:val="20"/>
        </w:rPr>
      </w:pPr>
      <w:r w:rsidRPr="00666ECE">
        <w:rPr>
          <w:szCs w:val="20"/>
        </w:rPr>
        <w:t xml:space="preserve">For government schools, the total student attendance </w:t>
      </w:r>
      <w:r w:rsidRPr="001D5AD2">
        <w:rPr>
          <w:szCs w:val="20"/>
        </w:rPr>
        <w:t xml:space="preserve">rate ranged from </w:t>
      </w:r>
      <w:r w:rsidR="00707EBD" w:rsidRPr="001D5AD2">
        <w:rPr>
          <w:szCs w:val="20"/>
        </w:rPr>
        <w:t>7</w:t>
      </w:r>
      <w:r w:rsidR="001D5AD2" w:rsidRPr="001D5AD2">
        <w:rPr>
          <w:szCs w:val="20"/>
        </w:rPr>
        <w:t>4</w:t>
      </w:r>
      <w:r w:rsidR="00707EBD" w:rsidRPr="001D5AD2">
        <w:rPr>
          <w:szCs w:val="20"/>
        </w:rPr>
        <w:t xml:space="preserve"> </w:t>
      </w:r>
      <w:r w:rsidRPr="001D5AD2">
        <w:rPr>
          <w:szCs w:val="20"/>
        </w:rPr>
        <w:t xml:space="preserve">per cent to </w:t>
      </w:r>
      <w:r w:rsidR="00707EBD" w:rsidRPr="001D5AD2">
        <w:rPr>
          <w:szCs w:val="20"/>
        </w:rPr>
        <w:t>94</w:t>
      </w:r>
      <w:r w:rsidRPr="001D5AD2">
        <w:rPr>
          <w:szCs w:val="20"/>
        </w:rPr>
        <w:t xml:space="preserve"> per cent across year levels and jurisdictions (figure </w:t>
      </w:r>
      <w:r w:rsidRPr="00666ECE">
        <w:rPr>
          <w:szCs w:val="20"/>
        </w:rPr>
        <w:t xml:space="preserve">4.5 and </w:t>
      </w:r>
      <w:r w:rsidRPr="007344D0">
        <w:rPr>
          <w:szCs w:val="20"/>
        </w:rPr>
        <w:t>table 4A.1</w:t>
      </w:r>
      <w:r w:rsidR="00B64C33">
        <w:rPr>
          <w:szCs w:val="20"/>
        </w:rPr>
        <w:t>30</w:t>
      </w:r>
      <w:r w:rsidRPr="007344D0">
        <w:rPr>
          <w:szCs w:val="20"/>
        </w:rPr>
        <w:t>).</w:t>
      </w:r>
      <w:r w:rsidRPr="00666ECE">
        <w:rPr>
          <w:szCs w:val="20"/>
        </w:rPr>
        <w:t xml:space="preserve"> </w:t>
      </w:r>
    </w:p>
    <w:p w:rsidR="00666ECE" w:rsidRPr="00666ECE" w:rsidRDefault="00666ECE" w:rsidP="002C3941">
      <w:pPr>
        <w:pStyle w:val="FigureTitle"/>
      </w:pPr>
      <w:r w:rsidRPr="007A7568">
        <w:rPr>
          <w:b w:val="0"/>
        </w:rPr>
        <w:lastRenderedPageBreak/>
        <w:t xml:space="preserve">Figure </w:t>
      </w:r>
      <w:bookmarkStart w:id="21" w:name="OLE_LINK68"/>
      <w:r w:rsidR="00EB256F" w:rsidRPr="007A7568">
        <w:rPr>
          <w:b w:val="0"/>
        </w:rPr>
        <w:t>4.</w:t>
      </w:r>
      <w:r w:rsidR="00EC06F7" w:rsidRPr="007A7568">
        <w:rPr>
          <w:b w:val="0"/>
          <w:noProof/>
        </w:rPr>
        <w:t>5</w:t>
      </w:r>
      <w:bookmarkEnd w:id="21"/>
      <w:r w:rsidRPr="0063025F">
        <w:tab/>
        <w:t>Student attendance rate, all students, government schools, 201</w:t>
      </w:r>
      <w:r w:rsidR="00643280" w:rsidRPr="0063025F">
        <w:t>2</w:t>
      </w:r>
      <w:r w:rsidRPr="005C7D52">
        <w:rPr>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pBdr>
                <w:right w:val="single" w:sz="6" w:space="4" w:color="auto"/>
              </w:pBdr>
              <w:spacing w:before="120" w:after="120" w:line="240" w:lineRule="atLeast"/>
              <w:jc w:val="center"/>
              <w:rPr>
                <w:szCs w:val="20"/>
              </w:rPr>
            </w:pPr>
            <w:r>
              <w:rPr>
                <w:noProof/>
                <w:szCs w:val="20"/>
              </w:rPr>
              <w:drawing>
                <wp:inline distT="0" distB="0" distL="0" distR="0">
                  <wp:extent cx="5391150" cy="2628900"/>
                  <wp:effectExtent l="0" t="0" r="0" b="0"/>
                  <wp:docPr id="6" name="Picture 6" descr="Figure 4.5 Student attendance rate, all students, government school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28900"/>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Attendance rates are the number of actual full time equivalent ‘student days’ attended as a percentage of the total number of possible student days attended over the period. Student attendance data are reported for full time students in years 1–10, but are not collected uniformly across jurisdictions and schooling sectors and therefore are not comparable.</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Australian Curriculum and Assessment Reporting Authority (ACARA) (unpublished</w:t>
      </w:r>
      <w:r w:rsidRPr="007344D0">
        <w:rPr>
          <w:rFonts w:ascii="Arial" w:hAnsi="Arial"/>
          <w:sz w:val="18"/>
          <w:szCs w:val="20"/>
        </w:rPr>
        <w:t>); table 4A.1</w:t>
      </w:r>
      <w:r w:rsidR="00DA58A9">
        <w:rPr>
          <w:rFonts w:ascii="Arial" w:hAnsi="Arial"/>
          <w:sz w:val="18"/>
          <w:szCs w:val="20"/>
        </w:rPr>
        <w:t>30</w:t>
      </w:r>
      <w:r w:rsidRPr="00666ECE">
        <w:rPr>
          <w:rFonts w:ascii="Arial" w:hAnsi="Arial"/>
          <w:sz w:val="18"/>
          <w:szCs w:val="20"/>
        </w:rPr>
        <w:t>.</w:t>
      </w:r>
    </w:p>
    <w:p w:rsidR="00666ECE" w:rsidRDefault="00666ECE" w:rsidP="00666ECE">
      <w:pPr>
        <w:spacing w:before="240" w:line="320" w:lineRule="atLeast"/>
        <w:jc w:val="both"/>
        <w:rPr>
          <w:szCs w:val="20"/>
        </w:rPr>
      </w:pPr>
      <w:r w:rsidRPr="00666ECE">
        <w:rPr>
          <w:szCs w:val="20"/>
        </w:rPr>
        <w:t>Data on student attendance rates for all school sectors, disaggregated by sex</w:t>
      </w:r>
      <w:r w:rsidR="0019719B">
        <w:rPr>
          <w:szCs w:val="20"/>
        </w:rPr>
        <w:t>,</w:t>
      </w:r>
      <w:r w:rsidRPr="00666ECE">
        <w:rPr>
          <w:szCs w:val="20"/>
        </w:rPr>
        <w:t xml:space="preserve"> are available in tables </w:t>
      </w:r>
      <w:r w:rsidRPr="007344D0">
        <w:rPr>
          <w:szCs w:val="20"/>
        </w:rPr>
        <w:t>4A.1</w:t>
      </w:r>
      <w:r w:rsidR="00DA58A9">
        <w:rPr>
          <w:szCs w:val="20"/>
        </w:rPr>
        <w:t>30</w:t>
      </w:r>
      <w:r w:rsidRPr="007344D0">
        <w:rPr>
          <w:szCs w:val="20"/>
        </w:rPr>
        <w:t>, 4A.1</w:t>
      </w:r>
      <w:r w:rsidR="009807CA">
        <w:rPr>
          <w:szCs w:val="20"/>
        </w:rPr>
        <w:t>3</w:t>
      </w:r>
      <w:r w:rsidR="00DA58A9">
        <w:rPr>
          <w:szCs w:val="20"/>
        </w:rPr>
        <w:t>2</w:t>
      </w:r>
      <w:r w:rsidRPr="007344D0">
        <w:rPr>
          <w:szCs w:val="20"/>
        </w:rPr>
        <w:t xml:space="preserve"> and 4A.1</w:t>
      </w:r>
      <w:r w:rsidR="009807CA">
        <w:rPr>
          <w:szCs w:val="20"/>
        </w:rPr>
        <w:t>3</w:t>
      </w:r>
      <w:r w:rsidR="00DA58A9">
        <w:rPr>
          <w:szCs w:val="20"/>
        </w:rPr>
        <w:t>4</w:t>
      </w:r>
      <w:r w:rsidRPr="007344D0">
        <w:rPr>
          <w:szCs w:val="20"/>
        </w:rPr>
        <w:t>.</w:t>
      </w:r>
    </w:p>
    <w:p w:rsidR="003F1874" w:rsidRPr="00666ECE" w:rsidRDefault="00BA1348" w:rsidP="003F1874">
      <w:pPr>
        <w:spacing w:before="240" w:line="320" w:lineRule="atLeast"/>
        <w:jc w:val="both"/>
        <w:rPr>
          <w:szCs w:val="20"/>
        </w:rPr>
      </w:pPr>
      <w:r>
        <w:rPr>
          <w:szCs w:val="20"/>
        </w:rPr>
        <w:t>Non-</w:t>
      </w:r>
      <w:r w:rsidR="003F1874" w:rsidRPr="00666ECE">
        <w:rPr>
          <w:szCs w:val="20"/>
        </w:rPr>
        <w:t xml:space="preserve">Indigenous students </w:t>
      </w:r>
      <w:r w:rsidR="003F0641">
        <w:rPr>
          <w:szCs w:val="20"/>
        </w:rPr>
        <w:t xml:space="preserve">in government schools </w:t>
      </w:r>
      <w:r w:rsidR="003F1874" w:rsidRPr="00666ECE">
        <w:rPr>
          <w:szCs w:val="20"/>
        </w:rPr>
        <w:t xml:space="preserve">had higher attendance rates than Indigenous students across all year levels in all jurisdictions (figure 4.6 and </w:t>
      </w:r>
      <w:r w:rsidR="003F1874" w:rsidRPr="007344D0">
        <w:rPr>
          <w:szCs w:val="20"/>
        </w:rPr>
        <w:t>table</w:t>
      </w:r>
      <w:r w:rsidR="001B6514">
        <w:rPr>
          <w:szCs w:val="20"/>
        </w:rPr>
        <w:t> </w:t>
      </w:r>
      <w:r w:rsidR="003F1874" w:rsidRPr="007344D0">
        <w:rPr>
          <w:szCs w:val="20"/>
        </w:rPr>
        <w:t>4A.1</w:t>
      </w:r>
      <w:r w:rsidR="009807CA">
        <w:rPr>
          <w:szCs w:val="20"/>
        </w:rPr>
        <w:t>3</w:t>
      </w:r>
      <w:r w:rsidR="00DA58A9">
        <w:rPr>
          <w:szCs w:val="20"/>
        </w:rPr>
        <w:t>1</w:t>
      </w:r>
      <w:r w:rsidR="003F1874" w:rsidRPr="00666ECE">
        <w:rPr>
          <w:szCs w:val="20"/>
        </w:rPr>
        <w:t>). The differences varied across states and territories.</w:t>
      </w:r>
      <w:r w:rsidR="003F1874">
        <w:rPr>
          <w:szCs w:val="20"/>
        </w:rPr>
        <w:t xml:space="preserve"> </w:t>
      </w:r>
      <w:r w:rsidR="003F1874" w:rsidRPr="00666ECE">
        <w:rPr>
          <w:szCs w:val="20"/>
        </w:rPr>
        <w:t xml:space="preserve">A similar pattern to the government schools was observed for non-government schools (independent and </w:t>
      </w:r>
      <w:r w:rsidR="003F1874">
        <w:rPr>
          <w:szCs w:val="20"/>
        </w:rPr>
        <w:t>c</w:t>
      </w:r>
      <w:r w:rsidR="003F1874" w:rsidRPr="00666ECE">
        <w:rPr>
          <w:szCs w:val="20"/>
        </w:rPr>
        <w:t xml:space="preserve">atholic schools) </w:t>
      </w:r>
      <w:r w:rsidR="003F1874" w:rsidRPr="00602605">
        <w:rPr>
          <w:szCs w:val="20"/>
        </w:rPr>
        <w:t>in most jurisdictions (tables 4A.1</w:t>
      </w:r>
      <w:r w:rsidR="009807CA">
        <w:rPr>
          <w:szCs w:val="20"/>
        </w:rPr>
        <w:t>3</w:t>
      </w:r>
      <w:r w:rsidR="00DA58A9">
        <w:rPr>
          <w:szCs w:val="20"/>
        </w:rPr>
        <w:t>3</w:t>
      </w:r>
      <w:r w:rsidR="003F1874" w:rsidRPr="00602605">
        <w:rPr>
          <w:szCs w:val="20"/>
        </w:rPr>
        <w:t xml:space="preserve"> and 4A.1</w:t>
      </w:r>
      <w:r w:rsidR="001D5AD2">
        <w:rPr>
          <w:szCs w:val="20"/>
        </w:rPr>
        <w:t>3</w:t>
      </w:r>
      <w:r w:rsidR="00DA58A9">
        <w:rPr>
          <w:szCs w:val="20"/>
        </w:rPr>
        <w:t>5</w:t>
      </w:r>
      <w:r w:rsidR="003F1874" w:rsidRPr="00602605">
        <w:rPr>
          <w:szCs w:val="20"/>
        </w:rPr>
        <w:t>).</w:t>
      </w:r>
    </w:p>
    <w:p w:rsidR="00666ECE" w:rsidRPr="005C7D52" w:rsidRDefault="00666ECE" w:rsidP="002C3941">
      <w:pPr>
        <w:pStyle w:val="FigureTitle"/>
        <w:rPr>
          <w:position w:val="6"/>
          <w:sz w:val="18"/>
        </w:rPr>
      </w:pPr>
      <w:r w:rsidRPr="007A7568">
        <w:rPr>
          <w:b w:val="0"/>
        </w:rPr>
        <w:lastRenderedPageBreak/>
        <w:t xml:space="preserve">Figure </w:t>
      </w:r>
      <w:bookmarkStart w:id="22" w:name="OLE_LINK2"/>
      <w:bookmarkStart w:id="23" w:name="OLE_LINK3"/>
      <w:r w:rsidR="00EB256F" w:rsidRPr="007A7568">
        <w:rPr>
          <w:b w:val="0"/>
        </w:rPr>
        <w:t>4.</w:t>
      </w:r>
      <w:r w:rsidR="00EC06F7" w:rsidRPr="007A7568">
        <w:rPr>
          <w:b w:val="0"/>
          <w:noProof/>
        </w:rPr>
        <w:t>6</w:t>
      </w:r>
      <w:bookmarkEnd w:id="22"/>
      <w:bookmarkEnd w:id="23"/>
      <w:r w:rsidRPr="0063025F">
        <w:tab/>
        <w:t>Student attendance rate, Indigenous students, government schools, 201</w:t>
      </w:r>
      <w:r w:rsidR="00643280" w:rsidRPr="0063025F">
        <w:t>2</w:t>
      </w:r>
      <w:r w:rsidRPr="005C7D52">
        <w:rPr>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02605" w:rsidTr="0036281D">
        <w:tc>
          <w:tcPr>
            <w:tcW w:w="8777" w:type="dxa"/>
          </w:tcPr>
          <w:p w:rsidR="00666ECE" w:rsidRPr="00602605" w:rsidRDefault="008B34BD" w:rsidP="00FA202A">
            <w:pPr>
              <w:keepNext/>
              <w:shd w:val="clear" w:color="auto" w:fill="FFFFFF" w:themeFill="background1"/>
              <w:spacing w:before="120" w:after="120" w:line="240" w:lineRule="atLeast"/>
              <w:jc w:val="center"/>
              <w:rPr>
                <w:szCs w:val="20"/>
              </w:rPr>
            </w:pPr>
            <w:r>
              <w:rPr>
                <w:noProof/>
                <w:szCs w:val="20"/>
              </w:rPr>
              <w:drawing>
                <wp:inline distT="0" distB="0" distL="0" distR="0">
                  <wp:extent cx="5381625" cy="2647950"/>
                  <wp:effectExtent l="0" t="0" r="9525" b="0"/>
                  <wp:docPr id="7" name="Picture 7" descr="Figure 4.6 Student attendance rate, Indigenous students, government school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666ECE" w:rsidRPr="00602605" w:rsidRDefault="00666ECE" w:rsidP="00666ECE">
      <w:pPr>
        <w:keepLines/>
        <w:spacing w:before="80" w:line="220" w:lineRule="exact"/>
        <w:jc w:val="both"/>
        <w:rPr>
          <w:rFonts w:ascii="Arial" w:hAnsi="Arial"/>
          <w:sz w:val="18"/>
          <w:szCs w:val="20"/>
        </w:rPr>
      </w:pPr>
      <w:r w:rsidRPr="00602605">
        <w:rPr>
          <w:rFonts w:ascii="Arial" w:hAnsi="Arial"/>
          <w:b/>
          <w:position w:val="6"/>
          <w:sz w:val="18"/>
          <w:szCs w:val="20"/>
        </w:rPr>
        <w:t>a</w:t>
      </w:r>
      <w:r w:rsidRPr="00602605">
        <w:rPr>
          <w:rFonts w:ascii="Arial" w:hAnsi="Arial"/>
          <w:sz w:val="18"/>
          <w:szCs w:val="20"/>
        </w:rPr>
        <w:t> Attendance rates are the number of actual full time equivalent ‘student days’ attended as a percentage of the total number of possible student days attended over the period. Student attendance data are reported for full time students in years 1–10, but are not collected uniformly across jurisdictions and schooling sectors and therefore are not comparable.</w:t>
      </w:r>
    </w:p>
    <w:p w:rsidR="00666ECE" w:rsidRPr="00602605" w:rsidRDefault="00666ECE" w:rsidP="00666ECE">
      <w:pPr>
        <w:keepLines/>
        <w:spacing w:before="80" w:after="120" w:line="220" w:lineRule="exact"/>
        <w:jc w:val="both"/>
        <w:rPr>
          <w:rFonts w:ascii="Arial" w:hAnsi="Arial"/>
          <w:sz w:val="18"/>
          <w:szCs w:val="20"/>
        </w:rPr>
      </w:pPr>
      <w:r w:rsidRPr="00602605">
        <w:rPr>
          <w:rFonts w:ascii="Arial" w:hAnsi="Arial"/>
          <w:i/>
          <w:sz w:val="18"/>
          <w:szCs w:val="20"/>
        </w:rPr>
        <w:t>Source</w:t>
      </w:r>
      <w:r w:rsidRPr="00602605">
        <w:rPr>
          <w:rFonts w:ascii="Arial" w:hAnsi="Arial"/>
          <w:sz w:val="18"/>
          <w:szCs w:val="20"/>
        </w:rPr>
        <w:t>: ACARA (unpublished); table 4A.1</w:t>
      </w:r>
      <w:r w:rsidR="009807CA">
        <w:rPr>
          <w:rFonts w:ascii="Arial" w:hAnsi="Arial"/>
          <w:sz w:val="18"/>
          <w:szCs w:val="20"/>
        </w:rPr>
        <w:t>3</w:t>
      </w:r>
      <w:r w:rsidR="00DA58A9">
        <w:rPr>
          <w:rFonts w:ascii="Arial" w:hAnsi="Arial"/>
          <w:sz w:val="18"/>
          <w:szCs w:val="20"/>
        </w:rPr>
        <w:t>1</w:t>
      </w:r>
      <w:r w:rsidRPr="00602605">
        <w:rPr>
          <w:rFonts w:ascii="Arial" w:hAnsi="Arial"/>
          <w:sz w:val="18"/>
          <w:szCs w:val="20"/>
        </w:rPr>
        <w:t>.</w:t>
      </w:r>
    </w:p>
    <w:p w:rsidR="00666ECE" w:rsidRPr="00602605" w:rsidRDefault="00666ECE" w:rsidP="00666ECE">
      <w:pPr>
        <w:keepNext/>
        <w:spacing w:before="480" w:line="320" w:lineRule="exact"/>
        <w:outlineLvl w:val="4"/>
        <w:rPr>
          <w:i/>
        </w:rPr>
      </w:pPr>
      <w:r w:rsidRPr="00602605">
        <w:rPr>
          <w:i/>
        </w:rPr>
        <w:t xml:space="preserve">Participation — proportion of children aged 6–15 years enrolled in school </w:t>
      </w:r>
    </w:p>
    <w:p w:rsidR="00666ECE" w:rsidRPr="00402244" w:rsidRDefault="00666ECE" w:rsidP="00666ECE">
      <w:pPr>
        <w:spacing w:before="240" w:line="320" w:lineRule="atLeast"/>
        <w:jc w:val="both"/>
        <w:rPr>
          <w:szCs w:val="20"/>
        </w:rPr>
      </w:pPr>
      <w:r w:rsidRPr="001D5AD2">
        <w:rPr>
          <w:szCs w:val="20"/>
        </w:rPr>
        <w:t xml:space="preserve">Nationally, </w:t>
      </w:r>
      <w:r w:rsidR="000B687F" w:rsidRPr="00FE38EF">
        <w:rPr>
          <w:szCs w:val="20"/>
          <w:shd w:val="clear" w:color="auto" w:fill="FFFFFF" w:themeFill="background1"/>
        </w:rPr>
        <w:t>100.0</w:t>
      </w:r>
      <w:r w:rsidRPr="001D5AD2">
        <w:rPr>
          <w:szCs w:val="20"/>
        </w:rPr>
        <w:t xml:space="preserve"> per cent </w:t>
      </w:r>
      <w:r w:rsidRPr="00602605">
        <w:rPr>
          <w:szCs w:val="20"/>
        </w:rPr>
        <w:t>of children aged 6–15 years were enrolled (either full or part time) in school in 201</w:t>
      </w:r>
      <w:r w:rsidR="00643280">
        <w:rPr>
          <w:szCs w:val="20"/>
        </w:rPr>
        <w:t>2</w:t>
      </w:r>
      <w:r w:rsidRPr="00602605">
        <w:rPr>
          <w:szCs w:val="20"/>
        </w:rPr>
        <w:t xml:space="preserve"> (figure 4.7). </w:t>
      </w:r>
      <w:bookmarkStart w:id="24" w:name="OLE_LINK86"/>
      <w:bookmarkStart w:id="25" w:name="OLE_LINK87"/>
      <w:r w:rsidRPr="00602605">
        <w:rPr>
          <w:szCs w:val="20"/>
        </w:rPr>
        <w:t>These proportions are determined using the number of students educated</w:t>
      </w:r>
      <w:r w:rsidRPr="00666ECE">
        <w:rPr>
          <w:szCs w:val="20"/>
        </w:rPr>
        <w:t xml:space="preserve"> in the jurisdiction divided by the estimated residential population for the age group in the jurisdiction. </w:t>
      </w:r>
    </w:p>
    <w:bookmarkEnd w:id="24"/>
    <w:bookmarkEnd w:id="25"/>
    <w:p w:rsidR="00666ECE" w:rsidRPr="00666ECE" w:rsidRDefault="00666ECE" w:rsidP="0063025F">
      <w:pPr>
        <w:pStyle w:val="FigureTitle"/>
      </w:pPr>
      <w:r w:rsidRPr="007A7568">
        <w:rPr>
          <w:b w:val="0"/>
        </w:rPr>
        <w:lastRenderedPageBreak/>
        <w:t xml:space="preserve">Figure </w:t>
      </w:r>
      <w:r w:rsidR="00EB256F" w:rsidRPr="007A7568">
        <w:rPr>
          <w:b w:val="0"/>
        </w:rPr>
        <w:t>4.</w:t>
      </w:r>
      <w:r w:rsidR="00EC06F7" w:rsidRPr="007A7568">
        <w:rPr>
          <w:b w:val="0"/>
        </w:rPr>
        <w:t>7</w:t>
      </w:r>
      <w:r w:rsidRPr="002C3941">
        <w:tab/>
        <w:t>Proportion of children aged</w:t>
      </w:r>
      <w:r w:rsidR="004B4EC9" w:rsidRPr="002C3941">
        <w:t xml:space="preserve"> 6–15 years enrolled in school</w:t>
      </w:r>
      <w:r w:rsidR="004B4EC9" w:rsidRPr="005C7D52">
        <w:rPr>
          <w:position w:val="6"/>
          <w:sz w:val="18"/>
        </w:rPr>
        <w:t xml:space="preserve">a, </w:t>
      </w:r>
      <w:r w:rsidR="004B4EC9">
        <w:rPr>
          <w:position w:val="6"/>
          <w:sz w:val="18"/>
        </w:rPr>
        <w:t>b</w:t>
      </w:r>
      <w:r w:rsidR="006B6F5D">
        <w:rPr>
          <w:position w:val="6"/>
          <w:sz w:val="18"/>
        </w:rPr>
        <w:t>,</w:t>
      </w:r>
      <w:r w:rsidR="00643280">
        <w:rPr>
          <w:position w:val="6"/>
          <w:sz w:val="18"/>
        </w:rPr>
        <w:t xml:space="preserve"> </w:t>
      </w:r>
      <w:r w:rsidR="006B6F5D" w:rsidRPr="004A253D">
        <w:rPr>
          <w:position w:val="6"/>
          <w:sz w:val="18"/>
          <w:shd w:val="clear" w:color="auto" w:fill="FFFFFF" w:themeFill="background1"/>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4A253D">
            <w:pPr>
              <w:keepNext/>
              <w:shd w:val="clear" w:color="auto" w:fill="FFFFFF" w:themeFill="background1"/>
              <w:spacing w:before="120" w:after="120" w:line="240" w:lineRule="atLeast"/>
              <w:jc w:val="center"/>
              <w:rPr>
                <w:szCs w:val="20"/>
              </w:rPr>
            </w:pPr>
            <w:r>
              <w:rPr>
                <w:noProof/>
                <w:szCs w:val="20"/>
              </w:rPr>
              <w:drawing>
                <wp:inline distT="0" distB="0" distL="0" distR="0">
                  <wp:extent cx="5391150" cy="2867025"/>
                  <wp:effectExtent l="0" t="0" r="0" b="9525"/>
                  <wp:docPr id="8" name="Picture 8" descr="Figure 4.7 Proportion of children aged 6–15 years enrolled in schoo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666ECE" w:rsidRPr="008B0548" w:rsidRDefault="004B4EC9" w:rsidP="008B0548">
      <w:pPr>
        <w:pStyle w:val="Note"/>
      </w:pPr>
      <w:r w:rsidRPr="008B0548">
        <w:rPr>
          <w:rStyle w:val="NoteLabel"/>
        </w:rPr>
        <w:t>a</w:t>
      </w:r>
      <w:r w:rsidR="00666ECE" w:rsidRPr="008B0548">
        <w:t> </w:t>
      </w:r>
      <w:r w:rsidR="001D5AD2" w:rsidRPr="008B0548">
        <w:t xml:space="preserve">Data are based on estimated residential population derived from the 2011 Census of Population and Housing. Earlier reports </w:t>
      </w:r>
      <w:r w:rsidR="007238F7" w:rsidRPr="008B0548">
        <w:t xml:space="preserve">used data based on the 2006 Census. See footnotes to table 4A.118 for further information on derivations of population figures. </w:t>
      </w:r>
      <w:r w:rsidR="007238F7" w:rsidRPr="008B0548">
        <w:rPr>
          <w:rStyle w:val="NoteLabel"/>
        </w:rPr>
        <w:t>b</w:t>
      </w:r>
      <w:r w:rsidR="007238F7" w:rsidRPr="008B0548">
        <w:t xml:space="preserve"> Earlier reports also presented data for Indigenous and non</w:t>
      </w:r>
      <w:r w:rsidR="007238F7" w:rsidRPr="008B0548">
        <w:noBreakHyphen/>
        <w:t xml:space="preserve">Indigenous </w:t>
      </w:r>
      <w:r w:rsidR="00402244" w:rsidRPr="008B0548">
        <w:t xml:space="preserve">students, for this measure. </w:t>
      </w:r>
      <w:r w:rsidR="001936FB" w:rsidRPr="008B0548">
        <w:rPr>
          <w:rStyle w:val="NoteLabel"/>
        </w:rPr>
        <w:t>c</w:t>
      </w:r>
      <w:r w:rsidR="001936FB" w:rsidRPr="008B0548">
        <w:rPr>
          <w:rStyle w:val="NoteLabel"/>
          <w:b w:val="0"/>
          <w:position w:val="0"/>
        </w:rPr>
        <w:t xml:space="preserve"> </w:t>
      </w:r>
      <w:r w:rsidR="001936FB" w:rsidRPr="008B0548">
        <w:t xml:space="preserve">Proportions are determined using the number of students enrolled in the jurisdiction divided by the estimated residential population for the jurisdiction, for the age group. In some cases students may be enrolled in a different jurisdiction to their place of residence. In particular, participation rates in the ACT exceed 100 per cent as a result of NSW residents from surrounding areas enrolling in ACT schools. </w:t>
      </w:r>
      <w:r w:rsidR="00402244" w:rsidRPr="008B0548">
        <w:t>See table 4A.1</w:t>
      </w:r>
      <w:r w:rsidR="001D5AD2" w:rsidRPr="008B0548">
        <w:t>1</w:t>
      </w:r>
      <w:r w:rsidR="00DA58A9" w:rsidRPr="008B0548">
        <w:t xml:space="preserve">8 </w:t>
      </w:r>
      <w:r w:rsidR="00402244" w:rsidRPr="008B0548">
        <w:t>for further details.</w:t>
      </w:r>
    </w:p>
    <w:p w:rsidR="00666ECE" w:rsidRPr="00666ECE" w:rsidRDefault="00666ECE" w:rsidP="00666ECE">
      <w:pPr>
        <w:keepLines/>
        <w:spacing w:before="80" w:after="120" w:line="220" w:lineRule="exact"/>
        <w:jc w:val="both"/>
        <w:rPr>
          <w:rFonts w:ascii="Arial" w:hAnsi="Arial"/>
          <w:sz w:val="18"/>
          <w:szCs w:val="18"/>
        </w:rPr>
      </w:pPr>
      <w:r w:rsidRPr="00666ECE">
        <w:rPr>
          <w:rFonts w:ascii="Arial" w:hAnsi="Arial"/>
          <w:sz w:val="18"/>
          <w:szCs w:val="18"/>
        </w:rPr>
        <w:t>ABS (201</w:t>
      </w:r>
      <w:r w:rsidR="00643280">
        <w:rPr>
          <w:rFonts w:ascii="Arial" w:hAnsi="Arial"/>
          <w:sz w:val="18"/>
          <w:szCs w:val="18"/>
        </w:rPr>
        <w:t>3</w:t>
      </w:r>
      <w:r w:rsidRPr="00666ECE">
        <w:rPr>
          <w:rFonts w:ascii="Arial" w:hAnsi="Arial"/>
          <w:sz w:val="18"/>
          <w:szCs w:val="18"/>
        </w:rPr>
        <w:t>)</w:t>
      </w:r>
      <w:r w:rsidRPr="00666ECE">
        <w:rPr>
          <w:rFonts w:ascii="Arial" w:hAnsi="Arial"/>
          <w:i/>
          <w:sz w:val="18"/>
          <w:szCs w:val="18"/>
        </w:rPr>
        <w:t xml:space="preserve"> Schools Australia, </w:t>
      </w:r>
      <w:r w:rsidRPr="001D5AD2">
        <w:rPr>
          <w:rFonts w:ascii="Arial" w:hAnsi="Arial"/>
          <w:i/>
          <w:sz w:val="18"/>
          <w:szCs w:val="18"/>
        </w:rPr>
        <w:t>201</w:t>
      </w:r>
      <w:r w:rsidR="00776B6F" w:rsidRPr="001D5AD2">
        <w:rPr>
          <w:rFonts w:ascii="Arial" w:hAnsi="Arial"/>
          <w:i/>
          <w:sz w:val="18"/>
          <w:szCs w:val="18"/>
        </w:rPr>
        <w:t>2</w:t>
      </w:r>
      <w:r w:rsidRPr="001D5AD2">
        <w:rPr>
          <w:rFonts w:ascii="Arial" w:hAnsi="Arial"/>
          <w:i/>
          <w:sz w:val="18"/>
          <w:szCs w:val="18"/>
        </w:rPr>
        <w:t xml:space="preserve">, </w:t>
      </w:r>
      <w:r w:rsidRPr="001D5AD2">
        <w:rPr>
          <w:rFonts w:ascii="Arial" w:hAnsi="Arial"/>
          <w:sz w:val="18"/>
          <w:szCs w:val="18"/>
        </w:rPr>
        <w:t xml:space="preserve">Cat. </w:t>
      </w:r>
      <w:r w:rsidR="00F25AA8" w:rsidRPr="001D5AD2">
        <w:rPr>
          <w:rFonts w:ascii="Arial" w:hAnsi="Arial"/>
          <w:sz w:val="18"/>
          <w:szCs w:val="18"/>
        </w:rPr>
        <w:t>n</w:t>
      </w:r>
      <w:r w:rsidRPr="001D5AD2">
        <w:rPr>
          <w:rFonts w:ascii="Arial" w:hAnsi="Arial"/>
          <w:sz w:val="18"/>
          <w:szCs w:val="18"/>
        </w:rPr>
        <w:t>o. 4221.0;</w:t>
      </w:r>
      <w:r w:rsidRPr="001D5AD2">
        <w:rPr>
          <w:rFonts w:ascii="Arial" w:hAnsi="Arial"/>
          <w:i/>
          <w:sz w:val="18"/>
          <w:szCs w:val="18"/>
        </w:rPr>
        <w:t xml:space="preserve"> </w:t>
      </w:r>
      <w:r w:rsidRPr="001D5AD2">
        <w:rPr>
          <w:rFonts w:ascii="Arial" w:hAnsi="Arial"/>
          <w:sz w:val="18"/>
          <w:szCs w:val="18"/>
        </w:rPr>
        <w:t>ABS (201</w:t>
      </w:r>
      <w:r w:rsidR="001D5AD2" w:rsidRPr="001D5AD2">
        <w:rPr>
          <w:rFonts w:ascii="Arial" w:hAnsi="Arial"/>
          <w:sz w:val="18"/>
          <w:szCs w:val="18"/>
        </w:rPr>
        <w:t>3</w:t>
      </w:r>
      <w:r w:rsidRPr="001D5AD2">
        <w:rPr>
          <w:rFonts w:ascii="Arial" w:hAnsi="Arial"/>
          <w:sz w:val="18"/>
          <w:szCs w:val="18"/>
        </w:rPr>
        <w:t>)</w:t>
      </w:r>
      <w:r w:rsidRPr="001D5AD2">
        <w:rPr>
          <w:rFonts w:ascii="Arial" w:hAnsi="Arial"/>
          <w:i/>
          <w:sz w:val="18"/>
          <w:szCs w:val="18"/>
        </w:rPr>
        <w:t xml:space="preserve"> Population by Age and Sex, Australian States and Territories, June 201</w:t>
      </w:r>
      <w:r w:rsidR="00643280" w:rsidRPr="001D5AD2">
        <w:rPr>
          <w:rFonts w:ascii="Arial" w:hAnsi="Arial"/>
          <w:i/>
          <w:sz w:val="18"/>
          <w:szCs w:val="18"/>
        </w:rPr>
        <w:t>2</w:t>
      </w:r>
      <w:r w:rsidRPr="001D5AD2">
        <w:rPr>
          <w:rFonts w:ascii="Arial" w:hAnsi="Arial"/>
          <w:i/>
          <w:sz w:val="18"/>
          <w:szCs w:val="18"/>
        </w:rPr>
        <w:t xml:space="preserve">, </w:t>
      </w:r>
      <w:r w:rsidRPr="001D5AD2">
        <w:rPr>
          <w:rFonts w:ascii="Arial" w:hAnsi="Arial"/>
          <w:sz w:val="18"/>
          <w:szCs w:val="18"/>
        </w:rPr>
        <w:t xml:space="preserve">Cat. </w:t>
      </w:r>
      <w:r w:rsidR="00F25AA8" w:rsidRPr="001D5AD2">
        <w:rPr>
          <w:rFonts w:ascii="Arial" w:hAnsi="Arial"/>
          <w:sz w:val="18"/>
          <w:szCs w:val="18"/>
        </w:rPr>
        <w:t>n</w:t>
      </w:r>
      <w:r w:rsidRPr="001D5AD2">
        <w:rPr>
          <w:rFonts w:ascii="Arial" w:hAnsi="Arial"/>
          <w:sz w:val="18"/>
          <w:szCs w:val="18"/>
        </w:rPr>
        <w:t>o. 3</w:t>
      </w:r>
      <w:r w:rsidR="009952FC">
        <w:rPr>
          <w:rFonts w:ascii="Arial" w:hAnsi="Arial"/>
          <w:sz w:val="18"/>
          <w:szCs w:val="18"/>
        </w:rPr>
        <w:t>1</w:t>
      </w:r>
      <w:r w:rsidRPr="001D5AD2">
        <w:rPr>
          <w:rFonts w:ascii="Arial" w:hAnsi="Arial"/>
          <w:sz w:val="18"/>
          <w:szCs w:val="18"/>
        </w:rPr>
        <w:t>01.0; table 4A</w:t>
      </w:r>
      <w:r w:rsidRPr="00666ECE">
        <w:rPr>
          <w:rFonts w:ascii="Arial" w:hAnsi="Arial"/>
          <w:sz w:val="18"/>
          <w:szCs w:val="18"/>
        </w:rPr>
        <w:t>.</w:t>
      </w:r>
      <w:r w:rsidR="00BA1CEC">
        <w:rPr>
          <w:rFonts w:ascii="Arial" w:hAnsi="Arial"/>
          <w:sz w:val="18"/>
          <w:szCs w:val="18"/>
        </w:rPr>
        <w:t>1</w:t>
      </w:r>
      <w:r w:rsidR="001D5AD2">
        <w:rPr>
          <w:rFonts w:ascii="Arial" w:hAnsi="Arial"/>
          <w:sz w:val="18"/>
          <w:szCs w:val="18"/>
        </w:rPr>
        <w:t>1</w:t>
      </w:r>
      <w:r w:rsidR="00DA58A9">
        <w:rPr>
          <w:rFonts w:ascii="Arial" w:hAnsi="Arial"/>
          <w:sz w:val="18"/>
          <w:szCs w:val="18"/>
        </w:rPr>
        <w:t>8</w:t>
      </w:r>
      <w:r w:rsidRPr="00666ECE">
        <w:rPr>
          <w:rFonts w:ascii="Arial" w:hAnsi="Arial"/>
          <w:sz w:val="18"/>
          <w:szCs w:val="18"/>
        </w:rPr>
        <w:t>.</w:t>
      </w:r>
    </w:p>
    <w:p w:rsidR="00666ECE" w:rsidRPr="00666ECE" w:rsidRDefault="00666ECE" w:rsidP="00666ECE">
      <w:pPr>
        <w:keepNext/>
        <w:spacing w:before="480" w:line="320" w:lineRule="exact"/>
        <w:outlineLvl w:val="4"/>
        <w:rPr>
          <w:i/>
        </w:rPr>
      </w:pPr>
      <w:r w:rsidRPr="00666ECE">
        <w:rPr>
          <w:i/>
        </w:rPr>
        <w:t>Participation — 14–19 year olds enrolled in school</w:t>
      </w:r>
    </w:p>
    <w:p w:rsidR="00666ECE" w:rsidRPr="00666ECE" w:rsidRDefault="00666ECE" w:rsidP="001D5AD2">
      <w:pPr>
        <w:spacing w:before="240" w:line="320" w:lineRule="atLeast"/>
        <w:jc w:val="both"/>
        <w:rPr>
          <w:b/>
          <w:sz w:val="24"/>
          <w:szCs w:val="20"/>
          <w:u w:val="dotted"/>
        </w:rPr>
      </w:pPr>
      <w:r w:rsidRPr="006040C5">
        <w:rPr>
          <w:szCs w:val="20"/>
        </w:rPr>
        <w:t xml:space="preserve">Nationally, </w:t>
      </w:r>
      <w:r w:rsidR="006040C5" w:rsidRPr="006040C5">
        <w:rPr>
          <w:szCs w:val="20"/>
        </w:rPr>
        <w:t>62.4</w:t>
      </w:r>
      <w:r w:rsidRPr="006040C5">
        <w:rPr>
          <w:szCs w:val="20"/>
        </w:rPr>
        <w:t xml:space="preserve"> per cent of 14–19 year olds were enrolled in schools in 201</w:t>
      </w:r>
      <w:r w:rsidR="00643280" w:rsidRPr="006040C5">
        <w:rPr>
          <w:szCs w:val="20"/>
        </w:rPr>
        <w:t>2</w:t>
      </w:r>
      <w:r w:rsidRPr="006040C5">
        <w:rPr>
          <w:szCs w:val="20"/>
        </w:rPr>
        <w:t xml:space="preserve"> (table 4A.</w:t>
      </w:r>
      <w:r w:rsidR="00BA1CEC" w:rsidRPr="006040C5">
        <w:rPr>
          <w:szCs w:val="20"/>
        </w:rPr>
        <w:t>1</w:t>
      </w:r>
      <w:r w:rsidR="006040C5">
        <w:rPr>
          <w:szCs w:val="20"/>
        </w:rPr>
        <w:t>1</w:t>
      </w:r>
      <w:r w:rsidR="00DA58A9">
        <w:rPr>
          <w:szCs w:val="20"/>
        </w:rPr>
        <w:t>9</w:t>
      </w:r>
      <w:r w:rsidRPr="006040C5">
        <w:rPr>
          <w:szCs w:val="20"/>
        </w:rPr>
        <w:t xml:space="preserve">). School participation </w:t>
      </w:r>
      <w:r w:rsidRPr="00666ECE">
        <w:rPr>
          <w:szCs w:val="20"/>
        </w:rPr>
        <w:t xml:space="preserve">rates declined as students exceeded the maximum compulsory school age and </w:t>
      </w:r>
      <w:r w:rsidRPr="006040C5">
        <w:rPr>
          <w:szCs w:val="20"/>
        </w:rPr>
        <w:t xml:space="preserve">varied by jurisdiction, age </w:t>
      </w:r>
      <w:r w:rsidR="00670FC9" w:rsidRPr="00666ECE">
        <w:rPr>
          <w:szCs w:val="20"/>
        </w:rPr>
        <w:t xml:space="preserve">(figure 4.8) </w:t>
      </w:r>
      <w:r w:rsidRPr="006040C5">
        <w:rPr>
          <w:szCs w:val="20"/>
        </w:rPr>
        <w:t>and sex</w:t>
      </w:r>
      <w:r w:rsidR="00F46196">
        <w:rPr>
          <w:szCs w:val="20"/>
        </w:rPr>
        <w:t xml:space="preserve"> (table 4</w:t>
      </w:r>
      <w:r w:rsidR="00670FC9">
        <w:rPr>
          <w:szCs w:val="20"/>
        </w:rPr>
        <w:t>A</w:t>
      </w:r>
      <w:r w:rsidR="00F46196">
        <w:rPr>
          <w:szCs w:val="20"/>
        </w:rPr>
        <w:t>.11</w:t>
      </w:r>
      <w:r w:rsidR="00DA58A9">
        <w:rPr>
          <w:szCs w:val="20"/>
        </w:rPr>
        <w:t>9</w:t>
      </w:r>
      <w:r w:rsidR="00F46196">
        <w:rPr>
          <w:szCs w:val="20"/>
        </w:rPr>
        <w:t>)</w:t>
      </w:r>
      <w:r w:rsidRPr="006040C5">
        <w:rPr>
          <w:szCs w:val="20"/>
        </w:rPr>
        <w:t>. School participation rates for females (</w:t>
      </w:r>
      <w:r w:rsidR="006040C5" w:rsidRPr="006040C5">
        <w:rPr>
          <w:szCs w:val="20"/>
        </w:rPr>
        <w:t>63.1</w:t>
      </w:r>
      <w:r w:rsidRPr="006040C5">
        <w:rPr>
          <w:szCs w:val="20"/>
        </w:rPr>
        <w:t xml:space="preserve"> </w:t>
      </w:r>
      <w:r w:rsidR="00AE1B64" w:rsidRPr="006040C5">
        <w:rPr>
          <w:szCs w:val="20"/>
        </w:rPr>
        <w:t>per cent) were 1.</w:t>
      </w:r>
      <w:r w:rsidR="006040C5" w:rsidRPr="006040C5">
        <w:rPr>
          <w:szCs w:val="20"/>
        </w:rPr>
        <w:t>3</w:t>
      </w:r>
      <w:r w:rsidR="001B6514">
        <w:rPr>
          <w:szCs w:val="20"/>
        </w:rPr>
        <w:t> </w:t>
      </w:r>
      <w:r w:rsidRPr="006040C5">
        <w:rPr>
          <w:szCs w:val="20"/>
        </w:rPr>
        <w:t>percentage points higher than those for males (</w:t>
      </w:r>
      <w:r w:rsidR="006040C5" w:rsidRPr="006040C5">
        <w:rPr>
          <w:szCs w:val="20"/>
        </w:rPr>
        <w:t>61.8</w:t>
      </w:r>
      <w:r w:rsidRPr="006040C5">
        <w:rPr>
          <w:szCs w:val="20"/>
        </w:rPr>
        <w:t xml:space="preserve"> per cent) (table 4A</w:t>
      </w:r>
      <w:r w:rsidRPr="00666ECE">
        <w:rPr>
          <w:szCs w:val="20"/>
        </w:rPr>
        <w:t>.</w:t>
      </w:r>
      <w:r w:rsidR="00BA1CEC">
        <w:rPr>
          <w:szCs w:val="20"/>
        </w:rPr>
        <w:t>1</w:t>
      </w:r>
      <w:r w:rsidR="001D5AD2">
        <w:rPr>
          <w:szCs w:val="20"/>
        </w:rPr>
        <w:t>1</w:t>
      </w:r>
      <w:r w:rsidR="00DA58A9">
        <w:rPr>
          <w:szCs w:val="20"/>
        </w:rPr>
        <w:t>9</w:t>
      </w:r>
      <w:r w:rsidRPr="00666ECE">
        <w:rPr>
          <w:szCs w:val="20"/>
        </w:rPr>
        <w:t>).</w:t>
      </w:r>
      <w:r w:rsidR="001D5AD2">
        <w:rPr>
          <w:szCs w:val="20"/>
        </w:rPr>
        <w:t xml:space="preserve"> </w:t>
      </w:r>
      <w:r w:rsidRPr="00666ECE">
        <w:rPr>
          <w:szCs w:val="20"/>
        </w:rPr>
        <w:t>Data for 14–19 year olds from 200</w:t>
      </w:r>
      <w:r w:rsidR="00643280">
        <w:rPr>
          <w:szCs w:val="20"/>
        </w:rPr>
        <w:t>8</w:t>
      </w:r>
      <w:r w:rsidRPr="00666ECE">
        <w:rPr>
          <w:szCs w:val="20"/>
        </w:rPr>
        <w:t xml:space="preserve"> to 201</w:t>
      </w:r>
      <w:r w:rsidR="00643280">
        <w:rPr>
          <w:szCs w:val="20"/>
        </w:rPr>
        <w:t>2</w:t>
      </w:r>
      <w:r w:rsidRPr="00666ECE">
        <w:rPr>
          <w:szCs w:val="20"/>
        </w:rPr>
        <w:t xml:space="preserve"> are included in table 4A.</w:t>
      </w:r>
      <w:r w:rsidR="00BA1CEC">
        <w:rPr>
          <w:szCs w:val="20"/>
        </w:rPr>
        <w:t>1</w:t>
      </w:r>
      <w:r w:rsidR="00DA58A9">
        <w:rPr>
          <w:szCs w:val="20"/>
        </w:rPr>
        <w:t>20</w:t>
      </w:r>
      <w:r w:rsidRPr="00666ECE">
        <w:rPr>
          <w:szCs w:val="20"/>
        </w:rPr>
        <w:t>.</w:t>
      </w:r>
    </w:p>
    <w:p w:rsidR="00666ECE" w:rsidRPr="005C7D52" w:rsidRDefault="00666ECE" w:rsidP="002C3941">
      <w:pPr>
        <w:pStyle w:val="FigureTitle"/>
        <w:rPr>
          <w:position w:val="6"/>
          <w:sz w:val="18"/>
        </w:rPr>
      </w:pPr>
      <w:r w:rsidRPr="007A7568">
        <w:rPr>
          <w:b w:val="0"/>
        </w:rPr>
        <w:lastRenderedPageBreak/>
        <w:t xml:space="preserve">Figure </w:t>
      </w:r>
      <w:bookmarkStart w:id="26" w:name="OLE_LINK23"/>
      <w:r w:rsidR="00EB256F" w:rsidRPr="007A7568">
        <w:rPr>
          <w:b w:val="0"/>
        </w:rPr>
        <w:t>4.</w:t>
      </w:r>
      <w:r w:rsidR="00EC06F7" w:rsidRPr="007A7568">
        <w:rPr>
          <w:b w:val="0"/>
          <w:noProof/>
        </w:rPr>
        <w:t>8</w:t>
      </w:r>
      <w:bookmarkEnd w:id="26"/>
      <w:r w:rsidRPr="0063025F">
        <w:tab/>
        <w:t>School participation rate of people aged 14–19 years in school education, all schools, 201</w:t>
      </w:r>
      <w:r w:rsidR="00643280" w:rsidRPr="0063025F">
        <w:t>2</w:t>
      </w:r>
      <w:r w:rsidRPr="005C7D52">
        <w:rPr>
          <w:position w:val="6"/>
          <w:sz w:val="18"/>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81625" cy="2647950"/>
                  <wp:effectExtent l="0" t="0" r="9525" b="0"/>
                  <wp:docPr id="9" name="Picture 9" descr="Figure 4.8 School participation rate of people aged 14–19 years in school education, all school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color w:val="FF0000"/>
          <w:sz w:val="18"/>
          <w:szCs w:val="20"/>
        </w:rPr>
        <w:t> </w:t>
      </w:r>
      <w:r w:rsidRPr="00666ECE">
        <w:rPr>
          <w:rFonts w:ascii="Arial" w:hAnsi="Arial"/>
          <w:sz w:val="18"/>
          <w:szCs w:val="20"/>
        </w:rPr>
        <w:t>Proportion of the population who were enrolled as full time or part time students in August 201</w:t>
      </w:r>
      <w:r w:rsidR="00643280">
        <w:rPr>
          <w:rFonts w:ascii="Arial" w:hAnsi="Arial"/>
          <w:sz w:val="18"/>
          <w:szCs w:val="20"/>
        </w:rPr>
        <w:t>2</w:t>
      </w:r>
      <w:r w:rsidRPr="00666ECE">
        <w:rPr>
          <w:rFonts w:ascii="Arial" w:hAnsi="Arial"/>
          <w:sz w:val="18"/>
          <w:szCs w:val="20"/>
        </w:rPr>
        <w:t xml:space="preserve">. </w:t>
      </w:r>
      <w:r w:rsidRPr="00666ECE">
        <w:rPr>
          <w:rFonts w:ascii="Arial" w:hAnsi="Arial"/>
          <w:sz w:val="18"/>
          <w:szCs w:val="20"/>
        </w:rPr>
        <w:br/>
      </w:r>
      <w:r w:rsidRPr="00666ECE">
        <w:rPr>
          <w:rFonts w:ascii="Arial" w:hAnsi="Arial"/>
          <w:b/>
          <w:position w:val="6"/>
          <w:sz w:val="18"/>
          <w:szCs w:val="20"/>
        </w:rPr>
        <w:t>b </w:t>
      </w:r>
      <w:r w:rsidRPr="00666ECE">
        <w:rPr>
          <w:rFonts w:ascii="Arial" w:hAnsi="Arial"/>
          <w:sz w:val="18"/>
          <w:szCs w:val="20"/>
        </w:rPr>
        <w:t xml:space="preserve">Proportions are determined using the number of students enrolled in the jurisdiction divided by the estimated residential population for the jurisdiction, for the age group. In some cases students may be enrolled in a different jurisdiction to their place of residence. </w:t>
      </w:r>
      <w:r w:rsidR="004856D3">
        <w:rPr>
          <w:rFonts w:ascii="Arial" w:hAnsi="Arial"/>
          <w:sz w:val="18"/>
          <w:szCs w:val="20"/>
        </w:rPr>
        <w:t>In particular, p</w:t>
      </w:r>
      <w:r w:rsidRPr="00666ECE">
        <w:rPr>
          <w:rFonts w:ascii="Arial" w:hAnsi="Arial"/>
          <w:sz w:val="18"/>
          <w:szCs w:val="20"/>
        </w:rPr>
        <w:t xml:space="preserve">articipation rates in the ACT exceed 100 per cent as a result of NSW residents from surrounding areas enrolling in ACT schools. </w:t>
      </w:r>
      <w:r w:rsidRPr="00666ECE">
        <w:rPr>
          <w:rFonts w:ascii="Arial" w:hAnsi="Arial"/>
          <w:b/>
          <w:position w:val="6"/>
          <w:sz w:val="18"/>
          <w:szCs w:val="20"/>
        </w:rPr>
        <w:t>c</w:t>
      </w:r>
      <w:r w:rsidRPr="00666ECE">
        <w:rPr>
          <w:rFonts w:ascii="Arial" w:hAnsi="Arial"/>
          <w:sz w:val="18"/>
          <w:szCs w:val="20"/>
        </w:rPr>
        <w:t> Different school commencement ages across some state</w:t>
      </w:r>
      <w:r w:rsidR="004B4EC9">
        <w:rPr>
          <w:rFonts w:ascii="Arial" w:hAnsi="Arial"/>
          <w:sz w:val="18"/>
          <w:szCs w:val="20"/>
        </w:rPr>
        <w:t>s</w:t>
      </w:r>
      <w:r w:rsidRPr="00666ECE">
        <w:rPr>
          <w:rFonts w:ascii="Arial" w:hAnsi="Arial"/>
          <w:sz w:val="18"/>
          <w:szCs w:val="20"/>
        </w:rPr>
        <w:t xml:space="preserve"> and territories may affect comparisons between jurisdictions.</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643280">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643280">
        <w:rPr>
          <w:rFonts w:ascii="Arial" w:hAnsi="Arial"/>
          <w:i/>
          <w:sz w:val="18"/>
          <w:szCs w:val="20"/>
        </w:rPr>
        <w:t>2</w:t>
      </w:r>
      <w:r w:rsidRPr="00666ECE">
        <w:rPr>
          <w:rFonts w:ascii="Arial" w:hAnsi="Arial"/>
          <w:sz w:val="18"/>
          <w:szCs w:val="20"/>
        </w:rPr>
        <w:t xml:space="preserve">, Cat. </w:t>
      </w:r>
      <w:r w:rsidR="00F25AA8">
        <w:rPr>
          <w:rFonts w:ascii="Arial" w:hAnsi="Arial"/>
          <w:sz w:val="18"/>
          <w:szCs w:val="20"/>
        </w:rPr>
        <w:t>n</w:t>
      </w:r>
      <w:r w:rsidRPr="00666ECE">
        <w:rPr>
          <w:rFonts w:ascii="Arial" w:hAnsi="Arial"/>
          <w:sz w:val="18"/>
          <w:szCs w:val="20"/>
        </w:rPr>
        <w:t>o. 4221.0; table 4A.</w:t>
      </w:r>
      <w:r w:rsidR="00BA1CEC">
        <w:rPr>
          <w:rFonts w:ascii="Arial" w:hAnsi="Arial"/>
          <w:sz w:val="18"/>
          <w:szCs w:val="20"/>
        </w:rPr>
        <w:t>1</w:t>
      </w:r>
      <w:r w:rsidR="001D5AD2">
        <w:rPr>
          <w:rFonts w:ascii="Arial" w:hAnsi="Arial"/>
          <w:sz w:val="18"/>
          <w:szCs w:val="20"/>
        </w:rPr>
        <w:t>1</w:t>
      </w:r>
      <w:r w:rsidR="00DA58A9">
        <w:rPr>
          <w:rFonts w:ascii="Arial" w:hAnsi="Arial"/>
          <w:sz w:val="18"/>
          <w:szCs w:val="20"/>
        </w:rPr>
        <w:t>9</w:t>
      </w:r>
      <w:r w:rsidRPr="00666ECE">
        <w:rPr>
          <w:rFonts w:ascii="Arial" w:hAnsi="Arial"/>
          <w:sz w:val="18"/>
          <w:szCs w:val="20"/>
        </w:rPr>
        <w:t>.</w:t>
      </w:r>
    </w:p>
    <w:p w:rsidR="00666ECE" w:rsidRPr="00666ECE" w:rsidRDefault="00666ECE" w:rsidP="00666ECE">
      <w:pPr>
        <w:keepNext/>
        <w:spacing w:before="480" w:line="320" w:lineRule="exact"/>
        <w:outlineLvl w:val="4"/>
        <w:rPr>
          <w:i/>
        </w:rPr>
      </w:pPr>
      <w:r w:rsidRPr="00666ECE">
        <w:rPr>
          <w:i/>
        </w:rPr>
        <w:t>Participation — achievement of VET competencies</w:t>
      </w:r>
    </w:p>
    <w:p w:rsidR="00666ECE" w:rsidRPr="00666ECE" w:rsidRDefault="00666ECE" w:rsidP="00666ECE">
      <w:pPr>
        <w:spacing w:before="240" w:line="320" w:lineRule="atLeast"/>
        <w:jc w:val="both"/>
        <w:rPr>
          <w:szCs w:val="20"/>
        </w:rPr>
      </w:pPr>
      <w:r w:rsidRPr="00666ECE">
        <w:rPr>
          <w:szCs w:val="20"/>
        </w:rPr>
        <w:t>The number of young people undertaking VET in Schools programs in 20</w:t>
      </w:r>
      <w:r w:rsidR="00542C78">
        <w:rPr>
          <w:szCs w:val="20"/>
        </w:rPr>
        <w:t>1</w:t>
      </w:r>
      <w:r w:rsidR="00643280">
        <w:rPr>
          <w:szCs w:val="20"/>
        </w:rPr>
        <w:t>1</w:t>
      </w:r>
      <w:r w:rsidRPr="00666ECE">
        <w:rPr>
          <w:szCs w:val="20"/>
        </w:rPr>
        <w:t xml:space="preserve"> was </w:t>
      </w:r>
      <w:r w:rsidR="00542C78" w:rsidRPr="00F848EE">
        <w:rPr>
          <w:szCs w:val="20"/>
        </w:rPr>
        <w:t>2</w:t>
      </w:r>
      <w:r w:rsidR="00F848EE" w:rsidRPr="00F848EE">
        <w:rPr>
          <w:szCs w:val="20"/>
        </w:rPr>
        <w:t>36</w:t>
      </w:r>
      <w:r w:rsidR="00542C78" w:rsidRPr="00F848EE">
        <w:rPr>
          <w:szCs w:val="20"/>
        </w:rPr>
        <w:t xml:space="preserve"> </w:t>
      </w:r>
      <w:r w:rsidR="00F848EE" w:rsidRPr="00F848EE">
        <w:rPr>
          <w:szCs w:val="20"/>
        </w:rPr>
        <w:t>4</w:t>
      </w:r>
      <w:r w:rsidR="00542C78" w:rsidRPr="00F848EE">
        <w:rPr>
          <w:szCs w:val="20"/>
        </w:rPr>
        <w:t>00</w:t>
      </w:r>
      <w:r w:rsidR="008771B2" w:rsidRPr="00F848EE">
        <w:rPr>
          <w:szCs w:val="20"/>
        </w:rPr>
        <w:t xml:space="preserve"> </w:t>
      </w:r>
      <w:r w:rsidRPr="00F848EE">
        <w:rPr>
          <w:szCs w:val="20"/>
        </w:rPr>
        <w:t>(NCVER 20</w:t>
      </w:r>
      <w:r w:rsidR="0055265A" w:rsidRPr="00F848EE">
        <w:rPr>
          <w:szCs w:val="20"/>
        </w:rPr>
        <w:t>1</w:t>
      </w:r>
      <w:r w:rsidR="00643280" w:rsidRPr="00F848EE">
        <w:rPr>
          <w:szCs w:val="20"/>
        </w:rPr>
        <w:t>2</w:t>
      </w:r>
      <w:r w:rsidRPr="00F848EE">
        <w:rPr>
          <w:szCs w:val="20"/>
        </w:rPr>
        <w:t>). The proportion of 15–19</w:t>
      </w:r>
      <w:r w:rsidR="0019719B" w:rsidRPr="00F848EE">
        <w:rPr>
          <w:szCs w:val="20"/>
        </w:rPr>
        <w:t> </w:t>
      </w:r>
      <w:r w:rsidRPr="00F848EE">
        <w:rPr>
          <w:szCs w:val="20"/>
        </w:rPr>
        <w:t xml:space="preserve">year olds who had successfully </w:t>
      </w:r>
      <w:r w:rsidRPr="00666ECE">
        <w:rPr>
          <w:szCs w:val="20"/>
        </w:rPr>
        <w:t xml:space="preserve">completed at least one unit of competency as part of a VET qualification at AQF Certificate II or above was </w:t>
      </w:r>
      <w:r w:rsidR="001D5AD2">
        <w:rPr>
          <w:szCs w:val="20"/>
        </w:rPr>
        <w:t>27.5</w:t>
      </w:r>
      <w:r w:rsidRPr="00666ECE">
        <w:rPr>
          <w:szCs w:val="20"/>
        </w:rPr>
        <w:t xml:space="preserve"> per cent nationally in </w:t>
      </w:r>
      <w:r w:rsidRPr="00602605">
        <w:rPr>
          <w:szCs w:val="20"/>
        </w:rPr>
        <w:t>20</w:t>
      </w:r>
      <w:r w:rsidR="0055265A" w:rsidRPr="00602605">
        <w:rPr>
          <w:szCs w:val="20"/>
        </w:rPr>
        <w:t>1</w:t>
      </w:r>
      <w:r w:rsidR="00643280">
        <w:rPr>
          <w:szCs w:val="20"/>
        </w:rPr>
        <w:t>1</w:t>
      </w:r>
      <w:r w:rsidRPr="00666ECE">
        <w:rPr>
          <w:szCs w:val="20"/>
        </w:rPr>
        <w:t xml:space="preserve"> (figure 4.9). This proportion includes both VET in Schools students and school-aged students who have left school but are still engaged in education through a campus of TAFE or other VET Registered Training Organisation (RTO). </w:t>
      </w:r>
    </w:p>
    <w:p w:rsidR="00666ECE" w:rsidRPr="0063025F" w:rsidRDefault="00666ECE" w:rsidP="002C3941">
      <w:pPr>
        <w:pStyle w:val="FigureTitle"/>
      </w:pPr>
      <w:r w:rsidRPr="007A7568">
        <w:rPr>
          <w:b w:val="0"/>
        </w:rPr>
        <w:lastRenderedPageBreak/>
        <w:t xml:space="preserve">Figure </w:t>
      </w:r>
      <w:r w:rsidR="00EB256F" w:rsidRPr="007A7568">
        <w:rPr>
          <w:b w:val="0"/>
        </w:rPr>
        <w:t>4.</w:t>
      </w:r>
      <w:r w:rsidR="00EC06F7" w:rsidRPr="007A7568">
        <w:rPr>
          <w:b w:val="0"/>
          <w:noProof/>
        </w:rPr>
        <w:t>9</w:t>
      </w:r>
      <w:r w:rsidRPr="0063025F">
        <w:tab/>
        <w:t>Proportion of 15–19 year olds who have successfully completed at least one unit of competency as part of a VET qualification at AQF Certificate II or above</w:t>
      </w:r>
      <w:r w:rsidR="00643280" w:rsidRPr="0063025F">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color w:val="FF0000"/>
                <w:szCs w:val="20"/>
              </w:rPr>
            </w:pPr>
            <w:r>
              <w:rPr>
                <w:noProof/>
                <w:color w:val="FF0000"/>
                <w:szCs w:val="20"/>
              </w:rPr>
              <w:drawing>
                <wp:inline distT="0" distB="0" distL="0" distR="0">
                  <wp:extent cx="5391150" cy="2867025"/>
                  <wp:effectExtent l="0" t="0" r="0" b="9525"/>
                  <wp:docPr id="10" name="Picture 10" descr="Figure 4.9 Proportion of 15–19 year olds who have successfully completed at least one unit of competency as part of a VET qualification at AQF Certificate II or above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666ECE" w:rsidRPr="005C7D52" w:rsidRDefault="00666ECE" w:rsidP="00666ECE">
      <w:pPr>
        <w:keepLines/>
        <w:spacing w:before="80" w:after="120" w:line="220" w:lineRule="exact"/>
        <w:jc w:val="both"/>
        <w:rPr>
          <w:rFonts w:ascii="Arial" w:hAnsi="Arial"/>
          <w:sz w:val="18"/>
          <w:szCs w:val="20"/>
        </w:rPr>
      </w:pPr>
      <w:r w:rsidRPr="005C7D52">
        <w:rPr>
          <w:rFonts w:ascii="Arial" w:hAnsi="Arial"/>
          <w:i/>
          <w:sz w:val="18"/>
          <w:szCs w:val="20"/>
        </w:rPr>
        <w:t>Source</w:t>
      </w:r>
      <w:r w:rsidRPr="005C7D52">
        <w:rPr>
          <w:rFonts w:ascii="Arial" w:hAnsi="Arial"/>
          <w:sz w:val="18"/>
          <w:szCs w:val="20"/>
        </w:rPr>
        <w:t>: NCVER</w:t>
      </w:r>
      <w:r w:rsidRPr="005C7D52">
        <w:rPr>
          <w:rFonts w:ascii="Arial" w:hAnsi="Arial"/>
          <w:i/>
          <w:sz w:val="18"/>
          <w:szCs w:val="20"/>
        </w:rPr>
        <w:t xml:space="preserve">, National VET Provider Collection </w:t>
      </w:r>
      <w:r w:rsidR="00F25AA8" w:rsidRPr="005C7D52">
        <w:rPr>
          <w:rFonts w:ascii="Arial" w:hAnsi="Arial"/>
          <w:sz w:val="18"/>
          <w:szCs w:val="20"/>
        </w:rPr>
        <w:t>(various years)</w:t>
      </w:r>
      <w:r w:rsidRPr="005C7D52">
        <w:rPr>
          <w:rFonts w:ascii="Arial" w:hAnsi="Arial"/>
          <w:sz w:val="18"/>
          <w:szCs w:val="20"/>
        </w:rPr>
        <w:t>; NCVER</w:t>
      </w:r>
      <w:r w:rsidRPr="005C7D52">
        <w:rPr>
          <w:rFonts w:ascii="Arial" w:hAnsi="Arial"/>
          <w:i/>
          <w:sz w:val="18"/>
          <w:szCs w:val="20"/>
        </w:rPr>
        <w:t>, National VET in Schools Collection</w:t>
      </w:r>
      <w:r w:rsidRPr="005C7D52">
        <w:rPr>
          <w:rFonts w:ascii="Arial" w:hAnsi="Arial"/>
          <w:sz w:val="18"/>
          <w:szCs w:val="20"/>
        </w:rPr>
        <w:t xml:space="preserve"> </w:t>
      </w:r>
      <w:r w:rsidRPr="005C7D52">
        <w:rPr>
          <w:rFonts w:ascii="Arial" w:hAnsi="Arial"/>
          <w:i/>
          <w:sz w:val="18"/>
          <w:szCs w:val="20"/>
        </w:rPr>
        <w:t>20</w:t>
      </w:r>
      <w:r w:rsidR="0055265A" w:rsidRPr="005C7D52">
        <w:rPr>
          <w:rFonts w:ascii="Arial" w:hAnsi="Arial"/>
          <w:i/>
          <w:sz w:val="18"/>
          <w:szCs w:val="20"/>
        </w:rPr>
        <w:t>1</w:t>
      </w:r>
      <w:r w:rsidR="005C7D52">
        <w:rPr>
          <w:rFonts w:ascii="Arial" w:hAnsi="Arial"/>
          <w:i/>
          <w:sz w:val="18"/>
          <w:szCs w:val="20"/>
        </w:rPr>
        <w:t>1</w:t>
      </w:r>
      <w:r w:rsidR="00F25AA8" w:rsidRPr="005C7D52">
        <w:rPr>
          <w:rFonts w:ascii="Arial" w:hAnsi="Arial"/>
          <w:sz w:val="18"/>
          <w:szCs w:val="20"/>
        </w:rPr>
        <w:t>; ABS</w:t>
      </w:r>
      <w:r w:rsidRPr="005C7D52">
        <w:rPr>
          <w:rFonts w:ascii="Arial" w:hAnsi="Arial"/>
          <w:sz w:val="18"/>
          <w:szCs w:val="20"/>
        </w:rPr>
        <w:t xml:space="preserve"> </w:t>
      </w:r>
      <w:r w:rsidRPr="005C7D52">
        <w:rPr>
          <w:rFonts w:ascii="Arial" w:hAnsi="Arial"/>
          <w:i/>
          <w:sz w:val="18"/>
          <w:szCs w:val="20"/>
        </w:rPr>
        <w:t xml:space="preserve">Population by Age and Sex, Australian States and Territories, </w:t>
      </w:r>
      <w:r w:rsidR="00F25AA8" w:rsidRPr="005C7D52">
        <w:rPr>
          <w:rFonts w:ascii="Arial" w:hAnsi="Arial"/>
          <w:sz w:val="18"/>
          <w:szCs w:val="20"/>
        </w:rPr>
        <w:t xml:space="preserve">(various years) </w:t>
      </w:r>
      <w:r w:rsidRPr="005C7D52">
        <w:rPr>
          <w:rFonts w:ascii="Arial" w:hAnsi="Arial"/>
          <w:sz w:val="18"/>
          <w:szCs w:val="20"/>
        </w:rPr>
        <w:t>(Cat.</w:t>
      </w:r>
      <w:r w:rsidR="00F25AA8" w:rsidRPr="005C7D52">
        <w:rPr>
          <w:rFonts w:ascii="Arial" w:hAnsi="Arial"/>
          <w:sz w:val="18"/>
          <w:szCs w:val="20"/>
        </w:rPr>
        <w:t> n</w:t>
      </w:r>
      <w:r w:rsidRPr="005C7D52">
        <w:rPr>
          <w:rFonts w:ascii="Arial" w:hAnsi="Arial"/>
          <w:sz w:val="18"/>
          <w:szCs w:val="20"/>
        </w:rPr>
        <w:t>o.</w:t>
      </w:r>
      <w:r w:rsidR="00F25AA8" w:rsidRPr="005C7D52">
        <w:rPr>
          <w:rFonts w:ascii="Arial" w:hAnsi="Arial"/>
          <w:sz w:val="18"/>
          <w:szCs w:val="20"/>
        </w:rPr>
        <w:t> </w:t>
      </w:r>
      <w:r w:rsidRPr="005C7D52">
        <w:rPr>
          <w:rFonts w:ascii="Arial" w:hAnsi="Arial"/>
          <w:sz w:val="18"/>
          <w:szCs w:val="20"/>
        </w:rPr>
        <w:t>3201.0); table 4A.1</w:t>
      </w:r>
      <w:r w:rsidR="001D5AD2" w:rsidRPr="005C7D52">
        <w:rPr>
          <w:rFonts w:ascii="Arial" w:hAnsi="Arial"/>
          <w:sz w:val="18"/>
          <w:szCs w:val="20"/>
        </w:rPr>
        <w:t>2</w:t>
      </w:r>
      <w:r w:rsidR="00DA58A9">
        <w:rPr>
          <w:rFonts w:ascii="Arial" w:hAnsi="Arial"/>
          <w:sz w:val="18"/>
          <w:szCs w:val="20"/>
        </w:rPr>
        <w:t>9</w:t>
      </w:r>
      <w:r w:rsidRPr="005C7D52">
        <w:rPr>
          <w:rFonts w:ascii="Arial" w:hAnsi="Arial"/>
          <w:sz w:val="18"/>
          <w:szCs w:val="20"/>
        </w:rPr>
        <w:t>.</w:t>
      </w:r>
    </w:p>
    <w:p w:rsidR="00666ECE" w:rsidRPr="00666ECE" w:rsidRDefault="00666ECE" w:rsidP="00666ECE">
      <w:pPr>
        <w:keepNext/>
        <w:spacing w:before="480" w:line="320" w:lineRule="exact"/>
        <w:outlineLvl w:val="4"/>
        <w:rPr>
          <w:i/>
        </w:rPr>
      </w:pPr>
      <w:r w:rsidRPr="00666ECE">
        <w:rPr>
          <w:i/>
        </w:rPr>
        <w:t>Retention</w:t>
      </w:r>
    </w:p>
    <w:p w:rsidR="00666ECE" w:rsidRPr="00666ECE" w:rsidRDefault="00666ECE" w:rsidP="00666ECE">
      <w:pPr>
        <w:spacing w:before="240" w:line="320" w:lineRule="atLeast"/>
        <w:jc w:val="both"/>
        <w:rPr>
          <w:szCs w:val="20"/>
        </w:rPr>
      </w:pPr>
      <w:r w:rsidRPr="00666ECE">
        <w:rPr>
          <w:szCs w:val="20"/>
        </w:rPr>
        <w:t xml:space="preserve">‘Retention’ to the final years of schooling is an indicator of governments’ objective that all students have access to high quality education and training necessary to </w:t>
      </w:r>
      <w:r w:rsidR="0019719B" w:rsidRPr="00666ECE">
        <w:rPr>
          <w:szCs w:val="20"/>
        </w:rPr>
        <w:t>compl</w:t>
      </w:r>
      <w:r w:rsidR="0019719B">
        <w:rPr>
          <w:szCs w:val="20"/>
        </w:rPr>
        <w:t>et</w:t>
      </w:r>
      <w:r w:rsidR="0019719B" w:rsidRPr="00666ECE">
        <w:rPr>
          <w:szCs w:val="20"/>
        </w:rPr>
        <w:t>e</w:t>
      </w:r>
      <w:r w:rsidRPr="00666ECE">
        <w:rPr>
          <w:szCs w:val="20"/>
        </w:rPr>
        <w:t xml:space="preserve"> education to year 12 or its equivalent (box 4.3).</w:t>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36281D">
        <w:tc>
          <w:tcPr>
            <w:tcW w:w="8771" w:type="dxa"/>
            <w:tcBorders>
              <w:top w:val="single" w:sz="6" w:space="0" w:color="auto"/>
              <w:bottom w:val="nil"/>
            </w:tcBorders>
          </w:tcPr>
          <w:p w:rsidR="00666ECE" w:rsidRPr="0063025F" w:rsidRDefault="00666ECE" w:rsidP="002C3941">
            <w:pPr>
              <w:pStyle w:val="BoxTitle"/>
            </w:pPr>
            <w:r w:rsidRPr="007A7568">
              <w:rPr>
                <w:b w:val="0"/>
              </w:rPr>
              <w:t xml:space="preserve">Box </w:t>
            </w:r>
            <w:r w:rsidR="00EB256F" w:rsidRPr="007A7568">
              <w:rPr>
                <w:b w:val="0"/>
              </w:rPr>
              <w:t>4.</w:t>
            </w:r>
            <w:r w:rsidR="00EC06F7" w:rsidRPr="007A7568">
              <w:rPr>
                <w:b w:val="0"/>
                <w:noProof/>
              </w:rPr>
              <w:t>3</w:t>
            </w:r>
            <w:r w:rsidRPr="0063025F">
              <w:tab/>
              <w:t>Retention</w:t>
            </w:r>
          </w:p>
        </w:tc>
      </w:tr>
      <w:tr w:rsidR="00666ECE" w:rsidRPr="00666ECE" w:rsidTr="0036281D">
        <w:trPr>
          <w:cantSplit/>
        </w:trPr>
        <w:tc>
          <w:tcPr>
            <w:tcW w:w="8771" w:type="dxa"/>
            <w:tcBorders>
              <w:top w:val="nil"/>
              <w:left w:val="single" w:sz="6" w:space="0" w:color="auto"/>
              <w:bottom w:val="nil"/>
              <w:right w:val="single" w:sz="6" w:space="0" w:color="auto"/>
            </w:tcBorders>
          </w:tcPr>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‘Retention’ (apparent retention rate) is defined as the number of full time school students in a designated level/year of education as a percentage of their respective cohort group (either at the commencement of their secondary schooling at year 7 or 8, or at year 10). Data are reported for:</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the proportion of students commencing secondary school at year 7 or 8 and continuing to year 10</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the proportion of students commencing secondary school at year 7 or 8 and continuing to year 12</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the proportion of year 10 students continuing to year 12.</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Data are reported for all students, Indigenous and non-Indigenous students, and for students in government and non-government schools.</w:t>
            </w:r>
          </w:p>
          <w:p w:rsidR="00666ECE" w:rsidRPr="00666ECE" w:rsidRDefault="00711273" w:rsidP="00666ECE">
            <w:pPr>
              <w:keepNext/>
              <w:spacing w:before="120" w:line="280" w:lineRule="atLeast"/>
              <w:jc w:val="both"/>
              <w:rPr>
                <w:rFonts w:ascii="Arial" w:hAnsi="Arial"/>
                <w:sz w:val="22"/>
                <w:szCs w:val="20"/>
              </w:rPr>
            </w:pPr>
            <w:r>
              <w:rPr>
                <w:rFonts w:ascii="Arial" w:hAnsi="Arial"/>
                <w:sz w:val="22"/>
                <w:szCs w:val="20"/>
              </w:rPr>
              <w:t>A</w:t>
            </w:r>
            <w:r w:rsidR="00666ECE" w:rsidRPr="00666ECE">
              <w:rPr>
                <w:rFonts w:ascii="Arial" w:hAnsi="Arial"/>
                <w:sz w:val="22"/>
                <w:szCs w:val="20"/>
              </w:rPr>
              <w:t xml:space="preserve"> higher or increasing apparent retention rate suggests that a larger proportion of students are continuing to participate in school education, which is likely to result in improved educational outcomes.</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This indicator does not include part time students or provide information on students who pursue year 12 (or equivalent qualifications) through non-school pathways.</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 xml:space="preserve">The term ‘apparent’ is used because the indicator is derived from total numbers of students in each of the relevant year levels, </w:t>
            </w:r>
            <w:r w:rsidR="00711273">
              <w:rPr>
                <w:rFonts w:ascii="Arial" w:hAnsi="Arial"/>
                <w:sz w:val="22"/>
                <w:szCs w:val="20"/>
              </w:rPr>
              <w:t>not</w:t>
            </w:r>
            <w:r w:rsidRPr="00666ECE">
              <w:rPr>
                <w:rFonts w:ascii="Arial" w:hAnsi="Arial"/>
                <w:sz w:val="22"/>
                <w:szCs w:val="20"/>
              </w:rPr>
              <w:t xml:space="preserve"> by tracking the retention of individual students. Care needs be taken in interpretation because the apparent retention rate does not take account of factors such as:</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students repeating a year of education or returning to education after a period of absence</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movement or migration of students between school sectors, between states/territories and between countries</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the impact of full fee paying overseas students.</w:t>
            </w:r>
          </w:p>
          <w:p w:rsidR="001C174A" w:rsidRDefault="00BA1348" w:rsidP="00BA1348">
            <w:pPr>
              <w:keepNext/>
              <w:shd w:val="clear" w:color="auto" w:fill="FFFFFF" w:themeFill="background1"/>
              <w:spacing w:before="120" w:line="280" w:lineRule="atLeast"/>
              <w:jc w:val="both"/>
              <w:rPr>
                <w:rFonts w:ascii="Arial" w:hAnsi="Arial"/>
                <w:sz w:val="22"/>
                <w:szCs w:val="20"/>
              </w:rPr>
            </w:pPr>
            <w:r>
              <w:rPr>
                <w:rFonts w:ascii="Arial" w:hAnsi="Arial"/>
                <w:sz w:val="22"/>
                <w:szCs w:val="20"/>
              </w:rPr>
              <w:t xml:space="preserve">Data reported for all measures in this indicator are </w:t>
            </w:r>
          </w:p>
          <w:p w:rsidR="001C174A" w:rsidRDefault="00BA1348" w:rsidP="001C174A">
            <w:pPr>
              <w:pStyle w:val="BoxListBullet"/>
            </w:pPr>
            <w:r w:rsidRPr="00BA1348">
              <w:t>comparable (subject to caveats) acr</w:t>
            </w:r>
            <w:r w:rsidR="001C174A">
              <w:t>oss jurisdictions and over time</w:t>
            </w:r>
          </w:p>
          <w:p w:rsidR="00666ECE" w:rsidRPr="00666ECE" w:rsidRDefault="00BA1348" w:rsidP="001C174A">
            <w:pPr>
              <w:pStyle w:val="BoxListBullet"/>
            </w:pPr>
            <w:r w:rsidRPr="00BA1348">
              <w:t xml:space="preserve">complete for the current reporting period (subject to caveats). All required </w:t>
            </w:r>
            <w:r>
              <w:t>2012</w:t>
            </w:r>
            <w:r w:rsidRPr="00BA1348">
              <w:t xml:space="preserve"> data are available for all jurisdictions providing the service.</w:t>
            </w:r>
          </w:p>
          <w:p w:rsidR="00666ECE" w:rsidRPr="00666ECE" w:rsidRDefault="0057698F" w:rsidP="00643280">
            <w:pPr>
              <w:pStyle w:val="Box"/>
            </w:pPr>
            <w:r>
              <w:t xml:space="preserve">Information about data quality for this indicator is at </w:t>
            </w:r>
            <w:r w:rsidR="00643280" w:rsidRPr="00C77140">
              <w:t>www.pc.gov.au/gsp/reports/rogs/2014</w:t>
            </w:r>
            <w:r>
              <w:t>.</w:t>
            </w: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color w:val="FF00FF"/>
                <w:sz w:val="14"/>
                <w:szCs w:val="20"/>
              </w:rPr>
            </w:pPr>
          </w:p>
        </w:tc>
      </w:tr>
    </w:tbl>
    <w:p w:rsidR="00666ECE" w:rsidRPr="00666ECE" w:rsidRDefault="00666ECE" w:rsidP="00666ECE">
      <w:pPr>
        <w:spacing w:before="240" w:line="320" w:lineRule="atLeast"/>
        <w:jc w:val="both"/>
        <w:rPr>
          <w:szCs w:val="20"/>
        </w:rPr>
      </w:pPr>
      <w:r w:rsidRPr="00666ECE">
        <w:rPr>
          <w:szCs w:val="20"/>
        </w:rPr>
        <w:t xml:space="preserve">In most </w:t>
      </w:r>
      <w:r w:rsidRPr="001D5AD2">
        <w:rPr>
          <w:szCs w:val="20"/>
        </w:rPr>
        <w:t>jurisdictions, in 201</w:t>
      </w:r>
      <w:r w:rsidR="00643280" w:rsidRPr="001D5AD2">
        <w:rPr>
          <w:szCs w:val="20"/>
        </w:rPr>
        <w:t>2</w:t>
      </w:r>
      <w:r w:rsidRPr="001D5AD2">
        <w:rPr>
          <w:szCs w:val="20"/>
        </w:rPr>
        <w:t xml:space="preserve">, apparent retention rates from the commencement of secondary school at year 7 or 8 (figure 4.1 shows the </w:t>
      </w:r>
      <w:r w:rsidR="0019719B" w:rsidRPr="001D5AD2">
        <w:rPr>
          <w:szCs w:val="20"/>
        </w:rPr>
        <w:t>starting years</w:t>
      </w:r>
      <w:r w:rsidRPr="001D5AD2">
        <w:rPr>
          <w:szCs w:val="20"/>
        </w:rPr>
        <w:t xml:space="preserve"> across jurisdictions) to year 10, were </w:t>
      </w:r>
      <w:r w:rsidR="001D5AD2" w:rsidRPr="001D5AD2">
        <w:rPr>
          <w:szCs w:val="20"/>
        </w:rPr>
        <w:t>98</w:t>
      </w:r>
      <w:r w:rsidR="002B152E" w:rsidRPr="001D5AD2">
        <w:rPr>
          <w:szCs w:val="20"/>
        </w:rPr>
        <w:t xml:space="preserve"> per cent to </w:t>
      </w:r>
      <w:r w:rsidR="00707EBD" w:rsidRPr="001D5AD2">
        <w:rPr>
          <w:szCs w:val="20"/>
        </w:rPr>
        <w:t>10</w:t>
      </w:r>
      <w:r w:rsidR="001D5AD2" w:rsidRPr="001D5AD2">
        <w:rPr>
          <w:szCs w:val="20"/>
        </w:rPr>
        <w:t>4</w:t>
      </w:r>
      <w:r w:rsidRPr="001D5AD2">
        <w:rPr>
          <w:szCs w:val="20"/>
        </w:rPr>
        <w:t xml:space="preserve"> per cent, with a national rate of </w:t>
      </w:r>
      <w:r w:rsidR="000D0319" w:rsidRPr="001D5AD2">
        <w:rPr>
          <w:szCs w:val="20"/>
        </w:rPr>
        <w:t>10</w:t>
      </w:r>
      <w:r w:rsidR="00DC457C" w:rsidRPr="001D5AD2">
        <w:rPr>
          <w:szCs w:val="20"/>
        </w:rPr>
        <w:t>1</w:t>
      </w:r>
      <w:r w:rsidR="000D0319" w:rsidRPr="001D5AD2">
        <w:rPr>
          <w:szCs w:val="20"/>
        </w:rPr>
        <w:t>.</w:t>
      </w:r>
      <w:r w:rsidR="001D5AD2" w:rsidRPr="001D5AD2">
        <w:rPr>
          <w:szCs w:val="20"/>
        </w:rPr>
        <w:t>3</w:t>
      </w:r>
      <w:r w:rsidRPr="001D5AD2">
        <w:rPr>
          <w:szCs w:val="20"/>
        </w:rPr>
        <w:t xml:space="preserve"> per cent (figure 4.10). High rates are to be expected, because normal year </w:t>
      </w:r>
      <w:r w:rsidRPr="001D5AD2">
        <w:rPr>
          <w:szCs w:val="20"/>
        </w:rPr>
        <w:lastRenderedPageBreak/>
        <w:t xml:space="preserve">level progression </w:t>
      </w:r>
      <w:r w:rsidRPr="00666ECE">
        <w:rPr>
          <w:szCs w:val="20"/>
        </w:rPr>
        <w:t xml:space="preserve">means students in year 10 are generally of an age at which schooling is compulsory. </w:t>
      </w:r>
    </w:p>
    <w:p w:rsidR="00666ECE" w:rsidRPr="00666ECE" w:rsidRDefault="00666ECE" w:rsidP="00666ECE">
      <w:pPr>
        <w:spacing w:before="240" w:line="320" w:lineRule="atLeast"/>
        <w:jc w:val="both"/>
        <w:rPr>
          <w:szCs w:val="20"/>
        </w:rPr>
      </w:pPr>
      <w:r w:rsidRPr="00666ECE">
        <w:rPr>
          <w:szCs w:val="20"/>
        </w:rPr>
        <w:t xml:space="preserve">Retention rates for Indigenous students provide one measure of the equity of access to schooling. Retention rates to year 10 for Indigenous students were lower than those for non-Indigenous students and all students in most jurisdictions, with </w:t>
      </w:r>
      <w:r w:rsidR="00711273">
        <w:rPr>
          <w:szCs w:val="20"/>
        </w:rPr>
        <w:t xml:space="preserve">a </w:t>
      </w:r>
      <w:r w:rsidRPr="00666ECE">
        <w:rPr>
          <w:szCs w:val="20"/>
        </w:rPr>
        <w:t xml:space="preserve">national retention rate for Indigenous </w:t>
      </w:r>
      <w:r w:rsidRPr="009762F7">
        <w:rPr>
          <w:szCs w:val="20"/>
        </w:rPr>
        <w:t xml:space="preserve">students of </w:t>
      </w:r>
      <w:r w:rsidR="00EF1CE5" w:rsidRPr="009762F7">
        <w:rPr>
          <w:szCs w:val="20"/>
        </w:rPr>
        <w:t>98.</w:t>
      </w:r>
      <w:r w:rsidR="00EB7A11" w:rsidRPr="009762F7">
        <w:rPr>
          <w:szCs w:val="20"/>
        </w:rPr>
        <w:t>4</w:t>
      </w:r>
      <w:r w:rsidRPr="009762F7">
        <w:rPr>
          <w:szCs w:val="20"/>
        </w:rPr>
        <w:t xml:space="preserve"> per cent, </w:t>
      </w:r>
      <w:r w:rsidR="004856D3">
        <w:rPr>
          <w:szCs w:val="20"/>
        </w:rPr>
        <w:t>3.0</w:t>
      </w:r>
      <w:r w:rsidRPr="009762F7">
        <w:rPr>
          <w:szCs w:val="20"/>
        </w:rPr>
        <w:t xml:space="preserve"> percentage points lower than that for non-Indigenous students and </w:t>
      </w:r>
      <w:r w:rsidR="00EB7A11" w:rsidRPr="009762F7">
        <w:rPr>
          <w:szCs w:val="20"/>
        </w:rPr>
        <w:t xml:space="preserve">2.9 </w:t>
      </w:r>
      <w:r w:rsidRPr="009762F7">
        <w:rPr>
          <w:szCs w:val="20"/>
        </w:rPr>
        <w:t xml:space="preserve">percentage </w:t>
      </w:r>
      <w:r w:rsidRPr="00EF1CE5">
        <w:rPr>
          <w:szCs w:val="20"/>
        </w:rPr>
        <w:t>points lower than that for all students (figure 4.10).</w:t>
      </w:r>
    </w:p>
    <w:p w:rsidR="00666ECE" w:rsidRPr="00902108" w:rsidRDefault="00666ECE" w:rsidP="002C3941">
      <w:pPr>
        <w:pStyle w:val="FigureTitle"/>
        <w:rPr>
          <w:position w:val="6"/>
          <w:sz w:val="18"/>
        </w:rPr>
      </w:pPr>
      <w:r w:rsidRPr="007A7568">
        <w:rPr>
          <w:b w:val="0"/>
        </w:rPr>
        <w:t xml:space="preserve">Figure </w:t>
      </w:r>
      <w:bookmarkStart w:id="27" w:name="OLE_LINK26"/>
      <w:r w:rsidR="00EB256F" w:rsidRPr="007A7568">
        <w:rPr>
          <w:b w:val="0"/>
        </w:rPr>
        <w:t>4.</w:t>
      </w:r>
      <w:r w:rsidR="00EC06F7" w:rsidRPr="007A7568">
        <w:rPr>
          <w:b w:val="0"/>
          <w:noProof/>
        </w:rPr>
        <w:t>10</w:t>
      </w:r>
      <w:bookmarkEnd w:id="27"/>
      <w:r w:rsidRPr="0063025F">
        <w:tab/>
        <w:t>Apparent retention rate from year 7 or 8 to year 10, full time secondary students, all schools, 201</w:t>
      </w:r>
      <w:r w:rsidR="00643280" w:rsidRPr="0063025F">
        <w:t>2</w:t>
      </w:r>
      <w:r w:rsidRPr="00902108">
        <w:rPr>
          <w:position w:val="6"/>
          <w:sz w:val="18"/>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86050"/>
                  <wp:effectExtent l="0" t="0" r="0" b="0"/>
                  <wp:docPr id="11" name="Picture 11" descr="Figure 4.10 Apparent retention rate from year 7 or 8 to year 10, full time secondary students, all school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666ECE" w:rsidRPr="00666ECE" w:rsidRDefault="00666ECE" w:rsidP="00711273">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Apparent retention rates are affected by factors that vary across jurisdictions. For this reason, variations in apparent retention rates over time within jurisdictions may be more useful than comparisons across jurisdictions (see figure 4.11). </w:t>
      </w:r>
      <w:r w:rsidRPr="00666ECE">
        <w:rPr>
          <w:rFonts w:ascii="Arial" w:hAnsi="Arial"/>
          <w:b/>
          <w:position w:val="6"/>
          <w:sz w:val="18"/>
          <w:szCs w:val="20"/>
        </w:rPr>
        <w:t>b</w:t>
      </w:r>
      <w:r w:rsidRPr="00666ECE">
        <w:rPr>
          <w:rFonts w:ascii="Arial" w:hAnsi="Arial"/>
          <w:sz w:val="18"/>
          <w:szCs w:val="20"/>
        </w:rPr>
        <w:t xml:space="preserve"> Retention rates can exceed 100 per cent for a variety of reasons, including student transfers between jurisdictions. </w:t>
      </w:r>
      <w:r w:rsidRPr="00666ECE">
        <w:rPr>
          <w:rFonts w:ascii="Arial" w:hAnsi="Arial"/>
          <w:b/>
          <w:position w:val="6"/>
          <w:sz w:val="18"/>
          <w:szCs w:val="20"/>
        </w:rPr>
        <w:t>c</w:t>
      </w:r>
      <w:r w:rsidRPr="00666ECE">
        <w:rPr>
          <w:rFonts w:ascii="Arial" w:hAnsi="Arial"/>
          <w:sz w:val="18"/>
          <w:szCs w:val="20"/>
        </w:rPr>
        <w:t xml:space="preserve"> The standard apparent retention rate calculation excludes part time students, which has implications for the interpretation of results for all jurisdictions (table 4.4). </w:t>
      </w:r>
      <w:r w:rsidRPr="00666ECE">
        <w:rPr>
          <w:rFonts w:ascii="Arial" w:hAnsi="Arial"/>
          <w:b/>
          <w:position w:val="6"/>
          <w:sz w:val="18"/>
          <w:szCs w:val="20"/>
        </w:rPr>
        <w:t>d</w:t>
      </w:r>
      <w:r w:rsidRPr="00666ECE">
        <w:rPr>
          <w:rFonts w:ascii="Arial" w:hAnsi="Arial"/>
          <w:sz w:val="18"/>
          <w:szCs w:val="20"/>
        </w:rPr>
        <w:t xml:space="preserve"> Ungraded students are not included in the calculation of apparent retention rates. </w:t>
      </w:r>
      <w:r w:rsidRPr="00666ECE">
        <w:rPr>
          <w:rFonts w:ascii="Arial" w:hAnsi="Arial"/>
          <w:b/>
          <w:position w:val="6"/>
          <w:sz w:val="18"/>
          <w:szCs w:val="20"/>
        </w:rPr>
        <w:t>e</w:t>
      </w:r>
      <w:r w:rsidRPr="00666ECE">
        <w:rPr>
          <w:rFonts w:ascii="Arial" w:hAnsi="Arial"/>
          <w:sz w:val="18"/>
          <w:szCs w:val="20"/>
        </w:rPr>
        <w:t> Some students' Indigenous status is not stated. Consequently, the number of Indigenous students counted in the Indigenous rates may be under</w:t>
      </w:r>
      <w:r w:rsidR="00711273">
        <w:rPr>
          <w:rFonts w:ascii="Arial" w:hAnsi="Arial"/>
          <w:sz w:val="18"/>
          <w:szCs w:val="20"/>
        </w:rPr>
        <w:noBreakHyphen/>
      </w:r>
      <w:r w:rsidRPr="00666ECE">
        <w:rPr>
          <w:rFonts w:ascii="Arial" w:hAnsi="Arial"/>
          <w:sz w:val="18"/>
          <w:szCs w:val="20"/>
        </w:rPr>
        <w:t>represented in some jurisdictions. Students for whom Indigenous status is not stated are included in the data for '</w:t>
      </w:r>
      <w:r w:rsidR="00711273">
        <w:rPr>
          <w:rFonts w:ascii="Arial" w:hAnsi="Arial"/>
          <w:sz w:val="18"/>
          <w:szCs w:val="20"/>
        </w:rPr>
        <w:t>n</w:t>
      </w:r>
      <w:r w:rsidRPr="00666ECE">
        <w:rPr>
          <w:rFonts w:ascii="Arial" w:hAnsi="Arial"/>
          <w:sz w:val="18"/>
          <w:szCs w:val="20"/>
        </w:rPr>
        <w:t xml:space="preserve">on-Indigenous students', </w:t>
      </w:r>
      <w:r w:rsidR="006514BF">
        <w:rPr>
          <w:rFonts w:ascii="Arial" w:hAnsi="Arial"/>
          <w:sz w:val="18"/>
          <w:szCs w:val="20"/>
        </w:rPr>
        <w:t>and</w:t>
      </w:r>
      <w:r w:rsidRPr="00666ECE">
        <w:rPr>
          <w:rFonts w:ascii="Arial" w:hAnsi="Arial"/>
          <w:sz w:val="18"/>
          <w:szCs w:val="20"/>
        </w:rPr>
        <w:t xml:space="preserve"> are included in the data for '</w:t>
      </w:r>
      <w:r w:rsidR="00711273">
        <w:rPr>
          <w:rFonts w:ascii="Arial" w:hAnsi="Arial"/>
          <w:sz w:val="18"/>
          <w:szCs w:val="20"/>
        </w:rPr>
        <w:t>a</w:t>
      </w:r>
      <w:r w:rsidRPr="00666ECE">
        <w:rPr>
          <w:rFonts w:ascii="Arial" w:hAnsi="Arial"/>
          <w:sz w:val="18"/>
          <w:szCs w:val="20"/>
        </w:rPr>
        <w:t xml:space="preserve">ll students'. </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643280">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643280">
        <w:rPr>
          <w:rFonts w:ascii="Arial" w:hAnsi="Arial"/>
          <w:i/>
          <w:sz w:val="18"/>
          <w:szCs w:val="20"/>
        </w:rPr>
        <w:t>2</w:t>
      </w:r>
      <w:r w:rsidRPr="00666ECE">
        <w:rPr>
          <w:rFonts w:ascii="Arial" w:hAnsi="Arial"/>
          <w:sz w:val="18"/>
          <w:szCs w:val="20"/>
        </w:rPr>
        <w:t>, Cat. no. 4221.0; table 4A.1</w:t>
      </w:r>
      <w:r w:rsidR="009807CA">
        <w:rPr>
          <w:rFonts w:ascii="Arial" w:hAnsi="Arial"/>
          <w:sz w:val="18"/>
          <w:szCs w:val="20"/>
        </w:rPr>
        <w:t>2</w:t>
      </w:r>
      <w:r w:rsidR="00DA58A9">
        <w:rPr>
          <w:rFonts w:ascii="Arial" w:hAnsi="Arial"/>
          <w:sz w:val="18"/>
          <w:szCs w:val="20"/>
        </w:rPr>
        <w:t>1</w:t>
      </w:r>
      <w:r w:rsidRPr="00666ECE">
        <w:rPr>
          <w:rFonts w:ascii="Arial" w:hAnsi="Arial"/>
          <w:sz w:val="18"/>
          <w:szCs w:val="20"/>
        </w:rPr>
        <w:t>.</w:t>
      </w:r>
    </w:p>
    <w:p w:rsidR="00666ECE" w:rsidRPr="00666ECE" w:rsidRDefault="00666ECE" w:rsidP="00666ECE">
      <w:pPr>
        <w:spacing w:before="240" w:line="320" w:lineRule="atLeast"/>
        <w:jc w:val="both"/>
        <w:rPr>
          <w:szCs w:val="20"/>
        </w:rPr>
      </w:pPr>
      <w:r w:rsidRPr="00666ECE">
        <w:rPr>
          <w:szCs w:val="20"/>
        </w:rPr>
        <w:t xml:space="preserve">The national apparent retention rate from the commencement of secondary schooling at year 7 or year </w:t>
      </w:r>
      <w:r w:rsidRPr="00EB7A11">
        <w:rPr>
          <w:szCs w:val="20"/>
        </w:rPr>
        <w:t xml:space="preserve">8 (figure 4.1 shows the differences across jurisdictions) to year 10 for all full time students was </w:t>
      </w:r>
      <w:r w:rsidR="00F52F4D" w:rsidRPr="00EB7A11">
        <w:rPr>
          <w:szCs w:val="20"/>
        </w:rPr>
        <w:t>98.</w:t>
      </w:r>
      <w:r w:rsidR="00EB7A11" w:rsidRPr="00EB7A11">
        <w:rPr>
          <w:szCs w:val="20"/>
        </w:rPr>
        <w:t>1</w:t>
      </w:r>
      <w:r w:rsidR="00F52F4D" w:rsidRPr="00EB7A11">
        <w:rPr>
          <w:szCs w:val="20"/>
        </w:rPr>
        <w:t xml:space="preserve"> </w:t>
      </w:r>
      <w:r w:rsidRPr="00EB7A11">
        <w:rPr>
          <w:szCs w:val="20"/>
        </w:rPr>
        <w:t>per cent in 200</w:t>
      </w:r>
      <w:r w:rsidR="00643280" w:rsidRPr="00EB7A11">
        <w:rPr>
          <w:szCs w:val="20"/>
        </w:rPr>
        <w:t>4</w:t>
      </w:r>
      <w:r w:rsidRPr="00EB7A11">
        <w:rPr>
          <w:szCs w:val="20"/>
        </w:rPr>
        <w:t xml:space="preserve">, rising to </w:t>
      </w:r>
      <w:r w:rsidR="00F52F4D" w:rsidRPr="00EB7A11">
        <w:rPr>
          <w:szCs w:val="20"/>
        </w:rPr>
        <w:t>99.</w:t>
      </w:r>
      <w:r w:rsidR="00EB7A11" w:rsidRPr="00EB7A11">
        <w:rPr>
          <w:szCs w:val="20"/>
        </w:rPr>
        <w:t>4</w:t>
      </w:r>
      <w:r w:rsidRPr="00EB7A11">
        <w:rPr>
          <w:szCs w:val="20"/>
        </w:rPr>
        <w:t xml:space="preserve"> per cent in 200</w:t>
      </w:r>
      <w:r w:rsidR="00643280" w:rsidRPr="00EB7A11">
        <w:rPr>
          <w:szCs w:val="20"/>
        </w:rPr>
        <w:t>8</w:t>
      </w:r>
      <w:r w:rsidRPr="00EB7A11">
        <w:rPr>
          <w:szCs w:val="20"/>
        </w:rPr>
        <w:t xml:space="preserve"> and </w:t>
      </w:r>
      <w:r w:rsidR="00F52F4D" w:rsidRPr="00EB7A11">
        <w:rPr>
          <w:szCs w:val="20"/>
        </w:rPr>
        <w:t>101.</w:t>
      </w:r>
      <w:r w:rsidR="00EB7A11" w:rsidRPr="00EB7A11">
        <w:rPr>
          <w:szCs w:val="20"/>
        </w:rPr>
        <w:t>3</w:t>
      </w:r>
      <w:r w:rsidRPr="00EB7A11">
        <w:rPr>
          <w:szCs w:val="20"/>
        </w:rPr>
        <w:t xml:space="preserve"> per cent in 201</w:t>
      </w:r>
      <w:r w:rsidR="00643280" w:rsidRPr="00EB7A11">
        <w:rPr>
          <w:szCs w:val="20"/>
        </w:rPr>
        <w:t>2</w:t>
      </w:r>
      <w:r w:rsidRPr="00EB7A11">
        <w:rPr>
          <w:szCs w:val="20"/>
        </w:rPr>
        <w:t xml:space="preserve"> (figure 4.11). Data for intervening years and by Indigenous status are in </w:t>
      </w:r>
      <w:r w:rsidRPr="00666ECE">
        <w:rPr>
          <w:szCs w:val="20"/>
        </w:rPr>
        <w:t>table 4A.1</w:t>
      </w:r>
      <w:r w:rsidR="009807CA">
        <w:rPr>
          <w:szCs w:val="20"/>
        </w:rPr>
        <w:t>2</w:t>
      </w:r>
      <w:r w:rsidR="00DA58A9">
        <w:rPr>
          <w:szCs w:val="20"/>
        </w:rPr>
        <w:t>3</w:t>
      </w:r>
      <w:r w:rsidRPr="00666ECE">
        <w:rPr>
          <w:szCs w:val="20"/>
        </w:rPr>
        <w:t>. Data for government schools and non</w:t>
      </w:r>
      <w:r w:rsidRPr="00666ECE">
        <w:rPr>
          <w:szCs w:val="20"/>
        </w:rPr>
        <w:noBreakHyphen/>
        <w:t>government schools are in tables 4A.1</w:t>
      </w:r>
      <w:r w:rsidR="009807CA">
        <w:rPr>
          <w:szCs w:val="20"/>
        </w:rPr>
        <w:t>2</w:t>
      </w:r>
      <w:r w:rsidR="00DA58A9">
        <w:rPr>
          <w:szCs w:val="20"/>
        </w:rPr>
        <w:t>4</w:t>
      </w:r>
      <w:r w:rsidRPr="00666ECE">
        <w:rPr>
          <w:szCs w:val="20"/>
        </w:rPr>
        <w:t xml:space="preserve"> and 4A.1</w:t>
      </w:r>
      <w:r w:rsidR="00EB7A11">
        <w:rPr>
          <w:szCs w:val="20"/>
        </w:rPr>
        <w:t>2</w:t>
      </w:r>
      <w:r w:rsidR="00DA58A9">
        <w:rPr>
          <w:szCs w:val="20"/>
        </w:rPr>
        <w:t>5</w:t>
      </w:r>
      <w:r w:rsidRPr="00666ECE">
        <w:rPr>
          <w:szCs w:val="20"/>
        </w:rPr>
        <w:t>.</w:t>
      </w:r>
    </w:p>
    <w:p w:rsidR="00666ECE" w:rsidRPr="00902108" w:rsidRDefault="00666ECE" w:rsidP="002C3941">
      <w:pPr>
        <w:pStyle w:val="FigureTitle"/>
      </w:pPr>
      <w:r w:rsidRPr="007A7568">
        <w:rPr>
          <w:b w:val="0"/>
        </w:rPr>
        <w:lastRenderedPageBreak/>
        <w:t xml:space="preserve">Figure </w:t>
      </w:r>
      <w:r w:rsidR="00EB256F" w:rsidRPr="007A7568">
        <w:rPr>
          <w:b w:val="0"/>
        </w:rPr>
        <w:t>4.</w:t>
      </w:r>
      <w:r w:rsidR="00EC06F7" w:rsidRPr="007A7568">
        <w:rPr>
          <w:b w:val="0"/>
          <w:noProof/>
        </w:rPr>
        <w:t>11</w:t>
      </w:r>
      <w:r w:rsidRPr="0063025F">
        <w:tab/>
        <w:t>Apparent retention rate from year 7 or 8 to year 10, full time secondary students, all schools</w:t>
      </w:r>
      <w:r w:rsidRPr="00902108">
        <w:rPr>
          <w:position w:val="6"/>
          <w:sz w:val="18"/>
        </w:rPr>
        <w:t>a, b, c</w:t>
      </w:r>
      <w:r w:rsidR="0019719B" w:rsidRPr="00902108">
        <w:rPr>
          <w:position w:val="6"/>
          <w:sz w:val="18"/>
        </w:rPr>
        <w:t>, d</w:t>
      </w:r>
      <w:r w:rsidR="00643280" w:rsidRPr="00902108">
        <w:rPr>
          <w:position w:val="6"/>
          <w:sz w:val="18"/>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86050"/>
                  <wp:effectExtent l="0" t="0" r="0" b="0"/>
                  <wp:docPr id="12" name="Picture 12" descr="Figure 4.11 Apparent retention rate from year 7 or 8 to year 10, full time secondary students, all schoo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xml:space="preserve"> Apparent retention rates are affected by factors that vary across jurisdictions. For this reason, variations in apparent retention rates over time within jurisdictions may be more useful than comparisons across jurisdictions. </w:t>
      </w:r>
      <w:r w:rsidRPr="00666ECE">
        <w:rPr>
          <w:rFonts w:ascii="Arial" w:hAnsi="Arial"/>
          <w:b/>
          <w:position w:val="6"/>
          <w:sz w:val="18"/>
          <w:szCs w:val="20"/>
        </w:rPr>
        <w:t>b</w:t>
      </w:r>
      <w:r w:rsidRPr="00666ECE">
        <w:rPr>
          <w:rFonts w:ascii="Arial" w:hAnsi="Arial"/>
          <w:sz w:val="18"/>
          <w:szCs w:val="20"/>
        </w:rPr>
        <w:t xml:space="preserve"> The standard apparent retention rate calculation excludes part time students, which has implications for the interpretation of results for all jurisdictions (table 4.4). </w:t>
      </w:r>
      <w:r w:rsidRPr="00666ECE">
        <w:rPr>
          <w:rFonts w:ascii="Arial" w:hAnsi="Arial"/>
          <w:b/>
          <w:position w:val="6"/>
          <w:sz w:val="18"/>
          <w:szCs w:val="20"/>
        </w:rPr>
        <w:t>c</w:t>
      </w:r>
      <w:r w:rsidRPr="00666ECE">
        <w:rPr>
          <w:rFonts w:ascii="Arial" w:hAnsi="Arial"/>
          <w:sz w:val="18"/>
          <w:szCs w:val="20"/>
        </w:rPr>
        <w:t> Ungraded students are not included in the calculation of apparent retention rates. This exclusion has particular implications for the NT, (which has a high proportion of Indigenous students) prior to 2008, where 10.9 per cent of Indigenous secondary students were ungraded in 2007 (compared with an average of 4.2 per cent for the rest of Australia, but since 2008 the NT proportion of ungraded students has substantially reduced) and this should be considered when interpreting the data.</w:t>
      </w:r>
      <w:r w:rsidR="0019719B" w:rsidRPr="0019719B">
        <w:rPr>
          <w:rFonts w:ascii="Arial" w:hAnsi="Arial"/>
          <w:b/>
          <w:position w:val="6"/>
          <w:sz w:val="18"/>
          <w:szCs w:val="20"/>
        </w:rPr>
        <w:t xml:space="preserve"> </w:t>
      </w:r>
      <w:r w:rsidR="0019719B">
        <w:rPr>
          <w:rFonts w:ascii="Arial" w:hAnsi="Arial"/>
          <w:b/>
          <w:position w:val="6"/>
          <w:sz w:val="18"/>
          <w:szCs w:val="20"/>
        </w:rPr>
        <w:t>d</w:t>
      </w:r>
      <w:r w:rsidR="0019719B" w:rsidRPr="00666ECE">
        <w:rPr>
          <w:rFonts w:ascii="Arial" w:hAnsi="Arial"/>
          <w:sz w:val="18"/>
          <w:szCs w:val="20"/>
        </w:rPr>
        <w:t> Retention rates can exceed 100 per cent for a variety of reasons, including student transfers between jurisdictions.</w:t>
      </w:r>
    </w:p>
    <w:p w:rsidR="00666ECE" w:rsidRPr="00666ECE" w:rsidRDefault="00666ECE" w:rsidP="00666ECE">
      <w:pPr>
        <w:keepLines/>
        <w:spacing w:before="80" w:line="220" w:lineRule="exact"/>
        <w:jc w:val="both"/>
        <w:rPr>
          <w:rFonts w:ascii="Arial" w:hAnsi="Arial"/>
          <w:sz w:val="18"/>
          <w:szCs w:val="20"/>
          <w:highlight w:val="yellow"/>
        </w:rPr>
      </w:pPr>
      <w:r w:rsidRPr="00666ECE">
        <w:rPr>
          <w:rFonts w:ascii="Arial" w:hAnsi="Arial"/>
          <w:i/>
          <w:sz w:val="18"/>
          <w:szCs w:val="20"/>
        </w:rPr>
        <w:t>Source</w:t>
      </w:r>
      <w:r w:rsidRPr="00666ECE">
        <w:rPr>
          <w:rFonts w:ascii="Arial" w:hAnsi="Arial"/>
          <w:sz w:val="18"/>
          <w:szCs w:val="20"/>
        </w:rPr>
        <w:t>: ABS (201</w:t>
      </w:r>
      <w:r w:rsidR="00643280">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643280">
        <w:rPr>
          <w:rFonts w:ascii="Arial" w:hAnsi="Arial"/>
          <w:i/>
          <w:sz w:val="18"/>
          <w:szCs w:val="20"/>
        </w:rPr>
        <w:t>2</w:t>
      </w:r>
      <w:r w:rsidRPr="00666ECE">
        <w:rPr>
          <w:rFonts w:ascii="Arial" w:hAnsi="Arial"/>
          <w:sz w:val="18"/>
          <w:szCs w:val="20"/>
        </w:rPr>
        <w:t>, Cat. no. 4221.0; table 4A.1</w:t>
      </w:r>
      <w:r w:rsidR="009807CA">
        <w:rPr>
          <w:rFonts w:ascii="Arial" w:hAnsi="Arial"/>
          <w:sz w:val="18"/>
          <w:szCs w:val="20"/>
        </w:rPr>
        <w:t>2</w:t>
      </w:r>
      <w:r w:rsidR="00DA58A9">
        <w:rPr>
          <w:rFonts w:ascii="Arial" w:hAnsi="Arial"/>
          <w:sz w:val="18"/>
          <w:szCs w:val="20"/>
        </w:rPr>
        <w:t>3</w:t>
      </w:r>
      <w:r w:rsidRPr="00666ECE">
        <w:rPr>
          <w:rFonts w:ascii="Arial" w:hAnsi="Arial"/>
          <w:sz w:val="18"/>
          <w:szCs w:val="20"/>
        </w:rPr>
        <w:t>.</w:t>
      </w:r>
    </w:p>
    <w:p w:rsidR="00666ECE" w:rsidRDefault="00666ECE" w:rsidP="00666ECE">
      <w:pPr>
        <w:spacing w:before="240" w:line="320" w:lineRule="atLeast"/>
        <w:jc w:val="both"/>
        <w:rPr>
          <w:szCs w:val="20"/>
        </w:rPr>
      </w:pPr>
      <w:r w:rsidRPr="00F52F4D">
        <w:rPr>
          <w:szCs w:val="20"/>
        </w:rPr>
        <w:t>The national apparent retention rate, from the commencement of secondary school at year 7 or 8 (figure 4.</w:t>
      </w:r>
      <w:r w:rsidRPr="00EB7A11">
        <w:rPr>
          <w:szCs w:val="20"/>
        </w:rPr>
        <w:t xml:space="preserve">1 shows the differences across jurisdictions) to year 12, for all full time students was </w:t>
      </w:r>
      <w:r w:rsidR="00F52F4D" w:rsidRPr="00EB7A11">
        <w:rPr>
          <w:szCs w:val="20"/>
        </w:rPr>
        <w:t>75.</w:t>
      </w:r>
      <w:r w:rsidR="00EB7A11" w:rsidRPr="00EB7A11">
        <w:rPr>
          <w:szCs w:val="20"/>
        </w:rPr>
        <w:t>7</w:t>
      </w:r>
      <w:r w:rsidRPr="00EB7A11">
        <w:rPr>
          <w:szCs w:val="20"/>
        </w:rPr>
        <w:t xml:space="preserve"> per cent in 200</w:t>
      </w:r>
      <w:r w:rsidR="00643280" w:rsidRPr="00EB7A11">
        <w:rPr>
          <w:szCs w:val="20"/>
        </w:rPr>
        <w:t>4</w:t>
      </w:r>
      <w:r w:rsidRPr="00EB7A11">
        <w:rPr>
          <w:szCs w:val="20"/>
        </w:rPr>
        <w:t xml:space="preserve">, rising to </w:t>
      </w:r>
      <w:r w:rsidR="00F52F4D" w:rsidRPr="00EB7A11">
        <w:rPr>
          <w:szCs w:val="20"/>
        </w:rPr>
        <w:t>79.</w:t>
      </w:r>
      <w:r w:rsidR="00EB7A11" w:rsidRPr="00EB7A11">
        <w:rPr>
          <w:szCs w:val="20"/>
        </w:rPr>
        <w:t>9</w:t>
      </w:r>
      <w:r w:rsidRPr="00EB7A11">
        <w:rPr>
          <w:szCs w:val="20"/>
        </w:rPr>
        <w:t xml:space="preserve"> per cent </w:t>
      </w:r>
      <w:r w:rsidRPr="00F52F4D">
        <w:rPr>
          <w:szCs w:val="20"/>
        </w:rPr>
        <w:t>in 201</w:t>
      </w:r>
      <w:r w:rsidR="00643280">
        <w:rPr>
          <w:szCs w:val="20"/>
        </w:rPr>
        <w:t>2</w:t>
      </w:r>
      <w:r w:rsidRPr="00F52F4D">
        <w:rPr>
          <w:szCs w:val="20"/>
        </w:rPr>
        <w:t xml:space="preserve"> (figure</w:t>
      </w:r>
      <w:r w:rsidR="003F0641">
        <w:rPr>
          <w:szCs w:val="20"/>
        </w:rPr>
        <w:t> </w:t>
      </w:r>
      <w:r w:rsidRPr="00F52F4D">
        <w:rPr>
          <w:szCs w:val="20"/>
        </w:rPr>
        <w:t>4.12). Data for intervening years and by Indigenous status are in table 4A.1</w:t>
      </w:r>
      <w:r w:rsidR="009807CA">
        <w:rPr>
          <w:szCs w:val="20"/>
        </w:rPr>
        <w:t>2</w:t>
      </w:r>
      <w:r w:rsidR="007E44D6">
        <w:rPr>
          <w:szCs w:val="20"/>
        </w:rPr>
        <w:t>3</w:t>
      </w:r>
      <w:r w:rsidRPr="00F52F4D">
        <w:rPr>
          <w:szCs w:val="20"/>
        </w:rPr>
        <w:t>. Data for government schools and non-government schools are in tables 4A.1</w:t>
      </w:r>
      <w:r w:rsidR="009807CA">
        <w:rPr>
          <w:szCs w:val="20"/>
        </w:rPr>
        <w:t>2</w:t>
      </w:r>
      <w:r w:rsidR="007E44D6">
        <w:rPr>
          <w:szCs w:val="20"/>
        </w:rPr>
        <w:t>4</w:t>
      </w:r>
      <w:r w:rsidRPr="00F52F4D">
        <w:rPr>
          <w:szCs w:val="20"/>
        </w:rPr>
        <w:t xml:space="preserve"> and 4A.1</w:t>
      </w:r>
      <w:r w:rsidR="00EB7A11">
        <w:rPr>
          <w:szCs w:val="20"/>
        </w:rPr>
        <w:t>2</w:t>
      </w:r>
      <w:r w:rsidR="007E44D6">
        <w:rPr>
          <w:szCs w:val="20"/>
        </w:rPr>
        <w:t>5</w:t>
      </w:r>
      <w:r w:rsidRPr="00F52F4D">
        <w:rPr>
          <w:szCs w:val="20"/>
        </w:rPr>
        <w:t>.</w:t>
      </w:r>
    </w:p>
    <w:p w:rsidR="00514EB2" w:rsidRPr="00666ECE" w:rsidRDefault="00514EB2" w:rsidP="00104AF2">
      <w:pPr>
        <w:shd w:val="clear" w:color="auto" w:fill="FFFFFF" w:themeFill="background1"/>
        <w:spacing w:before="240" w:line="320" w:lineRule="atLeast"/>
        <w:jc w:val="both"/>
        <w:rPr>
          <w:szCs w:val="20"/>
        </w:rPr>
      </w:pPr>
      <w:r w:rsidRPr="00666ECE">
        <w:rPr>
          <w:szCs w:val="20"/>
        </w:rPr>
        <w:t xml:space="preserve">Retention rates </w:t>
      </w:r>
      <w:r>
        <w:rPr>
          <w:szCs w:val="20"/>
        </w:rPr>
        <w:t xml:space="preserve">from year 7/8 </w:t>
      </w:r>
      <w:r w:rsidRPr="00666ECE">
        <w:rPr>
          <w:szCs w:val="20"/>
        </w:rPr>
        <w:t>to year 1</w:t>
      </w:r>
      <w:r>
        <w:rPr>
          <w:szCs w:val="20"/>
        </w:rPr>
        <w:t>2</w:t>
      </w:r>
      <w:r w:rsidRPr="00666ECE">
        <w:rPr>
          <w:szCs w:val="20"/>
        </w:rPr>
        <w:t xml:space="preserve"> for Indigenous students </w:t>
      </w:r>
      <w:r>
        <w:rPr>
          <w:szCs w:val="20"/>
        </w:rPr>
        <w:t xml:space="preserve">in all schools </w:t>
      </w:r>
      <w:r w:rsidRPr="00666ECE">
        <w:rPr>
          <w:szCs w:val="20"/>
        </w:rPr>
        <w:t xml:space="preserve">were lower than those for non-Indigenous students and all students in </w:t>
      </w:r>
      <w:r w:rsidR="004A253D">
        <w:rPr>
          <w:szCs w:val="20"/>
        </w:rPr>
        <w:t>all</w:t>
      </w:r>
      <w:r w:rsidRPr="00666ECE">
        <w:rPr>
          <w:szCs w:val="20"/>
        </w:rPr>
        <w:t xml:space="preserve"> jurisdictions</w:t>
      </w:r>
      <w:r w:rsidR="004A253D">
        <w:rPr>
          <w:szCs w:val="20"/>
        </w:rPr>
        <w:t xml:space="preserve"> in 2012</w:t>
      </w:r>
      <w:r w:rsidRPr="00666ECE">
        <w:rPr>
          <w:szCs w:val="20"/>
        </w:rPr>
        <w:t xml:space="preserve">, with </w:t>
      </w:r>
      <w:r>
        <w:rPr>
          <w:szCs w:val="20"/>
        </w:rPr>
        <w:t xml:space="preserve">a </w:t>
      </w:r>
      <w:r w:rsidRPr="00666ECE">
        <w:rPr>
          <w:szCs w:val="20"/>
        </w:rPr>
        <w:t xml:space="preserve">national retention rate for Indigenous </w:t>
      </w:r>
      <w:r w:rsidRPr="009762F7">
        <w:rPr>
          <w:szCs w:val="20"/>
        </w:rPr>
        <w:t xml:space="preserve">students of </w:t>
      </w:r>
      <w:r>
        <w:rPr>
          <w:szCs w:val="20"/>
        </w:rPr>
        <w:t>51.1</w:t>
      </w:r>
      <w:r w:rsidRPr="009762F7">
        <w:rPr>
          <w:szCs w:val="20"/>
        </w:rPr>
        <w:t xml:space="preserve"> per cent, </w:t>
      </w:r>
      <w:r w:rsidRPr="00104AF2">
        <w:rPr>
          <w:szCs w:val="20"/>
          <w:shd w:val="clear" w:color="auto" w:fill="FFFFFF" w:themeFill="background1"/>
        </w:rPr>
        <w:t>3</w:t>
      </w:r>
      <w:r w:rsidR="00775294" w:rsidRPr="00104AF2">
        <w:rPr>
          <w:szCs w:val="20"/>
          <w:shd w:val="clear" w:color="auto" w:fill="FFFFFF" w:themeFill="background1"/>
        </w:rPr>
        <w:t>0.2</w:t>
      </w:r>
      <w:r w:rsidR="009A7B9C">
        <w:rPr>
          <w:szCs w:val="20"/>
        </w:rPr>
        <w:t> </w:t>
      </w:r>
      <w:r w:rsidRPr="009762F7">
        <w:rPr>
          <w:szCs w:val="20"/>
        </w:rPr>
        <w:t xml:space="preserve">percentage points lower than that for non-Indigenous students and </w:t>
      </w:r>
      <w:r w:rsidR="00775294" w:rsidRPr="00104AF2">
        <w:rPr>
          <w:szCs w:val="20"/>
          <w:shd w:val="clear" w:color="auto" w:fill="FFFFFF" w:themeFill="background1"/>
        </w:rPr>
        <w:t>28.8</w:t>
      </w:r>
      <w:r w:rsidR="00E161F4">
        <w:rPr>
          <w:szCs w:val="20"/>
        </w:rPr>
        <w:t> </w:t>
      </w:r>
      <w:r w:rsidRPr="009762F7">
        <w:rPr>
          <w:szCs w:val="20"/>
        </w:rPr>
        <w:t xml:space="preserve">percentage </w:t>
      </w:r>
      <w:r w:rsidRPr="00EF1CE5">
        <w:rPr>
          <w:szCs w:val="20"/>
        </w:rPr>
        <w:t>points lower than that for all students (</w:t>
      </w:r>
      <w:r w:rsidR="00DE74EC">
        <w:rPr>
          <w:szCs w:val="20"/>
        </w:rPr>
        <w:t>table 4A.1</w:t>
      </w:r>
      <w:r w:rsidR="009807CA">
        <w:rPr>
          <w:szCs w:val="20"/>
        </w:rPr>
        <w:t>2</w:t>
      </w:r>
      <w:r w:rsidR="007E44D6">
        <w:rPr>
          <w:szCs w:val="20"/>
        </w:rPr>
        <w:t>3</w:t>
      </w:r>
      <w:r w:rsidRPr="00EF1CE5">
        <w:rPr>
          <w:szCs w:val="20"/>
        </w:rPr>
        <w:t>).</w:t>
      </w:r>
    </w:p>
    <w:p w:rsidR="00514EB2" w:rsidRPr="00666ECE" w:rsidRDefault="00514EB2" w:rsidP="00104AF2">
      <w:pPr>
        <w:shd w:val="clear" w:color="auto" w:fill="FFFFFF" w:themeFill="background1"/>
        <w:spacing w:before="240" w:line="320" w:lineRule="atLeast"/>
        <w:jc w:val="both"/>
        <w:rPr>
          <w:szCs w:val="20"/>
        </w:rPr>
      </w:pPr>
    </w:p>
    <w:p w:rsidR="009B36C0" w:rsidRPr="009B36C0" w:rsidRDefault="009B36C0" w:rsidP="00DF3D27">
      <w:pPr>
        <w:keepNext/>
        <w:rPr>
          <w:rFonts w:ascii="Calibri" w:eastAsia="Calibri" w:hAnsi="Calibri"/>
          <w:b/>
          <w:sz w:val="16"/>
          <w:szCs w:val="16"/>
          <w:lang w:eastAsia="en-US"/>
        </w:rPr>
      </w:pPr>
      <w:r w:rsidRPr="009B36C0">
        <w:rPr>
          <w:rFonts w:ascii="Calibri" w:eastAsia="Calibri" w:hAnsi="Calibri"/>
          <w:b/>
          <w:sz w:val="16"/>
          <w:szCs w:val="16"/>
          <w:lang w:eastAsia="en-US"/>
        </w:rPr>
        <w:lastRenderedPageBreak/>
        <w:t>This page has changed since the Report release in January 201</w:t>
      </w:r>
      <w:r>
        <w:rPr>
          <w:rFonts w:ascii="Calibri" w:eastAsia="Calibri" w:hAnsi="Calibri"/>
          <w:b/>
          <w:sz w:val="16"/>
          <w:szCs w:val="16"/>
          <w:lang w:eastAsia="en-US"/>
        </w:rPr>
        <w:t>4</w:t>
      </w:r>
      <w:r w:rsidRPr="009B36C0">
        <w:rPr>
          <w:rFonts w:ascii="Calibri" w:eastAsia="Calibri" w:hAnsi="Calibri"/>
          <w:b/>
          <w:sz w:val="16"/>
          <w:szCs w:val="16"/>
          <w:lang w:eastAsia="en-US"/>
        </w:rPr>
        <w:t xml:space="preserve">. See errata at </w:t>
      </w:r>
      <w:r w:rsidR="00DF3D27" w:rsidRPr="00DF3D27">
        <w:rPr>
          <w:rFonts w:ascii="Calibri" w:eastAsia="Calibri" w:hAnsi="Calibri"/>
          <w:b/>
          <w:sz w:val="16"/>
          <w:szCs w:val="16"/>
          <w:lang w:eastAsia="en-US"/>
        </w:rPr>
        <w:t>http://www.pc.gov.au/gsp/rogs/childcare-education-training</w:t>
      </w:r>
      <w:r w:rsidRPr="009B36C0">
        <w:rPr>
          <w:rFonts w:ascii="Calibri" w:eastAsia="Calibri" w:hAnsi="Calibri"/>
          <w:b/>
          <w:sz w:val="16"/>
          <w:szCs w:val="16"/>
          <w:lang w:eastAsia="en-US"/>
        </w:rPr>
        <w:t>.</w:t>
      </w:r>
    </w:p>
    <w:p w:rsidR="00666ECE" w:rsidRPr="005713CC" w:rsidRDefault="00666ECE" w:rsidP="00DF3D27">
      <w:pPr>
        <w:pStyle w:val="FigureTitle"/>
        <w:spacing w:before="60" w:after="60"/>
      </w:pPr>
      <w:r w:rsidRPr="007A7568">
        <w:rPr>
          <w:b w:val="0"/>
        </w:rPr>
        <w:t xml:space="preserve">Figure </w:t>
      </w:r>
      <w:r w:rsidR="00EB256F" w:rsidRPr="007A7568">
        <w:rPr>
          <w:b w:val="0"/>
        </w:rPr>
        <w:t>4.</w:t>
      </w:r>
      <w:r w:rsidR="00EC06F7" w:rsidRPr="007A7568">
        <w:rPr>
          <w:b w:val="0"/>
          <w:noProof/>
        </w:rPr>
        <w:t>12</w:t>
      </w:r>
      <w:r w:rsidRPr="0063025F">
        <w:tab/>
        <w:t>Apparent retention rate from year 7 or 8 to year 12, full time secondary students, all schools</w:t>
      </w:r>
      <w:r w:rsidRPr="005713CC">
        <w:rPr>
          <w:position w:val="6"/>
          <w:sz w:val="18"/>
        </w:rPr>
        <w:t>a, b, c</w:t>
      </w:r>
      <w:r w:rsidR="00643280" w:rsidRPr="005713CC">
        <w:rPr>
          <w:position w:val="6"/>
          <w:sz w:val="18"/>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86050"/>
                  <wp:effectExtent l="0" t="0" r="0" b="0"/>
                  <wp:docPr id="13" name="Picture 13" descr="Figure 4.12 Apparent retention rate from year 7 or 8 to year 12, full time secondary students, all schoo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666ECE" w:rsidRPr="00666ECE" w:rsidRDefault="00666ECE" w:rsidP="00DF3D27">
      <w:pPr>
        <w:keepLines/>
        <w:spacing w:before="4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xml:space="preserve"> Apparent retention rates are affected by factors that vary across jurisdictions. For this reason, variations in apparent retention rates over time within jurisdictions may be more useful than comparisons across jurisdictions. </w:t>
      </w:r>
      <w:r w:rsidRPr="00666ECE">
        <w:rPr>
          <w:rFonts w:ascii="Arial" w:hAnsi="Arial"/>
          <w:b/>
          <w:position w:val="6"/>
          <w:sz w:val="18"/>
          <w:szCs w:val="20"/>
        </w:rPr>
        <w:t>b</w:t>
      </w:r>
      <w:r w:rsidRPr="00666ECE">
        <w:rPr>
          <w:rFonts w:ascii="Arial" w:hAnsi="Arial"/>
          <w:sz w:val="18"/>
          <w:szCs w:val="20"/>
        </w:rPr>
        <w:t xml:space="preserve"> The standard apparent retention rate calculation excludes part time students, which has implications for the interpretation of results for all jurisdictions (table 4.4). </w:t>
      </w:r>
      <w:r w:rsidRPr="00666ECE">
        <w:rPr>
          <w:rFonts w:ascii="Arial" w:hAnsi="Arial"/>
          <w:b/>
          <w:position w:val="6"/>
          <w:sz w:val="18"/>
          <w:szCs w:val="20"/>
        </w:rPr>
        <w:t>c</w:t>
      </w:r>
      <w:r w:rsidRPr="00666ECE">
        <w:rPr>
          <w:rFonts w:ascii="Arial" w:hAnsi="Arial"/>
          <w:sz w:val="18"/>
          <w:szCs w:val="20"/>
        </w:rPr>
        <w:t> Ungraded students are not included in the calculation of apparent retention rates. This exclusion has particular implications for the NT, (which has a high proportion of Indigenous students) prior to 2008, where 10.9 per cent of Indigenous secondary students were ungraded in 2007 (compared with an average of 4.2 per cent for the rest of Australia, but since 2008 the NT proportion of ungraded students has substantially reduced) and this should be considered when interpreting the data.</w:t>
      </w:r>
    </w:p>
    <w:p w:rsidR="00666ECE" w:rsidRPr="00666ECE" w:rsidRDefault="00666ECE" w:rsidP="009B36C0">
      <w:pPr>
        <w:keepLines/>
        <w:spacing w:before="40" w:line="220" w:lineRule="exact"/>
        <w:jc w:val="both"/>
        <w:rPr>
          <w:rFonts w:ascii="Arial" w:hAnsi="Arial"/>
          <w:b/>
          <w:sz w:val="18"/>
          <w:szCs w:val="20"/>
        </w:rPr>
      </w:pPr>
      <w:r w:rsidRPr="00666ECE">
        <w:rPr>
          <w:rFonts w:ascii="Arial" w:hAnsi="Arial"/>
          <w:i/>
          <w:sz w:val="18"/>
          <w:szCs w:val="20"/>
        </w:rPr>
        <w:t>Source</w:t>
      </w:r>
      <w:r w:rsidRPr="00666ECE">
        <w:rPr>
          <w:rFonts w:ascii="Arial" w:hAnsi="Arial"/>
          <w:sz w:val="18"/>
          <w:szCs w:val="20"/>
        </w:rPr>
        <w:t>: ABS (201</w:t>
      </w:r>
      <w:r w:rsidR="00643280">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643280">
        <w:rPr>
          <w:rFonts w:ascii="Arial" w:hAnsi="Arial"/>
          <w:i/>
          <w:sz w:val="18"/>
          <w:szCs w:val="20"/>
        </w:rPr>
        <w:t>2</w:t>
      </w:r>
      <w:r w:rsidRPr="00666ECE">
        <w:rPr>
          <w:rFonts w:ascii="Arial" w:hAnsi="Arial"/>
          <w:sz w:val="18"/>
          <w:szCs w:val="20"/>
        </w:rPr>
        <w:t>, Cat. no. 4221.0; table 4A.1</w:t>
      </w:r>
      <w:r w:rsidR="009807CA">
        <w:rPr>
          <w:rFonts w:ascii="Arial" w:hAnsi="Arial"/>
          <w:sz w:val="18"/>
          <w:szCs w:val="20"/>
        </w:rPr>
        <w:t>2</w:t>
      </w:r>
      <w:r w:rsidR="007E44D6">
        <w:rPr>
          <w:rFonts w:ascii="Arial" w:hAnsi="Arial"/>
          <w:sz w:val="18"/>
          <w:szCs w:val="20"/>
        </w:rPr>
        <w:t>3</w:t>
      </w:r>
      <w:r w:rsidRPr="00666ECE">
        <w:rPr>
          <w:rFonts w:ascii="Arial" w:hAnsi="Arial"/>
          <w:sz w:val="18"/>
          <w:szCs w:val="20"/>
        </w:rPr>
        <w:t>.</w:t>
      </w:r>
    </w:p>
    <w:p w:rsidR="00666ECE" w:rsidRPr="00666ECE" w:rsidRDefault="00666ECE" w:rsidP="00DF3D27">
      <w:pPr>
        <w:spacing w:before="160" w:line="320" w:lineRule="atLeast"/>
        <w:jc w:val="both"/>
        <w:rPr>
          <w:szCs w:val="20"/>
        </w:rPr>
      </w:pPr>
      <w:r w:rsidRPr="00666ECE">
        <w:rPr>
          <w:szCs w:val="20"/>
        </w:rPr>
        <w:t>The apparent rate of retention from year 10 to year 12 has been derived by expressing the number of full time school students enrolled in year 12 in 201</w:t>
      </w:r>
      <w:r w:rsidR="00643280">
        <w:rPr>
          <w:szCs w:val="20"/>
        </w:rPr>
        <w:t>2</w:t>
      </w:r>
      <w:r w:rsidRPr="00666ECE">
        <w:rPr>
          <w:szCs w:val="20"/>
        </w:rPr>
        <w:t xml:space="preserve"> as a proportion of the number of full time school students enrolled in year 10 in 20</w:t>
      </w:r>
      <w:r w:rsidR="00643280">
        <w:rPr>
          <w:szCs w:val="20"/>
        </w:rPr>
        <w:t>10</w:t>
      </w:r>
      <w:r w:rsidRPr="00666ECE">
        <w:rPr>
          <w:szCs w:val="20"/>
        </w:rPr>
        <w:t xml:space="preserve">. </w:t>
      </w:r>
    </w:p>
    <w:p w:rsidR="00666ECE" w:rsidRPr="00666ECE" w:rsidRDefault="00666ECE" w:rsidP="00DF3D27">
      <w:pPr>
        <w:spacing w:before="180" w:line="320" w:lineRule="atLeast"/>
        <w:jc w:val="both"/>
        <w:rPr>
          <w:szCs w:val="20"/>
        </w:rPr>
      </w:pPr>
      <w:r w:rsidRPr="00666ECE">
        <w:rPr>
          <w:szCs w:val="20"/>
        </w:rPr>
        <w:t>Factors affecting apparent retention can combine to result in a year 12 cohort that is substantially different in composition from the corresponding year 10 cohort — for example:</w:t>
      </w:r>
      <w:r w:rsidR="0055265A">
        <w:rPr>
          <w:szCs w:val="20"/>
        </w:rPr>
        <w:t xml:space="preserve"> </w:t>
      </w:r>
    </w:p>
    <w:p w:rsidR="00666ECE" w:rsidRPr="00666ECE" w:rsidRDefault="00666ECE" w:rsidP="009B36C0">
      <w:pPr>
        <w:pStyle w:val="ListBullet"/>
        <w:spacing w:before="80"/>
      </w:pPr>
      <w:r w:rsidRPr="00666ECE">
        <w:t xml:space="preserve">in SA, if part time students </w:t>
      </w:r>
      <w:r w:rsidR="004856D3">
        <w:t xml:space="preserve">for all schools </w:t>
      </w:r>
      <w:r w:rsidRPr="00666ECE">
        <w:t>are included in the 201</w:t>
      </w:r>
      <w:r w:rsidR="00C105CC">
        <w:t>2</w:t>
      </w:r>
      <w:r w:rsidRPr="00666ECE">
        <w:t xml:space="preserve"> year 12 total, then the apparent retention rate </w:t>
      </w:r>
      <w:r w:rsidRPr="006971C5">
        <w:t xml:space="preserve">becomes </w:t>
      </w:r>
      <w:r w:rsidR="00FB4E5A" w:rsidRPr="00FB4E5A">
        <w:rPr>
          <w:shd w:val="clear" w:color="auto" w:fill="FFFFFF" w:themeFill="background1"/>
        </w:rPr>
        <w:t>93.2</w:t>
      </w:r>
      <w:r w:rsidRPr="006971C5">
        <w:t xml:space="preserve"> per </w:t>
      </w:r>
      <w:r w:rsidRPr="00666ECE">
        <w:t xml:space="preserve">cent, compared </w:t>
      </w:r>
      <w:r w:rsidRPr="00EB7A11">
        <w:t xml:space="preserve">with </w:t>
      </w:r>
      <w:r w:rsidR="00EB7A11" w:rsidRPr="00EB7A11">
        <w:t>86.3</w:t>
      </w:r>
      <w:r w:rsidR="00EF78D2">
        <w:t> </w:t>
      </w:r>
      <w:r w:rsidRPr="00EB7A11">
        <w:t>per</w:t>
      </w:r>
      <w:r w:rsidR="00EF78D2">
        <w:t> </w:t>
      </w:r>
      <w:r w:rsidRPr="00EB7A11">
        <w:t xml:space="preserve">cent </w:t>
      </w:r>
      <w:r w:rsidRPr="00666ECE">
        <w:t>for full time students only (table 4A.1</w:t>
      </w:r>
      <w:r w:rsidR="009807CA">
        <w:t>2</w:t>
      </w:r>
      <w:r w:rsidR="007E44D6">
        <w:t>2</w:t>
      </w:r>
      <w:r w:rsidRPr="00666ECE">
        <w:t>)</w:t>
      </w:r>
    </w:p>
    <w:p w:rsidR="00666ECE" w:rsidRPr="00666ECE" w:rsidRDefault="00666ECE" w:rsidP="009B36C0">
      <w:pPr>
        <w:pStyle w:val="ListBullet"/>
        <w:spacing w:before="80"/>
      </w:pPr>
      <w:r w:rsidRPr="00666ECE">
        <w:t xml:space="preserve">young people may choose to complete their post compulsory education in the TAFE system rather than continue at school, and may do so after periods of time spent away from the formal education system. </w:t>
      </w:r>
      <w:bookmarkStart w:id="28" w:name="_GoBack"/>
      <w:bookmarkEnd w:id="28"/>
    </w:p>
    <w:p w:rsidR="00666ECE" w:rsidRPr="00666ECE" w:rsidRDefault="00666ECE" w:rsidP="009B36C0">
      <w:pPr>
        <w:spacing w:before="180" w:line="320" w:lineRule="atLeast"/>
        <w:jc w:val="both"/>
        <w:rPr>
          <w:szCs w:val="20"/>
        </w:rPr>
      </w:pPr>
      <w:r w:rsidRPr="0065269E">
        <w:rPr>
          <w:szCs w:val="20"/>
        </w:rPr>
        <w:t>Nationally</w:t>
      </w:r>
      <w:r w:rsidRPr="00EB7A11">
        <w:rPr>
          <w:szCs w:val="20"/>
        </w:rPr>
        <w:t xml:space="preserve">, the apparent retention rate from year 10 to year 12 for all schools was </w:t>
      </w:r>
      <w:r w:rsidR="0065269E" w:rsidRPr="00EB7A11">
        <w:rPr>
          <w:szCs w:val="20"/>
        </w:rPr>
        <w:t>79.</w:t>
      </w:r>
      <w:r w:rsidR="00EB7A11" w:rsidRPr="00EB7A11">
        <w:rPr>
          <w:szCs w:val="20"/>
        </w:rPr>
        <w:t>3</w:t>
      </w:r>
      <w:r w:rsidRPr="00EB7A11">
        <w:rPr>
          <w:szCs w:val="20"/>
        </w:rPr>
        <w:t xml:space="preserve"> per cent in 201</w:t>
      </w:r>
      <w:r w:rsidR="00C105CC" w:rsidRPr="00EB7A11">
        <w:rPr>
          <w:szCs w:val="20"/>
        </w:rPr>
        <w:t>2</w:t>
      </w:r>
      <w:r w:rsidRPr="00EB7A11">
        <w:rPr>
          <w:szCs w:val="20"/>
        </w:rPr>
        <w:t xml:space="preserve">. The rate for government schools was </w:t>
      </w:r>
      <w:r w:rsidR="00EB7A11" w:rsidRPr="00EB7A11">
        <w:rPr>
          <w:szCs w:val="20"/>
        </w:rPr>
        <w:t>74.8</w:t>
      </w:r>
      <w:r w:rsidR="0065269E" w:rsidRPr="00EB7A11">
        <w:rPr>
          <w:szCs w:val="20"/>
        </w:rPr>
        <w:t xml:space="preserve"> </w:t>
      </w:r>
      <w:r w:rsidRPr="00EB7A11">
        <w:rPr>
          <w:szCs w:val="20"/>
        </w:rPr>
        <w:t xml:space="preserve">per cent, and for non-government schools was </w:t>
      </w:r>
      <w:r w:rsidR="0065269E" w:rsidRPr="00EB7A11">
        <w:rPr>
          <w:szCs w:val="20"/>
        </w:rPr>
        <w:t>86.</w:t>
      </w:r>
      <w:r w:rsidR="00EB7A11" w:rsidRPr="00EB7A11">
        <w:rPr>
          <w:szCs w:val="20"/>
        </w:rPr>
        <w:t>4</w:t>
      </w:r>
      <w:r w:rsidR="00AF7181" w:rsidRPr="00EB7A11">
        <w:rPr>
          <w:szCs w:val="20"/>
        </w:rPr>
        <w:t xml:space="preserve"> </w:t>
      </w:r>
      <w:r w:rsidRPr="00EB7A11">
        <w:rPr>
          <w:szCs w:val="20"/>
        </w:rPr>
        <w:t>per</w:t>
      </w:r>
      <w:r w:rsidR="00AF7181" w:rsidRPr="00EB7A11">
        <w:rPr>
          <w:szCs w:val="20"/>
        </w:rPr>
        <w:t xml:space="preserve"> </w:t>
      </w:r>
      <w:r w:rsidRPr="00EB7A11">
        <w:rPr>
          <w:szCs w:val="20"/>
        </w:rPr>
        <w:t xml:space="preserve">cent. The apparent </w:t>
      </w:r>
      <w:r w:rsidRPr="0065269E">
        <w:rPr>
          <w:szCs w:val="20"/>
        </w:rPr>
        <w:t xml:space="preserve">retention rates for both </w:t>
      </w:r>
      <w:r w:rsidRPr="0065269E">
        <w:rPr>
          <w:szCs w:val="20"/>
        </w:rPr>
        <w:lastRenderedPageBreak/>
        <w:t>government schools and non</w:t>
      </w:r>
      <w:r w:rsidRPr="0065269E">
        <w:rPr>
          <w:szCs w:val="20"/>
        </w:rPr>
        <w:noBreakHyphen/>
        <w:t>government</w:t>
      </w:r>
      <w:r w:rsidRPr="00666ECE">
        <w:rPr>
          <w:szCs w:val="20"/>
        </w:rPr>
        <w:t xml:space="preserve"> schools varied across jurisdictions (figure 4.13).</w:t>
      </w:r>
    </w:p>
    <w:p w:rsidR="00666ECE" w:rsidRPr="00105898" w:rsidRDefault="00666ECE" w:rsidP="002C3941">
      <w:pPr>
        <w:pStyle w:val="FigureTitle"/>
        <w:rPr>
          <w:position w:val="6"/>
          <w:sz w:val="18"/>
        </w:rPr>
      </w:pPr>
      <w:r w:rsidRPr="007A7568">
        <w:rPr>
          <w:b w:val="0"/>
        </w:rPr>
        <w:t xml:space="preserve">Figure </w:t>
      </w:r>
      <w:r w:rsidR="00EB256F" w:rsidRPr="007A7568">
        <w:rPr>
          <w:b w:val="0"/>
        </w:rPr>
        <w:t>4.</w:t>
      </w:r>
      <w:r w:rsidR="00EC06F7" w:rsidRPr="007A7568">
        <w:rPr>
          <w:b w:val="0"/>
          <w:noProof/>
        </w:rPr>
        <w:t>13</w:t>
      </w:r>
      <w:r w:rsidRPr="0063025F">
        <w:rPr>
          <w:color w:val="FF0000"/>
        </w:rPr>
        <w:tab/>
      </w:r>
      <w:r w:rsidRPr="0063025F">
        <w:t>Apparent retention rate from year 10 to year 12, full time secondary students, 201</w:t>
      </w:r>
      <w:r w:rsidR="00C105CC" w:rsidRPr="0063025F">
        <w:t>2</w:t>
      </w:r>
      <w:r w:rsidRPr="00105898">
        <w:rPr>
          <w:position w:val="6"/>
          <w:sz w:val="18"/>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86050"/>
                  <wp:effectExtent l="0" t="0" r="0" b="0"/>
                  <wp:docPr id="14" name="Picture 14" descr="Figure 4.13 Apparent retention rate from year 10 to year 12, full time secondary student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Apparent retention rates are affected by factors that vary across jurisdictions. For this reason, variations in apparent retention rates over time within jurisdictions may be more useful than compar</w:t>
      </w:r>
      <w:r w:rsidR="004856D3">
        <w:rPr>
          <w:rFonts w:ascii="Arial" w:hAnsi="Arial"/>
          <w:sz w:val="18"/>
          <w:szCs w:val="20"/>
        </w:rPr>
        <w:t>isons across jurisdictions (</w:t>
      </w:r>
      <w:r w:rsidRPr="00666ECE">
        <w:rPr>
          <w:rFonts w:ascii="Arial" w:hAnsi="Arial"/>
          <w:sz w:val="18"/>
          <w:szCs w:val="20"/>
        </w:rPr>
        <w:t xml:space="preserve">figure 4.15). </w:t>
      </w:r>
      <w:r w:rsidRPr="00666ECE">
        <w:rPr>
          <w:rFonts w:ascii="Arial" w:hAnsi="Arial"/>
          <w:b/>
          <w:position w:val="6"/>
          <w:sz w:val="18"/>
          <w:szCs w:val="20"/>
        </w:rPr>
        <w:t>b</w:t>
      </w:r>
      <w:r w:rsidRPr="00666ECE">
        <w:rPr>
          <w:rFonts w:ascii="Arial" w:hAnsi="Arial"/>
          <w:sz w:val="18"/>
          <w:szCs w:val="20"/>
        </w:rPr>
        <w:t xml:space="preserve"> Retention rates can exceed 100 per cent for a variety of reasons, including student transfers between jurisdictions and government and non-government schools after the base year. </w:t>
      </w:r>
      <w:r w:rsidRPr="00666ECE">
        <w:rPr>
          <w:rFonts w:ascii="Arial" w:hAnsi="Arial"/>
          <w:b/>
          <w:position w:val="6"/>
          <w:sz w:val="18"/>
          <w:szCs w:val="20"/>
        </w:rPr>
        <w:t>c</w:t>
      </w:r>
      <w:r w:rsidRPr="00666ECE">
        <w:rPr>
          <w:rFonts w:ascii="Arial" w:hAnsi="Arial"/>
          <w:sz w:val="18"/>
          <w:szCs w:val="20"/>
        </w:rPr>
        <w:t xml:space="preserve"> The standard apparent retention rate calculation excludes part time students, which has implications for the interpretation of results for all jurisdictions (table 4.4). </w:t>
      </w:r>
      <w:r w:rsidRPr="00666ECE">
        <w:rPr>
          <w:rFonts w:ascii="Arial" w:hAnsi="Arial"/>
          <w:b/>
          <w:position w:val="6"/>
          <w:sz w:val="18"/>
          <w:szCs w:val="20"/>
        </w:rPr>
        <w:t>d</w:t>
      </w:r>
      <w:r w:rsidRPr="00666ECE">
        <w:rPr>
          <w:rFonts w:ascii="Arial" w:hAnsi="Arial"/>
          <w:sz w:val="18"/>
          <w:szCs w:val="20"/>
        </w:rPr>
        <w:t> Ungraded students are not included in the calculation of apparent retention rates.</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C105CC">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C105CC">
        <w:rPr>
          <w:rFonts w:ascii="Arial" w:hAnsi="Arial"/>
          <w:i/>
          <w:sz w:val="18"/>
          <w:szCs w:val="20"/>
        </w:rPr>
        <w:t>2</w:t>
      </w:r>
      <w:r w:rsidRPr="00666ECE">
        <w:rPr>
          <w:rFonts w:ascii="Arial" w:hAnsi="Arial"/>
          <w:sz w:val="18"/>
          <w:szCs w:val="20"/>
        </w:rPr>
        <w:t>, Cat. no. 4221.0; table 4A.1</w:t>
      </w:r>
      <w:r w:rsidR="009807CA">
        <w:rPr>
          <w:rFonts w:ascii="Arial" w:hAnsi="Arial"/>
          <w:sz w:val="18"/>
          <w:szCs w:val="20"/>
        </w:rPr>
        <w:t>2</w:t>
      </w:r>
      <w:r w:rsidR="007E44D6">
        <w:rPr>
          <w:rFonts w:ascii="Arial" w:hAnsi="Arial"/>
          <w:sz w:val="18"/>
          <w:szCs w:val="20"/>
        </w:rPr>
        <w:t>2</w:t>
      </w:r>
      <w:r w:rsidRPr="00666ECE">
        <w:rPr>
          <w:rFonts w:ascii="Arial" w:hAnsi="Arial"/>
          <w:sz w:val="18"/>
          <w:szCs w:val="20"/>
        </w:rPr>
        <w:t>.</w:t>
      </w:r>
    </w:p>
    <w:p w:rsidR="00666ECE" w:rsidRPr="00EB7A11" w:rsidRDefault="00666ECE" w:rsidP="00666ECE">
      <w:pPr>
        <w:spacing w:before="240" w:line="320" w:lineRule="atLeast"/>
        <w:jc w:val="both"/>
        <w:rPr>
          <w:szCs w:val="20"/>
        </w:rPr>
      </w:pPr>
      <w:r w:rsidRPr="00EB7A11">
        <w:rPr>
          <w:szCs w:val="20"/>
        </w:rPr>
        <w:t>For government and non-government schools, apparent rates of retention from year 10 to year 12 for Indigenous students in 20</w:t>
      </w:r>
      <w:r w:rsidR="0055265A" w:rsidRPr="00EB7A11">
        <w:rPr>
          <w:szCs w:val="20"/>
        </w:rPr>
        <w:t>1</w:t>
      </w:r>
      <w:r w:rsidR="00C105CC" w:rsidRPr="00EB7A11">
        <w:rPr>
          <w:szCs w:val="20"/>
        </w:rPr>
        <w:t>2</w:t>
      </w:r>
      <w:r w:rsidRPr="00EB7A11">
        <w:rPr>
          <w:szCs w:val="20"/>
        </w:rPr>
        <w:t xml:space="preserve"> were consistently low</w:t>
      </w:r>
      <w:r w:rsidR="004856D3">
        <w:rPr>
          <w:szCs w:val="20"/>
        </w:rPr>
        <w:t xml:space="preserve">er than rates for all students </w:t>
      </w:r>
      <w:r w:rsidRPr="00EB7A11">
        <w:rPr>
          <w:szCs w:val="20"/>
        </w:rPr>
        <w:t>but varied across jurisdictions (figure</w:t>
      </w:r>
      <w:r w:rsidR="004856D3">
        <w:rPr>
          <w:szCs w:val="20"/>
        </w:rPr>
        <w:t>s 4.13</w:t>
      </w:r>
      <w:r w:rsidR="004A253D">
        <w:rPr>
          <w:szCs w:val="20"/>
        </w:rPr>
        <w:t xml:space="preserve"> and </w:t>
      </w:r>
      <w:r w:rsidRPr="00EB7A11">
        <w:rPr>
          <w:szCs w:val="20"/>
        </w:rPr>
        <w:t xml:space="preserve">4.14). In interpreting </w:t>
      </w:r>
      <w:r w:rsidR="00711273" w:rsidRPr="00EB7A11">
        <w:rPr>
          <w:szCs w:val="20"/>
        </w:rPr>
        <w:t>Indigenous apparent retention rates</w:t>
      </w:r>
      <w:r w:rsidRPr="00EB7A11">
        <w:rPr>
          <w:szCs w:val="20"/>
        </w:rPr>
        <w:t>, it should be noted that</w:t>
      </w:r>
      <w:r w:rsidR="0019719B" w:rsidRPr="00EB7A11">
        <w:rPr>
          <w:szCs w:val="20"/>
        </w:rPr>
        <w:t>,</w:t>
      </w:r>
      <w:r w:rsidRPr="00EB7A11">
        <w:rPr>
          <w:szCs w:val="20"/>
        </w:rPr>
        <w:t xml:space="preserve"> </w:t>
      </w:r>
      <w:bookmarkStart w:id="29" w:name="OLE_LINK75"/>
      <w:bookmarkStart w:id="30" w:name="OLE_LINK78"/>
      <w:r w:rsidR="0019719B" w:rsidRPr="00EB7A11">
        <w:rPr>
          <w:szCs w:val="20"/>
        </w:rPr>
        <w:t xml:space="preserve">nationally, </w:t>
      </w:r>
      <w:r w:rsidR="000D0319" w:rsidRPr="00EB7A11">
        <w:rPr>
          <w:szCs w:val="20"/>
        </w:rPr>
        <w:t>1.</w:t>
      </w:r>
      <w:r w:rsidR="00EB7A11" w:rsidRPr="00EB7A11">
        <w:rPr>
          <w:szCs w:val="20"/>
        </w:rPr>
        <w:t>6</w:t>
      </w:r>
      <w:r w:rsidR="000D0319" w:rsidRPr="00EB7A11">
        <w:rPr>
          <w:szCs w:val="20"/>
        </w:rPr>
        <w:t xml:space="preserve"> </w:t>
      </w:r>
      <w:r w:rsidRPr="00EB7A11">
        <w:rPr>
          <w:szCs w:val="20"/>
        </w:rPr>
        <w:t>per cent of Indigenous students left school before year 10 (figure 4.10</w:t>
      </w:r>
      <w:r w:rsidR="003F1874" w:rsidRPr="00EB7A11">
        <w:rPr>
          <w:szCs w:val="20"/>
        </w:rPr>
        <w:t xml:space="preserve"> and table 4A.1</w:t>
      </w:r>
      <w:r w:rsidR="009807CA">
        <w:rPr>
          <w:szCs w:val="20"/>
        </w:rPr>
        <w:t>2</w:t>
      </w:r>
      <w:r w:rsidR="007E44D6">
        <w:rPr>
          <w:szCs w:val="20"/>
        </w:rPr>
        <w:t>1</w:t>
      </w:r>
      <w:r w:rsidRPr="00EB7A11">
        <w:rPr>
          <w:szCs w:val="20"/>
        </w:rPr>
        <w:t>), and so are not included in the base year for retention from year 10 to year 12</w:t>
      </w:r>
      <w:bookmarkEnd w:id="29"/>
      <w:bookmarkEnd w:id="30"/>
      <w:r w:rsidRPr="00EB7A11">
        <w:rPr>
          <w:szCs w:val="20"/>
        </w:rPr>
        <w:t xml:space="preserve">. Further, Indigenous students made up </w:t>
      </w:r>
      <w:r w:rsidR="0065269E" w:rsidRPr="00EB7A11">
        <w:rPr>
          <w:szCs w:val="20"/>
        </w:rPr>
        <w:t>6.</w:t>
      </w:r>
      <w:r w:rsidR="00EB7A11" w:rsidRPr="00EB7A11">
        <w:rPr>
          <w:szCs w:val="20"/>
        </w:rPr>
        <w:t>4</w:t>
      </w:r>
      <w:r w:rsidR="00BA1CEC" w:rsidRPr="00EB7A11">
        <w:rPr>
          <w:szCs w:val="20"/>
        </w:rPr>
        <w:t xml:space="preserve"> </w:t>
      </w:r>
      <w:r w:rsidRPr="00EB7A11">
        <w:rPr>
          <w:szCs w:val="20"/>
        </w:rPr>
        <w:t>per</w:t>
      </w:r>
      <w:r w:rsidR="00BA1CEC" w:rsidRPr="00EB7A11">
        <w:rPr>
          <w:szCs w:val="20"/>
        </w:rPr>
        <w:t xml:space="preserve"> </w:t>
      </w:r>
      <w:r w:rsidRPr="00EB7A11">
        <w:rPr>
          <w:szCs w:val="20"/>
        </w:rPr>
        <w:t xml:space="preserve">cent of all students in government schools compared with </w:t>
      </w:r>
      <w:r w:rsidR="0065269E" w:rsidRPr="00EB7A11">
        <w:rPr>
          <w:szCs w:val="20"/>
        </w:rPr>
        <w:t>2.</w:t>
      </w:r>
      <w:r w:rsidR="00EB7A11" w:rsidRPr="00EB7A11">
        <w:rPr>
          <w:szCs w:val="20"/>
        </w:rPr>
        <w:t>1</w:t>
      </w:r>
      <w:r w:rsidR="0065269E" w:rsidRPr="00EB7A11">
        <w:rPr>
          <w:szCs w:val="20"/>
        </w:rPr>
        <w:t> </w:t>
      </w:r>
      <w:r w:rsidRPr="00EB7A11">
        <w:rPr>
          <w:szCs w:val="20"/>
        </w:rPr>
        <w:t>per</w:t>
      </w:r>
      <w:r w:rsidR="0065269E" w:rsidRPr="00EB7A11">
        <w:rPr>
          <w:szCs w:val="20"/>
        </w:rPr>
        <w:t> </w:t>
      </w:r>
      <w:r w:rsidRPr="00EB7A11">
        <w:rPr>
          <w:szCs w:val="20"/>
        </w:rPr>
        <w:t>cent in non-government schools and some jurisdictions have very low numbers of Indigenous students (table 4.5).</w:t>
      </w:r>
    </w:p>
    <w:p w:rsidR="00666ECE" w:rsidRPr="00666ECE" w:rsidRDefault="00666ECE" w:rsidP="00666ECE">
      <w:pPr>
        <w:spacing w:before="240" w:line="320" w:lineRule="atLeast"/>
        <w:jc w:val="both"/>
        <w:rPr>
          <w:szCs w:val="20"/>
        </w:rPr>
      </w:pPr>
      <w:r w:rsidRPr="00EB7A11">
        <w:rPr>
          <w:szCs w:val="20"/>
        </w:rPr>
        <w:t>Nationally, Indigenous retention from year 10 to year 12 for all schools in 201</w:t>
      </w:r>
      <w:r w:rsidR="00C105CC" w:rsidRPr="00EB7A11">
        <w:rPr>
          <w:szCs w:val="20"/>
        </w:rPr>
        <w:t>2</w:t>
      </w:r>
      <w:r w:rsidRPr="00EB7A11">
        <w:rPr>
          <w:szCs w:val="20"/>
        </w:rPr>
        <w:t xml:space="preserve"> was </w:t>
      </w:r>
      <w:r w:rsidR="009110FE" w:rsidRPr="00EB7A11">
        <w:rPr>
          <w:szCs w:val="20"/>
        </w:rPr>
        <w:t>53.</w:t>
      </w:r>
      <w:r w:rsidR="00EB7A11" w:rsidRPr="00EB7A11">
        <w:rPr>
          <w:szCs w:val="20"/>
        </w:rPr>
        <w:t>3</w:t>
      </w:r>
      <w:r w:rsidRPr="00EB7A11">
        <w:rPr>
          <w:szCs w:val="20"/>
        </w:rPr>
        <w:t xml:space="preserve"> per cent (figure 4.14), compared with </w:t>
      </w:r>
      <w:r w:rsidR="00AB5749" w:rsidRPr="00EB7A11">
        <w:rPr>
          <w:szCs w:val="20"/>
        </w:rPr>
        <w:t>80.</w:t>
      </w:r>
      <w:r w:rsidR="00EB7A11" w:rsidRPr="00EB7A11">
        <w:rPr>
          <w:szCs w:val="20"/>
        </w:rPr>
        <w:t>4</w:t>
      </w:r>
      <w:r w:rsidR="003F0641" w:rsidRPr="00EB7A11">
        <w:rPr>
          <w:szCs w:val="20"/>
        </w:rPr>
        <w:t xml:space="preserve"> per </w:t>
      </w:r>
      <w:r w:rsidRPr="00EB7A11">
        <w:rPr>
          <w:szCs w:val="20"/>
        </w:rPr>
        <w:t>cent for non-Indigenous students (table 4A.1</w:t>
      </w:r>
      <w:r w:rsidR="009807CA">
        <w:rPr>
          <w:szCs w:val="20"/>
        </w:rPr>
        <w:t>2</w:t>
      </w:r>
      <w:r w:rsidR="007E44D6">
        <w:rPr>
          <w:szCs w:val="20"/>
        </w:rPr>
        <w:t>3</w:t>
      </w:r>
      <w:r w:rsidRPr="00EB7A11">
        <w:rPr>
          <w:szCs w:val="20"/>
        </w:rPr>
        <w:t xml:space="preserve">). However, Indigenous retention from year 10 to year 12 for all schools has risen from </w:t>
      </w:r>
      <w:r w:rsidR="00EB7A11" w:rsidRPr="00EB7A11">
        <w:rPr>
          <w:szCs w:val="20"/>
        </w:rPr>
        <w:t>46.0</w:t>
      </w:r>
      <w:r w:rsidR="00746562" w:rsidRPr="00EB7A11">
        <w:rPr>
          <w:szCs w:val="20"/>
        </w:rPr>
        <w:t xml:space="preserve"> </w:t>
      </w:r>
      <w:r w:rsidRPr="00EB7A11">
        <w:rPr>
          <w:szCs w:val="20"/>
        </w:rPr>
        <w:t>per</w:t>
      </w:r>
      <w:r w:rsidR="00746562" w:rsidRPr="00EB7A11">
        <w:rPr>
          <w:szCs w:val="20"/>
        </w:rPr>
        <w:t xml:space="preserve"> </w:t>
      </w:r>
      <w:r w:rsidRPr="00EB7A11">
        <w:rPr>
          <w:szCs w:val="20"/>
        </w:rPr>
        <w:t>cent in 200</w:t>
      </w:r>
      <w:r w:rsidR="00C105CC" w:rsidRPr="00EB7A11">
        <w:rPr>
          <w:szCs w:val="20"/>
        </w:rPr>
        <w:t>4</w:t>
      </w:r>
      <w:r w:rsidRPr="00EB7A11">
        <w:rPr>
          <w:szCs w:val="20"/>
        </w:rPr>
        <w:t xml:space="preserve">, with the gap between Indigenous students and non-Indigenous students decreasing from </w:t>
      </w:r>
      <w:r w:rsidR="00AB5749" w:rsidRPr="00EB7A11">
        <w:rPr>
          <w:szCs w:val="20"/>
        </w:rPr>
        <w:t>32.</w:t>
      </w:r>
      <w:r w:rsidR="00EB7A11" w:rsidRPr="00EB7A11">
        <w:rPr>
          <w:szCs w:val="20"/>
        </w:rPr>
        <w:t>1</w:t>
      </w:r>
      <w:r w:rsidR="00AB5749" w:rsidRPr="00EB7A11">
        <w:rPr>
          <w:szCs w:val="20"/>
        </w:rPr>
        <w:t xml:space="preserve"> </w:t>
      </w:r>
      <w:r w:rsidRPr="00EB7A11">
        <w:rPr>
          <w:szCs w:val="20"/>
        </w:rPr>
        <w:t>percentage points in 200</w:t>
      </w:r>
      <w:r w:rsidR="00C105CC" w:rsidRPr="00EB7A11">
        <w:rPr>
          <w:szCs w:val="20"/>
        </w:rPr>
        <w:t>4</w:t>
      </w:r>
      <w:r w:rsidRPr="00EB7A11">
        <w:rPr>
          <w:szCs w:val="20"/>
        </w:rPr>
        <w:t xml:space="preserve"> to </w:t>
      </w:r>
      <w:r w:rsidR="00AB5749" w:rsidRPr="00EB7A11">
        <w:rPr>
          <w:szCs w:val="20"/>
        </w:rPr>
        <w:t>27.1</w:t>
      </w:r>
      <w:r w:rsidRPr="00EB7A11">
        <w:rPr>
          <w:szCs w:val="20"/>
        </w:rPr>
        <w:t xml:space="preserve"> percentage points in 201</w:t>
      </w:r>
      <w:r w:rsidR="00C105CC" w:rsidRPr="00EB7A11">
        <w:rPr>
          <w:szCs w:val="20"/>
        </w:rPr>
        <w:t>2</w:t>
      </w:r>
      <w:r w:rsidRPr="00EB7A11">
        <w:rPr>
          <w:szCs w:val="20"/>
        </w:rPr>
        <w:t xml:space="preserve"> (table </w:t>
      </w:r>
      <w:r w:rsidRPr="00666ECE">
        <w:rPr>
          <w:szCs w:val="20"/>
        </w:rPr>
        <w:t>4A.1</w:t>
      </w:r>
      <w:r w:rsidR="009807CA">
        <w:rPr>
          <w:szCs w:val="20"/>
        </w:rPr>
        <w:t>2</w:t>
      </w:r>
      <w:r w:rsidR="007E44D6">
        <w:rPr>
          <w:szCs w:val="20"/>
        </w:rPr>
        <w:t>3</w:t>
      </w:r>
      <w:r w:rsidRPr="00666ECE">
        <w:rPr>
          <w:szCs w:val="20"/>
        </w:rPr>
        <w:t>).</w:t>
      </w:r>
    </w:p>
    <w:p w:rsidR="00666ECE" w:rsidRPr="006308F9" w:rsidRDefault="00666ECE" w:rsidP="002C3941">
      <w:pPr>
        <w:pStyle w:val="FigureTitle"/>
        <w:rPr>
          <w:position w:val="6"/>
          <w:sz w:val="18"/>
        </w:rPr>
      </w:pPr>
      <w:r w:rsidRPr="007A7568">
        <w:rPr>
          <w:b w:val="0"/>
        </w:rPr>
        <w:lastRenderedPageBreak/>
        <w:t xml:space="preserve">Figure </w:t>
      </w:r>
      <w:r w:rsidR="00EB256F" w:rsidRPr="007A7568">
        <w:rPr>
          <w:b w:val="0"/>
        </w:rPr>
        <w:t>4.</w:t>
      </w:r>
      <w:r w:rsidR="00EC06F7" w:rsidRPr="007A7568">
        <w:rPr>
          <w:b w:val="0"/>
          <w:noProof/>
        </w:rPr>
        <w:t>14</w:t>
      </w:r>
      <w:r w:rsidRPr="0063025F">
        <w:tab/>
        <w:t>Apparent retention rates from year 10 to year 12, Indigenous full time secondary students, 201</w:t>
      </w:r>
      <w:r w:rsidR="00C105CC" w:rsidRPr="0063025F">
        <w:t>2</w:t>
      </w:r>
      <w:r w:rsidRPr="006308F9">
        <w:rPr>
          <w:position w:val="6"/>
          <w:sz w:val="18"/>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867025"/>
                  <wp:effectExtent l="0" t="0" r="0" b="9525"/>
                  <wp:docPr id="15" name="Picture 15" descr="Figure 4.14 Apparent retention rates from year 10 to year 12, Indigenous full time secondary student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Apparent retention rates are affected by factors that vary across jurisdictions. For this reason, variations in apparent retention rates over time within jurisdictions may be more useful than comparisons across jurisdictions (see tables 4A.1</w:t>
      </w:r>
      <w:r w:rsidR="007E44D6">
        <w:rPr>
          <w:rFonts w:ascii="Arial" w:hAnsi="Arial"/>
          <w:sz w:val="18"/>
          <w:szCs w:val="20"/>
        </w:rPr>
        <w:t>23</w:t>
      </w:r>
      <w:r w:rsidRPr="00666ECE">
        <w:rPr>
          <w:rFonts w:ascii="Arial" w:hAnsi="Arial"/>
          <w:sz w:val="18"/>
          <w:szCs w:val="20"/>
        </w:rPr>
        <w:t>–1</w:t>
      </w:r>
      <w:r w:rsidR="00AC290D">
        <w:rPr>
          <w:rFonts w:ascii="Arial" w:hAnsi="Arial"/>
          <w:sz w:val="18"/>
          <w:szCs w:val="20"/>
        </w:rPr>
        <w:t>2</w:t>
      </w:r>
      <w:r w:rsidR="007E44D6">
        <w:rPr>
          <w:rFonts w:ascii="Arial" w:hAnsi="Arial"/>
          <w:sz w:val="18"/>
          <w:szCs w:val="20"/>
        </w:rPr>
        <w:t>5</w:t>
      </w:r>
      <w:r w:rsidRPr="00666ECE">
        <w:rPr>
          <w:rFonts w:ascii="Arial" w:hAnsi="Arial"/>
          <w:sz w:val="18"/>
          <w:szCs w:val="20"/>
        </w:rPr>
        <w:t xml:space="preserve">). </w:t>
      </w:r>
      <w:r w:rsidRPr="00666ECE">
        <w:rPr>
          <w:rFonts w:ascii="Arial" w:hAnsi="Arial"/>
          <w:b/>
          <w:position w:val="6"/>
          <w:sz w:val="18"/>
          <w:szCs w:val="20"/>
        </w:rPr>
        <w:t>b</w:t>
      </w:r>
      <w:r w:rsidRPr="00666ECE">
        <w:rPr>
          <w:rFonts w:ascii="Arial" w:hAnsi="Arial"/>
          <w:sz w:val="18"/>
          <w:szCs w:val="20"/>
        </w:rPr>
        <w:t xml:space="preserve"> The standard apparent retention rate calculation excludes part time students, which has implications for the interpretation of results for all jurisdictions (table 4.4). </w:t>
      </w:r>
      <w:r w:rsidRPr="00666ECE">
        <w:rPr>
          <w:rFonts w:ascii="Arial" w:hAnsi="Arial"/>
          <w:b/>
          <w:position w:val="6"/>
          <w:sz w:val="18"/>
          <w:szCs w:val="20"/>
        </w:rPr>
        <w:t>c </w:t>
      </w:r>
      <w:r w:rsidRPr="00666ECE">
        <w:rPr>
          <w:rFonts w:ascii="Arial" w:hAnsi="Arial"/>
          <w:sz w:val="18"/>
          <w:szCs w:val="20"/>
        </w:rPr>
        <w:t xml:space="preserve">Ungraded students are not included in the calculation of apparent retention rates. </w:t>
      </w:r>
      <w:r w:rsidRPr="00666ECE">
        <w:rPr>
          <w:rFonts w:ascii="Arial" w:hAnsi="Arial"/>
          <w:b/>
          <w:position w:val="6"/>
          <w:sz w:val="18"/>
          <w:szCs w:val="20"/>
        </w:rPr>
        <w:t>d</w:t>
      </w:r>
      <w:r w:rsidRPr="00666ECE">
        <w:rPr>
          <w:rFonts w:ascii="Arial" w:hAnsi="Arial"/>
          <w:sz w:val="18"/>
          <w:szCs w:val="20"/>
        </w:rPr>
        <w:t> Some students' Indigenous status is not stated. Consequently, the number of Indigenous students counted in these rates may be under</w:t>
      </w:r>
      <w:r w:rsidR="00711273">
        <w:rPr>
          <w:rFonts w:ascii="Arial" w:hAnsi="Arial"/>
          <w:sz w:val="18"/>
          <w:szCs w:val="20"/>
        </w:rPr>
        <w:noBreakHyphen/>
      </w:r>
      <w:r w:rsidRPr="00666ECE">
        <w:rPr>
          <w:rFonts w:ascii="Arial" w:hAnsi="Arial"/>
          <w:sz w:val="18"/>
          <w:szCs w:val="20"/>
        </w:rPr>
        <w:t>represented in some jurisdictions.</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AC290D">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AC290D">
        <w:rPr>
          <w:rFonts w:ascii="Arial" w:hAnsi="Arial"/>
          <w:i/>
          <w:sz w:val="18"/>
          <w:szCs w:val="20"/>
        </w:rPr>
        <w:t>2</w:t>
      </w:r>
      <w:r w:rsidRPr="00666ECE">
        <w:rPr>
          <w:rFonts w:ascii="Arial" w:hAnsi="Arial"/>
          <w:sz w:val="18"/>
          <w:szCs w:val="20"/>
        </w:rPr>
        <w:t>, Cat. no. 4221.0; tables 4A.1</w:t>
      </w:r>
      <w:r w:rsidR="009807CA">
        <w:rPr>
          <w:rFonts w:ascii="Arial" w:hAnsi="Arial"/>
          <w:sz w:val="18"/>
          <w:szCs w:val="20"/>
        </w:rPr>
        <w:t>2</w:t>
      </w:r>
      <w:r w:rsidR="007E44D6">
        <w:rPr>
          <w:rFonts w:ascii="Arial" w:hAnsi="Arial"/>
          <w:sz w:val="18"/>
          <w:szCs w:val="20"/>
        </w:rPr>
        <w:t>3</w:t>
      </w:r>
      <w:r w:rsidRPr="00666ECE">
        <w:rPr>
          <w:rFonts w:ascii="Arial" w:hAnsi="Arial"/>
          <w:sz w:val="18"/>
          <w:szCs w:val="20"/>
        </w:rPr>
        <w:t>–1</w:t>
      </w:r>
      <w:r w:rsidR="00EB7A11">
        <w:rPr>
          <w:rFonts w:ascii="Arial" w:hAnsi="Arial"/>
          <w:sz w:val="18"/>
          <w:szCs w:val="20"/>
        </w:rPr>
        <w:t>2</w:t>
      </w:r>
      <w:r w:rsidR="007E44D6">
        <w:rPr>
          <w:rFonts w:ascii="Arial" w:hAnsi="Arial"/>
          <w:sz w:val="18"/>
          <w:szCs w:val="20"/>
        </w:rPr>
        <w:t>5</w:t>
      </w:r>
      <w:r w:rsidRPr="00666ECE">
        <w:rPr>
          <w:rFonts w:ascii="Arial" w:hAnsi="Arial"/>
          <w:sz w:val="18"/>
          <w:szCs w:val="20"/>
        </w:rPr>
        <w:t>.</w:t>
      </w:r>
    </w:p>
    <w:p w:rsidR="00666ECE" w:rsidRPr="00666ECE" w:rsidRDefault="00666ECE" w:rsidP="00666ECE">
      <w:pPr>
        <w:spacing w:before="240" w:line="320" w:lineRule="atLeast"/>
        <w:jc w:val="both"/>
        <w:rPr>
          <w:szCs w:val="20"/>
        </w:rPr>
      </w:pPr>
      <w:r w:rsidRPr="00666ECE">
        <w:rPr>
          <w:szCs w:val="20"/>
        </w:rPr>
        <w:t xml:space="preserve">Nationally, apparent </w:t>
      </w:r>
      <w:r w:rsidRPr="00A33EA2">
        <w:rPr>
          <w:szCs w:val="20"/>
        </w:rPr>
        <w:t xml:space="preserve">rates </w:t>
      </w:r>
      <w:r w:rsidRPr="00EB7A11">
        <w:rPr>
          <w:szCs w:val="20"/>
        </w:rPr>
        <w:t xml:space="preserve">of retention for all full time students from year 10 to year 12 </w:t>
      </w:r>
      <w:r w:rsidR="00DE74EC">
        <w:rPr>
          <w:szCs w:val="20"/>
        </w:rPr>
        <w:t>rose</w:t>
      </w:r>
      <w:r w:rsidR="00326539" w:rsidRPr="00EB7A11">
        <w:rPr>
          <w:szCs w:val="20"/>
        </w:rPr>
        <w:t xml:space="preserve"> slightly from</w:t>
      </w:r>
      <w:r w:rsidRPr="00EB7A11">
        <w:rPr>
          <w:szCs w:val="20"/>
        </w:rPr>
        <w:t xml:space="preserve"> </w:t>
      </w:r>
      <w:r w:rsidR="00EB7A11" w:rsidRPr="00EB7A11">
        <w:rPr>
          <w:szCs w:val="20"/>
        </w:rPr>
        <w:t>77.2</w:t>
      </w:r>
      <w:r w:rsidRPr="00EB7A11">
        <w:rPr>
          <w:szCs w:val="20"/>
        </w:rPr>
        <w:t xml:space="preserve"> per cent </w:t>
      </w:r>
      <w:r w:rsidR="00326539" w:rsidRPr="00EB7A11">
        <w:rPr>
          <w:szCs w:val="20"/>
        </w:rPr>
        <w:t>in</w:t>
      </w:r>
      <w:r w:rsidRPr="00EB7A11">
        <w:rPr>
          <w:szCs w:val="20"/>
        </w:rPr>
        <w:t xml:space="preserve"> 200</w:t>
      </w:r>
      <w:r w:rsidR="00C105CC" w:rsidRPr="00EB7A11">
        <w:rPr>
          <w:szCs w:val="20"/>
        </w:rPr>
        <w:t>4</w:t>
      </w:r>
      <w:r w:rsidRPr="00EB7A11">
        <w:rPr>
          <w:szCs w:val="20"/>
        </w:rPr>
        <w:t xml:space="preserve"> to </w:t>
      </w:r>
      <w:r w:rsidR="00A33EA2" w:rsidRPr="00EB7A11">
        <w:rPr>
          <w:szCs w:val="20"/>
        </w:rPr>
        <w:t>79.</w:t>
      </w:r>
      <w:r w:rsidR="00EB7A11" w:rsidRPr="00EB7A11">
        <w:rPr>
          <w:szCs w:val="20"/>
        </w:rPr>
        <w:t>3</w:t>
      </w:r>
      <w:r w:rsidRPr="00EB7A11">
        <w:rPr>
          <w:szCs w:val="20"/>
        </w:rPr>
        <w:t xml:space="preserve"> per cent in 201</w:t>
      </w:r>
      <w:r w:rsidR="00C105CC" w:rsidRPr="00EB7A11">
        <w:rPr>
          <w:szCs w:val="20"/>
        </w:rPr>
        <w:t>2</w:t>
      </w:r>
      <w:r w:rsidRPr="00EB7A11">
        <w:rPr>
          <w:szCs w:val="20"/>
        </w:rPr>
        <w:t xml:space="preserve"> (figure 4.15). Data for intervening years and by Indigenous status are in table 4A.1</w:t>
      </w:r>
      <w:r w:rsidR="009807CA">
        <w:rPr>
          <w:szCs w:val="20"/>
        </w:rPr>
        <w:t>2</w:t>
      </w:r>
      <w:r w:rsidR="007E44D6">
        <w:rPr>
          <w:szCs w:val="20"/>
        </w:rPr>
        <w:t>3</w:t>
      </w:r>
      <w:r w:rsidRPr="00EB7A11">
        <w:rPr>
          <w:szCs w:val="20"/>
        </w:rPr>
        <w:t xml:space="preserve">. Data for government schools and </w:t>
      </w:r>
      <w:r w:rsidRPr="00666ECE">
        <w:rPr>
          <w:szCs w:val="20"/>
        </w:rPr>
        <w:t>non-government schools are in tables 4A.1</w:t>
      </w:r>
      <w:r w:rsidR="009807CA">
        <w:rPr>
          <w:szCs w:val="20"/>
        </w:rPr>
        <w:t>2</w:t>
      </w:r>
      <w:r w:rsidR="007E44D6">
        <w:rPr>
          <w:szCs w:val="20"/>
        </w:rPr>
        <w:t>4</w:t>
      </w:r>
      <w:r w:rsidRPr="00666ECE">
        <w:rPr>
          <w:szCs w:val="20"/>
        </w:rPr>
        <w:t xml:space="preserve"> and 4A.1</w:t>
      </w:r>
      <w:r w:rsidR="00EB7A11">
        <w:rPr>
          <w:szCs w:val="20"/>
        </w:rPr>
        <w:t>2</w:t>
      </w:r>
      <w:r w:rsidR="007E44D6">
        <w:rPr>
          <w:szCs w:val="20"/>
        </w:rPr>
        <w:t>5</w:t>
      </w:r>
      <w:r w:rsidRPr="00666ECE">
        <w:rPr>
          <w:szCs w:val="20"/>
        </w:rPr>
        <w:t>.</w:t>
      </w:r>
    </w:p>
    <w:p w:rsidR="00666ECE" w:rsidRPr="002C3941" w:rsidRDefault="00666ECE" w:rsidP="0063025F">
      <w:pPr>
        <w:pStyle w:val="FigureTitle"/>
        <w:rPr>
          <w:u w:val="dotted"/>
        </w:rPr>
      </w:pPr>
      <w:r w:rsidRPr="007A7568">
        <w:rPr>
          <w:b w:val="0"/>
        </w:rPr>
        <w:lastRenderedPageBreak/>
        <w:t xml:space="preserve">Figure </w:t>
      </w:r>
      <w:r w:rsidR="00EB256F" w:rsidRPr="007A7568">
        <w:rPr>
          <w:b w:val="0"/>
        </w:rPr>
        <w:t>4.</w:t>
      </w:r>
      <w:r w:rsidR="00EC06F7" w:rsidRPr="007A7568">
        <w:rPr>
          <w:b w:val="0"/>
        </w:rPr>
        <w:t>15</w:t>
      </w:r>
      <w:r w:rsidRPr="002C3941">
        <w:tab/>
        <w:t>Apparent rates of retention from year 10 to year 12, full time secondary students, all schools</w:t>
      </w:r>
      <w:r w:rsidRPr="002C3941">
        <w:rPr>
          <w:position w:val="6"/>
          <w:sz w:val="18"/>
        </w:rPr>
        <w:t xml:space="preserve">a, b, c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86050"/>
                  <wp:effectExtent l="0" t="0" r="0" b="0"/>
                  <wp:docPr id="16" name="Picture 16" descr="Figure 4.15 Apparent rates of retention from year 10 to year 12, full time secondary students, all schoo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xml:space="preserve"> Apparent retention rates are affected by factors that vary across jurisdictions. For this reason, variations in apparent retention rates over time within jurisdictions may be more useful than comparisons across jurisdictions. </w:t>
      </w:r>
      <w:r w:rsidRPr="00666ECE">
        <w:rPr>
          <w:rFonts w:ascii="Arial" w:hAnsi="Arial"/>
          <w:b/>
          <w:position w:val="6"/>
          <w:sz w:val="18"/>
          <w:szCs w:val="20"/>
        </w:rPr>
        <w:t>b</w:t>
      </w:r>
      <w:r w:rsidRPr="00666ECE">
        <w:rPr>
          <w:rFonts w:ascii="Arial" w:hAnsi="Arial"/>
          <w:sz w:val="18"/>
          <w:szCs w:val="20"/>
        </w:rPr>
        <w:t xml:space="preserve"> The standard apparent retention rate calculation excludes part time students, which has implications for the interpretation of results for all jurisdictions (table 4.4). </w:t>
      </w:r>
      <w:r w:rsidRPr="00666ECE">
        <w:rPr>
          <w:rFonts w:ascii="Arial" w:hAnsi="Arial"/>
          <w:b/>
          <w:position w:val="6"/>
          <w:sz w:val="18"/>
          <w:szCs w:val="20"/>
        </w:rPr>
        <w:t>c</w:t>
      </w:r>
      <w:r w:rsidRPr="00666ECE">
        <w:rPr>
          <w:rFonts w:ascii="Arial" w:hAnsi="Arial"/>
          <w:sz w:val="18"/>
          <w:szCs w:val="20"/>
        </w:rPr>
        <w:t> Ungraded students are not included in the calculation of apparent retention rates. This exclusion has particular implications for the NT, (which has a high proportion of Indigenous students) prior to 2008, where 10.9 per cent of Indigenous secondary students were ungraded in 2007 (compared with an average of 4.2 per cent for the rest of Australia, but since 2008 the NT proportion of ungraded students has substantially reduced) and this should be considered when interpreting the data.</w:t>
      </w:r>
    </w:p>
    <w:p w:rsidR="00666ECE" w:rsidRPr="00666ECE" w:rsidRDefault="00666ECE" w:rsidP="00666ECE">
      <w:pPr>
        <w:keepLines/>
        <w:spacing w:before="80" w:after="120" w:line="220" w:lineRule="exact"/>
        <w:jc w:val="both"/>
        <w:rPr>
          <w:rFonts w:ascii="Arial" w:hAnsi="Arial"/>
          <w:sz w:val="18"/>
          <w:szCs w:val="20"/>
        </w:rPr>
      </w:pPr>
      <w:bookmarkStart w:id="31" w:name="OLE_LINK96"/>
      <w:bookmarkStart w:id="32" w:name="OLE_LINK97"/>
      <w:r w:rsidRPr="00666ECE">
        <w:rPr>
          <w:rFonts w:ascii="Arial" w:hAnsi="Arial"/>
          <w:i/>
          <w:sz w:val="18"/>
          <w:szCs w:val="20"/>
        </w:rPr>
        <w:t>Source</w:t>
      </w:r>
      <w:r w:rsidRPr="00666ECE">
        <w:rPr>
          <w:rFonts w:ascii="Arial" w:hAnsi="Arial"/>
          <w:sz w:val="18"/>
          <w:szCs w:val="20"/>
        </w:rPr>
        <w:t>: ABS (201</w:t>
      </w:r>
      <w:r w:rsidR="00C105CC">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w:t>
      </w:r>
      <w:r w:rsidR="0055265A">
        <w:rPr>
          <w:rFonts w:ascii="Arial" w:hAnsi="Arial"/>
          <w:i/>
          <w:sz w:val="18"/>
          <w:szCs w:val="20"/>
        </w:rPr>
        <w:t>1</w:t>
      </w:r>
      <w:r w:rsidR="00C105CC">
        <w:rPr>
          <w:rFonts w:ascii="Arial" w:hAnsi="Arial"/>
          <w:i/>
          <w:sz w:val="18"/>
          <w:szCs w:val="20"/>
        </w:rPr>
        <w:t>2</w:t>
      </w:r>
      <w:r w:rsidRPr="00666ECE">
        <w:rPr>
          <w:rFonts w:ascii="Arial" w:hAnsi="Arial"/>
          <w:sz w:val="18"/>
          <w:szCs w:val="20"/>
        </w:rPr>
        <w:t>, Cat. no. 4221.0;</w:t>
      </w:r>
      <w:bookmarkEnd w:id="31"/>
      <w:bookmarkEnd w:id="32"/>
      <w:r w:rsidRPr="00666ECE">
        <w:rPr>
          <w:rFonts w:ascii="Arial" w:hAnsi="Arial"/>
          <w:sz w:val="18"/>
          <w:szCs w:val="20"/>
        </w:rPr>
        <w:t xml:space="preserve"> table 4A.1</w:t>
      </w:r>
      <w:r w:rsidR="009807CA">
        <w:rPr>
          <w:rFonts w:ascii="Arial" w:hAnsi="Arial"/>
          <w:sz w:val="18"/>
          <w:szCs w:val="20"/>
        </w:rPr>
        <w:t>2</w:t>
      </w:r>
      <w:r w:rsidR="00BF138B">
        <w:rPr>
          <w:rFonts w:ascii="Arial" w:hAnsi="Arial"/>
          <w:sz w:val="18"/>
          <w:szCs w:val="20"/>
        </w:rPr>
        <w:t>3</w:t>
      </w:r>
      <w:r w:rsidRPr="00666ECE">
        <w:rPr>
          <w:rFonts w:ascii="Arial" w:hAnsi="Arial"/>
          <w:sz w:val="18"/>
          <w:szCs w:val="20"/>
        </w:rPr>
        <w:t>.</w:t>
      </w:r>
    </w:p>
    <w:p w:rsidR="00666ECE" w:rsidRPr="00666ECE" w:rsidRDefault="00666ECE" w:rsidP="00666ECE">
      <w:pPr>
        <w:keepNext/>
        <w:spacing w:before="480" w:line="320" w:lineRule="exact"/>
        <w:outlineLvl w:val="3"/>
        <w:rPr>
          <w:rFonts w:ascii="Arial" w:hAnsi="Arial"/>
          <w:i/>
          <w:sz w:val="24"/>
        </w:rPr>
      </w:pPr>
      <w:r w:rsidRPr="00666ECE">
        <w:rPr>
          <w:rFonts w:ascii="Arial" w:hAnsi="Arial"/>
          <w:i/>
          <w:sz w:val="24"/>
        </w:rPr>
        <w:t>Efficiency</w:t>
      </w:r>
    </w:p>
    <w:p w:rsidR="00666ECE" w:rsidRPr="00241EB3" w:rsidRDefault="00666ECE" w:rsidP="00666ECE">
      <w:pPr>
        <w:spacing w:before="240" w:line="320" w:lineRule="atLeast"/>
        <w:jc w:val="both"/>
        <w:rPr>
          <w:rStyle w:val="DraftingNote"/>
          <w:color w:val="auto"/>
        </w:rPr>
      </w:pPr>
      <w:r w:rsidRPr="00666ECE">
        <w:rPr>
          <w:szCs w:val="20"/>
        </w:rPr>
        <w:t xml:space="preserve">Governments have an interest in achieving the best results from their expenditure on schooling, both as owners and operators of government schools, and as major providers of funds to the non-government school sector. An objective of the Steering Committee is to publish comparable estimates of costs. Ideally, such comparison should include the full range of costs to government. Where the full costs cannot </w:t>
      </w:r>
      <w:r w:rsidRPr="00E97CD0">
        <w:rPr>
          <w:szCs w:val="20"/>
        </w:rPr>
        <w:t>be measured, estimating costs on a consistent basis is the best approach. Table 4A.</w:t>
      </w:r>
      <w:r w:rsidR="009807CA">
        <w:rPr>
          <w:szCs w:val="20"/>
        </w:rPr>
        <w:t>21</w:t>
      </w:r>
      <w:r w:rsidRPr="00E97CD0">
        <w:rPr>
          <w:szCs w:val="20"/>
        </w:rPr>
        <w:t xml:space="preserve"> shows the treatment of assets by school education agencies. Table 4A.1</w:t>
      </w:r>
      <w:r w:rsidR="0013774C">
        <w:rPr>
          <w:szCs w:val="20"/>
        </w:rPr>
        <w:t>1</w:t>
      </w:r>
      <w:r w:rsidRPr="00E97CD0">
        <w:rPr>
          <w:szCs w:val="20"/>
        </w:rPr>
        <w:t xml:space="preserve"> shows</w:t>
      </w:r>
      <w:r w:rsidRPr="00666ECE">
        <w:rPr>
          <w:szCs w:val="20"/>
        </w:rPr>
        <w:t xml:space="preserve"> information on the comparability of the source expenditure data for government schools used for this chapter. </w:t>
      </w:r>
      <w:r w:rsidR="009110FE">
        <w:rPr>
          <w:szCs w:val="20"/>
        </w:rPr>
        <w:t xml:space="preserve">Box 4.4 includes information on identification and allocation of funding for the </w:t>
      </w:r>
      <w:r w:rsidR="009110FE" w:rsidRPr="00241EB3">
        <w:rPr>
          <w:szCs w:val="20"/>
        </w:rPr>
        <w:t>Report.</w:t>
      </w:r>
      <w:r w:rsidR="00C279A5" w:rsidRPr="00241EB3">
        <w:rPr>
          <w:szCs w:val="20"/>
        </w:rPr>
        <w:t xml:space="preserve"> </w:t>
      </w:r>
    </w:p>
    <w:p w:rsidR="008A2153" w:rsidRDefault="008A215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A2153">
        <w:tc>
          <w:tcPr>
            <w:tcW w:w="8771" w:type="dxa"/>
            <w:tcBorders>
              <w:top w:val="single" w:sz="6" w:space="0" w:color="auto"/>
              <w:bottom w:val="nil"/>
            </w:tcBorders>
          </w:tcPr>
          <w:p w:rsidR="008A2153" w:rsidRDefault="008A2153" w:rsidP="00D95E3D">
            <w:pPr>
              <w:pStyle w:val="BoxTitle"/>
              <w:spacing w:before="80"/>
            </w:pPr>
            <w:r>
              <w:rPr>
                <w:b w:val="0"/>
              </w:rPr>
              <w:t xml:space="preserve">Box </w:t>
            </w:r>
            <w:r w:rsidR="00BC56E7">
              <w:rPr>
                <w:b w:val="0"/>
              </w:rPr>
              <w:t>4.4</w:t>
            </w:r>
            <w:r>
              <w:tab/>
            </w:r>
            <w:r w:rsidR="00EC4AB8">
              <w:t>School expenditure data reported in this chapter</w:t>
            </w:r>
          </w:p>
        </w:tc>
      </w:tr>
      <w:tr w:rsidR="008A2153" w:rsidTr="00D95E3D">
        <w:trPr>
          <w:cantSplit/>
          <w:trHeight w:val="12213"/>
        </w:trPr>
        <w:tc>
          <w:tcPr>
            <w:tcW w:w="8771" w:type="dxa"/>
            <w:tcBorders>
              <w:top w:val="nil"/>
              <w:left w:val="single" w:sz="6" w:space="0" w:color="auto"/>
              <w:bottom w:val="nil"/>
              <w:right w:val="single" w:sz="6" w:space="0" w:color="auto"/>
            </w:tcBorders>
          </w:tcPr>
          <w:p w:rsidR="00EC4AB8" w:rsidRPr="00EC4AB8" w:rsidRDefault="00EC4AB8" w:rsidP="00EC4AB8">
            <w:pPr>
              <w:keepNext/>
              <w:spacing w:before="80" w:line="280" w:lineRule="atLeast"/>
              <w:jc w:val="both"/>
              <w:rPr>
                <w:rFonts w:ascii="Arial" w:hAnsi="Arial"/>
                <w:sz w:val="22"/>
                <w:szCs w:val="20"/>
              </w:rPr>
            </w:pPr>
            <w:r w:rsidRPr="00EC4AB8">
              <w:rPr>
                <w:rFonts w:ascii="Arial" w:hAnsi="Arial"/>
                <w:sz w:val="22"/>
                <w:szCs w:val="20"/>
              </w:rPr>
              <w:t xml:space="preserve">Efficiency indicators in this </w:t>
            </w:r>
            <w:r w:rsidRPr="009738E5">
              <w:rPr>
                <w:rFonts w:ascii="Arial" w:hAnsi="Arial"/>
                <w:sz w:val="22"/>
                <w:szCs w:val="20"/>
              </w:rPr>
              <w:t xml:space="preserve">chapter </w:t>
            </w:r>
            <w:r w:rsidR="00A75C27" w:rsidRPr="009738E5">
              <w:rPr>
                <w:rFonts w:ascii="Arial" w:hAnsi="Arial"/>
                <w:sz w:val="22"/>
                <w:szCs w:val="20"/>
              </w:rPr>
              <w:t xml:space="preserve">(years 2007-08 to 2011-12) </w:t>
            </w:r>
            <w:r w:rsidRPr="009738E5">
              <w:rPr>
                <w:rFonts w:ascii="Arial" w:hAnsi="Arial"/>
                <w:sz w:val="22"/>
                <w:szCs w:val="20"/>
              </w:rPr>
              <w:t xml:space="preserve">are based </w:t>
            </w:r>
            <w:r w:rsidRPr="00EC4AB8">
              <w:rPr>
                <w:rFonts w:ascii="Arial" w:hAnsi="Arial"/>
                <w:sz w:val="22"/>
                <w:szCs w:val="20"/>
              </w:rPr>
              <w:t>on financial year recurrent expenditure on government and non</w:t>
            </w:r>
            <w:r w:rsidRPr="00EC4AB8">
              <w:rPr>
                <w:rFonts w:ascii="Arial" w:hAnsi="Arial"/>
                <w:sz w:val="22"/>
                <w:szCs w:val="20"/>
              </w:rPr>
              <w:noBreakHyphen/>
              <w:t xml:space="preserve">government schools by the Australian Government and State and Territory governments. Capital expenditure is generally excluded, but as the National Schools Specific Purpose Payment (SPP) cannot be separated into capital and recurrent expenditure, the SPP is treated as recurrent expenditure in this chapter. Expenditure relating to funding sources other than government (such as parent contributions and fees) are excluded. </w:t>
            </w:r>
          </w:p>
          <w:p w:rsidR="00EC4AB8" w:rsidRPr="00EC4AB8" w:rsidRDefault="00EC4AB8" w:rsidP="00D95E3D">
            <w:pPr>
              <w:pStyle w:val="BoxHeading2"/>
              <w:spacing w:before="160"/>
            </w:pPr>
            <w:r w:rsidRPr="00EC4AB8">
              <w:t>Sources of data — government recurrent expenditure on government schools</w:t>
            </w:r>
          </w:p>
          <w:p w:rsidR="00EC4AB8" w:rsidRPr="00EC4AB8" w:rsidRDefault="00EC4AB8" w:rsidP="00D95E3D">
            <w:pPr>
              <w:keepNext/>
              <w:spacing w:before="80" w:line="280" w:lineRule="atLeast"/>
              <w:jc w:val="both"/>
              <w:rPr>
                <w:rFonts w:ascii="Arial" w:hAnsi="Arial"/>
                <w:sz w:val="22"/>
                <w:szCs w:val="20"/>
              </w:rPr>
            </w:pPr>
            <w:r w:rsidRPr="00EC4AB8">
              <w:rPr>
                <w:rFonts w:ascii="Arial" w:hAnsi="Arial"/>
                <w:sz w:val="22"/>
                <w:szCs w:val="20"/>
              </w:rPr>
              <w:t>Total recurrent expenditure on government schools is unpublished data sourced from the National Schools Statistical Collection, under the auspices of the SCSEEC:</w:t>
            </w:r>
          </w:p>
          <w:p w:rsidR="00EC4AB8" w:rsidRPr="00EC4AB8" w:rsidRDefault="00EC4AB8" w:rsidP="00D95E3D">
            <w:pPr>
              <w:pStyle w:val="BoxListBullet"/>
              <w:spacing w:before="40"/>
            </w:pPr>
            <w:r w:rsidRPr="00EC4AB8">
              <w:t>Each State and Territory government reports to the SCSEEC on its expenditure on government schools (see table 4A.</w:t>
            </w:r>
            <w:r w:rsidR="0013774C">
              <w:t>10</w:t>
            </w:r>
            <w:r w:rsidRPr="00EC4AB8">
              <w:t>)</w:t>
            </w:r>
            <w:r w:rsidR="00DE74EC">
              <w:t>.</w:t>
            </w:r>
          </w:p>
          <w:p w:rsidR="00EC4AB8" w:rsidRPr="00EC4AB8" w:rsidRDefault="00EC4AB8" w:rsidP="00D95E3D">
            <w:pPr>
              <w:pStyle w:val="BoxListBullet"/>
              <w:spacing w:before="40"/>
            </w:pPr>
            <w:r w:rsidRPr="00EC4AB8">
              <w:t>The Australian Government reports its allocation to each State and Territory for government schools, consistent with Treasury Final Budget Outcomes (including the National Schools SPP and a range of National Partnerships (NP) payments (see table 4A.</w:t>
            </w:r>
            <w:r w:rsidR="0013774C">
              <w:t>9</w:t>
            </w:r>
            <w:r w:rsidRPr="00EC4AB8">
              <w:t xml:space="preserve">). </w:t>
            </w:r>
          </w:p>
          <w:p w:rsidR="00EC4AB8" w:rsidRPr="00EC4AB8" w:rsidRDefault="00EC4AB8" w:rsidP="00D95E3D">
            <w:pPr>
              <w:pStyle w:val="BoxListBullet"/>
              <w:spacing w:before="40"/>
            </w:pPr>
            <w:r w:rsidRPr="00EC4AB8">
              <w:t>To avoid double counting, Australian Government allocations are subtracted from the State and Territory expenditure to identify ‘net’ State and Territory government expenditure (table</w:t>
            </w:r>
            <w:r w:rsidR="0013774C">
              <w:t>s</w:t>
            </w:r>
            <w:r w:rsidRPr="00EC4AB8">
              <w:t> 4A.7</w:t>
            </w:r>
            <w:r w:rsidR="0013774C">
              <w:t xml:space="preserve"> and 4A.8</w:t>
            </w:r>
            <w:r w:rsidRPr="00EC4AB8">
              <w:t xml:space="preserve">). </w:t>
            </w:r>
          </w:p>
          <w:p w:rsidR="004249F1" w:rsidRPr="00EC4AB8" w:rsidRDefault="004249F1" w:rsidP="004249F1">
            <w:pPr>
              <w:keepNext/>
              <w:spacing w:before="120" w:line="280" w:lineRule="atLeast"/>
              <w:jc w:val="both"/>
              <w:rPr>
                <w:rFonts w:ascii="Arial" w:hAnsi="Arial"/>
                <w:sz w:val="22"/>
                <w:szCs w:val="20"/>
              </w:rPr>
            </w:pPr>
            <w:r w:rsidRPr="00EC4AB8">
              <w:rPr>
                <w:rFonts w:ascii="Arial" w:hAnsi="Arial"/>
                <w:sz w:val="22"/>
                <w:szCs w:val="20"/>
              </w:rPr>
              <w:t>The SCSEEC provides unpublished data on the user cost of capital for government schools, imputed as 8 per cent of the written down value of assets (table 4A.1</w:t>
            </w:r>
            <w:r w:rsidR="0013774C">
              <w:rPr>
                <w:rFonts w:ascii="Arial" w:hAnsi="Arial"/>
                <w:sz w:val="22"/>
                <w:szCs w:val="20"/>
              </w:rPr>
              <w:t>9</w:t>
            </w:r>
            <w:r w:rsidRPr="00EC4AB8">
              <w:rPr>
                <w:rFonts w:ascii="Arial" w:hAnsi="Arial"/>
                <w:sz w:val="22"/>
                <w:szCs w:val="20"/>
              </w:rPr>
              <w:t xml:space="preserve">). </w:t>
            </w:r>
          </w:p>
          <w:p w:rsidR="00EC4AB8" w:rsidRPr="00EC4AB8" w:rsidRDefault="00EC4AB8" w:rsidP="00D95E3D">
            <w:pPr>
              <w:pStyle w:val="BoxHeading2"/>
              <w:spacing w:before="160"/>
            </w:pPr>
            <w:r w:rsidRPr="00EC4AB8">
              <w:t>Sources of data — government recurrent expenditure on non-government schools.</w:t>
            </w:r>
          </w:p>
          <w:p w:rsidR="00EC4AB8" w:rsidRPr="00EC4AB8" w:rsidRDefault="00EC4AB8" w:rsidP="00D95E3D">
            <w:pPr>
              <w:keepNext/>
              <w:spacing w:before="80" w:line="280" w:lineRule="atLeast"/>
              <w:jc w:val="both"/>
              <w:rPr>
                <w:rFonts w:ascii="Arial" w:hAnsi="Arial"/>
                <w:sz w:val="22"/>
                <w:szCs w:val="20"/>
              </w:rPr>
            </w:pPr>
            <w:r w:rsidRPr="00EC4AB8">
              <w:rPr>
                <w:rFonts w:ascii="Arial" w:hAnsi="Arial"/>
                <w:sz w:val="22"/>
                <w:szCs w:val="20"/>
              </w:rPr>
              <w:t>Total recurrent expenditure on non-government schools is a combination of unpublished data from the NSSC and unpublished data sourced directly from State and Territory governments:</w:t>
            </w:r>
          </w:p>
          <w:p w:rsidR="00EC4AB8" w:rsidRPr="00EC4AB8" w:rsidRDefault="00EC4AB8" w:rsidP="00D95E3D">
            <w:pPr>
              <w:pStyle w:val="BoxListBullet"/>
              <w:spacing w:before="40"/>
            </w:pPr>
            <w:r w:rsidRPr="00EC4AB8">
              <w:t>Each State and Territory government provides unpublished data on its contributions to non-government schools (table</w:t>
            </w:r>
            <w:r w:rsidR="0013774C">
              <w:t>s</w:t>
            </w:r>
            <w:r w:rsidRPr="00EC4AB8">
              <w:t xml:space="preserve"> 4A.7</w:t>
            </w:r>
            <w:r w:rsidR="0013774C">
              <w:t xml:space="preserve"> and 4A.8</w:t>
            </w:r>
            <w:r w:rsidRPr="00EC4AB8">
              <w:t xml:space="preserve">). </w:t>
            </w:r>
          </w:p>
          <w:p w:rsidR="00EC4AB8" w:rsidRPr="00EC4AB8" w:rsidRDefault="00EC4AB8" w:rsidP="00D95E3D">
            <w:pPr>
              <w:pStyle w:val="BoxListBullet"/>
              <w:spacing w:before="40"/>
            </w:pPr>
            <w:r w:rsidRPr="00EC4AB8">
              <w:t>The Australian Government reports its allocation to each State and Territory for non</w:t>
            </w:r>
            <w:r w:rsidR="00D95E3D">
              <w:noBreakHyphen/>
            </w:r>
            <w:r w:rsidRPr="00EC4AB8">
              <w:t xml:space="preserve">government schools, consistent with Treasury Final Budget Outcomes (including the National Schools SPP and a </w:t>
            </w:r>
            <w:r w:rsidR="00DE74EC">
              <w:t>range of National Partnerships [</w:t>
            </w:r>
            <w:r w:rsidRPr="00EC4AB8">
              <w:t>NP</w:t>
            </w:r>
            <w:r w:rsidR="00DE74EC">
              <w:t>] payments [</w:t>
            </w:r>
            <w:r w:rsidRPr="00EC4AB8">
              <w:t>see table 4A.</w:t>
            </w:r>
            <w:r w:rsidR="0013774C">
              <w:t>9</w:t>
            </w:r>
            <w:r w:rsidR="00DE74EC">
              <w:t>]</w:t>
            </w:r>
            <w:r w:rsidRPr="00EC4AB8">
              <w:t xml:space="preserve">). </w:t>
            </w:r>
          </w:p>
          <w:p w:rsidR="00EC4AB8" w:rsidRPr="00EC4AB8" w:rsidRDefault="00EC4AB8" w:rsidP="00D95E3D">
            <w:pPr>
              <w:pStyle w:val="BoxListBullet"/>
              <w:spacing w:before="40"/>
            </w:pPr>
            <w:r w:rsidRPr="00EC4AB8">
              <w:t>Together these comprise total government recurrent expenditure on non</w:t>
            </w:r>
            <w:r w:rsidRPr="00EC4AB8">
              <w:noBreakHyphen/>
              <w:t>government schools (table</w:t>
            </w:r>
            <w:r w:rsidR="0013774C">
              <w:t>s</w:t>
            </w:r>
            <w:r w:rsidRPr="00EC4AB8">
              <w:t xml:space="preserve"> 4A.7</w:t>
            </w:r>
            <w:r w:rsidR="0013774C">
              <w:t xml:space="preserve"> and 4A.8</w:t>
            </w:r>
            <w:r w:rsidRPr="00EC4AB8">
              <w:t>).</w:t>
            </w:r>
          </w:p>
          <w:p w:rsidR="00EC4AB8" w:rsidRPr="00EC4AB8" w:rsidRDefault="00EC4AB8" w:rsidP="00D95E3D">
            <w:pPr>
              <w:keepNext/>
              <w:spacing w:before="80" w:line="280" w:lineRule="atLeast"/>
              <w:jc w:val="both"/>
              <w:rPr>
                <w:rFonts w:ascii="Arial" w:hAnsi="Arial"/>
                <w:sz w:val="22"/>
                <w:szCs w:val="20"/>
              </w:rPr>
            </w:pPr>
            <w:r w:rsidRPr="00EC4AB8">
              <w:rPr>
                <w:rFonts w:ascii="Arial" w:hAnsi="Arial"/>
                <w:sz w:val="22"/>
                <w:szCs w:val="20"/>
              </w:rPr>
              <w:t>Table</w:t>
            </w:r>
            <w:r w:rsidR="0013774C">
              <w:rPr>
                <w:rFonts w:ascii="Arial" w:hAnsi="Arial"/>
                <w:sz w:val="22"/>
                <w:szCs w:val="20"/>
              </w:rPr>
              <w:t>s</w:t>
            </w:r>
            <w:r w:rsidRPr="00EC4AB8">
              <w:rPr>
                <w:rFonts w:ascii="Arial" w:hAnsi="Arial"/>
                <w:sz w:val="22"/>
                <w:szCs w:val="20"/>
              </w:rPr>
              <w:t xml:space="preserve"> 4A.7</w:t>
            </w:r>
            <w:r w:rsidR="0013774C">
              <w:rPr>
                <w:rFonts w:ascii="Arial" w:hAnsi="Arial"/>
                <w:sz w:val="22"/>
                <w:szCs w:val="20"/>
              </w:rPr>
              <w:t xml:space="preserve">–8 </w:t>
            </w:r>
            <w:r w:rsidRPr="00EC4AB8">
              <w:rPr>
                <w:rFonts w:ascii="Arial" w:hAnsi="Arial"/>
                <w:sz w:val="22"/>
                <w:szCs w:val="20"/>
              </w:rPr>
              <w:t xml:space="preserve">also include expenditure </w:t>
            </w:r>
            <w:r>
              <w:rPr>
                <w:rFonts w:ascii="Arial" w:hAnsi="Arial"/>
                <w:sz w:val="22"/>
                <w:szCs w:val="20"/>
              </w:rPr>
              <w:t xml:space="preserve">data from government sources </w:t>
            </w:r>
            <w:r w:rsidRPr="00EC4AB8">
              <w:rPr>
                <w:rFonts w:ascii="Arial" w:hAnsi="Arial"/>
                <w:sz w:val="22"/>
                <w:szCs w:val="20"/>
              </w:rPr>
              <w:t xml:space="preserve">for all schools. </w:t>
            </w:r>
          </w:p>
          <w:p w:rsidR="00EC4AB8" w:rsidRPr="00EC4AB8" w:rsidRDefault="00EC4AB8" w:rsidP="00D95E3D">
            <w:pPr>
              <w:keepNext/>
              <w:spacing w:before="160" w:line="280" w:lineRule="atLeast"/>
              <w:jc w:val="both"/>
              <w:rPr>
                <w:rFonts w:ascii="Arial" w:hAnsi="Arial"/>
                <w:i/>
                <w:sz w:val="22"/>
                <w:szCs w:val="20"/>
              </w:rPr>
            </w:pPr>
            <w:r w:rsidRPr="00EC4AB8">
              <w:rPr>
                <w:rFonts w:ascii="Arial" w:hAnsi="Arial"/>
                <w:i/>
                <w:sz w:val="22"/>
                <w:szCs w:val="20"/>
              </w:rPr>
              <w:t>Derivation of performance indicators</w:t>
            </w:r>
          </w:p>
          <w:p w:rsidR="008A2153" w:rsidRPr="00EC4AB8" w:rsidRDefault="00EC4AB8" w:rsidP="004A253D">
            <w:pPr>
              <w:pStyle w:val="Box"/>
              <w:spacing w:before="80"/>
            </w:pPr>
            <w:r w:rsidRPr="00EC4AB8">
              <w:t>Expenditure in the various categories identified above is divided by the numbers of FTE students to derive measures of cost per FTE student (tables 4A.1</w:t>
            </w:r>
            <w:r w:rsidR="0013774C">
              <w:t>2</w:t>
            </w:r>
            <w:r w:rsidR="004A253D">
              <w:t>–</w:t>
            </w:r>
            <w:r w:rsidRPr="00EC4AB8">
              <w:t>1</w:t>
            </w:r>
            <w:r w:rsidR="0013774C">
              <w:t>8</w:t>
            </w:r>
            <w:r w:rsidRPr="00EC4AB8">
              <w:t xml:space="preserve"> and figures 4.16–19). The numbers of FTE students (table 4A.6) are drawn from the ABS publication </w:t>
            </w:r>
            <w:r w:rsidRPr="00251546">
              <w:rPr>
                <w:i/>
              </w:rPr>
              <w:t>Schools Australia 201</w:t>
            </w:r>
            <w:r w:rsidR="00A75C27">
              <w:rPr>
                <w:i/>
              </w:rPr>
              <w:t xml:space="preserve">2 </w:t>
            </w:r>
            <w:r w:rsidR="00D95E3D">
              <w:t>(</w:t>
            </w:r>
            <w:r w:rsidR="00AC290D">
              <w:t>ABS 2013</w:t>
            </w:r>
            <w:r w:rsidR="00D95E3D">
              <w:t xml:space="preserve">) </w:t>
            </w:r>
            <w:r w:rsidRPr="00EC4AB8">
              <w:t>and averaged over two calendar years to match the financial year expenditure data.</w:t>
            </w:r>
          </w:p>
        </w:tc>
      </w:tr>
      <w:tr w:rsidR="00251546" w:rsidTr="00D95E3D">
        <w:trPr>
          <w:cantSplit/>
        </w:trPr>
        <w:tc>
          <w:tcPr>
            <w:tcW w:w="8771" w:type="dxa"/>
            <w:tcBorders>
              <w:top w:val="nil"/>
              <w:left w:val="single" w:sz="6" w:space="0" w:color="auto"/>
              <w:bottom w:val="single" w:sz="4" w:space="0" w:color="auto"/>
              <w:right w:val="single" w:sz="6" w:space="0" w:color="auto"/>
            </w:tcBorders>
          </w:tcPr>
          <w:p w:rsidR="00251546" w:rsidRPr="00EC4AB8" w:rsidRDefault="00251546" w:rsidP="00D95E3D">
            <w:pPr>
              <w:keepNext/>
              <w:spacing w:before="40" w:line="280" w:lineRule="atLeast"/>
              <w:jc w:val="right"/>
              <w:rPr>
                <w:rFonts w:ascii="Arial" w:hAnsi="Arial"/>
                <w:sz w:val="22"/>
                <w:szCs w:val="20"/>
              </w:rPr>
            </w:pPr>
            <w:r w:rsidRPr="00666ECE">
              <w:rPr>
                <w:rFonts w:ascii="Arial" w:hAnsi="Arial"/>
                <w:sz w:val="18"/>
                <w:szCs w:val="20"/>
              </w:rPr>
              <w:t>(Continued next page)</w:t>
            </w:r>
          </w:p>
        </w:tc>
      </w:tr>
    </w:tbl>
    <w:p w:rsidR="00D95E3D" w:rsidRDefault="00D95E3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04D51">
        <w:tc>
          <w:tcPr>
            <w:tcW w:w="8771" w:type="dxa"/>
            <w:tcBorders>
              <w:top w:val="single" w:sz="6" w:space="0" w:color="auto"/>
              <w:bottom w:val="nil"/>
            </w:tcBorders>
          </w:tcPr>
          <w:p w:rsidR="00204D51" w:rsidRPr="0063025F" w:rsidRDefault="00204D51" w:rsidP="00686364">
            <w:pPr>
              <w:pStyle w:val="BoxTitle"/>
            </w:pPr>
            <w:r w:rsidRPr="0063025F">
              <w:rPr>
                <w:b w:val="0"/>
              </w:rPr>
              <w:t xml:space="preserve">Box </w:t>
            </w:r>
            <w:r w:rsidR="00BC56E7" w:rsidRPr="0063025F">
              <w:rPr>
                <w:b w:val="0"/>
              </w:rPr>
              <w:t>4.</w:t>
            </w:r>
            <w:r w:rsidRPr="0063025F">
              <w:rPr>
                <w:b w:val="0"/>
              </w:rPr>
              <w:t xml:space="preserve">4 </w:t>
            </w:r>
            <w:r w:rsidRPr="00B64D68">
              <w:rPr>
                <w:b w:val="0"/>
                <w:sz w:val="18"/>
                <w:szCs w:val="18"/>
              </w:rPr>
              <w:t>(continued)</w:t>
            </w:r>
          </w:p>
        </w:tc>
      </w:tr>
      <w:tr w:rsidR="00204D51" w:rsidTr="00D26BF4">
        <w:trPr>
          <w:cantSplit/>
        </w:trPr>
        <w:tc>
          <w:tcPr>
            <w:tcW w:w="8771" w:type="dxa"/>
            <w:tcBorders>
              <w:top w:val="nil"/>
              <w:left w:val="single" w:sz="6" w:space="0" w:color="auto"/>
              <w:bottom w:val="nil"/>
              <w:right w:val="single" w:sz="6" w:space="0" w:color="auto"/>
            </w:tcBorders>
          </w:tcPr>
          <w:p w:rsidR="00204D51" w:rsidRDefault="00204D51" w:rsidP="00686364">
            <w:pPr>
              <w:pStyle w:val="BoxHeading2"/>
              <w:spacing w:before="120"/>
            </w:pPr>
            <w:r>
              <w:t xml:space="preserve">Legislative framework </w:t>
            </w:r>
          </w:p>
          <w:p w:rsidR="00E91B74" w:rsidRPr="00D94D81" w:rsidRDefault="00204D51" w:rsidP="00E91B74">
            <w:pPr>
              <w:pStyle w:val="Box"/>
            </w:pPr>
            <w:r w:rsidRPr="00D94D81">
              <w:t>In 2009 COAG agreed to a new framework for federal financial relations. The major element of Australian Government funding is provided through the National Schools SPP under the I</w:t>
            </w:r>
            <w:r w:rsidR="00416E33" w:rsidRPr="00D94D81">
              <w:t>ntergovernmental Agreement</w:t>
            </w:r>
            <w:r w:rsidRPr="00D94D81">
              <w:t xml:space="preserve"> on Federal Financial Relations</w:t>
            </w:r>
            <w:r w:rsidR="00DE74EC">
              <w:t>,</w:t>
            </w:r>
            <w:r w:rsidR="00686364" w:rsidRPr="00D94D81">
              <w:t xml:space="preserve"> and</w:t>
            </w:r>
            <w:r w:rsidRPr="00D94D81">
              <w:t xml:space="preserve"> State and Territory government</w:t>
            </w:r>
            <w:r w:rsidR="00686364" w:rsidRPr="00D94D81">
              <w:t>s</w:t>
            </w:r>
            <w:r w:rsidRPr="00D94D81">
              <w:t xml:space="preserve"> have discretion as to how to apply the National Schools SPP to achieve the agreed outcomes.</w:t>
            </w:r>
            <w:r w:rsidR="00E91B74" w:rsidRPr="00D94D81">
              <w:t xml:space="preserve"> </w:t>
            </w:r>
            <w:r w:rsidRPr="00D94D81">
              <w:t xml:space="preserve">The non-government schools funding component of the National Schools SPP is determined by the </w:t>
            </w:r>
            <w:r w:rsidRPr="00D94D81">
              <w:rPr>
                <w:i/>
              </w:rPr>
              <w:t>Schools Assistance Act 2008.</w:t>
            </w:r>
            <w:r w:rsidR="00686364" w:rsidRPr="00D94D81">
              <w:rPr>
                <w:i/>
              </w:rPr>
              <w:t xml:space="preserve"> </w:t>
            </w:r>
            <w:r w:rsidR="00E91B74" w:rsidRPr="00D94D81">
              <w:t>States and territories fund school education under their own legislation.</w:t>
            </w:r>
          </w:p>
          <w:p w:rsidR="00204D51" w:rsidRPr="00D94D81" w:rsidRDefault="00204D51" w:rsidP="00204D51">
            <w:pPr>
              <w:pStyle w:val="BoxHeading2"/>
            </w:pPr>
            <w:r w:rsidRPr="00D94D81">
              <w:t>Changes in recurrent expenditure between years</w:t>
            </w:r>
            <w:r w:rsidR="008A6C2C" w:rsidRPr="00D94D81">
              <w:t xml:space="preserve"> — Australian Government</w:t>
            </w:r>
          </w:p>
          <w:p w:rsidR="00976D0E" w:rsidRPr="00BF138B" w:rsidRDefault="00204D51" w:rsidP="00104AF2">
            <w:pPr>
              <w:pStyle w:val="Box"/>
              <w:shd w:val="clear" w:color="auto" w:fill="FFFFFF" w:themeFill="background1"/>
            </w:pPr>
            <w:r w:rsidRPr="00BF138B">
              <w:t xml:space="preserve">Average Government School Recurrent Costs (AGSRC) </w:t>
            </w:r>
            <w:r w:rsidR="00BF138B" w:rsidRPr="00BF138B">
              <w:t>is</w:t>
            </w:r>
            <w:r w:rsidRPr="00BF138B">
              <w:t xml:space="preserve"> the benchmark for </w:t>
            </w:r>
            <w:r w:rsidR="00E161F4" w:rsidRPr="00BF138B">
              <w:t xml:space="preserve">Australian Government </w:t>
            </w:r>
            <w:r w:rsidRPr="00BF138B">
              <w:t>recurrent funding levels</w:t>
            </w:r>
            <w:r w:rsidR="00E161F4" w:rsidRPr="00BF138B">
              <w:t xml:space="preserve"> for both government and non-government schools</w:t>
            </w:r>
            <w:r w:rsidRPr="00BF138B">
              <w:t xml:space="preserve">. </w:t>
            </w:r>
          </w:p>
          <w:p w:rsidR="00BC56E7" w:rsidRPr="00104AF2" w:rsidRDefault="00976D0E" w:rsidP="00104AF2">
            <w:pPr>
              <w:pStyle w:val="Box"/>
              <w:shd w:val="clear" w:color="auto" w:fill="FFFFFF" w:themeFill="background1"/>
            </w:pPr>
            <w:r w:rsidRPr="00104AF2">
              <w:t xml:space="preserve">The primary and secondary AGSRC amounts are </w:t>
            </w:r>
            <w:r w:rsidR="00E161F4" w:rsidRPr="00104AF2">
              <w:t xml:space="preserve">the </w:t>
            </w:r>
            <w:r w:rsidRPr="00104AF2">
              <w:t>national averages based on total recurrent State and Territory expenditure per government student</w:t>
            </w:r>
            <w:r w:rsidR="00E161F4" w:rsidRPr="00104AF2">
              <w:t xml:space="preserve">, </w:t>
            </w:r>
            <w:r w:rsidR="001E15A3" w:rsidRPr="00457C8A">
              <w:t>for</w:t>
            </w:r>
            <w:r w:rsidRPr="00457C8A">
              <w:t xml:space="preserve"> e</w:t>
            </w:r>
            <w:r w:rsidRPr="00104AF2">
              <w:t xml:space="preserve">xpenditure data submitted to SCSEEC. Capital-related costs such as user cost of capital and depreciation </w:t>
            </w:r>
            <w:r w:rsidRPr="00104AF2">
              <w:rPr>
                <w:shd w:val="clear" w:color="auto" w:fill="FFFFFF" w:themeFill="background1"/>
              </w:rPr>
              <w:t>are excluded</w:t>
            </w:r>
            <w:r w:rsidR="001E15A3" w:rsidRPr="00104AF2">
              <w:rPr>
                <w:shd w:val="clear" w:color="auto" w:fill="FFFFFF" w:themeFill="background1"/>
              </w:rPr>
              <w:t xml:space="preserve"> from AGSRC</w:t>
            </w:r>
            <w:r w:rsidRPr="00104AF2">
              <w:rPr>
                <w:shd w:val="clear" w:color="auto" w:fill="FFFFFF" w:themeFill="background1"/>
              </w:rPr>
              <w:t>, and accrual expenses are also adjusted to a cash basis</w:t>
            </w:r>
            <w:r w:rsidR="00E161F4" w:rsidRPr="00104AF2">
              <w:rPr>
                <w:shd w:val="clear" w:color="auto" w:fill="FFFFFF" w:themeFill="background1"/>
              </w:rPr>
              <w:t>.</w:t>
            </w:r>
            <w:r w:rsidRPr="00104AF2">
              <w:rPr>
                <w:shd w:val="clear" w:color="auto" w:fill="FFFFFF" w:themeFill="background1"/>
              </w:rPr>
              <w:t xml:space="preserve"> These AGSRC </w:t>
            </w:r>
            <w:r w:rsidR="00457C8A">
              <w:rPr>
                <w:shd w:val="clear" w:color="auto" w:fill="FFFFFF" w:themeFill="background1"/>
              </w:rPr>
              <w:t xml:space="preserve">amounts </w:t>
            </w:r>
            <w:r w:rsidRPr="00104AF2">
              <w:rPr>
                <w:shd w:val="clear" w:color="auto" w:fill="FFFFFF" w:themeFill="background1"/>
              </w:rPr>
              <w:t>are changed annually to reflect movements in the data.</w:t>
            </w:r>
          </w:p>
          <w:p w:rsidR="00204D51" w:rsidRPr="00D62FAA" w:rsidRDefault="00BC56E7" w:rsidP="00104AF2">
            <w:pPr>
              <w:pStyle w:val="Box"/>
              <w:shd w:val="clear" w:color="auto" w:fill="FFFFFF" w:themeFill="background1"/>
            </w:pPr>
            <w:r w:rsidRPr="00104AF2">
              <w:t>F</w:t>
            </w:r>
            <w:r w:rsidR="0057289C" w:rsidRPr="00104AF2">
              <w:t>or government</w:t>
            </w:r>
            <w:r w:rsidR="0057289C" w:rsidRPr="00D62FAA">
              <w:t xml:space="preserve"> schools, a</w:t>
            </w:r>
            <w:r w:rsidR="00372941" w:rsidRPr="00D62FAA">
              <w:t>nnual c</w:t>
            </w:r>
            <w:r w:rsidR="00204D51" w:rsidRPr="00D62FAA">
              <w:t xml:space="preserve">hanges in Australian </w:t>
            </w:r>
            <w:r w:rsidR="00BF138B">
              <w:t>G</w:t>
            </w:r>
            <w:r w:rsidR="00204D51" w:rsidRPr="00D62FAA">
              <w:t xml:space="preserve">overnment recurrent payments </w:t>
            </w:r>
            <w:r w:rsidRPr="00D62FAA">
              <w:t>reflect</w:t>
            </w:r>
            <w:r w:rsidR="00204D51" w:rsidRPr="00D62FAA">
              <w:t xml:space="preserve"> the changes to th</w:t>
            </w:r>
            <w:r w:rsidR="000B2CA3" w:rsidRPr="00D62FAA">
              <w:t xml:space="preserve">e AGSRC and the changes in full </w:t>
            </w:r>
            <w:r w:rsidR="00204D51" w:rsidRPr="00D62FAA">
              <w:t>time equivalent enrolments in government schools. These payments are included in the National Schools SPP</w:t>
            </w:r>
            <w:r w:rsidR="00457C8A">
              <w:t xml:space="preserve"> </w:t>
            </w:r>
            <w:r w:rsidR="008A6C2C" w:rsidRPr="00D62FAA">
              <w:t>allocated to states and territories</w:t>
            </w:r>
            <w:r w:rsidR="00204D51" w:rsidRPr="00D62FAA">
              <w:t xml:space="preserve">. </w:t>
            </w:r>
          </w:p>
          <w:p w:rsidR="001E15A3" w:rsidRDefault="0057289C" w:rsidP="00104AF2">
            <w:pPr>
              <w:pStyle w:val="Box"/>
              <w:shd w:val="clear" w:color="auto" w:fill="FFFFFF" w:themeFill="background1"/>
            </w:pPr>
            <w:r w:rsidRPr="00D94D81">
              <w:t xml:space="preserve">For non-government schools, </w:t>
            </w:r>
            <w:r w:rsidR="00204D51" w:rsidRPr="00D94D81">
              <w:t xml:space="preserve">Australian Government recurrent </w:t>
            </w:r>
            <w:r w:rsidRPr="00D94D81">
              <w:t>payments are</w:t>
            </w:r>
            <w:r w:rsidR="00204D51" w:rsidRPr="00D94D81">
              <w:t xml:space="preserve"> also based on </w:t>
            </w:r>
            <w:r w:rsidR="001E15A3">
              <w:t xml:space="preserve">enrolments and </w:t>
            </w:r>
            <w:r w:rsidR="00204D51" w:rsidRPr="00D94D81">
              <w:t xml:space="preserve">a proportion of AGSRC calculated for each school (taking account </w:t>
            </w:r>
            <w:r w:rsidR="00BC56E7" w:rsidRPr="00D94D81">
              <w:t xml:space="preserve">of </w:t>
            </w:r>
            <w:r w:rsidR="008A6C2C" w:rsidRPr="00D94D81">
              <w:t>the school’s</w:t>
            </w:r>
            <w:r w:rsidR="00204D51" w:rsidRPr="00D94D81">
              <w:t xml:space="preserve"> socio-economic status</w:t>
            </w:r>
            <w:r w:rsidR="008A6C2C" w:rsidRPr="00D94D81">
              <w:t xml:space="preserve"> based on student location and other funding arrangements</w:t>
            </w:r>
            <w:r w:rsidR="00204D51" w:rsidRPr="00D94D81">
              <w:t>). These payments are included in the National Schools SPP</w:t>
            </w:r>
            <w:r w:rsidR="009A7B9C">
              <w:t xml:space="preserve"> and</w:t>
            </w:r>
            <w:r w:rsidR="008A6C2C" w:rsidRPr="00D94D81">
              <w:t xml:space="preserve"> </w:t>
            </w:r>
            <w:r w:rsidR="001E15A3" w:rsidRPr="001E15A3">
              <w:t xml:space="preserve">are paid to non-government schools and systems through the </w:t>
            </w:r>
            <w:r w:rsidR="008A6C2C" w:rsidRPr="00D94D81">
              <w:t>states and territories</w:t>
            </w:r>
            <w:r w:rsidR="00204D51" w:rsidRPr="00D94D81">
              <w:t xml:space="preserve">. </w:t>
            </w:r>
          </w:p>
          <w:p w:rsidR="00204D51" w:rsidRPr="00D94D81" w:rsidRDefault="001E15A3" w:rsidP="00104AF2">
            <w:pPr>
              <w:pStyle w:val="Box"/>
              <w:shd w:val="clear" w:color="auto" w:fill="FFFFFF" w:themeFill="background1"/>
            </w:pPr>
            <w:r w:rsidRPr="001E15A3">
              <w:t>For both government and non-government schools, Australian Government National Partnership allocations are also used to calculate expenditure in this Report</w:t>
            </w:r>
            <w:r w:rsidR="00BC56E7" w:rsidRPr="00D94D81">
              <w:t>.</w:t>
            </w:r>
          </w:p>
          <w:p w:rsidR="008A6C2C" w:rsidRPr="00D94D81" w:rsidRDefault="008A6C2C" w:rsidP="00686364">
            <w:pPr>
              <w:pStyle w:val="BoxHeading2"/>
              <w:spacing w:before="120"/>
            </w:pPr>
            <w:r w:rsidRPr="00D94D81">
              <w:t xml:space="preserve">Changes in recurrent expenditure between years — State and </w:t>
            </w:r>
            <w:r w:rsidR="004B33CD" w:rsidRPr="00D94D81">
              <w:t>T</w:t>
            </w:r>
            <w:r w:rsidRPr="00D94D81">
              <w:t>erritory governments</w:t>
            </w:r>
          </w:p>
          <w:p w:rsidR="00204D51" w:rsidRPr="00D94D81" w:rsidRDefault="001E15A3" w:rsidP="00172535">
            <w:pPr>
              <w:pStyle w:val="Box"/>
            </w:pPr>
            <w:r w:rsidRPr="00104AF2">
              <w:rPr>
                <w:shd w:val="clear" w:color="auto" w:fill="FFFFFF" w:themeFill="background1"/>
              </w:rPr>
              <w:t xml:space="preserve">In general, state and territory government schools systems are funded based on a variety of formulas to determine a school’s recurrent or base allocation, with weightings and multipliers added for students facing disadvantage. For non-government schools, </w:t>
            </w:r>
            <w:r w:rsidR="00172535" w:rsidRPr="00104AF2">
              <w:rPr>
                <w:shd w:val="clear" w:color="auto" w:fill="FFFFFF" w:themeFill="background1"/>
              </w:rPr>
              <w:t>S</w:t>
            </w:r>
            <w:r w:rsidRPr="00104AF2">
              <w:rPr>
                <w:shd w:val="clear" w:color="auto" w:fill="FFFFFF" w:themeFill="background1"/>
              </w:rPr>
              <w:t xml:space="preserve">tate and </w:t>
            </w:r>
            <w:r w:rsidR="00172535" w:rsidRPr="00104AF2">
              <w:rPr>
                <w:shd w:val="clear" w:color="auto" w:fill="FFFFFF" w:themeFill="background1"/>
              </w:rPr>
              <w:t>T</w:t>
            </w:r>
            <w:r w:rsidRPr="00104AF2">
              <w:rPr>
                <w:shd w:val="clear" w:color="auto" w:fill="FFFFFF" w:themeFill="background1"/>
              </w:rPr>
              <w:t xml:space="preserve">erritory governments also provide funding for recurrent and targeted purposes, usually through per capita allocations. Indexation of costs is normally applied to these funding arrangements for both the government and non-government school sectors. Changes in overall funding by </w:t>
            </w:r>
            <w:r w:rsidR="00172535" w:rsidRPr="00104AF2">
              <w:rPr>
                <w:shd w:val="clear" w:color="auto" w:fill="FFFFFF" w:themeFill="background1"/>
              </w:rPr>
              <w:t>S</w:t>
            </w:r>
            <w:r w:rsidRPr="00104AF2">
              <w:rPr>
                <w:shd w:val="clear" w:color="auto" w:fill="FFFFFF" w:themeFill="background1"/>
              </w:rPr>
              <w:t xml:space="preserve">tate and </w:t>
            </w:r>
            <w:r w:rsidR="00172535" w:rsidRPr="00104AF2">
              <w:rPr>
                <w:shd w:val="clear" w:color="auto" w:fill="FFFFFF" w:themeFill="background1"/>
              </w:rPr>
              <w:t>T</w:t>
            </w:r>
            <w:r w:rsidRPr="00104AF2">
              <w:rPr>
                <w:shd w:val="clear" w:color="auto" w:fill="FFFFFF" w:themeFill="background1"/>
              </w:rPr>
              <w:t>erritory governments across years is affected by all these factors, including enrolment numbers, school size and location and staffing profiles.</w:t>
            </w:r>
          </w:p>
        </w:tc>
      </w:tr>
      <w:tr w:rsidR="00204D51" w:rsidTr="00D26BF4">
        <w:trPr>
          <w:cantSplit/>
        </w:trPr>
        <w:tc>
          <w:tcPr>
            <w:tcW w:w="8771" w:type="dxa"/>
            <w:tcBorders>
              <w:top w:val="nil"/>
              <w:left w:val="single" w:sz="6" w:space="0" w:color="auto"/>
              <w:bottom w:val="single" w:sz="4" w:space="0" w:color="auto"/>
              <w:right w:val="single" w:sz="6" w:space="0" w:color="auto"/>
            </w:tcBorders>
          </w:tcPr>
          <w:p w:rsidR="00204D51" w:rsidRDefault="00204D51" w:rsidP="003E2FC9">
            <w:pPr>
              <w:pStyle w:val="BoxSource"/>
              <w:spacing w:before="120" w:after="120"/>
            </w:pPr>
            <w:r w:rsidRPr="009738E5">
              <w:rPr>
                <w:i/>
              </w:rPr>
              <w:t>Source</w:t>
            </w:r>
            <w:r w:rsidRPr="009738E5">
              <w:t>: ACARA (201</w:t>
            </w:r>
            <w:r w:rsidR="009738E5" w:rsidRPr="009738E5">
              <w:t>2</w:t>
            </w:r>
            <w:r w:rsidR="003E2FC9">
              <w:t>a</w:t>
            </w:r>
            <w:r w:rsidRPr="009738E5">
              <w:t>)</w:t>
            </w:r>
            <w:r w:rsidR="001E15A3">
              <w:t>; Australian Government Department of Education (unpublished).</w:t>
            </w:r>
            <w:r w:rsidRPr="009738E5">
              <w:rPr>
                <w:i/>
              </w:rPr>
              <w:t xml:space="preserve"> </w:t>
            </w:r>
          </w:p>
        </w:tc>
      </w:tr>
    </w:tbl>
    <w:p w:rsidR="00666ECE" w:rsidRPr="00666ECE" w:rsidRDefault="00666ECE" w:rsidP="00B20B7A">
      <w:pPr>
        <w:pStyle w:val="BodyText"/>
        <w:rPr>
          <w:i/>
        </w:rPr>
      </w:pPr>
      <w:r w:rsidRPr="00666ECE">
        <w:rPr>
          <w:i/>
        </w:rPr>
        <w:lastRenderedPageBreak/>
        <w:t>Recurrent expenditure per student</w:t>
      </w:r>
    </w:p>
    <w:p w:rsidR="00666ECE" w:rsidRPr="00666ECE" w:rsidRDefault="00666ECE" w:rsidP="00666ECE">
      <w:pPr>
        <w:spacing w:before="240" w:line="320" w:lineRule="atLeast"/>
        <w:jc w:val="both"/>
        <w:rPr>
          <w:b/>
          <w:sz w:val="24"/>
          <w:szCs w:val="20"/>
          <w:u w:val="dotted"/>
        </w:rPr>
      </w:pPr>
      <w:r w:rsidRPr="00666ECE">
        <w:rPr>
          <w:szCs w:val="20"/>
        </w:rPr>
        <w:t>‘Recurrent expenditure per student’ is an indicator of governments’ objective to fund and/or provide education in an efficient manner (box 4.</w:t>
      </w:r>
      <w:r w:rsidR="00D26BF4">
        <w:rPr>
          <w:szCs w:val="20"/>
        </w:rPr>
        <w:t>5</w:t>
      </w:r>
      <w:r w:rsidRPr="00666ECE">
        <w:rPr>
          <w:szCs w:val="20"/>
        </w:rPr>
        <w:t xml:space="preserve">). </w:t>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5D7450">
        <w:tc>
          <w:tcPr>
            <w:tcW w:w="8771" w:type="dxa"/>
            <w:tcBorders>
              <w:top w:val="single" w:sz="6" w:space="0" w:color="auto"/>
              <w:bottom w:val="nil"/>
            </w:tcBorders>
          </w:tcPr>
          <w:p w:rsidR="00666ECE" w:rsidRPr="0063025F" w:rsidRDefault="00666ECE" w:rsidP="00604EA0">
            <w:pPr>
              <w:pStyle w:val="BoxTitle"/>
            </w:pPr>
            <w:r w:rsidRPr="007A7568">
              <w:rPr>
                <w:b w:val="0"/>
              </w:rPr>
              <w:t>Box</w:t>
            </w:r>
            <w:r w:rsidR="00BC56E7" w:rsidRPr="007A7568">
              <w:rPr>
                <w:b w:val="0"/>
              </w:rPr>
              <w:t xml:space="preserve"> 4.5</w:t>
            </w:r>
            <w:r w:rsidRPr="0063025F">
              <w:tab/>
              <w:t>Recurrent expenditure per student</w:t>
            </w:r>
          </w:p>
        </w:tc>
      </w:tr>
      <w:tr w:rsidR="00666ECE" w:rsidRPr="00666ECE" w:rsidTr="005D7450">
        <w:trPr>
          <w:cantSplit/>
        </w:trPr>
        <w:tc>
          <w:tcPr>
            <w:tcW w:w="8771" w:type="dxa"/>
            <w:tcBorders>
              <w:top w:val="nil"/>
              <w:left w:val="single" w:sz="6" w:space="0" w:color="auto"/>
              <w:bottom w:val="nil"/>
              <w:right w:val="single" w:sz="4" w:space="0" w:color="auto"/>
            </w:tcBorders>
          </w:tcPr>
          <w:p w:rsidR="00666ECE" w:rsidRPr="00DE74EC" w:rsidRDefault="00666ECE" w:rsidP="00666ECE">
            <w:pPr>
              <w:keepNext/>
              <w:spacing w:before="120" w:line="280" w:lineRule="atLeast"/>
              <w:jc w:val="both"/>
              <w:rPr>
                <w:rStyle w:val="BoxChar"/>
              </w:rPr>
            </w:pPr>
            <w:r w:rsidRPr="00666ECE">
              <w:rPr>
                <w:rFonts w:ascii="Arial" w:hAnsi="Arial"/>
                <w:sz w:val="22"/>
                <w:szCs w:val="20"/>
              </w:rPr>
              <w:t>‘</w:t>
            </w:r>
            <w:r w:rsidRPr="00DE74EC">
              <w:rPr>
                <w:rStyle w:val="BoxChar"/>
              </w:rPr>
              <w:t>Recurrent expenditure per student’ is defined by two measures:</w:t>
            </w:r>
          </w:p>
          <w:p w:rsidR="00666ECE" w:rsidRPr="00666ECE" w:rsidRDefault="00666ECE" w:rsidP="00DE74EC">
            <w:pPr>
              <w:pStyle w:val="BoxListBullet"/>
            </w:pPr>
            <w:r w:rsidRPr="00666ECE">
              <w:t xml:space="preserve">government recurrent expenditure per FTE student, reported for government schools </w:t>
            </w:r>
            <w:r w:rsidR="004B33CD">
              <w:t xml:space="preserve">and disaggregated </w:t>
            </w:r>
            <w:r w:rsidRPr="00666ECE">
              <w:t>by in</w:t>
            </w:r>
            <w:r w:rsidRPr="00666ECE">
              <w:noBreakHyphen/>
              <w:t>school primary, in-school secondary, out-of-school services</w:t>
            </w:r>
            <w:r w:rsidR="004B33CD">
              <w:t>;</w:t>
            </w:r>
            <w:r w:rsidRPr="00666ECE">
              <w:t xml:space="preserve"> and for non-government schools</w:t>
            </w:r>
          </w:p>
          <w:p w:rsidR="00666ECE" w:rsidRPr="00666ECE" w:rsidRDefault="00666ECE" w:rsidP="00DE74EC">
            <w:pPr>
              <w:pStyle w:val="BoxListBullet"/>
            </w:pPr>
            <w:r w:rsidRPr="00666ECE">
              <w:t>government recurrent staff expenditure per FTE student in government schools. Expenditure on staff is the major component of spending on schools.</w:t>
            </w:r>
          </w:p>
          <w:p w:rsidR="00DE74EC" w:rsidRPr="00666ECE" w:rsidRDefault="00DE74EC" w:rsidP="00DE74EC">
            <w:pPr>
              <w:pStyle w:val="Box"/>
            </w:pPr>
            <w:r w:rsidRPr="00666ECE">
              <w:t xml:space="preserve">Both of these measures include user cost </w:t>
            </w:r>
            <w:r w:rsidRPr="0012710C">
              <w:t>of capital for government schools (</w:t>
            </w:r>
            <w:r w:rsidRPr="00666ECE">
              <w:t>box 4.</w:t>
            </w:r>
            <w:r>
              <w:t>6</w:t>
            </w:r>
            <w:r w:rsidRPr="00666ECE">
              <w:t>).</w:t>
            </w:r>
          </w:p>
          <w:p w:rsidR="00666ECE" w:rsidRPr="00666ECE" w:rsidRDefault="00666ECE" w:rsidP="00DE74EC">
            <w:pPr>
              <w:pStyle w:val="Box"/>
            </w:pPr>
            <w:r w:rsidRPr="00666ECE">
              <w:t xml:space="preserve">Holding other factors constant, a low or decreasing government recurrent expenditure or staff expenditure per FTE student may represent better or improved efficiency. </w:t>
            </w:r>
          </w:p>
          <w:p w:rsidR="00666ECE" w:rsidRPr="00666ECE" w:rsidRDefault="00666ECE" w:rsidP="00DE74EC">
            <w:pPr>
              <w:pStyle w:val="Box"/>
            </w:pPr>
            <w:r w:rsidRPr="00666ECE">
              <w:t>Care should be taken in interpretation of efficiency data</w:t>
            </w:r>
            <w:r w:rsidR="004B33CD">
              <w:t xml:space="preserve"> as</w:t>
            </w:r>
            <w:r w:rsidRPr="00666ECE">
              <w:t>:</w:t>
            </w:r>
          </w:p>
          <w:p w:rsidR="00666ECE" w:rsidRPr="00666ECE" w:rsidRDefault="00666ECE" w:rsidP="00DE74EC">
            <w:pPr>
              <w:pStyle w:val="BoxListBullet"/>
            </w:pPr>
            <w:r w:rsidRPr="00666ECE">
              <w:t xml:space="preserve">a number of factors beyond the control of governments, such as economies of scale, a high proportion of geographically remote students and/or a dispersed population, and migration across states and territories, may influence expenditure (see Commonwealth Grants Commission reference in chapter 1, section 1.5 for further details). This Report does not make any cost adjustments based on these or other factors </w:t>
            </w:r>
          </w:p>
          <w:p w:rsidR="00666ECE" w:rsidRPr="006216A4" w:rsidRDefault="00666ECE" w:rsidP="00DE74EC">
            <w:pPr>
              <w:pStyle w:val="BoxListBullet"/>
            </w:pPr>
            <w:r w:rsidRPr="00666ECE">
              <w:t>efficiency data should be interpreted within the context of the effectiveness and equity indicators to derive an holistic view of performance. While high or increasing expenditure per student may reflect deteriorating efficiency, it may also reflect changes in aspects of schooling (</w:t>
            </w:r>
            <w:r w:rsidRPr="006216A4">
              <w:t>increasing school leaving age, improving outcomes for Indigenous students and students from low socio</w:t>
            </w:r>
            <w:r w:rsidR="009131A4">
              <w:t>-</w:t>
            </w:r>
            <w:r w:rsidRPr="006216A4">
              <w:t>economic backgrounds, broader curricula or enhancing teacher quality), or the characteristics of the education environment (such as population dispersion)</w:t>
            </w:r>
          </w:p>
          <w:p w:rsidR="00666ECE" w:rsidRPr="006216A4" w:rsidRDefault="00666ECE" w:rsidP="00DE74EC">
            <w:pPr>
              <w:pStyle w:val="BoxListBullet"/>
            </w:pPr>
            <w:r w:rsidRPr="006216A4">
              <w:t xml:space="preserve">the staff expenditure per student measure is partial in nature, as it does not reflect the full cost per student. </w:t>
            </w:r>
            <w:r w:rsidR="008A2153" w:rsidRPr="006216A4">
              <w:t xml:space="preserve">The basis for allocation of numbers of staff between teaching and non-teaching roles and the allocation of staff expenditure may differ. </w:t>
            </w:r>
            <w:r w:rsidRPr="006216A4">
              <w:t xml:space="preserve">While high or increasing government expenditure on staff per student may reflect lower efficiency, it may also reflect improvements in teacher quality. </w:t>
            </w:r>
          </w:p>
          <w:p w:rsidR="001C174A" w:rsidRDefault="00BA1348" w:rsidP="00640DB6">
            <w:pPr>
              <w:keepNext/>
              <w:spacing w:before="120" w:line="280" w:lineRule="atLeast"/>
              <w:jc w:val="both"/>
              <w:rPr>
                <w:rFonts w:ascii="Arial" w:hAnsi="Arial"/>
                <w:sz w:val="22"/>
                <w:szCs w:val="20"/>
              </w:rPr>
            </w:pPr>
            <w:r w:rsidRPr="00BA1348">
              <w:rPr>
                <w:rFonts w:ascii="Arial" w:hAnsi="Arial"/>
                <w:sz w:val="22"/>
                <w:szCs w:val="20"/>
              </w:rPr>
              <w:t xml:space="preserve">Data reported for all measures in this indicator are </w:t>
            </w:r>
          </w:p>
          <w:p w:rsidR="001C174A" w:rsidRPr="00DE74EC" w:rsidRDefault="00BA1348" w:rsidP="00DE74EC">
            <w:pPr>
              <w:pStyle w:val="BoxListBullet"/>
            </w:pPr>
            <w:r w:rsidRPr="00DE74EC">
              <w:t>comparable (subject to caveats) acro</w:t>
            </w:r>
            <w:r w:rsidR="001C174A" w:rsidRPr="00DE74EC">
              <w:t>ss jurisdictions and over time</w:t>
            </w:r>
          </w:p>
          <w:p w:rsidR="00666ECE" w:rsidRPr="00DE74EC" w:rsidRDefault="00BA1348" w:rsidP="00DE74EC">
            <w:pPr>
              <w:pStyle w:val="BoxListBullet"/>
            </w:pPr>
            <w:r w:rsidRPr="00DE74EC">
              <w:t>complete for the current reporting period (subject to caveats). All required 2011-12 data are available for all jurisdictions providing the service.</w:t>
            </w:r>
          </w:p>
          <w:p w:rsidR="00666ECE" w:rsidRPr="00DE74EC" w:rsidRDefault="0057698F" w:rsidP="00DE74EC">
            <w:pPr>
              <w:pStyle w:val="Box"/>
            </w:pPr>
            <w:r w:rsidRPr="00DE74EC">
              <w:t xml:space="preserve">Information about data quality for this indicator is at </w:t>
            </w:r>
            <w:r w:rsidR="00A75C27" w:rsidRPr="00C77140">
              <w:t>www.pc.gov.au/gsp/reports/rogs/2014</w:t>
            </w:r>
            <w:r w:rsidRPr="00DE74EC">
              <w:t>.</w:t>
            </w: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color w:val="FF00FF"/>
                <w:sz w:val="14"/>
                <w:szCs w:val="20"/>
              </w:rPr>
            </w:pPr>
          </w:p>
        </w:tc>
      </w:tr>
    </w:tbl>
    <w:p w:rsidR="00666ECE" w:rsidRPr="009738E5" w:rsidRDefault="00666ECE" w:rsidP="00666ECE">
      <w:pPr>
        <w:spacing w:before="240" w:line="320" w:lineRule="atLeast"/>
        <w:jc w:val="both"/>
        <w:rPr>
          <w:szCs w:val="20"/>
        </w:rPr>
      </w:pPr>
      <w:r w:rsidRPr="00666ECE">
        <w:rPr>
          <w:szCs w:val="20"/>
        </w:rPr>
        <w:lastRenderedPageBreak/>
        <w:t xml:space="preserve">Nationally, </w:t>
      </w:r>
      <w:r w:rsidR="00326539">
        <w:rPr>
          <w:szCs w:val="20"/>
        </w:rPr>
        <w:t>in 201</w:t>
      </w:r>
      <w:r w:rsidR="00A75C27">
        <w:rPr>
          <w:szCs w:val="20"/>
        </w:rPr>
        <w:t>1</w:t>
      </w:r>
      <w:r w:rsidR="00326539">
        <w:rPr>
          <w:szCs w:val="20"/>
        </w:rPr>
        <w:t>-1</w:t>
      </w:r>
      <w:r w:rsidR="00A75C27">
        <w:rPr>
          <w:szCs w:val="20"/>
        </w:rPr>
        <w:t>2</w:t>
      </w:r>
      <w:r w:rsidR="00326539">
        <w:rPr>
          <w:szCs w:val="20"/>
        </w:rPr>
        <w:t xml:space="preserve">, </w:t>
      </w:r>
      <w:r w:rsidRPr="00666ECE">
        <w:rPr>
          <w:szCs w:val="20"/>
        </w:rPr>
        <w:t xml:space="preserve">in-school government expenditure per FTE student in government primary schools </w:t>
      </w:r>
      <w:r w:rsidRPr="009738E5">
        <w:rPr>
          <w:szCs w:val="20"/>
        </w:rPr>
        <w:t>was $</w:t>
      </w:r>
      <w:r w:rsidR="002B1D5E" w:rsidRPr="009738E5">
        <w:rPr>
          <w:szCs w:val="20"/>
        </w:rPr>
        <w:t>13</w:t>
      </w:r>
      <w:r w:rsidRPr="009738E5">
        <w:rPr>
          <w:szCs w:val="20"/>
        </w:rPr>
        <w:t> </w:t>
      </w:r>
      <w:r w:rsidR="009738E5" w:rsidRPr="009738E5">
        <w:rPr>
          <w:szCs w:val="20"/>
        </w:rPr>
        <w:t>734</w:t>
      </w:r>
      <w:r w:rsidRPr="009738E5">
        <w:rPr>
          <w:szCs w:val="20"/>
        </w:rPr>
        <w:t xml:space="preserve"> and in </w:t>
      </w:r>
      <w:r w:rsidRPr="00666ECE">
        <w:rPr>
          <w:szCs w:val="20"/>
        </w:rPr>
        <w:t xml:space="preserve">government secondary schools </w:t>
      </w:r>
      <w:r w:rsidRPr="009738E5">
        <w:rPr>
          <w:szCs w:val="20"/>
        </w:rPr>
        <w:t>was $</w:t>
      </w:r>
      <w:r w:rsidR="002B1D5E" w:rsidRPr="009738E5">
        <w:rPr>
          <w:szCs w:val="20"/>
        </w:rPr>
        <w:t>1</w:t>
      </w:r>
      <w:r w:rsidR="009738E5" w:rsidRPr="009738E5">
        <w:rPr>
          <w:szCs w:val="20"/>
        </w:rPr>
        <w:t>6</w:t>
      </w:r>
      <w:r w:rsidRPr="009738E5">
        <w:rPr>
          <w:szCs w:val="20"/>
        </w:rPr>
        <w:t> </w:t>
      </w:r>
      <w:r w:rsidR="002B1D5E" w:rsidRPr="009738E5">
        <w:rPr>
          <w:szCs w:val="20"/>
        </w:rPr>
        <w:t>9</w:t>
      </w:r>
      <w:r w:rsidR="009738E5" w:rsidRPr="009738E5">
        <w:rPr>
          <w:szCs w:val="20"/>
        </w:rPr>
        <w:t>65</w:t>
      </w:r>
      <w:r w:rsidRPr="009738E5">
        <w:rPr>
          <w:szCs w:val="20"/>
        </w:rPr>
        <w:t>. Out</w:t>
      </w:r>
      <w:r w:rsidRPr="009738E5">
        <w:rPr>
          <w:szCs w:val="20"/>
        </w:rPr>
        <w:noBreakHyphen/>
        <w:t>of</w:t>
      </w:r>
      <w:r w:rsidRPr="009738E5">
        <w:rPr>
          <w:szCs w:val="20"/>
        </w:rPr>
        <w:noBreakHyphen/>
        <w:t>school government expenditure per FTE student in all government schools was $</w:t>
      </w:r>
      <w:r w:rsidR="002B1D5E" w:rsidRPr="009738E5">
        <w:rPr>
          <w:szCs w:val="20"/>
        </w:rPr>
        <w:t>7</w:t>
      </w:r>
      <w:r w:rsidR="009738E5" w:rsidRPr="009738E5">
        <w:rPr>
          <w:szCs w:val="20"/>
        </w:rPr>
        <w:t>81</w:t>
      </w:r>
      <w:r w:rsidRPr="009738E5">
        <w:rPr>
          <w:szCs w:val="20"/>
        </w:rPr>
        <w:t xml:space="preserve"> in 201</w:t>
      </w:r>
      <w:r w:rsidR="00A75C27" w:rsidRPr="009738E5">
        <w:rPr>
          <w:szCs w:val="20"/>
        </w:rPr>
        <w:t>1</w:t>
      </w:r>
      <w:r w:rsidRPr="009738E5">
        <w:rPr>
          <w:szCs w:val="20"/>
        </w:rPr>
        <w:t>-1</w:t>
      </w:r>
      <w:r w:rsidR="00A75C27" w:rsidRPr="009738E5">
        <w:rPr>
          <w:szCs w:val="20"/>
        </w:rPr>
        <w:t>2</w:t>
      </w:r>
      <w:r w:rsidRPr="009738E5">
        <w:rPr>
          <w:szCs w:val="20"/>
        </w:rPr>
        <w:t xml:space="preserve"> (figure 4.16).</w:t>
      </w:r>
    </w:p>
    <w:p w:rsidR="00D26BF4" w:rsidRPr="005713CC" w:rsidRDefault="00D26BF4" w:rsidP="00604EA0">
      <w:pPr>
        <w:pStyle w:val="FigureTitle"/>
      </w:pPr>
      <w:r w:rsidRPr="007A7568">
        <w:rPr>
          <w:rFonts w:cs="Arial"/>
          <w:b w:val="0"/>
        </w:rPr>
        <w:t xml:space="preserve">Figure </w:t>
      </w:r>
      <w:r w:rsidR="00EB256F" w:rsidRPr="007A7568">
        <w:rPr>
          <w:rFonts w:cs="Arial"/>
          <w:b w:val="0"/>
        </w:rPr>
        <w:t>4.</w:t>
      </w:r>
      <w:r w:rsidR="00EC06F7" w:rsidRPr="007A7568">
        <w:rPr>
          <w:rFonts w:cs="Arial"/>
          <w:b w:val="0"/>
          <w:noProof/>
        </w:rPr>
        <w:t>16</w:t>
      </w:r>
      <w:r w:rsidRPr="0063025F">
        <w:tab/>
        <w:t>Government recurrent expenditure per FTE student, government schools, 201</w:t>
      </w:r>
      <w:r w:rsidR="00A75C27" w:rsidRPr="0063025F">
        <w:t>1-12</w:t>
      </w:r>
      <w:r w:rsidRPr="005713CC">
        <w:rPr>
          <w:bCs/>
          <w:position w:val="6"/>
          <w:sz w:val="18"/>
        </w:rPr>
        <w:t xml:space="preserve">a, </w:t>
      </w:r>
      <w:r w:rsidRPr="005713CC">
        <w:rPr>
          <w:position w:val="6"/>
          <w:sz w:val="18"/>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6BF4">
        <w:tc>
          <w:tcPr>
            <w:tcW w:w="8777" w:type="dxa"/>
          </w:tcPr>
          <w:p w:rsidR="00D26BF4" w:rsidRDefault="008B34BD">
            <w:pPr>
              <w:pStyle w:val="Figure"/>
            </w:pPr>
            <w:r>
              <w:rPr>
                <w:noProof/>
              </w:rPr>
              <w:drawing>
                <wp:inline distT="0" distB="0" distL="0" distR="0">
                  <wp:extent cx="5381625" cy="2647950"/>
                  <wp:effectExtent l="0" t="0" r="9525" b="0"/>
                  <wp:docPr id="17" name="Picture 17" descr="Figure 4.16 Government recurrent expenditure per FTE student, government schoo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See notes to table 4A.1</w:t>
      </w:r>
      <w:r w:rsidR="0013774C">
        <w:rPr>
          <w:rFonts w:ascii="Arial" w:hAnsi="Arial"/>
          <w:sz w:val="18"/>
          <w:szCs w:val="20"/>
        </w:rPr>
        <w:t>4</w:t>
      </w:r>
      <w:r w:rsidRPr="00666ECE">
        <w:rPr>
          <w:rFonts w:ascii="Arial" w:hAnsi="Arial"/>
          <w:sz w:val="18"/>
          <w:szCs w:val="20"/>
        </w:rPr>
        <w:t xml:space="preserve"> for definitions and data caveats. </w:t>
      </w:r>
      <w:r w:rsidRPr="00666ECE">
        <w:rPr>
          <w:rFonts w:ascii="Arial" w:hAnsi="Arial"/>
          <w:b/>
          <w:position w:val="6"/>
          <w:sz w:val="18"/>
          <w:szCs w:val="20"/>
        </w:rPr>
        <w:t>b</w:t>
      </w:r>
      <w:r w:rsidRPr="00666ECE">
        <w:rPr>
          <w:rFonts w:ascii="Arial" w:hAnsi="Arial"/>
          <w:sz w:val="18"/>
          <w:szCs w:val="20"/>
        </w:rPr>
        <w:t> Payroll tax estimates include notional payroll tax for WA and the ACT, which are payroll tax exempt.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A75C27">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A75C27">
        <w:rPr>
          <w:rFonts w:ascii="Arial" w:hAnsi="Arial"/>
          <w:i/>
          <w:sz w:val="18"/>
          <w:szCs w:val="20"/>
        </w:rPr>
        <w:t>2</w:t>
      </w:r>
      <w:r w:rsidRPr="00666ECE">
        <w:rPr>
          <w:rFonts w:ascii="Arial" w:hAnsi="Arial"/>
          <w:sz w:val="18"/>
          <w:szCs w:val="20"/>
        </w:rPr>
        <w:t>, Cat. no. 4221.0; SCSEEC (unpublished) NSSC; table 4A.1</w:t>
      </w:r>
      <w:r w:rsidR="0013774C">
        <w:rPr>
          <w:rFonts w:ascii="Arial" w:hAnsi="Arial"/>
          <w:sz w:val="18"/>
          <w:szCs w:val="20"/>
        </w:rPr>
        <w:t>4</w:t>
      </w:r>
      <w:r w:rsidRPr="00666ECE">
        <w:rPr>
          <w:rFonts w:ascii="Arial" w:hAnsi="Arial"/>
          <w:sz w:val="18"/>
          <w:szCs w:val="20"/>
        </w:rPr>
        <w:t>.</w:t>
      </w:r>
    </w:p>
    <w:p w:rsidR="00666ECE" w:rsidRPr="00666ECE" w:rsidRDefault="00666ECE" w:rsidP="00666ECE">
      <w:pPr>
        <w:spacing w:before="240" w:line="320" w:lineRule="atLeast"/>
        <w:jc w:val="both"/>
        <w:rPr>
          <w:szCs w:val="20"/>
        </w:rPr>
      </w:pPr>
      <w:r w:rsidRPr="00666ECE">
        <w:rPr>
          <w:szCs w:val="20"/>
        </w:rPr>
        <w:t xml:space="preserve">Nationally, </w:t>
      </w:r>
      <w:r w:rsidR="00326539">
        <w:rPr>
          <w:szCs w:val="20"/>
        </w:rPr>
        <w:t>in 201</w:t>
      </w:r>
      <w:r w:rsidR="00A75C27">
        <w:rPr>
          <w:szCs w:val="20"/>
        </w:rPr>
        <w:t>1</w:t>
      </w:r>
      <w:r w:rsidR="00326539">
        <w:rPr>
          <w:szCs w:val="20"/>
        </w:rPr>
        <w:t>-1</w:t>
      </w:r>
      <w:r w:rsidR="00A75C27">
        <w:rPr>
          <w:szCs w:val="20"/>
        </w:rPr>
        <w:t>2</w:t>
      </w:r>
      <w:r w:rsidR="00326539">
        <w:rPr>
          <w:szCs w:val="20"/>
        </w:rPr>
        <w:t xml:space="preserve">, </w:t>
      </w:r>
      <w:r w:rsidRPr="00666ECE">
        <w:rPr>
          <w:szCs w:val="20"/>
        </w:rPr>
        <w:t xml:space="preserve">government expenditure per FTE student in all government </w:t>
      </w:r>
      <w:r w:rsidRPr="009738E5">
        <w:rPr>
          <w:szCs w:val="20"/>
        </w:rPr>
        <w:t>schools was $</w:t>
      </w:r>
      <w:r w:rsidR="002B1D5E" w:rsidRPr="009738E5">
        <w:rPr>
          <w:szCs w:val="20"/>
        </w:rPr>
        <w:t>15</w:t>
      </w:r>
      <w:r w:rsidRPr="009738E5">
        <w:rPr>
          <w:szCs w:val="20"/>
        </w:rPr>
        <w:t> </w:t>
      </w:r>
      <w:r w:rsidR="009738E5" w:rsidRPr="009738E5">
        <w:rPr>
          <w:szCs w:val="20"/>
        </w:rPr>
        <w:t>768</w:t>
      </w:r>
      <w:r w:rsidRPr="009738E5">
        <w:rPr>
          <w:szCs w:val="20"/>
        </w:rPr>
        <w:t xml:space="preserve">. It increased </w:t>
      </w:r>
      <w:r w:rsidRPr="00E97CD0">
        <w:rPr>
          <w:szCs w:val="20"/>
        </w:rPr>
        <w:t>in average annual real terms between 200</w:t>
      </w:r>
      <w:r w:rsidR="00A75C27">
        <w:rPr>
          <w:szCs w:val="20"/>
        </w:rPr>
        <w:t>7</w:t>
      </w:r>
      <w:r w:rsidRPr="00E97CD0">
        <w:rPr>
          <w:szCs w:val="20"/>
        </w:rPr>
        <w:t>-0</w:t>
      </w:r>
      <w:r w:rsidR="00A75C27">
        <w:rPr>
          <w:szCs w:val="20"/>
        </w:rPr>
        <w:t>8</w:t>
      </w:r>
      <w:r w:rsidRPr="00E97CD0">
        <w:rPr>
          <w:szCs w:val="20"/>
        </w:rPr>
        <w:t xml:space="preserve"> and 201</w:t>
      </w:r>
      <w:r w:rsidR="00A75C27">
        <w:rPr>
          <w:szCs w:val="20"/>
        </w:rPr>
        <w:t>1</w:t>
      </w:r>
      <w:r w:rsidRPr="00E97CD0">
        <w:rPr>
          <w:szCs w:val="20"/>
        </w:rPr>
        <w:t>-</w:t>
      </w:r>
      <w:r w:rsidRPr="00AF57AE">
        <w:rPr>
          <w:szCs w:val="20"/>
        </w:rPr>
        <w:t>1</w:t>
      </w:r>
      <w:r w:rsidR="00A75C27" w:rsidRPr="00AF57AE">
        <w:rPr>
          <w:szCs w:val="20"/>
        </w:rPr>
        <w:t>2</w:t>
      </w:r>
      <w:r w:rsidRPr="00AF57AE">
        <w:rPr>
          <w:szCs w:val="20"/>
        </w:rPr>
        <w:t xml:space="preserve"> by </w:t>
      </w:r>
      <w:r w:rsidR="00AF57AE" w:rsidRPr="00AF57AE">
        <w:rPr>
          <w:szCs w:val="20"/>
        </w:rPr>
        <w:t>2.4</w:t>
      </w:r>
      <w:r w:rsidRPr="00AF57AE">
        <w:rPr>
          <w:szCs w:val="20"/>
        </w:rPr>
        <w:t xml:space="preserve"> per </w:t>
      </w:r>
      <w:r w:rsidRPr="00666ECE">
        <w:rPr>
          <w:szCs w:val="20"/>
        </w:rPr>
        <w:t>cent per year (figure 4.17).</w:t>
      </w:r>
      <w:r w:rsidR="009A52FC">
        <w:rPr>
          <w:szCs w:val="20"/>
        </w:rPr>
        <w:t xml:space="preserve"> Data for years 2002-03 to </w:t>
      </w:r>
      <w:r w:rsidR="009A52FC">
        <w:rPr>
          <w:szCs w:val="20"/>
        </w:rPr>
        <w:br/>
        <w:t>2011-</w:t>
      </w:r>
      <w:r w:rsidR="009738E5">
        <w:rPr>
          <w:szCs w:val="20"/>
        </w:rPr>
        <w:t>12 are included in table</w:t>
      </w:r>
      <w:r w:rsidR="0013774C">
        <w:rPr>
          <w:szCs w:val="20"/>
        </w:rPr>
        <w:t>s</w:t>
      </w:r>
      <w:r w:rsidR="009738E5">
        <w:rPr>
          <w:szCs w:val="20"/>
        </w:rPr>
        <w:t xml:space="preserve"> </w:t>
      </w:r>
      <w:r w:rsidR="009738E5" w:rsidRPr="00104AF2">
        <w:rPr>
          <w:szCs w:val="20"/>
          <w:shd w:val="clear" w:color="auto" w:fill="FFFFFF" w:themeFill="background1"/>
        </w:rPr>
        <w:t>4A.1</w:t>
      </w:r>
      <w:r w:rsidR="0013774C" w:rsidRPr="00104AF2">
        <w:rPr>
          <w:szCs w:val="20"/>
          <w:shd w:val="clear" w:color="auto" w:fill="FFFFFF" w:themeFill="background1"/>
        </w:rPr>
        <w:t>2 (real values) and 4A.13 (nominal values)</w:t>
      </w:r>
      <w:r w:rsidR="009738E5" w:rsidRPr="00104AF2">
        <w:rPr>
          <w:szCs w:val="20"/>
          <w:shd w:val="clear" w:color="auto" w:fill="FFFFFF" w:themeFill="background1"/>
        </w:rPr>
        <w:t>.</w:t>
      </w:r>
    </w:p>
    <w:p w:rsidR="00D26BF4" w:rsidRPr="006941AA" w:rsidRDefault="00D26BF4" w:rsidP="00604EA0">
      <w:pPr>
        <w:pStyle w:val="FigureTitle"/>
      </w:pPr>
      <w:r w:rsidRPr="007A7568">
        <w:rPr>
          <w:rFonts w:cs="Arial"/>
          <w:b w:val="0"/>
        </w:rPr>
        <w:lastRenderedPageBreak/>
        <w:t xml:space="preserve">Figure </w:t>
      </w:r>
      <w:r w:rsidR="00EB256F" w:rsidRPr="007A7568">
        <w:rPr>
          <w:rFonts w:cs="Arial"/>
          <w:b w:val="0"/>
        </w:rPr>
        <w:t>4.</w:t>
      </w:r>
      <w:r w:rsidR="00EC06F7" w:rsidRPr="007A7568">
        <w:rPr>
          <w:rFonts w:cs="Arial"/>
          <w:b w:val="0"/>
          <w:noProof/>
        </w:rPr>
        <w:t>17</w:t>
      </w:r>
      <w:r w:rsidRPr="0063025F">
        <w:tab/>
        <w:t>Government real recurrent expenditure per FTE student, government schools (201</w:t>
      </w:r>
      <w:r w:rsidR="00A75C27" w:rsidRPr="0063025F">
        <w:t>1</w:t>
      </w:r>
      <w:r w:rsidRPr="0063025F">
        <w:t>-1</w:t>
      </w:r>
      <w:r w:rsidR="00A75C27" w:rsidRPr="0063025F">
        <w:t>2</w:t>
      </w:r>
      <w:r w:rsidRPr="0063025F">
        <w:t xml:space="preserve"> dollars)</w:t>
      </w:r>
      <w:r w:rsidRPr="006941AA">
        <w:rPr>
          <w:position w:val="6"/>
          <w:sz w:val="18"/>
        </w:rPr>
        <w:t>a, b, c</w:t>
      </w:r>
      <w:r w:rsidR="00A75C27" w:rsidRPr="006941AA">
        <w:rPr>
          <w:position w:val="6"/>
          <w:sz w:val="18"/>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6BF4">
        <w:tc>
          <w:tcPr>
            <w:tcW w:w="8777" w:type="dxa"/>
          </w:tcPr>
          <w:p w:rsidR="00D26BF4" w:rsidRDefault="008B34BD">
            <w:pPr>
              <w:pStyle w:val="Figure"/>
            </w:pPr>
            <w:r>
              <w:rPr>
                <w:noProof/>
              </w:rPr>
              <w:drawing>
                <wp:inline distT="0" distB="0" distL="0" distR="0">
                  <wp:extent cx="5362575" cy="2647950"/>
                  <wp:effectExtent l="0" t="0" r="9525" b="0"/>
                  <wp:docPr id="18" name="Picture 18" descr="Figure 4.17 Government real recurrent expenditure per FTE student, government schools (2011-12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62575" cy="2647950"/>
                          </a:xfrm>
                          <a:prstGeom prst="rect">
                            <a:avLst/>
                          </a:prstGeom>
                          <a:noFill/>
                          <a:ln>
                            <a:noFill/>
                          </a:ln>
                        </pic:spPr>
                      </pic:pic>
                    </a:graphicData>
                  </a:graphic>
                </wp:inline>
              </w:drawing>
            </w:r>
          </w:p>
        </w:tc>
      </w:tr>
    </w:tbl>
    <w:p w:rsidR="00D26BF4" w:rsidRPr="00666ECE" w:rsidRDefault="00D26BF4" w:rsidP="005E5A9B">
      <w:pPr>
        <w:pStyle w:val="Note"/>
      </w:pPr>
      <w:r w:rsidRPr="00666ECE">
        <w:rPr>
          <w:b/>
          <w:position w:val="6"/>
        </w:rPr>
        <w:t>a</w:t>
      </w:r>
      <w:r w:rsidRPr="00666ECE">
        <w:t> See notes to table 4A.1</w:t>
      </w:r>
      <w:r w:rsidR="004A253D">
        <w:t>2</w:t>
      </w:r>
      <w:r w:rsidRPr="00666ECE">
        <w:t xml:space="preserve"> for definitions and data caveats. </w:t>
      </w:r>
      <w:r w:rsidRPr="00666ECE">
        <w:rPr>
          <w:b/>
          <w:position w:val="6"/>
        </w:rPr>
        <w:t>b</w:t>
      </w:r>
      <w:r w:rsidRPr="00666ECE">
        <w:t> </w:t>
      </w:r>
      <w:r w:rsidRPr="00B77624">
        <w:t>Data for 200</w:t>
      </w:r>
      <w:r w:rsidR="00A75C27" w:rsidRPr="00B77624">
        <w:t>7</w:t>
      </w:r>
      <w:r w:rsidRPr="00B77624">
        <w:t>-0</w:t>
      </w:r>
      <w:r w:rsidR="00A75C27" w:rsidRPr="00B77624">
        <w:t>8</w:t>
      </w:r>
      <w:r w:rsidRPr="00B77624">
        <w:t xml:space="preserve"> to 20</w:t>
      </w:r>
      <w:r w:rsidR="00A75C27" w:rsidRPr="00B77624">
        <w:t>10</w:t>
      </w:r>
      <w:r w:rsidRPr="00B77624">
        <w:t>-1</w:t>
      </w:r>
      <w:r w:rsidR="00A75C27" w:rsidRPr="00B77624">
        <w:t>1</w:t>
      </w:r>
      <w:r w:rsidRPr="00B77624">
        <w:t xml:space="preserve"> </w:t>
      </w:r>
      <w:r w:rsidR="00B77624" w:rsidRPr="00B77624">
        <w:rPr>
          <w:rStyle w:val="NoteChar"/>
        </w:rPr>
        <w:t>are adjusted to 201</w:t>
      </w:r>
      <w:r w:rsidR="00B77624">
        <w:rPr>
          <w:rStyle w:val="NoteChar"/>
        </w:rPr>
        <w:t>1</w:t>
      </w:r>
      <w:r w:rsidR="00B77624" w:rsidRPr="00B77624">
        <w:rPr>
          <w:rStyle w:val="NoteChar"/>
        </w:rPr>
        <w:t>-1</w:t>
      </w:r>
      <w:r w:rsidR="00B77624">
        <w:rPr>
          <w:rStyle w:val="NoteChar"/>
        </w:rPr>
        <w:t>2</w:t>
      </w:r>
      <w:r w:rsidR="00B77624" w:rsidRPr="00B77624">
        <w:rPr>
          <w:rStyle w:val="NoteChar"/>
        </w:rPr>
        <w:t xml:space="preserve"> dollars using the General Government Final Consumption Expenditure (GGFCE) chain price deflator (201</w:t>
      </w:r>
      <w:r w:rsidR="00B77624">
        <w:rPr>
          <w:rStyle w:val="NoteChar"/>
        </w:rPr>
        <w:t>1</w:t>
      </w:r>
      <w:r w:rsidR="00B77624" w:rsidRPr="00B77624">
        <w:rPr>
          <w:rStyle w:val="NoteChar"/>
        </w:rPr>
        <w:t>-1</w:t>
      </w:r>
      <w:r w:rsidR="00B77624">
        <w:rPr>
          <w:rStyle w:val="NoteChar"/>
        </w:rPr>
        <w:t>2</w:t>
      </w:r>
      <w:r w:rsidR="00B77624" w:rsidRPr="00B77624">
        <w:rPr>
          <w:rStyle w:val="NoteChar"/>
        </w:rPr>
        <w:t xml:space="preserve"> = 100) (table 2A.5</w:t>
      </w:r>
      <w:r w:rsidR="00FE1609">
        <w:rPr>
          <w:rStyle w:val="NoteChar"/>
        </w:rPr>
        <w:t>3</w:t>
      </w:r>
      <w:r w:rsidR="00B77624" w:rsidRPr="00B77624">
        <w:rPr>
          <w:rStyle w:val="NoteChar"/>
        </w:rPr>
        <w:t>). The GGFCE replaces the Gross Domestic Product implicit price deflator used in previous editions. See Chapter 2 (section 2.5) for details</w:t>
      </w:r>
      <w:r w:rsidR="00B77624" w:rsidRPr="00B77624">
        <w:rPr>
          <w:rStyle w:val="NoteChar"/>
          <w:color w:val="FF0000"/>
        </w:rPr>
        <w:t>.</w:t>
      </w:r>
      <w:r w:rsidRPr="00666ECE">
        <w:t xml:space="preserve"> </w:t>
      </w:r>
      <w:r w:rsidRPr="00666ECE">
        <w:rPr>
          <w:b/>
          <w:position w:val="6"/>
        </w:rPr>
        <w:t>c</w:t>
      </w:r>
      <w:r w:rsidRPr="00666ECE">
        <w:t> </w:t>
      </w:r>
      <w:r w:rsidR="004B33CD" w:rsidRPr="00666ECE">
        <w:t>Payroll tax estimates include notional payroll tax for WA and the ACT, which are payroll tax exempt.</w:t>
      </w:r>
    </w:p>
    <w:p w:rsidR="00D26BF4" w:rsidRPr="00666ECE" w:rsidRDefault="00D26BF4" w:rsidP="00D26BF4">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A75C27">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A75C27">
        <w:rPr>
          <w:rFonts w:ascii="Arial" w:hAnsi="Arial"/>
          <w:i/>
          <w:sz w:val="18"/>
          <w:szCs w:val="20"/>
        </w:rPr>
        <w:t>2</w:t>
      </w:r>
      <w:r w:rsidRPr="00666ECE">
        <w:rPr>
          <w:rFonts w:ascii="Arial" w:hAnsi="Arial"/>
          <w:sz w:val="18"/>
          <w:szCs w:val="20"/>
        </w:rPr>
        <w:t>, Cat. no. 4221.0; SCSEEC (unpublished) NSSC; table 4A.1</w:t>
      </w:r>
      <w:r w:rsidR="0013774C">
        <w:rPr>
          <w:rFonts w:ascii="Arial" w:hAnsi="Arial"/>
          <w:sz w:val="18"/>
          <w:szCs w:val="20"/>
        </w:rPr>
        <w:t>2</w:t>
      </w:r>
      <w:r w:rsidRPr="00666ECE">
        <w:rPr>
          <w:rFonts w:ascii="Arial" w:hAnsi="Arial"/>
          <w:sz w:val="18"/>
          <w:szCs w:val="20"/>
        </w:rPr>
        <w:t>.</w:t>
      </w:r>
    </w:p>
    <w:p w:rsidR="009A52FC" w:rsidRPr="00666ECE" w:rsidRDefault="00666ECE" w:rsidP="009A52FC">
      <w:pPr>
        <w:spacing w:before="240" w:line="320" w:lineRule="atLeast"/>
        <w:jc w:val="both"/>
        <w:rPr>
          <w:szCs w:val="20"/>
        </w:rPr>
      </w:pPr>
      <w:r w:rsidRPr="00666ECE">
        <w:rPr>
          <w:szCs w:val="20"/>
        </w:rPr>
        <w:t>Nationally</w:t>
      </w:r>
      <w:r w:rsidR="00326539">
        <w:rPr>
          <w:szCs w:val="20"/>
        </w:rPr>
        <w:t>, in 201</w:t>
      </w:r>
      <w:r w:rsidR="00A75C27">
        <w:rPr>
          <w:szCs w:val="20"/>
        </w:rPr>
        <w:t>1</w:t>
      </w:r>
      <w:r w:rsidR="00326539">
        <w:rPr>
          <w:szCs w:val="20"/>
        </w:rPr>
        <w:t>-</w:t>
      </w:r>
      <w:r w:rsidR="00326539" w:rsidRPr="006216A4">
        <w:rPr>
          <w:szCs w:val="20"/>
        </w:rPr>
        <w:t>1</w:t>
      </w:r>
      <w:r w:rsidR="00A75C27">
        <w:rPr>
          <w:szCs w:val="20"/>
        </w:rPr>
        <w:t>2</w:t>
      </w:r>
      <w:r w:rsidRPr="006216A4">
        <w:rPr>
          <w:szCs w:val="20"/>
        </w:rPr>
        <w:t>, government expenditure per FTE student in all non</w:t>
      </w:r>
      <w:r w:rsidR="003F0641">
        <w:rPr>
          <w:szCs w:val="20"/>
        </w:rPr>
        <w:noBreakHyphen/>
      </w:r>
      <w:r w:rsidRPr="006216A4">
        <w:rPr>
          <w:szCs w:val="20"/>
        </w:rPr>
        <w:t xml:space="preserve">government schools </w:t>
      </w:r>
      <w:r w:rsidRPr="00104AF2">
        <w:rPr>
          <w:szCs w:val="20"/>
          <w:shd w:val="clear" w:color="auto" w:fill="FFFFFF" w:themeFill="background1"/>
        </w:rPr>
        <w:t>was $</w:t>
      </w:r>
      <w:r w:rsidR="00632170" w:rsidRPr="00104AF2">
        <w:rPr>
          <w:szCs w:val="20"/>
          <w:shd w:val="clear" w:color="auto" w:fill="FFFFFF" w:themeFill="background1"/>
        </w:rPr>
        <w:t>8</w:t>
      </w:r>
      <w:r w:rsidR="001D0D31" w:rsidRPr="00104AF2">
        <w:rPr>
          <w:szCs w:val="20"/>
          <w:shd w:val="clear" w:color="auto" w:fill="FFFFFF" w:themeFill="background1"/>
        </w:rPr>
        <w:t>5</w:t>
      </w:r>
      <w:r w:rsidR="007606E4" w:rsidRPr="00104AF2">
        <w:rPr>
          <w:szCs w:val="20"/>
          <w:shd w:val="clear" w:color="auto" w:fill="FFFFFF" w:themeFill="background1"/>
        </w:rPr>
        <w:t>46</w:t>
      </w:r>
      <w:r w:rsidRPr="00104AF2">
        <w:rPr>
          <w:szCs w:val="20"/>
          <w:shd w:val="clear" w:color="auto" w:fill="FFFFFF" w:themeFill="background1"/>
        </w:rPr>
        <w:t xml:space="preserve">. </w:t>
      </w:r>
      <w:bookmarkStart w:id="33" w:name="OLE_LINK79"/>
      <w:bookmarkStart w:id="34" w:name="OLE_LINK80"/>
      <w:r w:rsidRPr="00104AF2">
        <w:rPr>
          <w:szCs w:val="20"/>
          <w:shd w:val="clear" w:color="auto" w:fill="FFFFFF" w:themeFill="background1"/>
        </w:rPr>
        <w:t>It has increased in average</w:t>
      </w:r>
      <w:r w:rsidR="00292174" w:rsidRPr="00104AF2">
        <w:rPr>
          <w:szCs w:val="20"/>
          <w:shd w:val="clear" w:color="auto" w:fill="FFFFFF" w:themeFill="background1"/>
        </w:rPr>
        <w:t xml:space="preserve"> annual real terms between 200</w:t>
      </w:r>
      <w:r w:rsidR="00A75C27" w:rsidRPr="00104AF2">
        <w:rPr>
          <w:szCs w:val="20"/>
          <w:shd w:val="clear" w:color="auto" w:fill="FFFFFF" w:themeFill="background1"/>
        </w:rPr>
        <w:t>7</w:t>
      </w:r>
      <w:r w:rsidR="00292174" w:rsidRPr="00104AF2">
        <w:rPr>
          <w:szCs w:val="20"/>
          <w:shd w:val="clear" w:color="auto" w:fill="FFFFFF" w:themeFill="background1"/>
        </w:rPr>
        <w:t>-</w:t>
      </w:r>
      <w:r w:rsidRPr="00104AF2">
        <w:rPr>
          <w:szCs w:val="20"/>
          <w:shd w:val="clear" w:color="auto" w:fill="FFFFFF" w:themeFill="background1"/>
        </w:rPr>
        <w:t>0</w:t>
      </w:r>
      <w:r w:rsidR="00A75C27" w:rsidRPr="00104AF2">
        <w:rPr>
          <w:szCs w:val="20"/>
          <w:shd w:val="clear" w:color="auto" w:fill="FFFFFF" w:themeFill="background1"/>
        </w:rPr>
        <w:t>8</w:t>
      </w:r>
      <w:r w:rsidRPr="00104AF2">
        <w:rPr>
          <w:szCs w:val="20"/>
          <w:shd w:val="clear" w:color="auto" w:fill="FFFFFF" w:themeFill="background1"/>
        </w:rPr>
        <w:t xml:space="preserve"> and 201</w:t>
      </w:r>
      <w:r w:rsidR="00A75C27" w:rsidRPr="00104AF2">
        <w:rPr>
          <w:szCs w:val="20"/>
          <w:shd w:val="clear" w:color="auto" w:fill="FFFFFF" w:themeFill="background1"/>
        </w:rPr>
        <w:t>1</w:t>
      </w:r>
      <w:r w:rsidRPr="00104AF2">
        <w:rPr>
          <w:szCs w:val="20"/>
          <w:shd w:val="clear" w:color="auto" w:fill="FFFFFF" w:themeFill="background1"/>
        </w:rPr>
        <w:t>-1</w:t>
      </w:r>
      <w:r w:rsidR="00A75C27" w:rsidRPr="00104AF2">
        <w:rPr>
          <w:szCs w:val="20"/>
          <w:shd w:val="clear" w:color="auto" w:fill="FFFFFF" w:themeFill="background1"/>
        </w:rPr>
        <w:t>2</w:t>
      </w:r>
      <w:r w:rsidRPr="00104AF2">
        <w:rPr>
          <w:szCs w:val="20"/>
          <w:shd w:val="clear" w:color="auto" w:fill="FFFFFF" w:themeFill="background1"/>
        </w:rPr>
        <w:t xml:space="preserve"> by </w:t>
      </w:r>
      <w:r w:rsidR="001D0D31" w:rsidRPr="00104AF2">
        <w:rPr>
          <w:szCs w:val="20"/>
          <w:shd w:val="clear" w:color="auto" w:fill="FFFFFF" w:themeFill="background1"/>
        </w:rPr>
        <w:t>3.</w:t>
      </w:r>
      <w:r w:rsidR="007606E4" w:rsidRPr="00104AF2">
        <w:rPr>
          <w:szCs w:val="20"/>
          <w:shd w:val="clear" w:color="auto" w:fill="FFFFFF" w:themeFill="background1"/>
        </w:rPr>
        <w:t>4</w:t>
      </w:r>
      <w:r w:rsidRPr="00104AF2">
        <w:rPr>
          <w:szCs w:val="20"/>
          <w:shd w:val="clear" w:color="auto" w:fill="FFFFFF" w:themeFill="background1"/>
        </w:rPr>
        <w:t xml:space="preserve"> per cent per year (figure 4.18).</w:t>
      </w:r>
      <w:r w:rsidR="009A52FC" w:rsidRPr="00104AF2">
        <w:rPr>
          <w:szCs w:val="20"/>
          <w:shd w:val="clear" w:color="auto" w:fill="FFFFFF" w:themeFill="background1"/>
        </w:rPr>
        <w:t xml:space="preserve"> Data for years 2002-03 to 2011-12 are included in table 4A.1</w:t>
      </w:r>
      <w:r w:rsidR="0013774C" w:rsidRPr="00104AF2">
        <w:rPr>
          <w:szCs w:val="20"/>
          <w:shd w:val="clear" w:color="auto" w:fill="FFFFFF" w:themeFill="background1"/>
        </w:rPr>
        <w:t>5 (real values) and 4A.16 (nominal values)</w:t>
      </w:r>
      <w:r w:rsidR="009A52FC" w:rsidRPr="00104AF2">
        <w:rPr>
          <w:szCs w:val="20"/>
          <w:shd w:val="clear" w:color="auto" w:fill="FFFFFF" w:themeFill="background1"/>
        </w:rPr>
        <w:t>.</w:t>
      </w:r>
    </w:p>
    <w:p w:rsidR="00666ECE" w:rsidRPr="00666ECE" w:rsidRDefault="00666ECE" w:rsidP="00640DB6">
      <w:pPr>
        <w:spacing w:before="240" w:line="320" w:lineRule="atLeast"/>
        <w:jc w:val="both"/>
        <w:rPr>
          <w:szCs w:val="20"/>
        </w:rPr>
      </w:pPr>
    </w:p>
    <w:bookmarkEnd w:id="33"/>
    <w:bookmarkEnd w:id="34"/>
    <w:p w:rsidR="00D26BF4" w:rsidRPr="001D0D31" w:rsidRDefault="00D26BF4" w:rsidP="00D26BF4">
      <w:pPr>
        <w:pStyle w:val="FigureTitle"/>
      </w:pPr>
      <w:r w:rsidRPr="007A7568">
        <w:rPr>
          <w:b w:val="0"/>
        </w:rPr>
        <w:lastRenderedPageBreak/>
        <w:t xml:space="preserve">Figure </w:t>
      </w:r>
      <w:r w:rsidR="00EB256F" w:rsidRPr="007A7568">
        <w:rPr>
          <w:b w:val="0"/>
        </w:rPr>
        <w:t>4.</w:t>
      </w:r>
      <w:r w:rsidR="00EC06F7" w:rsidRPr="007A7568">
        <w:rPr>
          <w:b w:val="0"/>
        </w:rPr>
        <w:t>18</w:t>
      </w:r>
      <w:r w:rsidRPr="00604EA0">
        <w:tab/>
        <w:t>Government real recurrent expenditure per FTE student, non</w:t>
      </w:r>
      <w:r w:rsidRPr="00604EA0">
        <w:noBreakHyphen/>
        <w:t>government schools (201</w:t>
      </w:r>
      <w:r w:rsidR="00A75C27" w:rsidRPr="00604EA0">
        <w:t>1</w:t>
      </w:r>
      <w:r w:rsidRPr="00604EA0">
        <w:t>-1</w:t>
      </w:r>
      <w:r w:rsidR="00A75C27" w:rsidRPr="00604EA0">
        <w:t>2</w:t>
      </w:r>
      <w:r w:rsidRPr="00604EA0">
        <w:t xml:space="preserve"> dollars)</w:t>
      </w:r>
      <w:r w:rsidRPr="00104AF2">
        <w:rPr>
          <w:position w:val="6"/>
          <w:sz w:val="18"/>
          <w:shd w:val="clear" w:color="auto" w:fill="FFFFFF" w:themeFill="background1"/>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6BF4" w:rsidTr="00B06349">
        <w:tc>
          <w:tcPr>
            <w:tcW w:w="8777" w:type="dxa"/>
          </w:tcPr>
          <w:p w:rsidR="00D26BF4" w:rsidRDefault="008B34BD">
            <w:pPr>
              <w:pStyle w:val="Figure"/>
            </w:pPr>
            <w:r>
              <w:rPr>
                <w:noProof/>
              </w:rPr>
              <w:drawing>
                <wp:inline distT="0" distB="0" distL="0" distR="0">
                  <wp:extent cx="5381625" cy="2647950"/>
                  <wp:effectExtent l="0" t="0" r="9525" b="0"/>
                  <wp:docPr id="19" name="Picture 19" descr="Figure 4.18 Government real recurrent expenditure per FTE student, non government schools (2011-12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D26BF4" w:rsidRPr="00666ECE" w:rsidRDefault="00D26BF4" w:rsidP="00D26BF4">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See notes to table 4A.1</w:t>
      </w:r>
      <w:r w:rsidR="0013774C">
        <w:rPr>
          <w:rFonts w:ascii="Arial" w:hAnsi="Arial"/>
          <w:sz w:val="18"/>
          <w:szCs w:val="20"/>
        </w:rPr>
        <w:t>5</w:t>
      </w:r>
      <w:r w:rsidRPr="00666ECE">
        <w:rPr>
          <w:rFonts w:ascii="Arial" w:hAnsi="Arial"/>
          <w:sz w:val="18"/>
          <w:szCs w:val="20"/>
        </w:rPr>
        <w:t xml:space="preserve"> for definitions and data caveats. </w:t>
      </w:r>
      <w:r w:rsidRPr="00666ECE">
        <w:rPr>
          <w:rFonts w:ascii="Arial" w:hAnsi="Arial"/>
          <w:b/>
          <w:position w:val="6"/>
          <w:sz w:val="18"/>
          <w:szCs w:val="20"/>
        </w:rPr>
        <w:t>b</w:t>
      </w:r>
      <w:r w:rsidR="0041139D" w:rsidRPr="00666ECE">
        <w:rPr>
          <w:rFonts w:ascii="Arial" w:hAnsi="Arial"/>
          <w:sz w:val="18"/>
          <w:szCs w:val="20"/>
        </w:rPr>
        <w:t> </w:t>
      </w:r>
      <w:r w:rsidR="00B77624" w:rsidRPr="00B77624">
        <w:rPr>
          <w:rFonts w:ascii="Arial" w:hAnsi="Arial"/>
          <w:sz w:val="18"/>
          <w:szCs w:val="20"/>
        </w:rPr>
        <w:t>Data for 2007-08 to 2010-11 are adjusted to 2011-12 dollars using the General Government Final Consumption Expenditure (GGFCE) chain price deflator (2011-12 = 100) (table 2A.5</w:t>
      </w:r>
      <w:r w:rsidR="00FE1609">
        <w:rPr>
          <w:rFonts w:ascii="Arial" w:hAnsi="Arial"/>
          <w:sz w:val="18"/>
          <w:szCs w:val="20"/>
        </w:rPr>
        <w:t>3</w:t>
      </w:r>
      <w:r w:rsidR="00B77624" w:rsidRPr="00B77624">
        <w:rPr>
          <w:rFonts w:ascii="Arial" w:hAnsi="Arial"/>
          <w:sz w:val="18"/>
          <w:szCs w:val="20"/>
        </w:rPr>
        <w:t xml:space="preserve">). The GGFCE replaces the Gross Domestic Product implicit price deflator used in previous editions. See Chapter 2 (section 2.5) for details. </w:t>
      </w:r>
      <w:r w:rsidRPr="00666ECE">
        <w:rPr>
          <w:rFonts w:ascii="Arial" w:hAnsi="Arial"/>
          <w:b/>
          <w:position w:val="6"/>
          <w:sz w:val="18"/>
          <w:szCs w:val="20"/>
        </w:rPr>
        <w:t>c</w:t>
      </w:r>
      <w:r w:rsidRPr="00666ECE">
        <w:rPr>
          <w:rFonts w:ascii="Arial" w:hAnsi="Arial"/>
          <w:sz w:val="18"/>
          <w:szCs w:val="20"/>
        </w:rPr>
        <w:t> </w:t>
      </w:r>
      <w:r w:rsidR="004B33CD">
        <w:rPr>
          <w:rFonts w:ascii="Arial" w:hAnsi="Arial"/>
          <w:sz w:val="18"/>
          <w:szCs w:val="20"/>
        </w:rPr>
        <w:t>Data are</w:t>
      </w:r>
      <w:r w:rsidR="0041139D">
        <w:rPr>
          <w:rFonts w:ascii="Arial" w:hAnsi="Arial"/>
          <w:sz w:val="18"/>
          <w:szCs w:val="20"/>
        </w:rPr>
        <w:t xml:space="preserve"> </w:t>
      </w:r>
      <w:r w:rsidR="004B33CD">
        <w:rPr>
          <w:rFonts w:ascii="Arial" w:hAnsi="Arial"/>
          <w:sz w:val="18"/>
          <w:szCs w:val="20"/>
        </w:rPr>
        <w:t>t</w:t>
      </w:r>
      <w:r w:rsidRPr="00666ECE">
        <w:rPr>
          <w:rFonts w:ascii="Arial" w:hAnsi="Arial"/>
          <w:sz w:val="18"/>
          <w:szCs w:val="20"/>
        </w:rPr>
        <w:t>he sum of Australian Government specific purpose payments for non-government schools, and State and Territory government payments to non-government schools. Data on State and Territory government payments to non-government schools are not fully comparable across jurisdictions.</w:t>
      </w:r>
    </w:p>
    <w:p w:rsidR="00D26BF4" w:rsidRPr="00666ECE" w:rsidRDefault="00D26BF4" w:rsidP="00D26BF4">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AC290D">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AC290D">
        <w:rPr>
          <w:rFonts w:ascii="Arial" w:hAnsi="Arial"/>
          <w:i/>
          <w:sz w:val="18"/>
          <w:szCs w:val="20"/>
        </w:rPr>
        <w:t>2</w:t>
      </w:r>
      <w:r w:rsidRPr="00666ECE">
        <w:rPr>
          <w:rFonts w:ascii="Arial" w:hAnsi="Arial"/>
          <w:sz w:val="18"/>
          <w:szCs w:val="20"/>
        </w:rPr>
        <w:t xml:space="preserve">, Cat. no. 4221.0; </w:t>
      </w:r>
      <w:r w:rsidR="001D6209">
        <w:rPr>
          <w:rFonts w:ascii="Arial" w:hAnsi="Arial"/>
          <w:sz w:val="18"/>
          <w:szCs w:val="20"/>
        </w:rPr>
        <w:t xml:space="preserve">Australian Government </w:t>
      </w:r>
      <w:r w:rsidR="007D2D50" w:rsidRPr="007D2D50">
        <w:rPr>
          <w:rFonts w:ascii="Arial" w:hAnsi="Arial"/>
          <w:sz w:val="18"/>
          <w:szCs w:val="20"/>
        </w:rPr>
        <w:t>Department of Education</w:t>
      </w:r>
      <w:r w:rsidRPr="00666ECE">
        <w:rPr>
          <w:rFonts w:ascii="Arial" w:hAnsi="Arial"/>
          <w:sz w:val="18"/>
          <w:szCs w:val="20"/>
        </w:rPr>
        <w:t xml:space="preserve"> (unpublished); State and Territory governments (unpublished); table 4A.1</w:t>
      </w:r>
      <w:r w:rsidR="0013774C">
        <w:rPr>
          <w:rFonts w:ascii="Arial" w:hAnsi="Arial"/>
          <w:sz w:val="18"/>
          <w:szCs w:val="20"/>
        </w:rPr>
        <w:t>5</w:t>
      </w:r>
      <w:r w:rsidRPr="00666ECE">
        <w:rPr>
          <w:rFonts w:ascii="Arial" w:hAnsi="Arial"/>
          <w:sz w:val="18"/>
          <w:szCs w:val="20"/>
        </w:rPr>
        <w:t>.</w:t>
      </w:r>
    </w:p>
    <w:p w:rsidR="009738E5" w:rsidRPr="00666ECE" w:rsidRDefault="00666ECE" w:rsidP="009738E5">
      <w:pPr>
        <w:spacing w:before="240" w:line="320" w:lineRule="atLeast"/>
        <w:jc w:val="both"/>
        <w:rPr>
          <w:szCs w:val="20"/>
        </w:rPr>
      </w:pPr>
      <w:r w:rsidRPr="00666ECE">
        <w:rPr>
          <w:szCs w:val="20"/>
        </w:rPr>
        <w:t xml:space="preserve">Nationally, </w:t>
      </w:r>
      <w:r w:rsidR="00292174">
        <w:rPr>
          <w:szCs w:val="20"/>
        </w:rPr>
        <w:t>in 201</w:t>
      </w:r>
      <w:r w:rsidR="00A75C27">
        <w:rPr>
          <w:szCs w:val="20"/>
        </w:rPr>
        <w:t>1</w:t>
      </w:r>
      <w:r w:rsidR="00292174">
        <w:rPr>
          <w:szCs w:val="20"/>
        </w:rPr>
        <w:t>-1</w:t>
      </w:r>
      <w:r w:rsidR="00A75C27">
        <w:rPr>
          <w:szCs w:val="20"/>
        </w:rPr>
        <w:t>2</w:t>
      </w:r>
      <w:r w:rsidR="00292174">
        <w:rPr>
          <w:szCs w:val="20"/>
        </w:rPr>
        <w:t xml:space="preserve">, </w:t>
      </w:r>
      <w:r w:rsidRPr="00666ECE">
        <w:rPr>
          <w:szCs w:val="20"/>
        </w:rPr>
        <w:t xml:space="preserve">government real recurrent </w:t>
      </w:r>
      <w:r w:rsidRPr="006216A4">
        <w:rPr>
          <w:szCs w:val="20"/>
        </w:rPr>
        <w:t>expenditure per FTE student in all schools (government plus non-</w:t>
      </w:r>
      <w:r w:rsidRPr="00104AF2">
        <w:rPr>
          <w:szCs w:val="20"/>
          <w:shd w:val="clear" w:color="auto" w:fill="FFFFFF" w:themeFill="background1"/>
        </w:rPr>
        <w:t>government) was $</w:t>
      </w:r>
      <w:r w:rsidR="001D0D31" w:rsidRPr="00104AF2">
        <w:rPr>
          <w:szCs w:val="20"/>
          <w:shd w:val="clear" w:color="auto" w:fill="FFFFFF" w:themeFill="background1"/>
        </w:rPr>
        <w:t>13 2</w:t>
      </w:r>
      <w:r w:rsidR="007606E4" w:rsidRPr="00104AF2">
        <w:rPr>
          <w:szCs w:val="20"/>
          <w:shd w:val="clear" w:color="auto" w:fill="FFFFFF" w:themeFill="background1"/>
        </w:rPr>
        <w:t>55</w:t>
      </w:r>
      <w:r w:rsidRPr="00104AF2">
        <w:rPr>
          <w:szCs w:val="20"/>
          <w:shd w:val="clear" w:color="auto" w:fill="FFFFFF" w:themeFill="background1"/>
        </w:rPr>
        <w:t xml:space="preserve">. It increased </w:t>
      </w:r>
      <w:r w:rsidR="00AC290D" w:rsidRPr="00104AF2">
        <w:rPr>
          <w:szCs w:val="20"/>
          <w:shd w:val="clear" w:color="auto" w:fill="FFFFFF" w:themeFill="background1"/>
        </w:rPr>
        <w:t>in average annual real terms</w:t>
      </w:r>
      <w:r w:rsidRPr="00104AF2">
        <w:rPr>
          <w:szCs w:val="20"/>
          <w:shd w:val="clear" w:color="auto" w:fill="FFFFFF" w:themeFill="background1"/>
        </w:rPr>
        <w:t xml:space="preserve"> between 200</w:t>
      </w:r>
      <w:r w:rsidR="00A75C27" w:rsidRPr="00104AF2">
        <w:rPr>
          <w:szCs w:val="20"/>
          <w:shd w:val="clear" w:color="auto" w:fill="FFFFFF" w:themeFill="background1"/>
        </w:rPr>
        <w:t>7</w:t>
      </w:r>
      <w:r w:rsidRPr="00104AF2">
        <w:rPr>
          <w:szCs w:val="20"/>
          <w:shd w:val="clear" w:color="auto" w:fill="FFFFFF" w:themeFill="background1"/>
        </w:rPr>
        <w:t>-0</w:t>
      </w:r>
      <w:r w:rsidR="00A75C27" w:rsidRPr="00104AF2">
        <w:rPr>
          <w:szCs w:val="20"/>
          <w:shd w:val="clear" w:color="auto" w:fill="FFFFFF" w:themeFill="background1"/>
        </w:rPr>
        <w:t>8</w:t>
      </w:r>
      <w:r w:rsidRPr="00104AF2">
        <w:rPr>
          <w:szCs w:val="20"/>
          <w:shd w:val="clear" w:color="auto" w:fill="FFFFFF" w:themeFill="background1"/>
        </w:rPr>
        <w:t xml:space="preserve"> and 201</w:t>
      </w:r>
      <w:r w:rsidR="00A75C27" w:rsidRPr="00104AF2">
        <w:rPr>
          <w:szCs w:val="20"/>
          <w:shd w:val="clear" w:color="auto" w:fill="FFFFFF" w:themeFill="background1"/>
        </w:rPr>
        <w:t>1</w:t>
      </w:r>
      <w:r w:rsidRPr="00104AF2">
        <w:rPr>
          <w:szCs w:val="20"/>
          <w:shd w:val="clear" w:color="auto" w:fill="FFFFFF" w:themeFill="background1"/>
        </w:rPr>
        <w:t>-1</w:t>
      </w:r>
      <w:r w:rsidR="00A75C27" w:rsidRPr="00104AF2">
        <w:rPr>
          <w:szCs w:val="20"/>
          <w:shd w:val="clear" w:color="auto" w:fill="FFFFFF" w:themeFill="background1"/>
        </w:rPr>
        <w:t>2</w:t>
      </w:r>
      <w:r w:rsidRPr="00104AF2">
        <w:rPr>
          <w:szCs w:val="20"/>
          <w:shd w:val="clear" w:color="auto" w:fill="FFFFFF" w:themeFill="background1"/>
        </w:rPr>
        <w:t xml:space="preserve"> by </w:t>
      </w:r>
      <w:r w:rsidR="001D0D31" w:rsidRPr="00104AF2">
        <w:rPr>
          <w:szCs w:val="20"/>
          <w:shd w:val="clear" w:color="auto" w:fill="FFFFFF" w:themeFill="background1"/>
        </w:rPr>
        <w:t>2.5</w:t>
      </w:r>
      <w:r w:rsidRPr="00104AF2">
        <w:rPr>
          <w:szCs w:val="20"/>
          <w:shd w:val="clear" w:color="auto" w:fill="FFFFFF" w:themeFill="background1"/>
        </w:rPr>
        <w:t xml:space="preserve"> per cent per year (table 4A.1</w:t>
      </w:r>
      <w:r w:rsidR="0013774C" w:rsidRPr="00104AF2">
        <w:rPr>
          <w:szCs w:val="20"/>
          <w:shd w:val="clear" w:color="auto" w:fill="FFFFFF" w:themeFill="background1"/>
        </w:rPr>
        <w:t>7</w:t>
      </w:r>
      <w:r w:rsidRPr="00104AF2">
        <w:rPr>
          <w:szCs w:val="20"/>
          <w:shd w:val="clear" w:color="auto" w:fill="FFFFFF" w:themeFill="background1"/>
        </w:rPr>
        <w:t>).</w:t>
      </w:r>
      <w:r w:rsidR="009A52FC" w:rsidRPr="00104AF2">
        <w:rPr>
          <w:szCs w:val="20"/>
          <w:shd w:val="clear" w:color="auto" w:fill="FFFFFF" w:themeFill="background1"/>
        </w:rPr>
        <w:t xml:space="preserve"> Data for years 2002-03 to 2011-</w:t>
      </w:r>
      <w:r w:rsidR="009738E5" w:rsidRPr="00104AF2">
        <w:rPr>
          <w:szCs w:val="20"/>
          <w:shd w:val="clear" w:color="auto" w:fill="FFFFFF" w:themeFill="background1"/>
        </w:rPr>
        <w:t>12 are included in table 4A.1</w:t>
      </w:r>
      <w:r w:rsidR="0013774C" w:rsidRPr="00104AF2">
        <w:rPr>
          <w:szCs w:val="20"/>
          <w:shd w:val="clear" w:color="auto" w:fill="FFFFFF" w:themeFill="background1"/>
        </w:rPr>
        <w:t>7 (real values) and 4A.18 (nominal values)</w:t>
      </w:r>
      <w:r w:rsidR="009738E5" w:rsidRPr="00104AF2">
        <w:rPr>
          <w:szCs w:val="20"/>
          <w:shd w:val="clear" w:color="auto" w:fill="FFFFFF" w:themeFill="background1"/>
        </w:rPr>
        <w:t>.</w:t>
      </w:r>
    </w:p>
    <w:p w:rsidR="00666ECE" w:rsidRPr="009738E5" w:rsidRDefault="00666ECE" w:rsidP="00666ECE">
      <w:pPr>
        <w:spacing w:before="240" w:line="320" w:lineRule="atLeast"/>
        <w:jc w:val="both"/>
        <w:rPr>
          <w:szCs w:val="20"/>
        </w:rPr>
      </w:pPr>
      <w:r w:rsidRPr="00E97CD0">
        <w:rPr>
          <w:szCs w:val="20"/>
        </w:rPr>
        <w:t xml:space="preserve">Government recurrent </w:t>
      </w:r>
      <w:r w:rsidRPr="009738E5">
        <w:rPr>
          <w:szCs w:val="20"/>
        </w:rPr>
        <w:t>expenditure on staff in government schools accounted for $</w:t>
      </w:r>
      <w:r w:rsidR="009738E5" w:rsidRPr="009738E5">
        <w:rPr>
          <w:szCs w:val="20"/>
        </w:rPr>
        <w:t>23.2</w:t>
      </w:r>
      <w:r w:rsidRPr="009738E5">
        <w:rPr>
          <w:szCs w:val="20"/>
        </w:rPr>
        <w:t xml:space="preserve"> billion (</w:t>
      </w:r>
      <w:r w:rsidR="002B1D5E" w:rsidRPr="009738E5">
        <w:rPr>
          <w:szCs w:val="20"/>
        </w:rPr>
        <w:t>63.</w:t>
      </w:r>
      <w:r w:rsidR="009738E5" w:rsidRPr="009738E5">
        <w:rPr>
          <w:szCs w:val="20"/>
        </w:rPr>
        <w:t>6</w:t>
      </w:r>
      <w:r w:rsidRPr="009738E5">
        <w:rPr>
          <w:szCs w:val="20"/>
        </w:rPr>
        <w:t xml:space="preserve"> per cent) of total recurrent expenditure in 201</w:t>
      </w:r>
      <w:r w:rsidR="00A75C27" w:rsidRPr="009738E5">
        <w:rPr>
          <w:szCs w:val="20"/>
        </w:rPr>
        <w:t>1</w:t>
      </w:r>
      <w:r w:rsidRPr="009738E5">
        <w:rPr>
          <w:szCs w:val="20"/>
        </w:rPr>
        <w:t>-1</w:t>
      </w:r>
      <w:r w:rsidR="00A75C27" w:rsidRPr="009738E5">
        <w:rPr>
          <w:szCs w:val="20"/>
        </w:rPr>
        <w:t>2</w:t>
      </w:r>
      <w:r w:rsidRPr="009738E5">
        <w:rPr>
          <w:szCs w:val="20"/>
        </w:rPr>
        <w:t xml:space="preserve"> (table 4A.</w:t>
      </w:r>
      <w:r w:rsidR="0013774C">
        <w:rPr>
          <w:szCs w:val="20"/>
        </w:rPr>
        <w:t>10</w:t>
      </w:r>
      <w:r w:rsidRPr="009738E5">
        <w:rPr>
          <w:szCs w:val="20"/>
        </w:rPr>
        <w:t>). Nationally, expenditure on staff per FTE student was $</w:t>
      </w:r>
      <w:r w:rsidR="002B1D5E" w:rsidRPr="009738E5">
        <w:rPr>
          <w:szCs w:val="20"/>
        </w:rPr>
        <w:t>8</w:t>
      </w:r>
      <w:r w:rsidR="009738E5" w:rsidRPr="009738E5">
        <w:rPr>
          <w:szCs w:val="20"/>
        </w:rPr>
        <w:t>776</w:t>
      </w:r>
      <w:r w:rsidRPr="009738E5">
        <w:rPr>
          <w:szCs w:val="20"/>
        </w:rPr>
        <w:t xml:space="preserve"> for in-school primary, $</w:t>
      </w:r>
      <w:r w:rsidR="002B1D5E" w:rsidRPr="009738E5">
        <w:rPr>
          <w:szCs w:val="20"/>
        </w:rPr>
        <w:t xml:space="preserve">10 </w:t>
      </w:r>
      <w:r w:rsidR="009738E5" w:rsidRPr="009738E5">
        <w:rPr>
          <w:szCs w:val="20"/>
        </w:rPr>
        <w:t>746</w:t>
      </w:r>
      <w:r w:rsidRPr="009738E5">
        <w:rPr>
          <w:szCs w:val="20"/>
        </w:rPr>
        <w:t xml:space="preserve"> for in-school secondary and $</w:t>
      </w:r>
      <w:r w:rsidR="00D26BF4" w:rsidRPr="009738E5">
        <w:rPr>
          <w:szCs w:val="20"/>
        </w:rPr>
        <w:t>4</w:t>
      </w:r>
      <w:r w:rsidR="009738E5" w:rsidRPr="009738E5">
        <w:rPr>
          <w:szCs w:val="20"/>
        </w:rPr>
        <w:t>82</w:t>
      </w:r>
      <w:r w:rsidRPr="009738E5">
        <w:rPr>
          <w:szCs w:val="20"/>
        </w:rPr>
        <w:t xml:space="preserve"> for out-of-school (figure 4.19).</w:t>
      </w:r>
    </w:p>
    <w:p w:rsidR="00D26BF4" w:rsidRPr="00105847" w:rsidRDefault="00D26BF4" w:rsidP="00604EA0">
      <w:pPr>
        <w:pStyle w:val="FigureTitle"/>
      </w:pPr>
      <w:r w:rsidRPr="007A7568">
        <w:rPr>
          <w:rFonts w:cs="Arial"/>
          <w:b w:val="0"/>
        </w:rPr>
        <w:lastRenderedPageBreak/>
        <w:t xml:space="preserve">Figure </w:t>
      </w:r>
      <w:r w:rsidR="00EB256F" w:rsidRPr="007A7568">
        <w:rPr>
          <w:rFonts w:cs="Arial"/>
          <w:b w:val="0"/>
        </w:rPr>
        <w:t>4.</w:t>
      </w:r>
      <w:r w:rsidR="00EC06F7" w:rsidRPr="007A7568">
        <w:rPr>
          <w:rFonts w:cs="Arial"/>
          <w:b w:val="0"/>
          <w:noProof/>
        </w:rPr>
        <w:t>19</w:t>
      </w:r>
      <w:r w:rsidRPr="0063025F">
        <w:rPr>
          <w:rFonts w:cs="Arial"/>
        </w:rPr>
        <w:tab/>
      </w:r>
      <w:r w:rsidRPr="0063025F">
        <w:t>Government recurrent expenditure on staff in government schools, per FTE student, 201</w:t>
      </w:r>
      <w:r w:rsidR="00A75C27" w:rsidRPr="0063025F">
        <w:t>1</w:t>
      </w:r>
      <w:r w:rsidRPr="0063025F">
        <w:t>-1</w:t>
      </w:r>
      <w:r w:rsidR="00A75C27" w:rsidRPr="0063025F">
        <w:t>2</w:t>
      </w:r>
      <w:r w:rsidRPr="00105847">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6BF4">
        <w:tc>
          <w:tcPr>
            <w:tcW w:w="8777" w:type="dxa"/>
          </w:tcPr>
          <w:p w:rsidR="00D26BF4" w:rsidRDefault="008B34BD">
            <w:pPr>
              <w:pStyle w:val="Figure"/>
            </w:pPr>
            <w:r>
              <w:rPr>
                <w:noProof/>
              </w:rPr>
              <w:drawing>
                <wp:inline distT="0" distB="0" distL="0" distR="0">
                  <wp:extent cx="5381625" cy="2647950"/>
                  <wp:effectExtent l="0" t="0" r="9525" b="0"/>
                  <wp:docPr id="20" name="Picture 20" descr="Figure 4.19 Government recurrent expenditure on staff in government schools, per FTE student,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D26BF4" w:rsidRPr="00666ECE" w:rsidRDefault="00D26BF4" w:rsidP="00D26BF4">
      <w:pPr>
        <w:keepNext/>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See notes to table 4A.1</w:t>
      </w:r>
      <w:r w:rsidR="0013774C">
        <w:rPr>
          <w:rFonts w:ascii="Arial" w:hAnsi="Arial"/>
          <w:sz w:val="18"/>
          <w:szCs w:val="20"/>
        </w:rPr>
        <w:t>4</w:t>
      </w:r>
      <w:r w:rsidRPr="00666ECE">
        <w:rPr>
          <w:rFonts w:ascii="Arial" w:hAnsi="Arial"/>
          <w:sz w:val="18"/>
          <w:szCs w:val="20"/>
        </w:rPr>
        <w:t xml:space="preserve"> for definitions and data caveats. </w:t>
      </w:r>
      <w:r w:rsidRPr="00666ECE">
        <w:rPr>
          <w:rFonts w:ascii="Arial" w:hAnsi="Arial"/>
          <w:b/>
          <w:position w:val="6"/>
          <w:sz w:val="18"/>
          <w:szCs w:val="20"/>
        </w:rPr>
        <w:t>b</w:t>
      </w:r>
      <w:r w:rsidRPr="00666ECE">
        <w:rPr>
          <w:rFonts w:ascii="Arial" w:hAnsi="Arial"/>
          <w:sz w:val="18"/>
          <w:szCs w:val="20"/>
        </w:rPr>
        <w:t> Expenditure on staff includes teaching staff and other staff, and includes expenditure on redundancy payments.</w:t>
      </w:r>
    </w:p>
    <w:p w:rsidR="00D26BF4" w:rsidRPr="00666ECE" w:rsidRDefault="00D26BF4" w:rsidP="00D26BF4">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C33B80">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C33B80">
        <w:rPr>
          <w:rFonts w:ascii="Arial" w:hAnsi="Arial"/>
          <w:i/>
          <w:sz w:val="18"/>
          <w:szCs w:val="20"/>
        </w:rPr>
        <w:t>2</w:t>
      </w:r>
      <w:r w:rsidRPr="00666ECE">
        <w:rPr>
          <w:rFonts w:ascii="Arial" w:hAnsi="Arial"/>
          <w:sz w:val="18"/>
          <w:szCs w:val="20"/>
        </w:rPr>
        <w:t>, Cat. no. 4221.0; SCSEEC (unpublished) NSSC; table 4A.1</w:t>
      </w:r>
      <w:r w:rsidR="0013774C">
        <w:rPr>
          <w:rFonts w:ascii="Arial" w:hAnsi="Arial"/>
          <w:sz w:val="18"/>
          <w:szCs w:val="20"/>
        </w:rPr>
        <w:t>4</w:t>
      </w:r>
      <w:r w:rsidRPr="00666ECE">
        <w:rPr>
          <w:rFonts w:ascii="Arial" w:hAnsi="Arial"/>
          <w:sz w:val="18"/>
          <w:szCs w:val="20"/>
        </w:rPr>
        <w:t>.</w:t>
      </w:r>
    </w:p>
    <w:p w:rsidR="00666ECE" w:rsidRPr="00666ECE" w:rsidRDefault="00666ECE" w:rsidP="00666ECE">
      <w:pPr>
        <w:keepNext/>
        <w:spacing w:before="480" w:line="320" w:lineRule="exact"/>
        <w:outlineLvl w:val="4"/>
        <w:rPr>
          <w:i/>
        </w:rPr>
      </w:pPr>
      <w:r w:rsidRPr="00666ECE">
        <w:rPr>
          <w:i/>
        </w:rPr>
        <w:t>User cost of capital per student</w:t>
      </w:r>
    </w:p>
    <w:p w:rsidR="00666ECE" w:rsidRPr="00666ECE" w:rsidRDefault="00666ECE" w:rsidP="00666ECE">
      <w:pPr>
        <w:spacing w:before="240" w:line="320" w:lineRule="atLeast"/>
        <w:jc w:val="both"/>
        <w:rPr>
          <w:szCs w:val="20"/>
        </w:rPr>
      </w:pPr>
      <w:r w:rsidRPr="00BA1CEC">
        <w:rPr>
          <w:szCs w:val="20"/>
        </w:rPr>
        <w:t xml:space="preserve">‘User cost of capital (UCC) per student’ is an indicator of governments’ </w:t>
      </w:r>
      <w:r w:rsidR="000F12AB" w:rsidRPr="00BA1CEC">
        <w:rPr>
          <w:szCs w:val="20"/>
        </w:rPr>
        <w:t xml:space="preserve">use </w:t>
      </w:r>
      <w:r w:rsidR="002F792C" w:rsidRPr="00BA1CEC">
        <w:rPr>
          <w:szCs w:val="20"/>
        </w:rPr>
        <w:t xml:space="preserve">of </w:t>
      </w:r>
      <w:r w:rsidR="000F12AB" w:rsidRPr="00BA1CEC">
        <w:rPr>
          <w:szCs w:val="20"/>
        </w:rPr>
        <w:t xml:space="preserve">capital assets to </w:t>
      </w:r>
      <w:r w:rsidRPr="00BA1CEC">
        <w:rPr>
          <w:szCs w:val="20"/>
        </w:rPr>
        <w:t>provide education (box 4.</w:t>
      </w:r>
      <w:r w:rsidR="00A71945">
        <w:rPr>
          <w:szCs w:val="20"/>
        </w:rPr>
        <w:t>6)</w:t>
      </w:r>
      <w:r w:rsidRPr="00BA1CEC">
        <w:rPr>
          <w:szCs w:val="20"/>
        </w:rPr>
        <w:t>.</w:t>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36281D">
        <w:tc>
          <w:tcPr>
            <w:tcW w:w="8771" w:type="dxa"/>
            <w:tcBorders>
              <w:top w:val="single" w:sz="6" w:space="0" w:color="auto"/>
              <w:bottom w:val="nil"/>
            </w:tcBorders>
          </w:tcPr>
          <w:p w:rsidR="00666ECE" w:rsidRPr="0063025F" w:rsidRDefault="00666ECE" w:rsidP="00604EA0">
            <w:pPr>
              <w:pStyle w:val="BoxTitle"/>
            </w:pPr>
            <w:r w:rsidRPr="007A7568">
              <w:rPr>
                <w:b w:val="0"/>
              </w:rPr>
              <w:t xml:space="preserve">Box </w:t>
            </w:r>
            <w:r w:rsidR="00EB256F" w:rsidRPr="007A7568">
              <w:rPr>
                <w:b w:val="0"/>
              </w:rPr>
              <w:t>4.</w:t>
            </w:r>
            <w:r w:rsidR="00A71945" w:rsidRPr="007A7568">
              <w:rPr>
                <w:b w:val="0"/>
              </w:rPr>
              <w:t>6</w:t>
            </w:r>
            <w:r w:rsidRPr="0063025F">
              <w:tab/>
              <w:t>User cost of capital per student</w:t>
            </w:r>
          </w:p>
        </w:tc>
      </w:tr>
      <w:tr w:rsidR="00666ECE" w:rsidRPr="00666ECE" w:rsidTr="0036281D">
        <w:trPr>
          <w:cantSplit/>
        </w:trPr>
        <w:tc>
          <w:tcPr>
            <w:tcW w:w="8771" w:type="dxa"/>
            <w:tcBorders>
              <w:top w:val="nil"/>
              <w:left w:val="single" w:sz="6" w:space="0" w:color="auto"/>
              <w:bottom w:val="nil"/>
              <w:right w:val="single" w:sz="6" w:space="0" w:color="auto"/>
            </w:tcBorders>
          </w:tcPr>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 xml:space="preserve">‘UCC per student’ is defined as the notional costs to governments of the funds tied up in capital (for example, land and buildings owned by government schools) </w:t>
            </w:r>
            <w:r w:rsidR="004B33CD" w:rsidRPr="00666ECE">
              <w:rPr>
                <w:rFonts w:ascii="Arial" w:hAnsi="Arial"/>
                <w:sz w:val="22"/>
                <w:szCs w:val="20"/>
              </w:rPr>
              <w:t>used to produce services</w:t>
            </w:r>
            <w:r w:rsidR="004B33CD">
              <w:rPr>
                <w:rFonts w:ascii="Arial" w:hAnsi="Arial"/>
                <w:sz w:val="22"/>
                <w:szCs w:val="20"/>
              </w:rPr>
              <w:t>,</w:t>
            </w:r>
            <w:r w:rsidR="004B33CD" w:rsidRPr="00666ECE">
              <w:rPr>
                <w:rFonts w:ascii="Arial" w:hAnsi="Arial"/>
                <w:sz w:val="22"/>
                <w:szCs w:val="20"/>
              </w:rPr>
              <w:t xml:space="preserve"> </w:t>
            </w:r>
            <w:r w:rsidRPr="00666ECE">
              <w:rPr>
                <w:rFonts w:ascii="Arial" w:hAnsi="Arial"/>
                <w:sz w:val="22"/>
                <w:szCs w:val="20"/>
              </w:rPr>
              <w:t>per FTE student. The notional UCC makes explicit the opportunity cost of using the funds to provide services rather than investing elsewhere or retiring debt. When comparing the costs of government services, it is important to account for the notional UCC because it is:</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often a significant component of the cost of services</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 xml:space="preserve">often treated inconsistently (that is, included in the costs of services delivered by most non-government service providers, but effectively costed at zero for many government service providers). </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Notional UCC reflects the annual UCC per FTE student, and is set at 8 per cent of the value of non-current physical assets</w:t>
            </w:r>
            <w:r w:rsidR="0015169D">
              <w:rPr>
                <w:rFonts w:ascii="Arial" w:hAnsi="Arial"/>
                <w:sz w:val="22"/>
                <w:szCs w:val="20"/>
              </w:rPr>
              <w:t>,</w:t>
            </w:r>
            <w:r w:rsidRPr="00666ECE">
              <w:rPr>
                <w:rFonts w:ascii="Arial" w:hAnsi="Arial"/>
                <w:sz w:val="22"/>
                <w:szCs w:val="20"/>
              </w:rPr>
              <w:t xml:space="preserve"> which are re-valued over time.</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 xml:space="preserve">Holding other factors constant, a low or decreasing UCC per student may represent better or improved efficiency. </w:t>
            </w:r>
          </w:p>
          <w:p w:rsidR="00C43085" w:rsidRDefault="00666ECE" w:rsidP="00666ECE">
            <w:pPr>
              <w:keepNext/>
              <w:spacing w:before="120" w:line="280" w:lineRule="atLeast"/>
              <w:jc w:val="both"/>
              <w:rPr>
                <w:rFonts w:ascii="Arial" w:hAnsi="Arial"/>
                <w:sz w:val="22"/>
                <w:szCs w:val="20"/>
              </w:rPr>
            </w:pPr>
            <w:r w:rsidRPr="00666ECE">
              <w:rPr>
                <w:rFonts w:ascii="Arial" w:hAnsi="Arial"/>
                <w:sz w:val="22"/>
                <w:szCs w:val="20"/>
              </w:rPr>
              <w:t xml:space="preserve">Efficiency data are difficult to interpret and this indicator in particular is only partial in nature, as it does not reflect the full cost per student. While high or increasing UCC per student may reflect deteriorating efficiency, it may also reflect changes in aspects of schooling (broader curricula, enhanced facilities), or the characteristics of the education environment (such as population dispersion and/or rapid growth and more geographically remote students). Similarly, low or decreasing UCC per student may reflect improving efficiency or lower quality (less effective education) or fewer facilities or reduced capital maintenance. </w:t>
            </w:r>
          </w:p>
          <w:p w:rsidR="008A2153" w:rsidRDefault="008A2153" w:rsidP="00666ECE">
            <w:pPr>
              <w:keepNext/>
              <w:spacing w:before="120" w:line="280" w:lineRule="atLeast"/>
              <w:jc w:val="both"/>
              <w:rPr>
                <w:rFonts w:ascii="Arial" w:hAnsi="Arial"/>
                <w:sz w:val="22"/>
                <w:szCs w:val="20"/>
              </w:rPr>
            </w:pPr>
            <w:r w:rsidRPr="00C43085">
              <w:rPr>
                <w:rStyle w:val="BoxChar"/>
              </w:rPr>
              <w:t xml:space="preserve">Fluctuations in asset values </w:t>
            </w:r>
            <w:r w:rsidR="00C43085" w:rsidRPr="00C43085">
              <w:rPr>
                <w:rStyle w:val="BoxChar"/>
              </w:rPr>
              <w:t xml:space="preserve">such as land market values, the varying proportions of the written down value of assets which relates to land </w:t>
            </w:r>
            <w:r w:rsidRPr="00C43085">
              <w:rPr>
                <w:rStyle w:val="BoxChar"/>
              </w:rPr>
              <w:t>and th</w:t>
            </w:r>
            <w:r w:rsidR="00C43085" w:rsidRPr="00C43085">
              <w:rPr>
                <w:rStyle w:val="BoxChar"/>
              </w:rPr>
              <w:t>e interval between revaluations</w:t>
            </w:r>
            <w:r w:rsidR="00C43085">
              <w:rPr>
                <w:rStyle w:val="BoxChar"/>
              </w:rPr>
              <w:t xml:space="preserve"> (</w:t>
            </w:r>
            <w:r w:rsidR="00C43085" w:rsidRPr="00C43085">
              <w:rPr>
                <w:rStyle w:val="BoxChar"/>
              </w:rPr>
              <w:t>which vary from annual to five year</w:t>
            </w:r>
            <w:r w:rsidR="00C43085">
              <w:rPr>
                <w:rStyle w:val="BoxChar"/>
              </w:rPr>
              <w:t>ly)</w:t>
            </w:r>
            <w:r w:rsidR="00C43085" w:rsidRPr="00C43085">
              <w:rPr>
                <w:rStyle w:val="BoxChar"/>
              </w:rPr>
              <w:t xml:space="preserve">, </w:t>
            </w:r>
            <w:r w:rsidRPr="00C43085">
              <w:rPr>
                <w:rStyle w:val="BoxChar"/>
              </w:rPr>
              <w:t>may affect the outcomes across jurisdictions</w:t>
            </w:r>
            <w:r>
              <w:rPr>
                <w:rFonts w:ascii="Arial" w:hAnsi="Arial"/>
                <w:sz w:val="22"/>
                <w:szCs w:val="20"/>
              </w:rPr>
              <w:t xml:space="preserve"> and within jurisdictions over time.</w:t>
            </w:r>
            <w:r w:rsidR="00C43085">
              <w:rPr>
                <w:rFonts w:ascii="Arial" w:hAnsi="Arial"/>
                <w:sz w:val="22"/>
                <w:szCs w:val="20"/>
              </w:rPr>
              <w:t xml:space="preserve"> Values also fluctuate across jurisdictions due to variations in accounting policies.</w:t>
            </w:r>
          </w:p>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Efficiency data need to be interpreted within the context of the effectiveness and equity indicators to derive an holistic view of performance.</w:t>
            </w:r>
          </w:p>
          <w:p w:rsidR="001C174A" w:rsidRDefault="00666ECE" w:rsidP="00BA1348">
            <w:pPr>
              <w:keepNext/>
              <w:spacing w:before="120" w:line="280" w:lineRule="atLeast"/>
              <w:jc w:val="both"/>
              <w:rPr>
                <w:rFonts w:ascii="Arial" w:hAnsi="Arial"/>
                <w:sz w:val="22"/>
                <w:szCs w:val="20"/>
              </w:rPr>
            </w:pPr>
            <w:r w:rsidRPr="00666ECE">
              <w:rPr>
                <w:rFonts w:ascii="Arial" w:hAnsi="Arial"/>
                <w:sz w:val="22"/>
                <w:szCs w:val="20"/>
              </w:rPr>
              <w:t xml:space="preserve">Data </w:t>
            </w:r>
            <w:r w:rsidR="00BA1348">
              <w:rPr>
                <w:rFonts w:ascii="Arial" w:hAnsi="Arial"/>
                <w:sz w:val="22"/>
                <w:szCs w:val="20"/>
              </w:rPr>
              <w:t xml:space="preserve">reported </w:t>
            </w:r>
            <w:r w:rsidR="001C174A">
              <w:rPr>
                <w:rFonts w:ascii="Arial" w:hAnsi="Arial"/>
                <w:sz w:val="22"/>
                <w:szCs w:val="20"/>
              </w:rPr>
              <w:t>for this indicator are:</w:t>
            </w:r>
          </w:p>
          <w:p w:rsidR="001C174A" w:rsidRDefault="00BA1348" w:rsidP="001C174A">
            <w:pPr>
              <w:pStyle w:val="BoxListBullet"/>
            </w:pPr>
            <w:r w:rsidRPr="00BA1348">
              <w:t xml:space="preserve">comparable (subject to caveats) within jurisdictions over time but are not </w:t>
            </w:r>
            <w:r w:rsidR="001C174A">
              <w:t>comparable across jurisdictions</w:t>
            </w:r>
          </w:p>
          <w:p w:rsidR="00666ECE" w:rsidRPr="00666ECE" w:rsidRDefault="00BA1348" w:rsidP="001C174A">
            <w:pPr>
              <w:pStyle w:val="BoxListBullet"/>
            </w:pPr>
            <w:r w:rsidRPr="00BA1348">
              <w:t xml:space="preserve">complete for the current reporting period (subject to caveats). All required </w:t>
            </w:r>
            <w:r>
              <w:t>2011-12</w:t>
            </w:r>
            <w:r w:rsidRPr="00BA1348">
              <w:t xml:space="preserve"> data are available for all jurisdictions providing the service.</w:t>
            </w:r>
          </w:p>
          <w:p w:rsidR="00666ECE" w:rsidRPr="00666ECE" w:rsidRDefault="0057698F" w:rsidP="00C33B80">
            <w:pPr>
              <w:keepNext/>
              <w:spacing w:before="120" w:line="280" w:lineRule="atLeast"/>
              <w:jc w:val="both"/>
              <w:rPr>
                <w:rFonts w:ascii="Arial" w:hAnsi="Arial"/>
                <w:sz w:val="22"/>
                <w:szCs w:val="20"/>
              </w:rPr>
            </w:pPr>
            <w:r w:rsidRPr="0057698F">
              <w:rPr>
                <w:rFonts w:ascii="Arial" w:hAnsi="Arial"/>
                <w:sz w:val="22"/>
              </w:rPr>
              <w:t xml:space="preserve">Information about data quality for this indicator is at </w:t>
            </w:r>
            <w:r w:rsidR="00C33B80" w:rsidRPr="00C77140">
              <w:rPr>
                <w:rFonts w:ascii="Arial" w:hAnsi="Arial"/>
                <w:sz w:val="22"/>
              </w:rPr>
              <w:t>www.pc.gov.au/gsp/reports/rogs/2014</w:t>
            </w:r>
            <w:r w:rsidRPr="0057698F">
              <w:rPr>
                <w:rFonts w:ascii="Arial" w:hAnsi="Arial"/>
                <w:sz w:val="22"/>
              </w:rPr>
              <w:t>.</w:t>
            </w:r>
          </w:p>
        </w:tc>
      </w:tr>
      <w:tr w:rsidR="00666ECE" w:rsidRPr="00666ECE" w:rsidTr="0036281D">
        <w:trPr>
          <w:cantSplit/>
        </w:trPr>
        <w:tc>
          <w:tcPr>
            <w:tcW w:w="8771" w:type="dxa"/>
            <w:tcBorders>
              <w:top w:val="nil"/>
              <w:left w:val="single" w:sz="6" w:space="0" w:color="auto"/>
              <w:bottom w:val="nil"/>
              <w:right w:val="single" w:sz="6" w:space="0" w:color="auto"/>
            </w:tcBorders>
          </w:tcPr>
          <w:p w:rsidR="00666ECE" w:rsidRPr="00666ECE" w:rsidRDefault="00666ECE" w:rsidP="00666ECE">
            <w:pPr>
              <w:keepLines/>
              <w:spacing w:line="220" w:lineRule="exact"/>
              <w:jc w:val="both"/>
              <w:rPr>
                <w:rFonts w:ascii="Arial" w:hAnsi="Arial"/>
                <w:sz w:val="18"/>
                <w:szCs w:val="20"/>
              </w:rPr>
            </w:pP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color w:val="FF00FF"/>
                <w:sz w:val="14"/>
                <w:szCs w:val="20"/>
              </w:rPr>
            </w:pPr>
          </w:p>
        </w:tc>
      </w:tr>
    </w:tbl>
    <w:p w:rsidR="00666ECE" w:rsidRPr="00666ECE" w:rsidRDefault="00666ECE" w:rsidP="00666ECE">
      <w:pPr>
        <w:spacing w:before="240" w:line="320" w:lineRule="atLeast"/>
        <w:jc w:val="both"/>
        <w:rPr>
          <w:szCs w:val="20"/>
        </w:rPr>
      </w:pPr>
      <w:r w:rsidRPr="00BA1CEC">
        <w:rPr>
          <w:szCs w:val="20"/>
        </w:rPr>
        <w:t>The notional UCC per FTE government school student in 201</w:t>
      </w:r>
      <w:r w:rsidR="00C33B80">
        <w:rPr>
          <w:szCs w:val="20"/>
        </w:rPr>
        <w:t>1</w:t>
      </w:r>
      <w:r w:rsidRPr="00BA1CEC">
        <w:rPr>
          <w:szCs w:val="20"/>
        </w:rPr>
        <w:t>-1</w:t>
      </w:r>
      <w:r w:rsidR="00C33B80">
        <w:rPr>
          <w:szCs w:val="20"/>
        </w:rPr>
        <w:t>2</w:t>
      </w:r>
      <w:r w:rsidRPr="00BA1CEC">
        <w:rPr>
          <w:szCs w:val="20"/>
        </w:rPr>
        <w:t xml:space="preserve"> </w:t>
      </w:r>
      <w:r w:rsidRPr="009738E5">
        <w:rPr>
          <w:szCs w:val="20"/>
        </w:rPr>
        <w:t>averaged $</w:t>
      </w:r>
      <w:r w:rsidR="009738E5" w:rsidRPr="009738E5">
        <w:rPr>
          <w:szCs w:val="20"/>
        </w:rPr>
        <w:t>2439</w:t>
      </w:r>
      <w:r w:rsidRPr="009738E5">
        <w:rPr>
          <w:szCs w:val="20"/>
        </w:rPr>
        <w:t xml:space="preserve"> </w:t>
      </w:r>
      <w:r w:rsidRPr="00BA1CEC">
        <w:rPr>
          <w:szCs w:val="20"/>
        </w:rPr>
        <w:t>nationally (table 4A.</w:t>
      </w:r>
      <w:r w:rsidR="0013774C">
        <w:rPr>
          <w:szCs w:val="20"/>
        </w:rPr>
        <w:t>20</w:t>
      </w:r>
      <w:r w:rsidRPr="00BA1CEC">
        <w:rPr>
          <w:szCs w:val="20"/>
        </w:rPr>
        <w:t>). Data from 200</w:t>
      </w:r>
      <w:r w:rsidR="009738E5">
        <w:rPr>
          <w:szCs w:val="20"/>
        </w:rPr>
        <w:t>2</w:t>
      </w:r>
      <w:r w:rsidRPr="00BA1CEC">
        <w:rPr>
          <w:szCs w:val="20"/>
        </w:rPr>
        <w:t>-0</w:t>
      </w:r>
      <w:r w:rsidR="009738E5">
        <w:rPr>
          <w:szCs w:val="20"/>
        </w:rPr>
        <w:t>3</w:t>
      </w:r>
      <w:r w:rsidRPr="00BA1CEC">
        <w:rPr>
          <w:szCs w:val="20"/>
        </w:rPr>
        <w:t xml:space="preserve"> to 201</w:t>
      </w:r>
      <w:r w:rsidR="00C33B80">
        <w:rPr>
          <w:szCs w:val="20"/>
        </w:rPr>
        <w:t>1</w:t>
      </w:r>
      <w:r w:rsidRPr="00BA1CEC">
        <w:rPr>
          <w:szCs w:val="20"/>
        </w:rPr>
        <w:t>-1</w:t>
      </w:r>
      <w:r w:rsidR="00C33B80">
        <w:rPr>
          <w:szCs w:val="20"/>
        </w:rPr>
        <w:t>2</w:t>
      </w:r>
      <w:r w:rsidRPr="00BA1CEC">
        <w:rPr>
          <w:szCs w:val="20"/>
        </w:rPr>
        <w:t xml:space="preserve"> showing the various </w:t>
      </w:r>
      <w:r w:rsidRPr="00BA1CEC">
        <w:rPr>
          <w:szCs w:val="20"/>
        </w:rPr>
        <w:lastRenderedPageBreak/>
        <w:t>components of the written down value of assets are included in table 4A.</w:t>
      </w:r>
      <w:r w:rsidR="0013774C">
        <w:rPr>
          <w:szCs w:val="20"/>
        </w:rPr>
        <w:t>19</w:t>
      </w:r>
      <w:r w:rsidRPr="00BA1CEC">
        <w:rPr>
          <w:szCs w:val="20"/>
        </w:rPr>
        <w:t xml:space="preserve">. Information on the treatment of assets for each </w:t>
      </w:r>
      <w:r w:rsidR="00C43085">
        <w:rPr>
          <w:szCs w:val="20"/>
        </w:rPr>
        <w:t>S</w:t>
      </w:r>
      <w:r w:rsidRPr="00BA1CEC">
        <w:rPr>
          <w:szCs w:val="20"/>
        </w:rPr>
        <w:t xml:space="preserve">tate and </w:t>
      </w:r>
      <w:r w:rsidR="00C43085">
        <w:rPr>
          <w:szCs w:val="20"/>
        </w:rPr>
        <w:t>T</w:t>
      </w:r>
      <w:r w:rsidRPr="00BA1CEC">
        <w:rPr>
          <w:szCs w:val="20"/>
        </w:rPr>
        <w:t>erritory, including the most recent year of revaluation, is in table 4A.</w:t>
      </w:r>
      <w:r w:rsidR="0013774C">
        <w:rPr>
          <w:szCs w:val="20"/>
        </w:rPr>
        <w:t>21</w:t>
      </w:r>
      <w:r w:rsidRPr="00BA1CEC">
        <w:rPr>
          <w:szCs w:val="20"/>
        </w:rPr>
        <w:t>.</w:t>
      </w:r>
    </w:p>
    <w:p w:rsidR="00666ECE" w:rsidRPr="00666ECE" w:rsidRDefault="00666ECE" w:rsidP="00666ECE">
      <w:pPr>
        <w:keepNext/>
        <w:spacing w:before="480" w:line="320" w:lineRule="exact"/>
        <w:outlineLvl w:val="4"/>
        <w:rPr>
          <w:i/>
        </w:rPr>
      </w:pPr>
      <w:r w:rsidRPr="00666ECE">
        <w:rPr>
          <w:i/>
        </w:rPr>
        <w:t>Student-to-staff ratio</w:t>
      </w:r>
    </w:p>
    <w:p w:rsidR="00666ECE" w:rsidRPr="00666ECE" w:rsidRDefault="00666ECE" w:rsidP="00666ECE">
      <w:pPr>
        <w:spacing w:before="240" w:line="320" w:lineRule="atLeast"/>
        <w:jc w:val="both"/>
        <w:rPr>
          <w:szCs w:val="20"/>
        </w:rPr>
      </w:pPr>
      <w:r w:rsidRPr="00666ECE">
        <w:rPr>
          <w:szCs w:val="20"/>
        </w:rPr>
        <w:t>‘Student-to-staff ratio’ is an indicator of governments’ objective to provide education in an efficient manner (box 4.</w:t>
      </w:r>
      <w:r w:rsidR="005004F7">
        <w:rPr>
          <w:szCs w:val="20"/>
        </w:rPr>
        <w:t>7</w:t>
      </w:r>
      <w:r w:rsidRPr="00666ECE">
        <w:rPr>
          <w:szCs w:val="20"/>
        </w:rPr>
        <w:t>).</w:t>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36281D">
        <w:tc>
          <w:tcPr>
            <w:tcW w:w="8771" w:type="dxa"/>
            <w:tcBorders>
              <w:top w:val="single" w:sz="6" w:space="0" w:color="auto"/>
              <w:bottom w:val="nil"/>
            </w:tcBorders>
          </w:tcPr>
          <w:p w:rsidR="00666ECE" w:rsidRPr="0063025F" w:rsidRDefault="00666ECE" w:rsidP="00604EA0">
            <w:pPr>
              <w:pStyle w:val="BoxTitle"/>
            </w:pPr>
            <w:r w:rsidRPr="007A7568">
              <w:rPr>
                <w:b w:val="0"/>
              </w:rPr>
              <w:t xml:space="preserve">Box </w:t>
            </w:r>
            <w:bookmarkStart w:id="35" w:name="OLE_LINK4"/>
            <w:r w:rsidR="00EB256F" w:rsidRPr="007A7568">
              <w:rPr>
                <w:b w:val="0"/>
              </w:rPr>
              <w:t>4.</w:t>
            </w:r>
            <w:bookmarkEnd w:id="35"/>
            <w:r w:rsidR="005004F7" w:rsidRPr="007A7568">
              <w:rPr>
                <w:b w:val="0"/>
              </w:rPr>
              <w:t>7</w:t>
            </w:r>
            <w:r w:rsidRPr="0063025F">
              <w:tab/>
              <w:t>Student-to-staff ratio</w:t>
            </w:r>
          </w:p>
        </w:tc>
      </w:tr>
      <w:tr w:rsidR="00666ECE" w:rsidRPr="00666ECE" w:rsidTr="0036281D">
        <w:trPr>
          <w:cantSplit/>
        </w:trPr>
        <w:tc>
          <w:tcPr>
            <w:tcW w:w="8771" w:type="dxa"/>
            <w:tcBorders>
              <w:top w:val="nil"/>
              <w:left w:val="single" w:sz="6" w:space="0" w:color="auto"/>
              <w:bottom w:val="nil"/>
              <w:right w:val="single" w:sz="6" w:space="0" w:color="auto"/>
            </w:tcBorders>
          </w:tcPr>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 xml:space="preserve">The ‘student-to-staff ratio’ is defined as the number of FTE students per FTE staff. Data are reported for primary, secondary and all schools, and for teaching and </w:t>
            </w:r>
            <w:r w:rsidRPr="00666ECE">
              <w:rPr>
                <w:rFonts w:ascii="Arial" w:hAnsi="Arial"/>
                <w:sz w:val="22"/>
                <w:szCs w:val="20"/>
              </w:rPr>
              <w:br/>
              <w:t xml:space="preserve">non-teaching staff. The student-to-staff ratio presents the number of students </w:t>
            </w:r>
            <w:r w:rsidRPr="00666ECE">
              <w:rPr>
                <w:rFonts w:ascii="Arial" w:hAnsi="Arial"/>
                <w:sz w:val="22"/>
                <w:szCs w:val="20"/>
              </w:rPr>
              <w:br/>
              <w:t>per teacher, where teachers are classified in a way that can be compared across jurisdictions. However, the ratio is not a measure of class size.</w:t>
            </w:r>
          </w:p>
          <w:p w:rsidR="00C43085" w:rsidRPr="00666ECE" w:rsidRDefault="00666ECE" w:rsidP="00C43085">
            <w:pPr>
              <w:pStyle w:val="Box"/>
            </w:pPr>
            <w:r w:rsidRPr="00666ECE">
              <w:t>A low ratio means there are a small number of students per teacher. Holding other factors constant, a high or increasing student</w:t>
            </w:r>
            <w:r w:rsidRPr="00666ECE">
              <w:noBreakHyphen/>
              <w:t>to</w:t>
            </w:r>
            <w:r w:rsidRPr="00666ECE">
              <w:noBreakHyphen/>
              <w:t>teacher ratio represents better or improved efficiency.</w:t>
            </w:r>
            <w:r w:rsidR="00C43085" w:rsidRPr="00666ECE">
              <w:t xml:space="preserve"> While a low or decreasing student-to-teacher ratio may reflect decreasing efficiency, it may also reflect a higher quality education system, if a lower ratio l</w:t>
            </w:r>
            <w:r w:rsidR="0015169D">
              <w:t>eads to better student outcomes.</w:t>
            </w:r>
          </w:p>
          <w:p w:rsidR="00666ECE" w:rsidRPr="00666ECE" w:rsidRDefault="00666ECE" w:rsidP="00666ECE">
            <w:pPr>
              <w:keepNext/>
              <w:tabs>
                <w:tab w:val="left" w:pos="6530"/>
              </w:tabs>
              <w:spacing w:before="120" w:line="280" w:lineRule="atLeast"/>
              <w:jc w:val="both"/>
              <w:rPr>
                <w:rFonts w:ascii="Arial" w:hAnsi="Arial"/>
                <w:sz w:val="22"/>
                <w:szCs w:val="20"/>
              </w:rPr>
            </w:pPr>
            <w:r w:rsidRPr="00666ECE">
              <w:rPr>
                <w:rFonts w:ascii="Arial" w:hAnsi="Arial"/>
                <w:sz w:val="22"/>
                <w:szCs w:val="20"/>
              </w:rPr>
              <w:t>Care should be taken in interpretation of efficiency data:</w:t>
            </w:r>
          </w:p>
          <w:p w:rsidR="00666ECE" w:rsidRPr="00C43085" w:rsidRDefault="00666ECE" w:rsidP="00666ECE">
            <w:pPr>
              <w:keepNext/>
              <w:numPr>
                <w:ilvl w:val="0"/>
                <w:numId w:val="1"/>
              </w:numPr>
              <w:spacing w:before="120" w:line="280" w:lineRule="atLeast"/>
              <w:jc w:val="both"/>
              <w:rPr>
                <w:rFonts w:ascii="Arial" w:hAnsi="Arial"/>
                <w:sz w:val="22"/>
                <w:szCs w:val="20"/>
              </w:rPr>
            </w:pPr>
            <w:r w:rsidRPr="00C43085">
              <w:rPr>
                <w:rFonts w:ascii="Arial" w:hAnsi="Arial"/>
                <w:sz w:val="22"/>
                <w:szCs w:val="20"/>
              </w:rPr>
              <w:t xml:space="preserve">efficiency data should be interpreted within the context of the effectiveness and equity indicators to derive an holistic view of performance. </w:t>
            </w:r>
            <w:r w:rsidR="0015169D">
              <w:rPr>
                <w:rFonts w:ascii="Arial" w:hAnsi="Arial"/>
                <w:sz w:val="22"/>
                <w:szCs w:val="20"/>
              </w:rPr>
              <w:t>T</w:t>
            </w:r>
            <w:r w:rsidRPr="00C43085">
              <w:rPr>
                <w:rFonts w:ascii="Arial" w:hAnsi="Arial"/>
                <w:sz w:val="22"/>
                <w:szCs w:val="20"/>
              </w:rPr>
              <w:t>he student-to-staff ratio is aggregated across all subjects and year levels, and does not distinguish between subjects and/or year levels where different ratios may be appropriate</w:t>
            </w:r>
          </w:p>
          <w:p w:rsidR="00666ECE" w:rsidRPr="00666ECE" w:rsidRDefault="00666ECE" w:rsidP="00666ECE">
            <w:pPr>
              <w:keepNext/>
              <w:numPr>
                <w:ilvl w:val="0"/>
                <w:numId w:val="1"/>
              </w:numPr>
              <w:spacing w:before="120" w:line="280" w:lineRule="atLeast"/>
              <w:jc w:val="both"/>
              <w:rPr>
                <w:rFonts w:ascii="Arial" w:hAnsi="Arial"/>
                <w:sz w:val="22"/>
                <w:szCs w:val="20"/>
              </w:rPr>
            </w:pPr>
            <w:r w:rsidRPr="00666ECE">
              <w:rPr>
                <w:rFonts w:ascii="Arial" w:hAnsi="Arial"/>
                <w:sz w:val="22"/>
                <w:szCs w:val="20"/>
              </w:rPr>
              <w:t>the student-to-staff ratio is affected by factors that may differ across the states and territories, including population dispersion (leading to a larger proportion of small schools), the proportion of special needs students, the degree to which administrative work is undertaken by people classified as teachers (such as principals, deputy principals and senior teachers), and the level of other inputs to school education (for example, non-teaching staff, computers, books and laboratory equipment).</w:t>
            </w:r>
          </w:p>
          <w:p w:rsidR="001C174A" w:rsidRDefault="00BA1348" w:rsidP="00BA1348">
            <w:pPr>
              <w:keepNext/>
              <w:spacing w:before="120" w:line="280" w:lineRule="atLeast"/>
              <w:jc w:val="both"/>
              <w:rPr>
                <w:rFonts w:ascii="Arial" w:hAnsi="Arial"/>
                <w:sz w:val="22"/>
                <w:szCs w:val="20"/>
              </w:rPr>
            </w:pPr>
            <w:r w:rsidRPr="00BA1348">
              <w:rPr>
                <w:rFonts w:ascii="Arial" w:hAnsi="Arial"/>
                <w:sz w:val="22"/>
                <w:szCs w:val="20"/>
              </w:rPr>
              <w:t xml:space="preserve">Data reported for this </w:t>
            </w:r>
            <w:r>
              <w:rPr>
                <w:rFonts w:ascii="Arial" w:hAnsi="Arial"/>
                <w:sz w:val="22"/>
                <w:szCs w:val="20"/>
              </w:rPr>
              <w:t xml:space="preserve">indicator are </w:t>
            </w:r>
          </w:p>
          <w:p w:rsidR="001C174A" w:rsidRDefault="00BA1348" w:rsidP="001C174A">
            <w:pPr>
              <w:pStyle w:val="BoxListBullet"/>
            </w:pPr>
            <w:r w:rsidRPr="00BA1348">
              <w:t>comparable (subject to caveats) acr</w:t>
            </w:r>
            <w:r w:rsidR="001C174A">
              <w:t>oss jurisdictions and over time</w:t>
            </w:r>
          </w:p>
          <w:p w:rsidR="00BA1348" w:rsidRDefault="00BA1348" w:rsidP="001C174A">
            <w:pPr>
              <w:pStyle w:val="BoxListBullet"/>
            </w:pPr>
            <w:r w:rsidRPr="00BA1348">
              <w:t xml:space="preserve">complete for the current reporting period (subject to caveats). All required </w:t>
            </w:r>
            <w:r>
              <w:t>2012</w:t>
            </w:r>
            <w:r w:rsidRPr="00BA1348">
              <w:t xml:space="preserve"> data are available for all jurisdictions providing the service.</w:t>
            </w:r>
          </w:p>
          <w:p w:rsidR="00666ECE" w:rsidRPr="00666ECE" w:rsidRDefault="0057698F" w:rsidP="00BA1348">
            <w:pPr>
              <w:keepNext/>
              <w:spacing w:before="120" w:line="280" w:lineRule="atLeast"/>
              <w:jc w:val="both"/>
              <w:rPr>
                <w:rFonts w:ascii="Arial" w:hAnsi="Arial"/>
                <w:sz w:val="22"/>
                <w:szCs w:val="20"/>
              </w:rPr>
            </w:pPr>
            <w:r w:rsidRPr="0057698F">
              <w:rPr>
                <w:rFonts w:ascii="Arial" w:hAnsi="Arial"/>
                <w:sz w:val="22"/>
              </w:rPr>
              <w:t>Information about data quality for this indicator</w:t>
            </w:r>
            <w:r w:rsidR="00BA1348">
              <w:rPr>
                <w:rFonts w:ascii="Arial" w:hAnsi="Arial"/>
                <w:sz w:val="22"/>
              </w:rPr>
              <w:t xml:space="preserve"> </w:t>
            </w:r>
            <w:r w:rsidRPr="0057698F">
              <w:rPr>
                <w:rFonts w:ascii="Arial" w:hAnsi="Arial"/>
                <w:sz w:val="22"/>
              </w:rPr>
              <w:t xml:space="preserve">is at </w:t>
            </w:r>
            <w:r w:rsidR="00C33B80" w:rsidRPr="00C77140">
              <w:rPr>
                <w:rFonts w:ascii="Arial" w:hAnsi="Arial"/>
                <w:sz w:val="22"/>
              </w:rPr>
              <w:t>www.pc.gov.au/gsp/reports/rogs/2014</w:t>
            </w:r>
            <w:r w:rsidRPr="0057698F">
              <w:rPr>
                <w:rFonts w:ascii="Arial" w:hAnsi="Arial"/>
                <w:sz w:val="22"/>
              </w:rPr>
              <w:t>.</w:t>
            </w: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color w:val="FF00FF"/>
                <w:sz w:val="14"/>
                <w:szCs w:val="20"/>
              </w:rPr>
            </w:pPr>
          </w:p>
        </w:tc>
      </w:tr>
    </w:tbl>
    <w:p w:rsidR="00666ECE" w:rsidRPr="009738E5" w:rsidRDefault="00666ECE" w:rsidP="00666ECE">
      <w:pPr>
        <w:spacing w:before="240" w:line="320" w:lineRule="atLeast"/>
        <w:jc w:val="both"/>
        <w:rPr>
          <w:szCs w:val="20"/>
        </w:rPr>
      </w:pPr>
      <w:r w:rsidRPr="009738E5">
        <w:rPr>
          <w:szCs w:val="20"/>
        </w:rPr>
        <w:lastRenderedPageBreak/>
        <w:t>Nationally in 201</w:t>
      </w:r>
      <w:r w:rsidR="00C33B80" w:rsidRPr="009738E5">
        <w:rPr>
          <w:szCs w:val="20"/>
        </w:rPr>
        <w:t>2</w:t>
      </w:r>
      <w:r w:rsidRPr="009738E5">
        <w:rPr>
          <w:szCs w:val="20"/>
        </w:rPr>
        <w:t xml:space="preserve">, the student-to-teacher ratio for government primary schools was </w:t>
      </w:r>
      <w:r w:rsidR="001C01FD" w:rsidRPr="009738E5">
        <w:rPr>
          <w:szCs w:val="20"/>
        </w:rPr>
        <w:t>15.</w:t>
      </w:r>
      <w:r w:rsidR="009738E5" w:rsidRPr="009738E5">
        <w:rPr>
          <w:szCs w:val="20"/>
        </w:rPr>
        <w:t>2</w:t>
      </w:r>
      <w:r w:rsidRPr="009738E5">
        <w:rPr>
          <w:szCs w:val="20"/>
        </w:rPr>
        <w:t xml:space="preserve"> and for non-government primary schools was </w:t>
      </w:r>
      <w:r w:rsidR="001C01FD" w:rsidRPr="009738E5">
        <w:rPr>
          <w:szCs w:val="20"/>
        </w:rPr>
        <w:t>16.</w:t>
      </w:r>
      <w:r w:rsidR="009738E5" w:rsidRPr="009738E5">
        <w:rPr>
          <w:szCs w:val="20"/>
        </w:rPr>
        <w:t>2</w:t>
      </w:r>
      <w:r w:rsidRPr="009738E5">
        <w:rPr>
          <w:szCs w:val="20"/>
        </w:rPr>
        <w:t xml:space="preserve">. For all primary schools, the student-to-teacher ratio was </w:t>
      </w:r>
      <w:r w:rsidR="001C01FD" w:rsidRPr="009738E5">
        <w:rPr>
          <w:szCs w:val="20"/>
        </w:rPr>
        <w:t>15.</w:t>
      </w:r>
      <w:r w:rsidR="009738E5" w:rsidRPr="009738E5">
        <w:rPr>
          <w:szCs w:val="20"/>
        </w:rPr>
        <w:t>5</w:t>
      </w:r>
      <w:r w:rsidR="001C01FD" w:rsidRPr="009738E5">
        <w:rPr>
          <w:szCs w:val="20"/>
        </w:rPr>
        <w:t xml:space="preserve"> </w:t>
      </w:r>
      <w:r w:rsidRPr="009738E5">
        <w:rPr>
          <w:szCs w:val="20"/>
        </w:rPr>
        <w:t>(figure 4.</w:t>
      </w:r>
      <w:r w:rsidR="005004F7" w:rsidRPr="009738E5">
        <w:rPr>
          <w:szCs w:val="20"/>
        </w:rPr>
        <w:t>20</w:t>
      </w:r>
      <w:r w:rsidRPr="009738E5">
        <w:rPr>
          <w:szCs w:val="20"/>
        </w:rPr>
        <w:t>).</w:t>
      </w:r>
    </w:p>
    <w:p w:rsidR="00666ECE" w:rsidRPr="00CB2928" w:rsidRDefault="00666ECE" w:rsidP="0063025F">
      <w:pPr>
        <w:pStyle w:val="FigureTitle"/>
      </w:pPr>
      <w:r w:rsidRPr="007A7568">
        <w:rPr>
          <w:b w:val="0"/>
        </w:rPr>
        <w:t xml:space="preserve">Figure </w:t>
      </w:r>
      <w:bookmarkStart w:id="36" w:name="OLE_LINK37"/>
      <w:r w:rsidR="00EB256F" w:rsidRPr="007A7568">
        <w:rPr>
          <w:b w:val="0"/>
        </w:rPr>
        <w:t>4.</w:t>
      </w:r>
      <w:r w:rsidR="00EC06F7" w:rsidRPr="007A7568">
        <w:rPr>
          <w:b w:val="0"/>
        </w:rPr>
        <w:t>20</w:t>
      </w:r>
      <w:bookmarkEnd w:id="36"/>
      <w:r w:rsidRPr="00604EA0">
        <w:tab/>
        <w:t>Ratio of FTE students to FTE teaching staff, primary schools, 201</w:t>
      </w:r>
      <w:r w:rsidR="00C33B80" w:rsidRPr="00604EA0">
        <w:t>2</w:t>
      </w:r>
      <w:r w:rsidRPr="00CB2928">
        <w:rPr>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38425"/>
                  <wp:effectExtent l="0" t="0" r="0" b="9525"/>
                  <wp:docPr id="21" name="Picture 21" descr="Figure 4.20 Ratio of FTE students to FTE teaching staff, primary school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See notes to table 4A.</w:t>
      </w:r>
      <w:r w:rsidR="009A48EC">
        <w:rPr>
          <w:rFonts w:ascii="Arial" w:hAnsi="Arial"/>
          <w:sz w:val="18"/>
          <w:szCs w:val="20"/>
        </w:rPr>
        <w:t>22</w:t>
      </w:r>
      <w:r w:rsidRPr="00666ECE">
        <w:rPr>
          <w:rFonts w:ascii="Arial" w:hAnsi="Arial"/>
          <w:sz w:val="18"/>
          <w:szCs w:val="20"/>
        </w:rPr>
        <w:t xml:space="preserve"> for definitions and data caveats.</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C33B80">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C33B80">
        <w:rPr>
          <w:rFonts w:ascii="Arial" w:hAnsi="Arial"/>
          <w:i/>
          <w:sz w:val="18"/>
          <w:szCs w:val="20"/>
        </w:rPr>
        <w:t>2</w:t>
      </w:r>
      <w:r w:rsidRPr="00666ECE">
        <w:rPr>
          <w:rFonts w:ascii="Arial" w:hAnsi="Arial"/>
          <w:sz w:val="18"/>
          <w:szCs w:val="20"/>
        </w:rPr>
        <w:t>, Cat. no. 4221.0; table 4A.</w:t>
      </w:r>
      <w:r w:rsidR="009A48EC">
        <w:rPr>
          <w:rFonts w:ascii="Arial" w:hAnsi="Arial"/>
          <w:sz w:val="18"/>
          <w:szCs w:val="20"/>
        </w:rPr>
        <w:t>22</w:t>
      </w:r>
      <w:r w:rsidR="009738E5">
        <w:rPr>
          <w:rFonts w:ascii="Arial" w:hAnsi="Arial"/>
          <w:sz w:val="18"/>
          <w:szCs w:val="20"/>
        </w:rPr>
        <w:t>.</w:t>
      </w:r>
    </w:p>
    <w:p w:rsidR="00666ECE" w:rsidRPr="009738E5" w:rsidRDefault="00666ECE" w:rsidP="00666ECE">
      <w:pPr>
        <w:spacing w:before="240" w:line="320" w:lineRule="atLeast"/>
        <w:jc w:val="both"/>
        <w:rPr>
          <w:szCs w:val="20"/>
        </w:rPr>
      </w:pPr>
      <w:r w:rsidRPr="009738E5">
        <w:rPr>
          <w:szCs w:val="20"/>
        </w:rPr>
        <w:t>Nationally in 201</w:t>
      </w:r>
      <w:r w:rsidR="00C33B80" w:rsidRPr="009738E5">
        <w:rPr>
          <w:szCs w:val="20"/>
        </w:rPr>
        <w:t>2</w:t>
      </w:r>
      <w:r w:rsidRPr="009738E5">
        <w:rPr>
          <w:szCs w:val="20"/>
        </w:rPr>
        <w:t xml:space="preserve">, the student-to-teacher ratio for government secondary schools was </w:t>
      </w:r>
      <w:r w:rsidR="001C01FD" w:rsidRPr="009738E5">
        <w:rPr>
          <w:szCs w:val="20"/>
        </w:rPr>
        <w:t>12.</w:t>
      </w:r>
      <w:r w:rsidR="009738E5" w:rsidRPr="009738E5">
        <w:rPr>
          <w:szCs w:val="20"/>
        </w:rPr>
        <w:t>3</w:t>
      </w:r>
      <w:r w:rsidRPr="009738E5">
        <w:rPr>
          <w:szCs w:val="20"/>
        </w:rPr>
        <w:t xml:space="preserve"> and for non-go</w:t>
      </w:r>
      <w:r w:rsidR="001C01FD" w:rsidRPr="009738E5">
        <w:rPr>
          <w:szCs w:val="20"/>
        </w:rPr>
        <w:t>vernment secondary schools, was 11.</w:t>
      </w:r>
      <w:r w:rsidR="009738E5" w:rsidRPr="009738E5">
        <w:rPr>
          <w:szCs w:val="20"/>
        </w:rPr>
        <w:t>5</w:t>
      </w:r>
      <w:r w:rsidRPr="009738E5">
        <w:rPr>
          <w:szCs w:val="20"/>
        </w:rPr>
        <w:t xml:space="preserve">. For all secondary schools, the student-to-teacher ratio was </w:t>
      </w:r>
      <w:r w:rsidR="001C01FD" w:rsidRPr="009738E5">
        <w:rPr>
          <w:szCs w:val="20"/>
        </w:rPr>
        <w:t>12.0</w:t>
      </w:r>
      <w:r w:rsidRPr="009738E5">
        <w:rPr>
          <w:szCs w:val="20"/>
        </w:rPr>
        <w:t xml:space="preserve"> (figure 4.</w:t>
      </w:r>
      <w:r w:rsidR="005004F7" w:rsidRPr="009738E5">
        <w:rPr>
          <w:szCs w:val="20"/>
        </w:rPr>
        <w:t>21</w:t>
      </w:r>
      <w:r w:rsidRPr="009738E5">
        <w:rPr>
          <w:szCs w:val="20"/>
        </w:rPr>
        <w:t>).</w:t>
      </w:r>
    </w:p>
    <w:p w:rsidR="00666ECE" w:rsidRPr="00CB2928" w:rsidRDefault="00666ECE" w:rsidP="0063025F">
      <w:pPr>
        <w:pStyle w:val="FigureTitle"/>
      </w:pPr>
      <w:r w:rsidRPr="007A7568">
        <w:rPr>
          <w:b w:val="0"/>
        </w:rPr>
        <w:lastRenderedPageBreak/>
        <w:t xml:space="preserve">Figure </w:t>
      </w:r>
      <w:bookmarkStart w:id="37" w:name="OLE_LINK38"/>
      <w:r w:rsidR="00EB256F" w:rsidRPr="007A7568">
        <w:rPr>
          <w:b w:val="0"/>
        </w:rPr>
        <w:t>4.</w:t>
      </w:r>
      <w:r w:rsidR="00EC06F7" w:rsidRPr="007A7568">
        <w:rPr>
          <w:b w:val="0"/>
        </w:rPr>
        <w:t>21</w:t>
      </w:r>
      <w:bookmarkEnd w:id="37"/>
      <w:r w:rsidRPr="00604EA0">
        <w:tab/>
        <w:t>Ratio of FTE students to FTE teaching staff, secondary schools, 201</w:t>
      </w:r>
      <w:r w:rsidR="00C33B80" w:rsidRPr="00604EA0">
        <w:t>2</w:t>
      </w:r>
      <w:r w:rsidRPr="00CB2928">
        <w:rPr>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38425"/>
                  <wp:effectExtent l="0" t="0" r="0" b="9525"/>
                  <wp:docPr id="22" name="Picture 22" descr="Figure 4.21 Ratio of FTE students to FTE teaching staff, secondary school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See notes to table 4A.</w:t>
      </w:r>
      <w:r w:rsidR="009A48EC">
        <w:rPr>
          <w:rFonts w:ascii="Arial" w:hAnsi="Arial"/>
          <w:sz w:val="18"/>
          <w:szCs w:val="20"/>
        </w:rPr>
        <w:t>22</w:t>
      </w:r>
      <w:r w:rsidRPr="00666ECE">
        <w:rPr>
          <w:rFonts w:ascii="Arial" w:hAnsi="Arial"/>
          <w:sz w:val="18"/>
          <w:szCs w:val="20"/>
        </w:rPr>
        <w:t xml:space="preserve"> for definitions and data caveats.</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C33B80">
        <w:rPr>
          <w:rFonts w:ascii="Arial" w:hAnsi="Arial"/>
          <w:sz w:val="18"/>
          <w:szCs w:val="20"/>
        </w:rPr>
        <w:t>3</w:t>
      </w:r>
      <w:r w:rsidRPr="00666ECE">
        <w:rPr>
          <w:rFonts w:ascii="Arial" w:hAnsi="Arial"/>
          <w:sz w:val="18"/>
          <w:szCs w:val="20"/>
        </w:rPr>
        <w:t xml:space="preserve">) </w:t>
      </w:r>
      <w:r w:rsidRPr="00666ECE">
        <w:rPr>
          <w:rFonts w:ascii="Arial" w:hAnsi="Arial"/>
          <w:i/>
          <w:sz w:val="18"/>
          <w:szCs w:val="20"/>
        </w:rPr>
        <w:t>Schools Australia 201</w:t>
      </w:r>
      <w:r w:rsidR="00C33B80">
        <w:rPr>
          <w:rFonts w:ascii="Arial" w:hAnsi="Arial"/>
          <w:i/>
          <w:sz w:val="18"/>
          <w:szCs w:val="20"/>
        </w:rPr>
        <w:t>2</w:t>
      </w:r>
      <w:r w:rsidRPr="00666ECE">
        <w:rPr>
          <w:rFonts w:ascii="Arial" w:hAnsi="Arial"/>
          <w:sz w:val="18"/>
          <w:szCs w:val="20"/>
        </w:rPr>
        <w:t>, Cat. no. 4221.0; table 4A.</w:t>
      </w:r>
      <w:r w:rsidR="009A48EC">
        <w:rPr>
          <w:rFonts w:ascii="Arial" w:hAnsi="Arial"/>
          <w:sz w:val="18"/>
          <w:szCs w:val="20"/>
        </w:rPr>
        <w:t>22</w:t>
      </w:r>
      <w:r w:rsidRPr="00666ECE">
        <w:rPr>
          <w:rFonts w:ascii="Arial" w:hAnsi="Arial"/>
          <w:sz w:val="18"/>
          <w:szCs w:val="20"/>
        </w:rPr>
        <w:t>.</w:t>
      </w:r>
    </w:p>
    <w:p w:rsidR="00666ECE" w:rsidRPr="009738E5" w:rsidRDefault="00666ECE" w:rsidP="00666ECE">
      <w:pPr>
        <w:spacing w:before="240" w:line="320" w:lineRule="atLeast"/>
        <w:jc w:val="both"/>
        <w:rPr>
          <w:szCs w:val="20"/>
        </w:rPr>
      </w:pPr>
      <w:r w:rsidRPr="00666ECE">
        <w:rPr>
          <w:szCs w:val="20"/>
        </w:rPr>
        <w:t>Nationally in 201</w:t>
      </w:r>
      <w:r w:rsidR="00C33B80">
        <w:rPr>
          <w:szCs w:val="20"/>
        </w:rPr>
        <w:t>2</w:t>
      </w:r>
      <w:r w:rsidRPr="00666ECE">
        <w:rPr>
          <w:szCs w:val="20"/>
        </w:rPr>
        <w:t xml:space="preserve">, the </w:t>
      </w:r>
      <w:r w:rsidRPr="009738E5">
        <w:rPr>
          <w:szCs w:val="20"/>
        </w:rPr>
        <w:t xml:space="preserve">student-to-teacher ratio for all government schools was </w:t>
      </w:r>
      <w:r w:rsidR="003B5A5B" w:rsidRPr="009738E5">
        <w:rPr>
          <w:szCs w:val="20"/>
        </w:rPr>
        <w:t>13.9</w:t>
      </w:r>
      <w:r w:rsidRPr="009738E5">
        <w:rPr>
          <w:szCs w:val="20"/>
        </w:rPr>
        <w:t xml:space="preserve"> and for all non-government schools was </w:t>
      </w:r>
      <w:r w:rsidR="003B5A5B" w:rsidRPr="009738E5">
        <w:rPr>
          <w:szCs w:val="20"/>
        </w:rPr>
        <w:t>13.6</w:t>
      </w:r>
      <w:r w:rsidRPr="009738E5">
        <w:rPr>
          <w:szCs w:val="20"/>
        </w:rPr>
        <w:t xml:space="preserve">. For all schools, the student-to-teacher ratio was </w:t>
      </w:r>
      <w:r w:rsidR="003B5A5B" w:rsidRPr="009738E5">
        <w:rPr>
          <w:szCs w:val="20"/>
        </w:rPr>
        <w:t>13.8</w:t>
      </w:r>
      <w:r w:rsidRPr="009738E5">
        <w:rPr>
          <w:szCs w:val="20"/>
        </w:rPr>
        <w:t xml:space="preserve"> (table 4A.</w:t>
      </w:r>
      <w:r w:rsidR="009A48EC">
        <w:rPr>
          <w:szCs w:val="20"/>
        </w:rPr>
        <w:t>22</w:t>
      </w:r>
      <w:r w:rsidRPr="009738E5">
        <w:rPr>
          <w:szCs w:val="20"/>
        </w:rPr>
        <w:t xml:space="preserve">). </w:t>
      </w:r>
    </w:p>
    <w:p w:rsidR="00666ECE" w:rsidRPr="00666ECE" w:rsidRDefault="00666ECE" w:rsidP="00666ECE">
      <w:pPr>
        <w:spacing w:before="240" w:line="320" w:lineRule="atLeast"/>
        <w:jc w:val="both"/>
        <w:rPr>
          <w:szCs w:val="20"/>
        </w:rPr>
      </w:pPr>
      <w:r w:rsidRPr="00666ECE">
        <w:rPr>
          <w:szCs w:val="20"/>
        </w:rPr>
        <w:t>Table 4A.</w:t>
      </w:r>
      <w:r w:rsidR="009A48EC">
        <w:rPr>
          <w:szCs w:val="20"/>
        </w:rPr>
        <w:t>22</w:t>
      </w:r>
      <w:r w:rsidRPr="00666ECE">
        <w:rPr>
          <w:szCs w:val="20"/>
        </w:rPr>
        <w:t xml:space="preserve"> provides further detail on student-to-staff ratios in 201</w:t>
      </w:r>
      <w:r w:rsidR="00C33B80">
        <w:rPr>
          <w:szCs w:val="20"/>
        </w:rPr>
        <w:t>2</w:t>
      </w:r>
      <w:r w:rsidRPr="00666ECE">
        <w:rPr>
          <w:szCs w:val="20"/>
        </w:rPr>
        <w:t>, including those for non-teaching school staff and all staff, for all jurisdictions.</w:t>
      </w:r>
    </w:p>
    <w:p w:rsidR="00666ECE" w:rsidRPr="00666ECE" w:rsidRDefault="00666ECE" w:rsidP="00666ECE">
      <w:pPr>
        <w:spacing w:before="240" w:line="320" w:lineRule="atLeast"/>
        <w:jc w:val="both"/>
        <w:rPr>
          <w:szCs w:val="20"/>
        </w:rPr>
      </w:pPr>
      <w:r w:rsidRPr="00666ECE">
        <w:rPr>
          <w:szCs w:val="20"/>
        </w:rPr>
        <w:t xml:space="preserve">The </w:t>
      </w:r>
      <w:r w:rsidRPr="003B5A5B">
        <w:rPr>
          <w:szCs w:val="20"/>
        </w:rPr>
        <w:t>student-to-</w:t>
      </w:r>
      <w:r w:rsidRPr="009738E5">
        <w:rPr>
          <w:szCs w:val="20"/>
        </w:rPr>
        <w:t>teacher ratio for all schools (</w:t>
      </w:r>
      <w:r w:rsidR="0015169D">
        <w:rPr>
          <w:szCs w:val="20"/>
        </w:rPr>
        <w:t xml:space="preserve">government and non-government </w:t>
      </w:r>
      <w:r w:rsidRPr="009738E5">
        <w:rPr>
          <w:szCs w:val="20"/>
        </w:rPr>
        <w:t xml:space="preserve">primary and secondary combined) has decreased from </w:t>
      </w:r>
      <w:r w:rsidR="003B5A5B" w:rsidRPr="009738E5">
        <w:rPr>
          <w:szCs w:val="20"/>
        </w:rPr>
        <w:t>14.</w:t>
      </w:r>
      <w:r w:rsidR="000233BF">
        <w:rPr>
          <w:szCs w:val="20"/>
        </w:rPr>
        <w:t>3</w:t>
      </w:r>
      <w:r w:rsidRPr="009738E5">
        <w:rPr>
          <w:szCs w:val="20"/>
        </w:rPr>
        <w:t xml:space="preserve"> in 200</w:t>
      </w:r>
      <w:r w:rsidR="00C33B80" w:rsidRPr="009738E5">
        <w:rPr>
          <w:szCs w:val="20"/>
        </w:rPr>
        <w:t>4</w:t>
      </w:r>
      <w:r w:rsidRPr="009738E5">
        <w:rPr>
          <w:szCs w:val="20"/>
        </w:rPr>
        <w:t xml:space="preserve"> to </w:t>
      </w:r>
      <w:r w:rsidR="003B5A5B" w:rsidRPr="009738E5">
        <w:rPr>
          <w:szCs w:val="20"/>
        </w:rPr>
        <w:t>13.</w:t>
      </w:r>
      <w:r w:rsidR="000233BF">
        <w:rPr>
          <w:szCs w:val="20"/>
        </w:rPr>
        <w:t>8</w:t>
      </w:r>
      <w:r w:rsidRPr="009738E5">
        <w:rPr>
          <w:szCs w:val="20"/>
        </w:rPr>
        <w:t xml:space="preserve"> in 201</w:t>
      </w:r>
      <w:r w:rsidR="00C33B80" w:rsidRPr="009738E5">
        <w:rPr>
          <w:szCs w:val="20"/>
        </w:rPr>
        <w:t>2</w:t>
      </w:r>
      <w:r w:rsidRPr="009738E5">
        <w:rPr>
          <w:szCs w:val="20"/>
        </w:rPr>
        <w:t xml:space="preserve"> </w:t>
      </w:r>
      <w:r w:rsidRPr="003B5A5B">
        <w:rPr>
          <w:szCs w:val="20"/>
        </w:rPr>
        <w:t>(figure 4.2</w:t>
      </w:r>
      <w:r w:rsidR="00D67553">
        <w:rPr>
          <w:szCs w:val="20"/>
        </w:rPr>
        <w:t>2</w:t>
      </w:r>
      <w:r w:rsidRPr="003B5A5B">
        <w:rPr>
          <w:szCs w:val="20"/>
        </w:rPr>
        <w:t>). Data for intervening years and for government and non-government</w:t>
      </w:r>
      <w:r w:rsidRPr="00666ECE">
        <w:rPr>
          <w:szCs w:val="20"/>
        </w:rPr>
        <w:t xml:space="preserve"> schools are in table 4A.</w:t>
      </w:r>
      <w:r w:rsidR="009A48EC">
        <w:rPr>
          <w:szCs w:val="20"/>
        </w:rPr>
        <w:t>23</w:t>
      </w:r>
      <w:r w:rsidRPr="00666ECE">
        <w:rPr>
          <w:szCs w:val="20"/>
        </w:rPr>
        <w:t xml:space="preserve">. </w:t>
      </w:r>
    </w:p>
    <w:p w:rsidR="00666ECE" w:rsidRPr="00105847" w:rsidRDefault="00666ECE" w:rsidP="0063025F">
      <w:pPr>
        <w:pStyle w:val="FigureTitle"/>
      </w:pPr>
      <w:r w:rsidRPr="007A7568">
        <w:rPr>
          <w:b w:val="0"/>
        </w:rPr>
        <w:lastRenderedPageBreak/>
        <w:t xml:space="preserve">Figure </w:t>
      </w:r>
      <w:r w:rsidR="00EB256F" w:rsidRPr="007A7568">
        <w:rPr>
          <w:b w:val="0"/>
        </w:rPr>
        <w:t>4.</w:t>
      </w:r>
      <w:r w:rsidR="00EC06F7" w:rsidRPr="007A7568">
        <w:rPr>
          <w:b w:val="0"/>
          <w:noProof/>
        </w:rPr>
        <w:t>22</w:t>
      </w:r>
      <w:r w:rsidRPr="00666ECE">
        <w:tab/>
      </w:r>
      <w:r w:rsidRPr="00105847">
        <w:t>Ratio of FTE students to FTE teaching staff, all schools</w:t>
      </w:r>
      <w:r w:rsidRPr="00105847">
        <w:rPr>
          <w:position w:val="6"/>
          <w:sz w:val="18"/>
        </w:rPr>
        <w:t>a, b</w:t>
      </w:r>
      <w:r w:rsidR="00C33B80" w:rsidRPr="00105847">
        <w:rPr>
          <w:position w:val="6"/>
          <w:sz w:val="18"/>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81625" cy="2628900"/>
                  <wp:effectExtent l="0" t="0" r="9525" b="0"/>
                  <wp:docPr id="23" name="Picture 23" descr="Figure 4.22 Ratio of FTE students to FTE teaching staff, all schoo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81625" cy="2628900"/>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xml:space="preserve"> Includes primary and secondary schools. </w:t>
      </w:r>
      <w:r w:rsidRPr="00666ECE">
        <w:rPr>
          <w:rFonts w:ascii="Arial" w:hAnsi="Arial"/>
          <w:b/>
          <w:position w:val="6"/>
          <w:sz w:val="18"/>
          <w:szCs w:val="20"/>
        </w:rPr>
        <w:t>b</w:t>
      </w:r>
      <w:r w:rsidRPr="00666ECE">
        <w:rPr>
          <w:rFonts w:ascii="Arial" w:hAnsi="Arial"/>
          <w:sz w:val="18"/>
          <w:szCs w:val="20"/>
        </w:rPr>
        <w:t> See notes to table 4A.</w:t>
      </w:r>
      <w:r w:rsidR="009A48EC">
        <w:rPr>
          <w:rFonts w:ascii="Arial" w:hAnsi="Arial"/>
          <w:sz w:val="18"/>
          <w:szCs w:val="20"/>
        </w:rPr>
        <w:t>23</w:t>
      </w:r>
      <w:r w:rsidRPr="00666ECE">
        <w:rPr>
          <w:rFonts w:ascii="Arial" w:hAnsi="Arial"/>
          <w:sz w:val="18"/>
          <w:szCs w:val="20"/>
        </w:rPr>
        <w:t xml:space="preserve"> for definitions and data caveats.</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sidR="007344D0">
        <w:rPr>
          <w:rFonts w:ascii="Arial" w:hAnsi="Arial"/>
          <w:sz w:val="18"/>
          <w:szCs w:val="20"/>
        </w:rPr>
        <w:t>2</w:t>
      </w:r>
      <w:r w:rsidRPr="00666ECE">
        <w:rPr>
          <w:rFonts w:ascii="Arial" w:hAnsi="Arial"/>
          <w:sz w:val="18"/>
          <w:szCs w:val="20"/>
        </w:rPr>
        <w:t xml:space="preserve">) </w:t>
      </w:r>
      <w:r w:rsidRPr="00666ECE">
        <w:rPr>
          <w:rFonts w:ascii="Arial" w:hAnsi="Arial"/>
          <w:i/>
          <w:sz w:val="18"/>
          <w:szCs w:val="20"/>
        </w:rPr>
        <w:t xml:space="preserve">Schools Australia </w:t>
      </w:r>
      <w:r w:rsidR="007344D0">
        <w:rPr>
          <w:rFonts w:ascii="Arial" w:hAnsi="Arial"/>
          <w:i/>
          <w:sz w:val="18"/>
          <w:szCs w:val="20"/>
        </w:rPr>
        <w:t>2011</w:t>
      </w:r>
      <w:r w:rsidRPr="00666ECE">
        <w:rPr>
          <w:rFonts w:ascii="Arial" w:hAnsi="Arial"/>
          <w:sz w:val="18"/>
          <w:szCs w:val="20"/>
        </w:rPr>
        <w:t xml:space="preserve"> Cat. no. 4221.0; table 4A.</w:t>
      </w:r>
      <w:r w:rsidR="009A48EC">
        <w:rPr>
          <w:rFonts w:ascii="Arial" w:hAnsi="Arial"/>
          <w:sz w:val="18"/>
          <w:szCs w:val="20"/>
        </w:rPr>
        <w:t>23</w:t>
      </w:r>
      <w:r w:rsidRPr="00666ECE">
        <w:rPr>
          <w:rFonts w:ascii="Arial" w:hAnsi="Arial"/>
          <w:sz w:val="18"/>
          <w:szCs w:val="20"/>
        </w:rPr>
        <w:t>.</w:t>
      </w:r>
    </w:p>
    <w:p w:rsidR="00666ECE" w:rsidRPr="00666ECE" w:rsidRDefault="00666ECE" w:rsidP="00666ECE">
      <w:pPr>
        <w:keepNext/>
        <w:spacing w:before="560" w:line="320" w:lineRule="exact"/>
        <w:outlineLvl w:val="2"/>
        <w:rPr>
          <w:rFonts w:ascii="Arial" w:hAnsi="Arial"/>
          <w:b/>
        </w:rPr>
      </w:pPr>
      <w:r w:rsidRPr="00666ECE">
        <w:rPr>
          <w:rFonts w:ascii="Arial" w:hAnsi="Arial"/>
          <w:b/>
        </w:rPr>
        <w:t>Outcomes</w:t>
      </w:r>
    </w:p>
    <w:p w:rsidR="00666ECE" w:rsidRPr="00666ECE" w:rsidRDefault="00666ECE" w:rsidP="00666ECE">
      <w:pPr>
        <w:spacing w:before="240" w:line="320" w:lineRule="atLeast"/>
        <w:jc w:val="both"/>
        <w:rPr>
          <w:szCs w:val="20"/>
        </w:rPr>
      </w:pPr>
      <w:r w:rsidRPr="00666ECE">
        <w:rPr>
          <w:szCs w:val="20"/>
        </w:rPr>
        <w:t>Outcomes are the impact of services on the status of an individual or group (while outputs are the actual services delivered) (see chapter 1, section 1.5).</w:t>
      </w:r>
    </w:p>
    <w:p w:rsidR="00666ECE" w:rsidRPr="00666ECE" w:rsidRDefault="00666ECE" w:rsidP="00666ECE">
      <w:pPr>
        <w:keepNext/>
        <w:spacing w:before="480" w:line="320" w:lineRule="exact"/>
        <w:outlineLvl w:val="3"/>
        <w:rPr>
          <w:rFonts w:ascii="Arial" w:hAnsi="Arial"/>
          <w:i/>
          <w:sz w:val="24"/>
        </w:rPr>
      </w:pPr>
      <w:r w:rsidRPr="00666ECE">
        <w:rPr>
          <w:rFonts w:ascii="Arial" w:hAnsi="Arial"/>
          <w:i/>
          <w:sz w:val="24"/>
        </w:rPr>
        <w:t>Nationally comparable learning outcomes</w:t>
      </w:r>
    </w:p>
    <w:p w:rsidR="00666ECE" w:rsidRPr="00666ECE" w:rsidRDefault="00C43085" w:rsidP="00666ECE">
      <w:pPr>
        <w:spacing w:before="240" w:line="320" w:lineRule="atLeast"/>
        <w:jc w:val="both"/>
        <w:rPr>
          <w:szCs w:val="20"/>
        </w:rPr>
      </w:pPr>
      <w:r>
        <w:rPr>
          <w:szCs w:val="20"/>
        </w:rPr>
        <w:t>Learning outcomes measure</w:t>
      </w:r>
      <w:r w:rsidR="00666ECE" w:rsidRPr="00666ECE">
        <w:rPr>
          <w:szCs w:val="20"/>
        </w:rPr>
        <w:t xml:space="preserve"> students’ attainment of a range of skills, in literacy and numeracy</w:t>
      </w:r>
      <w:r w:rsidR="00924EB2">
        <w:rPr>
          <w:szCs w:val="20"/>
        </w:rPr>
        <w:t>,</w:t>
      </w:r>
      <w:r w:rsidR="00666ECE" w:rsidRPr="00666ECE">
        <w:rPr>
          <w:szCs w:val="20"/>
        </w:rPr>
        <w:t xml:space="preserve"> and in areas such as science literacy, information and communication technology</w:t>
      </w:r>
      <w:r w:rsidR="00292174">
        <w:rPr>
          <w:szCs w:val="20"/>
        </w:rPr>
        <w:t>,</w:t>
      </w:r>
      <w:r w:rsidR="00666ECE" w:rsidRPr="00666ECE">
        <w:rPr>
          <w:szCs w:val="20"/>
        </w:rPr>
        <w:t xml:space="preserve"> and civics and citizenship.</w:t>
      </w:r>
    </w:p>
    <w:p w:rsidR="00666ECE" w:rsidRPr="00666ECE" w:rsidRDefault="00666ECE" w:rsidP="00666ECE">
      <w:pPr>
        <w:spacing w:before="240" w:line="320" w:lineRule="atLeast"/>
        <w:jc w:val="both"/>
        <w:rPr>
          <w:szCs w:val="20"/>
        </w:rPr>
      </w:pPr>
      <w:r w:rsidRPr="00666ECE">
        <w:rPr>
          <w:szCs w:val="20"/>
        </w:rPr>
        <w:t>The ‘learning outcomes’ indicator examines outcomes in these areas and draws on two main sources of information:</w:t>
      </w:r>
    </w:p>
    <w:p w:rsidR="00666ECE" w:rsidRPr="00666ECE" w:rsidRDefault="00666ECE" w:rsidP="005004F7">
      <w:pPr>
        <w:pStyle w:val="ListBullet"/>
      </w:pPr>
      <w:r w:rsidRPr="00666ECE">
        <w:t>the National Assessment Program – Literacy and Numeracy (NAPL</w:t>
      </w:r>
      <w:r w:rsidR="00292174">
        <w:t>AN), and NAP sample assessments</w:t>
      </w:r>
      <w:r w:rsidRPr="00666ECE">
        <w:t xml:space="preserve">. These are </w:t>
      </w:r>
      <w:r w:rsidR="00B03F1B">
        <w:t>SCSEEC</w:t>
      </w:r>
      <w:r w:rsidRPr="00666ECE">
        <w:noBreakHyphen/>
        <w:t>endorsed tests developed to measure student performance in relation to the National Goals for Schooling</w:t>
      </w:r>
    </w:p>
    <w:p w:rsidR="00666ECE" w:rsidRPr="00AF57AE" w:rsidRDefault="00666ECE" w:rsidP="00765CF2">
      <w:pPr>
        <w:pStyle w:val="ListBullet"/>
        <w:rPr>
          <w:i/>
          <w:szCs w:val="24"/>
        </w:rPr>
      </w:pPr>
      <w:r w:rsidRPr="00666ECE">
        <w:t>Australia’s participa</w:t>
      </w:r>
      <w:r w:rsidR="00C43085">
        <w:t>tion in t</w:t>
      </w:r>
      <w:r w:rsidR="00765CF2">
        <w:t>hree</w:t>
      </w:r>
      <w:r w:rsidR="00C43085">
        <w:t xml:space="preserve"> international tests —</w:t>
      </w:r>
      <w:r w:rsidRPr="00666ECE">
        <w:t xml:space="preserve"> the Organisation for Economic Co-operation and Development (OECD) Programme for International Student Assessment (</w:t>
      </w:r>
      <w:r w:rsidRPr="00AF57AE">
        <w:t>PISA); the Trends in International Mathematics and Science Study (TIMSS)</w:t>
      </w:r>
      <w:r w:rsidR="00765CF2" w:rsidRPr="00AF57AE">
        <w:t>; and the Progress in International Reading Literacy Study (PIRLS)</w:t>
      </w:r>
      <w:r w:rsidR="00AF57AE">
        <w:rPr>
          <w:i/>
          <w:szCs w:val="24"/>
        </w:rPr>
        <w:t>.</w:t>
      </w:r>
      <w:r w:rsidR="00765CF2" w:rsidRPr="00AF57AE">
        <w:rPr>
          <w:i/>
          <w:szCs w:val="24"/>
        </w:rPr>
        <w:t xml:space="preserve">  </w:t>
      </w:r>
    </w:p>
    <w:p w:rsidR="00666ECE" w:rsidRPr="00666ECE" w:rsidRDefault="00666ECE" w:rsidP="00666ECE">
      <w:pPr>
        <w:keepNext/>
        <w:spacing w:before="480" w:line="320" w:lineRule="exact"/>
        <w:outlineLvl w:val="4"/>
        <w:rPr>
          <w:i/>
        </w:rPr>
      </w:pPr>
      <w:r w:rsidRPr="00666ECE">
        <w:rPr>
          <w:i/>
        </w:rPr>
        <w:lastRenderedPageBreak/>
        <w:t xml:space="preserve">National Assessment Program </w:t>
      </w:r>
    </w:p>
    <w:p w:rsidR="00666ECE" w:rsidRPr="00666ECE" w:rsidRDefault="00666ECE" w:rsidP="00666ECE">
      <w:pPr>
        <w:spacing w:before="240" w:line="320" w:lineRule="atLeast"/>
        <w:jc w:val="both"/>
        <w:rPr>
          <w:szCs w:val="20"/>
        </w:rPr>
      </w:pPr>
      <w:r w:rsidRPr="00666ECE">
        <w:rPr>
          <w:szCs w:val="20"/>
        </w:rPr>
        <w:t>This chapter reports proportions of students undertaking NAPLAN testing in years</w:t>
      </w:r>
      <w:r w:rsidR="00292174">
        <w:rPr>
          <w:szCs w:val="20"/>
        </w:rPr>
        <w:t> </w:t>
      </w:r>
      <w:r w:rsidRPr="00666ECE">
        <w:rPr>
          <w:szCs w:val="20"/>
        </w:rPr>
        <w:t xml:space="preserve">3, 5, 7 and 9 achieving the national minimum standard, and mean scale score learning outcomes, for reading, </w:t>
      </w:r>
      <w:r w:rsidR="00B03F1B">
        <w:rPr>
          <w:szCs w:val="20"/>
        </w:rPr>
        <w:t xml:space="preserve">persuasive </w:t>
      </w:r>
      <w:r w:rsidRPr="001E35A6">
        <w:rPr>
          <w:szCs w:val="20"/>
        </w:rPr>
        <w:t>writing and numeracy performance in 201</w:t>
      </w:r>
      <w:r w:rsidR="00CF5D56" w:rsidRPr="001E35A6">
        <w:rPr>
          <w:szCs w:val="20"/>
        </w:rPr>
        <w:t>2</w:t>
      </w:r>
      <w:r w:rsidRPr="001E35A6">
        <w:rPr>
          <w:szCs w:val="20"/>
        </w:rPr>
        <w:t xml:space="preserve">, including by Indigenous status and geolocation. Data comparing a range of outcomes </w:t>
      </w:r>
      <w:r w:rsidR="00B03F1B" w:rsidRPr="001E35A6">
        <w:rPr>
          <w:szCs w:val="20"/>
        </w:rPr>
        <w:t xml:space="preserve">from </w:t>
      </w:r>
      <w:r w:rsidRPr="001E35A6">
        <w:rPr>
          <w:szCs w:val="20"/>
        </w:rPr>
        <w:t xml:space="preserve">2008 </w:t>
      </w:r>
      <w:r w:rsidR="00B03F1B" w:rsidRPr="001E35A6">
        <w:rPr>
          <w:szCs w:val="20"/>
        </w:rPr>
        <w:t>to 201</w:t>
      </w:r>
      <w:r w:rsidR="00CF5D56" w:rsidRPr="001E35A6">
        <w:rPr>
          <w:szCs w:val="20"/>
        </w:rPr>
        <w:t>2</w:t>
      </w:r>
      <w:r w:rsidRPr="001E35A6">
        <w:rPr>
          <w:szCs w:val="20"/>
        </w:rPr>
        <w:t xml:space="preserve"> </w:t>
      </w:r>
      <w:r w:rsidR="00765CF2" w:rsidRPr="001E35A6">
        <w:rPr>
          <w:szCs w:val="20"/>
        </w:rPr>
        <w:t xml:space="preserve">and 2011 to 2012 </w:t>
      </w:r>
      <w:r w:rsidRPr="001E35A6">
        <w:rPr>
          <w:szCs w:val="20"/>
        </w:rPr>
        <w:t xml:space="preserve">for reading and numeracy </w:t>
      </w:r>
      <w:r w:rsidR="00CF5D56" w:rsidRPr="001E35A6">
        <w:rPr>
          <w:szCs w:val="20"/>
        </w:rPr>
        <w:t xml:space="preserve">and from 2011 to 2012 for persuasive writing </w:t>
      </w:r>
      <w:r w:rsidRPr="001E35A6">
        <w:rPr>
          <w:szCs w:val="20"/>
        </w:rPr>
        <w:t xml:space="preserve">are also included in </w:t>
      </w:r>
      <w:r w:rsidRPr="00666ECE">
        <w:rPr>
          <w:szCs w:val="20"/>
        </w:rPr>
        <w:t xml:space="preserve">the chapter. </w:t>
      </w:r>
    </w:p>
    <w:p w:rsidR="00666ECE" w:rsidRPr="00666ECE" w:rsidRDefault="00666ECE" w:rsidP="00666ECE">
      <w:pPr>
        <w:spacing w:before="240" w:line="320" w:lineRule="atLeast"/>
        <w:jc w:val="both"/>
        <w:rPr>
          <w:szCs w:val="20"/>
        </w:rPr>
      </w:pPr>
      <w:r w:rsidRPr="00666ECE">
        <w:rPr>
          <w:szCs w:val="20"/>
        </w:rPr>
        <w:t>Achieving (but not exceeding) the national minimum standard represents achievement of the basic elements of literacy or numeracy for the year level. Students who have not achieved the national minimum standard for that year need focused intervention and additional support to help them achieve the skills they require to progress in schooling (ACARA 201</w:t>
      </w:r>
      <w:r w:rsidR="00CF5D56">
        <w:rPr>
          <w:szCs w:val="20"/>
        </w:rPr>
        <w:t>2</w:t>
      </w:r>
      <w:r w:rsidR="004A253D">
        <w:rPr>
          <w:szCs w:val="20"/>
        </w:rPr>
        <w:t>b</w:t>
      </w:r>
      <w:r w:rsidRPr="00666ECE">
        <w:rPr>
          <w:szCs w:val="20"/>
        </w:rPr>
        <w:t>). The chapter and attachment tables also include additional data on NAPLAN mean scale scores for 201</w:t>
      </w:r>
      <w:r w:rsidR="00CF5D56">
        <w:rPr>
          <w:szCs w:val="20"/>
        </w:rPr>
        <w:t>2</w:t>
      </w:r>
      <w:r w:rsidRPr="00666ECE">
        <w:rPr>
          <w:szCs w:val="20"/>
        </w:rPr>
        <w:t xml:space="preserve">. </w:t>
      </w:r>
    </w:p>
    <w:p w:rsidR="00B03F1B" w:rsidRPr="00765CF2" w:rsidRDefault="00666ECE" w:rsidP="00B03F1B">
      <w:pPr>
        <w:spacing w:before="240" w:line="320" w:lineRule="atLeast"/>
        <w:jc w:val="both"/>
        <w:rPr>
          <w:szCs w:val="20"/>
        </w:rPr>
      </w:pPr>
      <w:r w:rsidRPr="00666ECE">
        <w:rPr>
          <w:szCs w:val="20"/>
        </w:rPr>
        <w:t>Detailed NAPLAN data for 201</w:t>
      </w:r>
      <w:r w:rsidR="00CF5D56">
        <w:rPr>
          <w:szCs w:val="20"/>
        </w:rPr>
        <w:t>2</w:t>
      </w:r>
      <w:r w:rsidRPr="00666ECE">
        <w:rPr>
          <w:szCs w:val="20"/>
        </w:rPr>
        <w:t>, including outcomes by socio-economic status, are included in the attachment tables (tables 4A.3</w:t>
      </w:r>
      <w:r w:rsidR="009819A6">
        <w:rPr>
          <w:szCs w:val="20"/>
        </w:rPr>
        <w:t>6</w:t>
      </w:r>
      <w:r w:rsidRPr="00666ECE">
        <w:rPr>
          <w:szCs w:val="20"/>
        </w:rPr>
        <w:t>–</w:t>
      </w:r>
      <w:r w:rsidR="009819A6">
        <w:rPr>
          <w:szCs w:val="20"/>
        </w:rPr>
        <w:t>43</w:t>
      </w:r>
      <w:r w:rsidRPr="00666ECE">
        <w:rPr>
          <w:szCs w:val="20"/>
        </w:rPr>
        <w:t xml:space="preserve"> for reading performance, tables</w:t>
      </w:r>
      <w:r w:rsidR="00292174">
        <w:rPr>
          <w:szCs w:val="20"/>
        </w:rPr>
        <w:t> </w:t>
      </w:r>
      <w:r w:rsidRPr="00666ECE">
        <w:rPr>
          <w:szCs w:val="20"/>
        </w:rPr>
        <w:t>4A.</w:t>
      </w:r>
      <w:r w:rsidR="00B03F1B">
        <w:rPr>
          <w:szCs w:val="20"/>
        </w:rPr>
        <w:t>5</w:t>
      </w:r>
      <w:r w:rsidR="009819A6">
        <w:rPr>
          <w:szCs w:val="20"/>
        </w:rPr>
        <w:t>4</w:t>
      </w:r>
      <w:r w:rsidRPr="00666ECE">
        <w:rPr>
          <w:szCs w:val="20"/>
        </w:rPr>
        <w:t>–</w:t>
      </w:r>
      <w:r w:rsidR="009819A6">
        <w:rPr>
          <w:szCs w:val="20"/>
        </w:rPr>
        <w:t>61</w:t>
      </w:r>
      <w:r w:rsidRPr="00666ECE">
        <w:rPr>
          <w:szCs w:val="20"/>
        </w:rPr>
        <w:t xml:space="preserve"> </w:t>
      </w:r>
      <w:r w:rsidRPr="003E52C6">
        <w:rPr>
          <w:szCs w:val="20"/>
        </w:rPr>
        <w:t xml:space="preserve">for </w:t>
      </w:r>
      <w:r w:rsidR="00B03F1B" w:rsidRPr="003E52C6">
        <w:rPr>
          <w:szCs w:val="20"/>
        </w:rPr>
        <w:t xml:space="preserve">persuasive </w:t>
      </w:r>
      <w:r w:rsidRPr="003E52C6">
        <w:rPr>
          <w:szCs w:val="20"/>
        </w:rPr>
        <w:t>writing performance and tables 4A.</w:t>
      </w:r>
      <w:r w:rsidR="009819A6">
        <w:rPr>
          <w:szCs w:val="20"/>
        </w:rPr>
        <w:t>71</w:t>
      </w:r>
      <w:r w:rsidRPr="003E52C6">
        <w:rPr>
          <w:szCs w:val="20"/>
        </w:rPr>
        <w:t>–</w:t>
      </w:r>
      <w:r w:rsidR="00765CF2">
        <w:rPr>
          <w:szCs w:val="20"/>
        </w:rPr>
        <w:t>7</w:t>
      </w:r>
      <w:r w:rsidR="009819A6">
        <w:rPr>
          <w:szCs w:val="20"/>
        </w:rPr>
        <w:t>8</w:t>
      </w:r>
      <w:r w:rsidRPr="003E52C6">
        <w:rPr>
          <w:szCs w:val="20"/>
        </w:rPr>
        <w:t xml:space="preserve"> for numeracy performance). More detailed NAPLAN time series data for 2008</w:t>
      </w:r>
      <w:r w:rsidR="00CF5D56">
        <w:rPr>
          <w:szCs w:val="20"/>
        </w:rPr>
        <w:t>–2011</w:t>
      </w:r>
      <w:r w:rsidRPr="003E52C6">
        <w:rPr>
          <w:szCs w:val="20"/>
        </w:rPr>
        <w:t xml:space="preserve"> and 201</w:t>
      </w:r>
      <w:r w:rsidR="00765CF2">
        <w:rPr>
          <w:szCs w:val="20"/>
        </w:rPr>
        <w:t>1–2012</w:t>
      </w:r>
      <w:r w:rsidRPr="003E52C6">
        <w:rPr>
          <w:szCs w:val="20"/>
        </w:rPr>
        <w:t xml:space="preserve"> are included in tables 4A.</w:t>
      </w:r>
      <w:r w:rsidR="003E52C6" w:rsidRPr="003E52C6">
        <w:rPr>
          <w:szCs w:val="20"/>
        </w:rPr>
        <w:t>4</w:t>
      </w:r>
      <w:r w:rsidR="009819A6">
        <w:rPr>
          <w:szCs w:val="20"/>
        </w:rPr>
        <w:t>4</w:t>
      </w:r>
      <w:r w:rsidR="003E52C6" w:rsidRPr="003E52C6">
        <w:rPr>
          <w:szCs w:val="20"/>
        </w:rPr>
        <w:t>–</w:t>
      </w:r>
      <w:r w:rsidR="009819A6">
        <w:rPr>
          <w:szCs w:val="20"/>
        </w:rPr>
        <w:t>52</w:t>
      </w:r>
      <w:r w:rsidRPr="003E52C6">
        <w:rPr>
          <w:szCs w:val="20"/>
        </w:rPr>
        <w:t xml:space="preserve"> for reading performance and tables</w:t>
      </w:r>
      <w:r w:rsidR="009819A6">
        <w:rPr>
          <w:szCs w:val="20"/>
        </w:rPr>
        <w:t> </w:t>
      </w:r>
      <w:r w:rsidRPr="003E52C6">
        <w:rPr>
          <w:szCs w:val="20"/>
        </w:rPr>
        <w:t>4A.</w:t>
      </w:r>
      <w:r w:rsidR="00765CF2">
        <w:rPr>
          <w:szCs w:val="20"/>
        </w:rPr>
        <w:t>7</w:t>
      </w:r>
      <w:r w:rsidR="009819A6">
        <w:rPr>
          <w:szCs w:val="20"/>
        </w:rPr>
        <w:t>9</w:t>
      </w:r>
      <w:r w:rsidRPr="003E52C6">
        <w:rPr>
          <w:szCs w:val="20"/>
        </w:rPr>
        <w:t>–</w:t>
      </w:r>
      <w:r w:rsidR="00765CF2">
        <w:rPr>
          <w:szCs w:val="20"/>
        </w:rPr>
        <w:t>8</w:t>
      </w:r>
      <w:r w:rsidR="009819A6">
        <w:rPr>
          <w:szCs w:val="20"/>
        </w:rPr>
        <w:t>7</w:t>
      </w:r>
      <w:r w:rsidRPr="003E52C6">
        <w:rPr>
          <w:szCs w:val="20"/>
        </w:rPr>
        <w:t xml:space="preserve"> for numeracy performance.</w:t>
      </w:r>
      <w:r w:rsidR="00B03F1B" w:rsidRPr="003E52C6">
        <w:rPr>
          <w:szCs w:val="20"/>
        </w:rPr>
        <w:t xml:space="preserve"> </w:t>
      </w:r>
      <w:r w:rsidR="00765CF2">
        <w:rPr>
          <w:szCs w:val="20"/>
        </w:rPr>
        <w:t>Time series data for 2011–2012 for persuasive writing are included in tables 4A.</w:t>
      </w:r>
      <w:r w:rsidR="009819A6">
        <w:rPr>
          <w:szCs w:val="20"/>
        </w:rPr>
        <w:t>62</w:t>
      </w:r>
      <w:r w:rsidR="00765CF2">
        <w:rPr>
          <w:szCs w:val="20"/>
        </w:rPr>
        <w:t>–</w:t>
      </w:r>
      <w:r w:rsidR="009819A6">
        <w:rPr>
          <w:szCs w:val="20"/>
        </w:rPr>
        <w:t>70</w:t>
      </w:r>
      <w:r w:rsidR="00765CF2">
        <w:rPr>
          <w:szCs w:val="20"/>
        </w:rPr>
        <w:t xml:space="preserve">. </w:t>
      </w:r>
      <w:r w:rsidR="00C43085" w:rsidRPr="003E52C6">
        <w:rPr>
          <w:szCs w:val="20"/>
        </w:rPr>
        <w:t xml:space="preserve">In 2011, NAPLAN writing </w:t>
      </w:r>
      <w:r w:rsidR="00C43085" w:rsidRPr="00765CF2">
        <w:rPr>
          <w:szCs w:val="20"/>
        </w:rPr>
        <w:t xml:space="preserve">testing changed from </w:t>
      </w:r>
      <w:r w:rsidR="00B03F1B" w:rsidRPr="00765CF2">
        <w:rPr>
          <w:szCs w:val="20"/>
        </w:rPr>
        <w:t>narrative to persuasive writing</w:t>
      </w:r>
      <w:r w:rsidR="00292174" w:rsidRPr="00765CF2">
        <w:rPr>
          <w:szCs w:val="20"/>
        </w:rPr>
        <w:t>,</w:t>
      </w:r>
      <w:r w:rsidR="00B03F1B" w:rsidRPr="00765CF2">
        <w:rPr>
          <w:szCs w:val="20"/>
        </w:rPr>
        <w:t xml:space="preserve"> </w:t>
      </w:r>
      <w:r w:rsidR="00C43085" w:rsidRPr="00765CF2">
        <w:rPr>
          <w:szCs w:val="20"/>
        </w:rPr>
        <w:t xml:space="preserve">leading to a break in the time series. </w:t>
      </w:r>
      <w:r w:rsidR="00765CF2" w:rsidRPr="00765CF2">
        <w:rPr>
          <w:szCs w:val="20"/>
        </w:rPr>
        <w:t>D</w:t>
      </w:r>
      <w:r w:rsidR="00B03F1B" w:rsidRPr="00765CF2">
        <w:rPr>
          <w:szCs w:val="20"/>
        </w:rPr>
        <w:t xml:space="preserve">ata for </w:t>
      </w:r>
      <w:r w:rsidR="00C43085" w:rsidRPr="00765CF2">
        <w:rPr>
          <w:szCs w:val="20"/>
        </w:rPr>
        <w:t xml:space="preserve">narrative </w:t>
      </w:r>
      <w:r w:rsidR="00B03F1B" w:rsidRPr="00765CF2">
        <w:rPr>
          <w:szCs w:val="20"/>
        </w:rPr>
        <w:t xml:space="preserve">writing </w:t>
      </w:r>
      <w:r w:rsidR="00CF5D56" w:rsidRPr="00765CF2">
        <w:rPr>
          <w:szCs w:val="20"/>
        </w:rPr>
        <w:t>(for 2008, 2009 and 2010) are included in the 2010–2012 Reports.</w:t>
      </w:r>
    </w:p>
    <w:p w:rsidR="00666ECE" w:rsidRPr="00765CF2" w:rsidRDefault="00666ECE" w:rsidP="00666ECE">
      <w:pPr>
        <w:spacing w:before="240" w:line="320" w:lineRule="atLeast"/>
        <w:jc w:val="both"/>
        <w:rPr>
          <w:szCs w:val="20"/>
        </w:rPr>
      </w:pPr>
      <w:r w:rsidRPr="00765CF2">
        <w:rPr>
          <w:szCs w:val="20"/>
        </w:rPr>
        <w:t xml:space="preserve">The NAP also undertakes triennial national sample assessments on a rotating basis. This chapter reports year 6 </w:t>
      </w:r>
      <w:r w:rsidR="00CF5D56" w:rsidRPr="00765CF2">
        <w:rPr>
          <w:szCs w:val="20"/>
        </w:rPr>
        <w:t>science</w:t>
      </w:r>
      <w:r w:rsidR="00B03F1B" w:rsidRPr="00765CF2">
        <w:rPr>
          <w:szCs w:val="20"/>
        </w:rPr>
        <w:t xml:space="preserve"> literacy performance </w:t>
      </w:r>
      <w:r w:rsidRPr="00765CF2">
        <w:rPr>
          <w:szCs w:val="20"/>
        </w:rPr>
        <w:t>data for 200</w:t>
      </w:r>
      <w:r w:rsidR="00CF5D56" w:rsidRPr="00765CF2">
        <w:rPr>
          <w:szCs w:val="20"/>
        </w:rPr>
        <w:t>6</w:t>
      </w:r>
      <w:r w:rsidRPr="00765CF2">
        <w:rPr>
          <w:szCs w:val="20"/>
        </w:rPr>
        <w:t>, 200</w:t>
      </w:r>
      <w:r w:rsidR="00CF5D56" w:rsidRPr="00765CF2">
        <w:rPr>
          <w:szCs w:val="20"/>
        </w:rPr>
        <w:t>9</w:t>
      </w:r>
      <w:r w:rsidRPr="00765CF2">
        <w:rPr>
          <w:szCs w:val="20"/>
        </w:rPr>
        <w:t xml:space="preserve"> and 201</w:t>
      </w:r>
      <w:r w:rsidR="00CF5D56" w:rsidRPr="00765CF2">
        <w:rPr>
          <w:szCs w:val="20"/>
        </w:rPr>
        <w:t>2</w:t>
      </w:r>
      <w:r w:rsidRPr="00765CF2">
        <w:rPr>
          <w:szCs w:val="20"/>
        </w:rPr>
        <w:t xml:space="preserve"> (201</w:t>
      </w:r>
      <w:r w:rsidR="00CF5D56" w:rsidRPr="00765CF2">
        <w:rPr>
          <w:szCs w:val="20"/>
        </w:rPr>
        <w:t>2</w:t>
      </w:r>
      <w:r w:rsidRPr="00765CF2">
        <w:rPr>
          <w:szCs w:val="20"/>
        </w:rPr>
        <w:t xml:space="preserve"> data are available for the first time in this Report). The attachment tables include additional data on </w:t>
      </w:r>
      <w:r w:rsidR="00765CF2" w:rsidRPr="00765CF2">
        <w:rPr>
          <w:szCs w:val="20"/>
        </w:rPr>
        <w:t xml:space="preserve">science literacy </w:t>
      </w:r>
      <w:r w:rsidR="00B03F1B" w:rsidRPr="00765CF2">
        <w:rPr>
          <w:szCs w:val="20"/>
        </w:rPr>
        <w:t>performance</w:t>
      </w:r>
      <w:r w:rsidRPr="00765CF2">
        <w:rPr>
          <w:szCs w:val="20"/>
        </w:rPr>
        <w:t xml:space="preserve"> </w:t>
      </w:r>
      <w:r w:rsidR="00924EB2">
        <w:rPr>
          <w:szCs w:val="20"/>
        </w:rPr>
        <w:t xml:space="preserve">for 2006, 2009 and 2012 </w:t>
      </w:r>
      <w:r w:rsidR="00CB2D4B" w:rsidRPr="00765CF2">
        <w:rPr>
          <w:szCs w:val="20"/>
        </w:rPr>
        <w:t xml:space="preserve">(tables </w:t>
      </w:r>
      <w:r w:rsidRPr="00765CF2">
        <w:rPr>
          <w:szCs w:val="20"/>
        </w:rPr>
        <w:t>4A.</w:t>
      </w:r>
      <w:r w:rsidR="00CB2D4B" w:rsidRPr="00765CF2">
        <w:rPr>
          <w:szCs w:val="20"/>
        </w:rPr>
        <w:t>8</w:t>
      </w:r>
      <w:r w:rsidR="009819A6">
        <w:rPr>
          <w:szCs w:val="20"/>
        </w:rPr>
        <w:t>9</w:t>
      </w:r>
      <w:r w:rsidRPr="00765CF2">
        <w:rPr>
          <w:szCs w:val="20"/>
        </w:rPr>
        <w:t>–</w:t>
      </w:r>
      <w:r w:rsidR="009819A6">
        <w:rPr>
          <w:szCs w:val="20"/>
        </w:rPr>
        <w:t>91</w:t>
      </w:r>
      <w:r w:rsidRPr="00765CF2">
        <w:rPr>
          <w:szCs w:val="20"/>
        </w:rPr>
        <w:t xml:space="preserve">); year </w:t>
      </w:r>
      <w:r w:rsidR="00CB2D4B" w:rsidRPr="00765CF2">
        <w:rPr>
          <w:szCs w:val="20"/>
        </w:rPr>
        <w:t xml:space="preserve">6 and year </w:t>
      </w:r>
      <w:r w:rsidRPr="00765CF2">
        <w:rPr>
          <w:szCs w:val="20"/>
        </w:rPr>
        <w:t xml:space="preserve">10 </w:t>
      </w:r>
      <w:r w:rsidR="00B03F1B" w:rsidRPr="00765CF2">
        <w:rPr>
          <w:szCs w:val="20"/>
        </w:rPr>
        <w:t>civics and citizenship</w:t>
      </w:r>
      <w:r w:rsidRPr="00765CF2">
        <w:rPr>
          <w:szCs w:val="20"/>
        </w:rPr>
        <w:t xml:space="preserve"> literacy performance for 200</w:t>
      </w:r>
      <w:r w:rsidR="00B03F1B" w:rsidRPr="00765CF2">
        <w:rPr>
          <w:szCs w:val="20"/>
        </w:rPr>
        <w:t>4, 2007</w:t>
      </w:r>
      <w:r w:rsidRPr="00765CF2">
        <w:rPr>
          <w:szCs w:val="20"/>
        </w:rPr>
        <w:t xml:space="preserve"> and 20</w:t>
      </w:r>
      <w:r w:rsidR="00B03F1B" w:rsidRPr="00765CF2">
        <w:rPr>
          <w:szCs w:val="20"/>
        </w:rPr>
        <w:t>10</w:t>
      </w:r>
      <w:r w:rsidRPr="00765CF2">
        <w:rPr>
          <w:szCs w:val="20"/>
        </w:rPr>
        <w:t xml:space="preserve"> (tables 4A.</w:t>
      </w:r>
      <w:r w:rsidR="009819A6">
        <w:rPr>
          <w:szCs w:val="20"/>
        </w:rPr>
        <w:t>92</w:t>
      </w:r>
      <w:r w:rsidR="00CB2D4B" w:rsidRPr="00765CF2">
        <w:rPr>
          <w:szCs w:val="20"/>
        </w:rPr>
        <w:t>–</w:t>
      </w:r>
      <w:r w:rsidR="00765CF2" w:rsidRPr="00765CF2">
        <w:rPr>
          <w:szCs w:val="20"/>
        </w:rPr>
        <w:t>9</w:t>
      </w:r>
      <w:r w:rsidR="009819A6">
        <w:rPr>
          <w:szCs w:val="20"/>
        </w:rPr>
        <w:t>4</w:t>
      </w:r>
      <w:r w:rsidRPr="00765CF2">
        <w:rPr>
          <w:szCs w:val="20"/>
        </w:rPr>
        <w:t>)</w:t>
      </w:r>
      <w:r w:rsidR="00765CF2" w:rsidRPr="00765CF2">
        <w:rPr>
          <w:szCs w:val="20"/>
        </w:rPr>
        <w:t xml:space="preserve"> and year 6 and year 10 information and communication technologies literacy performance  for 2005, 2008 and 2011 (tables 4A.9</w:t>
      </w:r>
      <w:r w:rsidR="009819A6">
        <w:rPr>
          <w:szCs w:val="20"/>
        </w:rPr>
        <w:t>5</w:t>
      </w:r>
      <w:r w:rsidR="00765CF2" w:rsidRPr="00765CF2">
        <w:rPr>
          <w:szCs w:val="20"/>
        </w:rPr>
        <w:t>-9</w:t>
      </w:r>
      <w:r w:rsidR="009819A6">
        <w:rPr>
          <w:szCs w:val="20"/>
        </w:rPr>
        <w:t>6</w:t>
      </w:r>
      <w:r w:rsidR="00765CF2" w:rsidRPr="00765CF2">
        <w:rPr>
          <w:szCs w:val="20"/>
        </w:rPr>
        <w:t>)</w:t>
      </w:r>
      <w:r w:rsidRPr="00765CF2">
        <w:rPr>
          <w:szCs w:val="20"/>
        </w:rPr>
        <w:t>.</w:t>
      </w:r>
    </w:p>
    <w:p w:rsidR="00666ECE" w:rsidRPr="00CB2D4B" w:rsidRDefault="00666ECE" w:rsidP="00666ECE">
      <w:pPr>
        <w:spacing w:before="240" w:line="320" w:lineRule="atLeast"/>
        <w:jc w:val="both"/>
        <w:rPr>
          <w:i/>
          <w:szCs w:val="20"/>
        </w:rPr>
      </w:pPr>
      <w:r w:rsidRPr="00CB2D4B">
        <w:rPr>
          <w:i/>
          <w:szCs w:val="20"/>
        </w:rPr>
        <w:t>International tests</w:t>
      </w:r>
    </w:p>
    <w:p w:rsidR="00E72DBF" w:rsidRPr="00CB2928" w:rsidRDefault="00666ECE" w:rsidP="00666ECE">
      <w:pPr>
        <w:spacing w:before="240" w:line="320" w:lineRule="atLeast"/>
        <w:jc w:val="both"/>
        <w:rPr>
          <w:szCs w:val="20"/>
        </w:rPr>
      </w:pPr>
      <w:r w:rsidRPr="00CB2D4B">
        <w:rPr>
          <w:szCs w:val="20"/>
        </w:rPr>
        <w:t>T</w:t>
      </w:r>
      <w:r w:rsidR="00E72DBF">
        <w:rPr>
          <w:szCs w:val="20"/>
        </w:rPr>
        <w:t xml:space="preserve">his </w:t>
      </w:r>
      <w:r w:rsidR="00E72DBF" w:rsidRPr="00CB2928">
        <w:rPr>
          <w:szCs w:val="20"/>
        </w:rPr>
        <w:t>chapter reports outcomes of:</w:t>
      </w:r>
    </w:p>
    <w:p w:rsidR="00666ECE" w:rsidRPr="00CB2928" w:rsidRDefault="00666ECE" w:rsidP="00E72DBF">
      <w:pPr>
        <w:pStyle w:val="ListBullet"/>
      </w:pPr>
      <w:r w:rsidRPr="00CB2928">
        <w:t xml:space="preserve">triennial </w:t>
      </w:r>
      <w:r w:rsidR="001E35A6" w:rsidRPr="00CB2928">
        <w:t xml:space="preserve">PISA </w:t>
      </w:r>
      <w:r w:rsidRPr="00CB2928">
        <w:t>assessments in reading literacy, mathematical literacy and scientific literacy</w:t>
      </w:r>
      <w:r w:rsidR="00CE740B">
        <w:t xml:space="preserve"> </w:t>
      </w:r>
      <w:r w:rsidR="00CE740B" w:rsidRPr="00C43453">
        <w:rPr>
          <w:shd w:val="clear" w:color="auto" w:fill="FFFFFF" w:themeFill="background1"/>
        </w:rPr>
        <w:t>for 15 year old students</w:t>
      </w:r>
      <w:r w:rsidRPr="00CB2928">
        <w:t xml:space="preserve">. </w:t>
      </w:r>
      <w:r w:rsidR="001E35A6" w:rsidRPr="00CB2928">
        <w:rPr>
          <w:shd w:val="clear" w:color="auto" w:fill="FFFFFF" w:themeFill="background1"/>
        </w:rPr>
        <w:t xml:space="preserve">Data from the 2012 assessments are </w:t>
      </w:r>
      <w:r w:rsidR="001E35A6" w:rsidRPr="00CB2928">
        <w:rPr>
          <w:shd w:val="clear" w:color="auto" w:fill="FFFFFF" w:themeFill="background1"/>
        </w:rPr>
        <w:lastRenderedPageBreak/>
        <w:t>included for the first time in this Report, as well as data from 2000, 2003, 2006 and 2009</w:t>
      </w:r>
      <w:r w:rsidR="00B03F1B" w:rsidRPr="00CB2928">
        <w:t xml:space="preserve"> </w:t>
      </w:r>
      <w:r w:rsidR="00BA40CA" w:rsidRPr="00CB2928">
        <w:t>(</w:t>
      </w:r>
      <w:r w:rsidRPr="00CB2928">
        <w:t>tables</w:t>
      </w:r>
      <w:r w:rsidR="00EC1488">
        <w:t> </w:t>
      </w:r>
      <w:r w:rsidRPr="00CB2928">
        <w:t>4A.</w:t>
      </w:r>
      <w:r w:rsidR="001E35A6" w:rsidRPr="00CB2928">
        <w:t>9</w:t>
      </w:r>
      <w:r w:rsidR="009819A6">
        <w:t>7</w:t>
      </w:r>
      <w:r w:rsidR="00C43453">
        <w:t>–</w:t>
      </w:r>
      <w:r w:rsidR="001E35A6" w:rsidRPr="00CB2928">
        <w:t>10</w:t>
      </w:r>
      <w:r w:rsidR="00EC1488">
        <w:t>9</w:t>
      </w:r>
      <w:r w:rsidR="001E35A6" w:rsidRPr="00CB2928">
        <w:t>)</w:t>
      </w:r>
    </w:p>
    <w:p w:rsidR="00CE740B" w:rsidRDefault="001E35A6" w:rsidP="00CE740B">
      <w:pPr>
        <w:pStyle w:val="ListBullet"/>
      </w:pPr>
      <w:r w:rsidRPr="00CB2928">
        <w:t xml:space="preserve">the four-yearly TIMSS </w:t>
      </w:r>
      <w:r w:rsidRPr="00CB2928">
        <w:rPr>
          <w:shd w:val="clear" w:color="auto" w:fill="FFFFFF" w:themeFill="background1"/>
        </w:rPr>
        <w:t>assessments on mathematics and science achievement for year 4 and year 8. The attachment tables include additional information on the 2011 test, as well as data from 2003 and 2007 (tables</w:t>
      </w:r>
      <w:r w:rsidRPr="00CB2928">
        <w:t> 4A.1</w:t>
      </w:r>
      <w:r w:rsidR="00EC1488">
        <w:t>10</w:t>
      </w:r>
      <w:r w:rsidRPr="00CB2928">
        <w:t>–11</w:t>
      </w:r>
      <w:r w:rsidR="00EC1488">
        <w:t>5</w:t>
      </w:r>
      <w:r w:rsidR="00CE740B">
        <w:t>)</w:t>
      </w:r>
    </w:p>
    <w:p w:rsidR="00CE740B" w:rsidRPr="00CB2928" w:rsidRDefault="00CE740B" w:rsidP="00CE740B">
      <w:pPr>
        <w:pStyle w:val="ListBullet"/>
      </w:pPr>
      <w:r w:rsidRPr="00CB2928">
        <w:t>the five-yearly PIRLS test</w:t>
      </w:r>
      <w:r>
        <w:t xml:space="preserve"> for year 4</w:t>
      </w:r>
      <w:r w:rsidRPr="00CB2928">
        <w:t xml:space="preserve">, conducted in 2011, on reading </w:t>
      </w:r>
      <w:r w:rsidRPr="00104AF2">
        <w:rPr>
          <w:shd w:val="clear" w:color="auto" w:fill="FFFFFF" w:themeFill="background1"/>
        </w:rPr>
        <w:t>literacy</w:t>
      </w:r>
      <w:r w:rsidRPr="001517E0">
        <w:rPr>
          <w:shd w:val="clear" w:color="auto" w:fill="FFFF00"/>
        </w:rPr>
        <w:t xml:space="preserve"> </w:t>
      </w:r>
      <w:r w:rsidRPr="00CB2928">
        <w:t xml:space="preserve">performance </w:t>
      </w:r>
      <w:r>
        <w:t>(tables 4A.116-117)</w:t>
      </w:r>
    </w:p>
    <w:p w:rsidR="00666ECE" w:rsidRPr="00CB2928" w:rsidRDefault="00666ECE" w:rsidP="00666ECE">
      <w:pPr>
        <w:keepNext/>
        <w:spacing w:before="480" w:line="320" w:lineRule="exact"/>
        <w:outlineLvl w:val="4"/>
        <w:rPr>
          <w:i/>
        </w:rPr>
      </w:pPr>
      <w:r w:rsidRPr="00CB2928">
        <w:rPr>
          <w:i/>
        </w:rPr>
        <w:t>Interpreting learning outcomes data</w:t>
      </w:r>
    </w:p>
    <w:p w:rsidR="00666ECE" w:rsidRPr="00666ECE" w:rsidRDefault="00666ECE" w:rsidP="00666ECE">
      <w:pPr>
        <w:spacing w:before="240" w:line="320" w:lineRule="atLeast"/>
        <w:jc w:val="both"/>
        <w:rPr>
          <w:szCs w:val="20"/>
        </w:rPr>
      </w:pPr>
      <w:r w:rsidRPr="00666ECE">
        <w:rPr>
          <w:szCs w:val="20"/>
        </w:rPr>
        <w:t xml:space="preserve">To assist with making comparisons between jurisdictions, where appropriate, </w:t>
      </w:r>
      <w:r w:rsidRPr="00666ECE">
        <w:rPr>
          <w:szCs w:val="20"/>
        </w:rPr>
        <w:br/>
        <w:t xml:space="preserve">95 per cent confidence intervals are presented in charts and attachment tables. Confidence intervals are a standard way of expressing the degree of uncertainty associated with survey estimates or performance measurement. An estimate of 80 per cent with a confidence interval of ± 2.0, for example, means that if another sample had been drawn, or if another combination of test items had been used, there is a 95 per cent chance that the result would lie between 78 per cent and 82 per cent. Each learning outcomes proportion can be thought of in terms of a range. If one jurisdiction’s rate ranges from 78–82 per cent and another’s from 77–81 per cent, then it is not possible to say with confidence that one differs from the other (because there is unlikely to be a statistically significant difference). Where ranges do not overlap, there is a high likelihood that there is a statistically significant difference. A statistically significant difference means there is a high probability that there is an actual difference; it does not imply that the difference is necessarily large or important. </w:t>
      </w:r>
    </w:p>
    <w:p w:rsidR="00666ECE" w:rsidRPr="00666ECE" w:rsidRDefault="00666ECE" w:rsidP="00666ECE">
      <w:pPr>
        <w:keepNext/>
        <w:spacing w:before="480" w:line="320" w:lineRule="exact"/>
        <w:outlineLvl w:val="4"/>
        <w:rPr>
          <w:i/>
        </w:rPr>
      </w:pPr>
      <w:r w:rsidRPr="00666ECE">
        <w:rPr>
          <w:i/>
        </w:rPr>
        <w:t>Participation in NAPLAN testing</w:t>
      </w:r>
    </w:p>
    <w:p w:rsidR="00666ECE" w:rsidRPr="00666ECE" w:rsidRDefault="00666ECE" w:rsidP="00666ECE">
      <w:pPr>
        <w:spacing w:before="240" w:line="320" w:lineRule="atLeast"/>
        <w:jc w:val="both"/>
        <w:rPr>
          <w:szCs w:val="20"/>
        </w:rPr>
      </w:pPr>
      <w:r w:rsidRPr="00666ECE">
        <w:rPr>
          <w:szCs w:val="20"/>
        </w:rPr>
        <w:t xml:space="preserve">NAPLAN testing reports the number of assessed, exempt, absent and withdrawn students in years </w:t>
      </w:r>
      <w:bookmarkStart w:id="38" w:name="OLE_LINK22"/>
      <w:bookmarkStart w:id="39" w:name="OLE_LINK24"/>
      <w:r w:rsidRPr="00666ECE">
        <w:rPr>
          <w:szCs w:val="20"/>
        </w:rPr>
        <w:t xml:space="preserve">3, 5, 7 and 9. </w:t>
      </w:r>
      <w:bookmarkEnd w:id="38"/>
      <w:bookmarkEnd w:id="39"/>
      <w:r w:rsidRPr="00666ECE">
        <w:rPr>
          <w:szCs w:val="20"/>
        </w:rPr>
        <w:t xml:space="preserve">Assessed students include all students who attempt the test and exempt students. </w:t>
      </w:r>
      <w:r w:rsidR="00E72DBF">
        <w:rPr>
          <w:szCs w:val="20"/>
        </w:rPr>
        <w:t>S</w:t>
      </w:r>
      <w:r w:rsidRPr="00666ECE">
        <w:rPr>
          <w:szCs w:val="20"/>
        </w:rPr>
        <w:t>tudents with a languag</w:t>
      </w:r>
      <w:r w:rsidR="00E72DBF">
        <w:rPr>
          <w:szCs w:val="20"/>
        </w:rPr>
        <w:t>e background other than English</w:t>
      </w:r>
      <w:r w:rsidRPr="00666ECE">
        <w:rPr>
          <w:szCs w:val="20"/>
        </w:rPr>
        <w:t xml:space="preserve"> who arrived from overseas less than a year before the test, </w:t>
      </w:r>
      <w:r w:rsidR="00E72DBF">
        <w:rPr>
          <w:szCs w:val="20"/>
        </w:rPr>
        <w:t>and</w:t>
      </w:r>
      <w:r w:rsidRPr="00666ECE">
        <w:rPr>
          <w:szCs w:val="20"/>
        </w:rPr>
        <w:t xml:space="preserve"> students with significant intellectual disabilities </w:t>
      </w:r>
      <w:r w:rsidR="00E72DBF">
        <w:rPr>
          <w:szCs w:val="20"/>
        </w:rPr>
        <w:t>may be exempted from testing</w:t>
      </w:r>
      <w:r w:rsidRPr="00666ECE">
        <w:rPr>
          <w:szCs w:val="20"/>
        </w:rPr>
        <w:t>. Participating students are those who were assessed or deemed exempt</w:t>
      </w:r>
      <w:r w:rsidR="00292174">
        <w:rPr>
          <w:szCs w:val="20"/>
        </w:rPr>
        <w:t xml:space="preserve"> — </w:t>
      </w:r>
      <w:r w:rsidRPr="00666ECE">
        <w:rPr>
          <w:szCs w:val="20"/>
        </w:rPr>
        <w:t xml:space="preserve">other students were either absent or withdrawn. </w:t>
      </w:r>
      <w:r w:rsidR="00FC486F">
        <w:rPr>
          <w:szCs w:val="20"/>
        </w:rPr>
        <w:t>A</w:t>
      </w:r>
      <w:r w:rsidRPr="00666ECE">
        <w:rPr>
          <w:szCs w:val="20"/>
        </w:rPr>
        <w:t xml:space="preserve"> higher or increasing proportion of students participating in NAPLAN testing suggests an improvement in that aspect of educational participation. The proportion of assessed, exempt, absent and withdrawn students in years 3, 5, 7 and 9 for reading, </w:t>
      </w:r>
      <w:r w:rsidR="00B03F1B">
        <w:rPr>
          <w:szCs w:val="20"/>
        </w:rPr>
        <w:t xml:space="preserve">persuasive </w:t>
      </w:r>
      <w:r w:rsidRPr="00666ECE">
        <w:rPr>
          <w:szCs w:val="20"/>
        </w:rPr>
        <w:t>writing and numeracy in 201</w:t>
      </w:r>
      <w:r w:rsidR="00D75886">
        <w:rPr>
          <w:szCs w:val="20"/>
        </w:rPr>
        <w:t>2</w:t>
      </w:r>
      <w:r w:rsidRPr="00666ECE">
        <w:rPr>
          <w:szCs w:val="20"/>
        </w:rPr>
        <w:t xml:space="preserve"> are in tables 4A.</w:t>
      </w:r>
      <w:r w:rsidR="009819A6">
        <w:rPr>
          <w:szCs w:val="20"/>
        </w:rPr>
        <w:t>43</w:t>
      </w:r>
      <w:r w:rsidRPr="00666ECE">
        <w:rPr>
          <w:szCs w:val="20"/>
        </w:rPr>
        <w:t>, 4A.</w:t>
      </w:r>
      <w:r w:rsidR="009819A6">
        <w:rPr>
          <w:szCs w:val="20"/>
        </w:rPr>
        <w:t>61</w:t>
      </w:r>
      <w:r w:rsidRPr="00666ECE">
        <w:rPr>
          <w:szCs w:val="20"/>
        </w:rPr>
        <w:t xml:space="preserve"> and 4A.</w:t>
      </w:r>
      <w:r w:rsidR="001E35A6">
        <w:rPr>
          <w:szCs w:val="20"/>
        </w:rPr>
        <w:t>7</w:t>
      </w:r>
      <w:r w:rsidR="009819A6">
        <w:rPr>
          <w:szCs w:val="20"/>
        </w:rPr>
        <w:t>8</w:t>
      </w:r>
      <w:r w:rsidRPr="00666ECE">
        <w:rPr>
          <w:szCs w:val="20"/>
        </w:rPr>
        <w:t xml:space="preserve"> respectively. Participation in the 201</w:t>
      </w:r>
      <w:r w:rsidR="00D75886">
        <w:rPr>
          <w:szCs w:val="20"/>
        </w:rPr>
        <w:t>2</w:t>
      </w:r>
      <w:r w:rsidRPr="00666ECE">
        <w:rPr>
          <w:szCs w:val="20"/>
        </w:rPr>
        <w:t xml:space="preserve"> NAPLAN tests, by Indigenous status, for reading, writing and numeracy </w:t>
      </w:r>
      <w:r w:rsidRPr="00666ECE">
        <w:rPr>
          <w:szCs w:val="20"/>
        </w:rPr>
        <w:lastRenderedPageBreak/>
        <w:t>are included in tables 4A.</w:t>
      </w:r>
      <w:r w:rsidR="009819A6">
        <w:rPr>
          <w:szCs w:val="20"/>
        </w:rPr>
        <w:t>42</w:t>
      </w:r>
      <w:r w:rsidRPr="00666ECE">
        <w:rPr>
          <w:szCs w:val="20"/>
        </w:rPr>
        <w:t>, 4A.</w:t>
      </w:r>
      <w:r w:rsidR="009819A6">
        <w:rPr>
          <w:szCs w:val="20"/>
        </w:rPr>
        <w:t>60</w:t>
      </w:r>
      <w:r w:rsidRPr="00666ECE">
        <w:rPr>
          <w:szCs w:val="20"/>
        </w:rPr>
        <w:t xml:space="preserve"> and 4A.</w:t>
      </w:r>
      <w:r w:rsidR="001E35A6">
        <w:rPr>
          <w:szCs w:val="20"/>
        </w:rPr>
        <w:t>7</w:t>
      </w:r>
      <w:r w:rsidR="009819A6">
        <w:rPr>
          <w:szCs w:val="20"/>
        </w:rPr>
        <w:t>7</w:t>
      </w:r>
      <w:r w:rsidRPr="00666ECE">
        <w:rPr>
          <w:szCs w:val="20"/>
        </w:rPr>
        <w:t xml:space="preserve"> respectively. In all domains and year levels, a lower proportion of Indigenous students than non-Indigenous or all students participated in NAPLAN testing.</w:t>
      </w:r>
    </w:p>
    <w:p w:rsidR="00666ECE" w:rsidRPr="00666ECE" w:rsidRDefault="00666ECE" w:rsidP="00666ECE">
      <w:pPr>
        <w:keepNext/>
        <w:spacing w:before="480" w:line="320" w:lineRule="exact"/>
        <w:outlineLvl w:val="4"/>
        <w:rPr>
          <w:i/>
        </w:rPr>
      </w:pPr>
      <w:r w:rsidRPr="00666ECE">
        <w:rPr>
          <w:i/>
        </w:rPr>
        <w:t>Learning outcomes</w:t>
      </w:r>
    </w:p>
    <w:p w:rsidR="00666ECE" w:rsidRPr="00666ECE" w:rsidRDefault="00666ECE" w:rsidP="00666ECE">
      <w:pPr>
        <w:spacing w:before="240" w:line="320" w:lineRule="atLeast"/>
        <w:jc w:val="both"/>
        <w:rPr>
          <w:szCs w:val="20"/>
        </w:rPr>
      </w:pPr>
      <w:r w:rsidRPr="00666ECE">
        <w:rPr>
          <w:szCs w:val="20"/>
        </w:rPr>
        <w:t>‘Learning outcomes’ is an indicator of governments’ objective that all students should attain a range of skills, including</w:t>
      </w:r>
      <w:r w:rsidR="00FC486F">
        <w:rPr>
          <w:szCs w:val="20"/>
        </w:rPr>
        <w:t>:</w:t>
      </w:r>
      <w:r w:rsidRPr="00666ECE">
        <w:rPr>
          <w:szCs w:val="20"/>
        </w:rPr>
        <w:t xml:space="preserve"> English literacy, such that every student should be able to read, write, spell and communicate at an appropriate level; skills in numeracy; and skills and becoming informed in areas such as science literacy, information and communications technologies and civics and citizenship (box 4.</w:t>
      </w:r>
      <w:r w:rsidR="00BA40CA">
        <w:rPr>
          <w:szCs w:val="20"/>
        </w:rPr>
        <w:t>8</w:t>
      </w:r>
      <w:r w:rsidRPr="00666ECE">
        <w:rPr>
          <w:szCs w:val="20"/>
        </w:rPr>
        <w:t>).</w:t>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9062E8">
        <w:tc>
          <w:tcPr>
            <w:tcW w:w="8771" w:type="dxa"/>
            <w:tcBorders>
              <w:top w:val="single" w:sz="6" w:space="0" w:color="auto"/>
              <w:bottom w:val="nil"/>
            </w:tcBorders>
          </w:tcPr>
          <w:p w:rsidR="00666ECE" w:rsidRPr="00666ECE" w:rsidRDefault="00666ECE" w:rsidP="006B35ED">
            <w:pPr>
              <w:pStyle w:val="BoxTitle"/>
            </w:pPr>
            <w:r w:rsidRPr="007A7568">
              <w:rPr>
                <w:b w:val="0"/>
              </w:rPr>
              <w:t xml:space="preserve">Box </w:t>
            </w:r>
            <w:r w:rsidR="00EB256F" w:rsidRPr="007A7568">
              <w:rPr>
                <w:b w:val="0"/>
              </w:rPr>
              <w:t>4.</w:t>
            </w:r>
            <w:r w:rsidR="00BA40CA" w:rsidRPr="007A7568">
              <w:rPr>
                <w:b w:val="0"/>
              </w:rPr>
              <w:t>8</w:t>
            </w:r>
            <w:r w:rsidRPr="00666ECE">
              <w:tab/>
              <w:t>Learning outcomes</w:t>
            </w:r>
          </w:p>
        </w:tc>
      </w:tr>
      <w:tr w:rsidR="00666ECE" w:rsidRPr="00666ECE" w:rsidTr="00104AF2">
        <w:trPr>
          <w:cantSplit/>
        </w:trPr>
        <w:tc>
          <w:tcPr>
            <w:tcW w:w="8771" w:type="dxa"/>
            <w:tcBorders>
              <w:top w:val="nil"/>
              <w:left w:val="single" w:sz="6" w:space="0" w:color="auto"/>
              <w:bottom w:val="nil"/>
              <w:right w:val="single" w:sz="4" w:space="0" w:color="auto"/>
            </w:tcBorders>
            <w:shd w:val="clear" w:color="auto" w:fill="FFFFFF" w:themeFill="background1"/>
          </w:tcPr>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 xml:space="preserve">‘Learning outcomes’ is defined by </w:t>
            </w:r>
            <w:r w:rsidR="001517E0">
              <w:rPr>
                <w:rFonts w:ascii="Arial" w:hAnsi="Arial"/>
                <w:sz w:val="22"/>
                <w:szCs w:val="20"/>
              </w:rPr>
              <w:t>six</w:t>
            </w:r>
            <w:r w:rsidRPr="00666ECE">
              <w:rPr>
                <w:rFonts w:ascii="Arial" w:hAnsi="Arial"/>
                <w:sz w:val="22"/>
                <w:szCs w:val="20"/>
              </w:rPr>
              <w:t xml:space="preserve"> measures:</w:t>
            </w:r>
          </w:p>
          <w:p w:rsidR="00666ECE" w:rsidRPr="006216A4" w:rsidRDefault="00666ECE" w:rsidP="00640DB6">
            <w:pPr>
              <w:pStyle w:val="BoxListBullet"/>
              <w:shd w:val="clear" w:color="auto" w:fill="FFFFFF" w:themeFill="background1"/>
            </w:pPr>
            <w:bookmarkStart w:id="40" w:name="OLE_LINK11"/>
            <w:bookmarkStart w:id="41" w:name="OLE_LINK40"/>
            <w:r w:rsidRPr="006216A4">
              <w:t xml:space="preserve">the </w:t>
            </w:r>
            <w:r w:rsidR="00F562B5" w:rsidRPr="00640DB6">
              <w:rPr>
                <w:shd w:val="clear" w:color="auto" w:fill="FFFFFF" w:themeFill="background1"/>
              </w:rPr>
              <w:t>proportion</w:t>
            </w:r>
            <w:r w:rsidRPr="00640DB6">
              <w:rPr>
                <w:shd w:val="clear" w:color="auto" w:fill="FFFFFF" w:themeFill="background1"/>
              </w:rPr>
              <w:t xml:space="preserve"> of years 3, 5, 7 and 9 students achieving at or above the national minimum standard in NAPLAN testing for reading</w:t>
            </w:r>
            <w:bookmarkEnd w:id="40"/>
            <w:bookmarkEnd w:id="41"/>
            <w:r w:rsidRPr="00640DB6">
              <w:rPr>
                <w:shd w:val="clear" w:color="auto" w:fill="FFFFFF" w:themeFill="background1"/>
              </w:rPr>
              <w:t xml:space="preserve">, </w:t>
            </w:r>
            <w:r w:rsidR="007425CD" w:rsidRPr="00640DB6">
              <w:rPr>
                <w:shd w:val="clear" w:color="auto" w:fill="FFFFFF" w:themeFill="background1"/>
              </w:rPr>
              <w:t xml:space="preserve">persuasive </w:t>
            </w:r>
            <w:r w:rsidRPr="00640DB6">
              <w:rPr>
                <w:shd w:val="clear" w:color="auto" w:fill="FFFFFF" w:themeFill="background1"/>
              </w:rPr>
              <w:t>writing and numeracy for a given year, reported by Indigenous status, sex, LBOTE, socio</w:t>
            </w:r>
            <w:r w:rsidR="009131A4">
              <w:rPr>
                <w:shd w:val="clear" w:color="auto" w:fill="FFFFFF" w:themeFill="background1"/>
              </w:rPr>
              <w:t>-</w:t>
            </w:r>
            <w:r w:rsidRPr="00640DB6">
              <w:rPr>
                <w:shd w:val="clear" w:color="auto" w:fill="FFFFFF" w:themeFill="background1"/>
              </w:rPr>
              <w:t xml:space="preserve">economic status and </w:t>
            </w:r>
            <w:r w:rsidR="00F562B5" w:rsidRPr="00640DB6">
              <w:rPr>
                <w:shd w:val="clear" w:color="auto" w:fill="FFFFFF" w:themeFill="background1"/>
              </w:rPr>
              <w:t>MCEECDYA categories of</w:t>
            </w:r>
            <w:r w:rsidR="00F562B5" w:rsidRPr="006216A4">
              <w:t xml:space="preserve"> </w:t>
            </w:r>
            <w:r w:rsidRPr="006216A4">
              <w:t>geolocation</w:t>
            </w:r>
            <w:r w:rsidR="00F562B5" w:rsidRPr="006216A4">
              <w:t xml:space="preserve"> (s</w:t>
            </w:r>
            <w:r w:rsidRPr="006216A4">
              <w:t xml:space="preserve">ection 4.1 identifies the profile of equity groups in each State and Territory). </w:t>
            </w:r>
            <w:bookmarkStart w:id="42" w:name="OLE_LINK7"/>
          </w:p>
          <w:bookmarkEnd w:id="42"/>
          <w:p w:rsidR="00666ECE" w:rsidRPr="006216A4" w:rsidRDefault="00666ECE" w:rsidP="00406C4A">
            <w:pPr>
              <w:pStyle w:val="BoxListBullet"/>
            </w:pPr>
            <w:r w:rsidRPr="006216A4">
              <w:t xml:space="preserve">the mean scale score </w:t>
            </w:r>
            <w:r w:rsidR="00406C4A">
              <w:t xml:space="preserve">(on the common national scale for Years 3, 5, 7 and 9, ranging from 0 to 1000) </w:t>
            </w:r>
            <w:r w:rsidRPr="006216A4">
              <w:t xml:space="preserve">achieved by years 3, 5, 7 and 9 students in NAPLAN assessment for reading, </w:t>
            </w:r>
            <w:r w:rsidR="007425CD" w:rsidRPr="006216A4">
              <w:t xml:space="preserve">persuasive </w:t>
            </w:r>
            <w:r w:rsidRPr="006216A4">
              <w:t>writing and numeracy for a given year</w:t>
            </w:r>
            <w:r w:rsidR="00406C4A">
              <w:t>,</w:t>
            </w:r>
            <w:r w:rsidRPr="006216A4">
              <w:t xml:space="preserve"> reported by Indigenous status. This Report also includes a time series for student ‘gain’ for the cohort (</w:t>
            </w:r>
            <w:r w:rsidR="00D75886">
              <w:t xml:space="preserve">for example, </w:t>
            </w:r>
            <w:r w:rsidRPr="006216A4">
              <w:t>between year 3 in 20</w:t>
            </w:r>
            <w:r w:rsidR="00D75886">
              <w:t>10</w:t>
            </w:r>
            <w:r w:rsidRPr="006216A4">
              <w:t xml:space="preserve"> and year 5 in 201</w:t>
            </w:r>
            <w:r w:rsidR="00D75886">
              <w:t>2</w:t>
            </w:r>
            <w:r w:rsidRPr="006216A4">
              <w:t>) based on the mean scale score outcomes</w:t>
            </w:r>
            <w:r w:rsidR="00FC486F" w:rsidRPr="006216A4">
              <w:t xml:space="preserve"> for reading and numeracy</w:t>
            </w:r>
            <w:r w:rsidRPr="006216A4">
              <w:t xml:space="preserve">. </w:t>
            </w:r>
          </w:p>
          <w:p w:rsidR="00666ECE" w:rsidRPr="006216A4" w:rsidRDefault="00666ECE" w:rsidP="00640DB6">
            <w:pPr>
              <w:keepNext/>
              <w:numPr>
                <w:ilvl w:val="0"/>
                <w:numId w:val="1"/>
              </w:numPr>
              <w:shd w:val="clear" w:color="auto" w:fill="FFFFFF" w:themeFill="background1"/>
              <w:spacing w:before="120" w:line="280" w:lineRule="atLeast"/>
              <w:jc w:val="both"/>
              <w:rPr>
                <w:rFonts w:ascii="Arial" w:hAnsi="Arial"/>
                <w:sz w:val="22"/>
                <w:szCs w:val="20"/>
                <w:shd w:val="clear" w:color="auto" w:fill="FFFF00"/>
              </w:rPr>
            </w:pPr>
            <w:r w:rsidRPr="006216A4">
              <w:rPr>
                <w:rFonts w:ascii="Arial" w:hAnsi="Arial"/>
                <w:sz w:val="22"/>
                <w:szCs w:val="20"/>
              </w:rPr>
              <w:t>the proportion of sampled year 6 and year 10 students achieving at or above the proficient standard in civics and citizenship, information and communication technologies and science literacy (year 6 only). National data from the triennial National Assessment Program tests are reported by sex, Indigenous status, LBOTE status</w:t>
            </w:r>
            <w:r w:rsidR="00F562B5" w:rsidRPr="006216A4">
              <w:rPr>
                <w:rFonts w:ascii="Arial" w:hAnsi="Arial"/>
                <w:sz w:val="22"/>
                <w:szCs w:val="20"/>
              </w:rPr>
              <w:t>,</w:t>
            </w:r>
            <w:r w:rsidRPr="006216A4">
              <w:rPr>
                <w:rFonts w:ascii="Arial" w:hAnsi="Arial"/>
                <w:sz w:val="22"/>
                <w:szCs w:val="20"/>
              </w:rPr>
              <w:t xml:space="preserve"> </w:t>
            </w:r>
            <w:r w:rsidR="00F562B5" w:rsidRPr="00640DB6">
              <w:rPr>
                <w:rFonts w:ascii="Arial" w:hAnsi="Arial"/>
                <w:sz w:val="22"/>
                <w:szCs w:val="20"/>
                <w:shd w:val="clear" w:color="auto" w:fill="FFFFFF" w:themeFill="background1"/>
              </w:rPr>
              <w:t xml:space="preserve">MCEECDYA categories of </w:t>
            </w:r>
            <w:r w:rsidRPr="00640DB6">
              <w:rPr>
                <w:rFonts w:ascii="Arial" w:hAnsi="Arial"/>
                <w:sz w:val="22"/>
                <w:szCs w:val="20"/>
                <w:shd w:val="clear" w:color="auto" w:fill="FFFFFF" w:themeFill="background1"/>
              </w:rPr>
              <w:t>geolocation</w:t>
            </w:r>
            <w:r w:rsidR="00F562B5" w:rsidRPr="00640DB6">
              <w:rPr>
                <w:rFonts w:ascii="Arial" w:hAnsi="Arial"/>
                <w:sz w:val="22"/>
                <w:szCs w:val="20"/>
                <w:shd w:val="clear" w:color="auto" w:fill="FFFFFF" w:themeFill="background1"/>
              </w:rPr>
              <w:t xml:space="preserve"> </w:t>
            </w:r>
            <w:r w:rsidR="009F02C7" w:rsidRPr="00640DB6">
              <w:rPr>
                <w:rFonts w:ascii="Arial" w:hAnsi="Arial"/>
                <w:sz w:val="22"/>
                <w:szCs w:val="20"/>
                <w:shd w:val="clear" w:color="auto" w:fill="FFFFFF" w:themeFill="background1"/>
              </w:rPr>
              <w:t>and socio</w:t>
            </w:r>
            <w:r w:rsidR="009131A4">
              <w:rPr>
                <w:rFonts w:ascii="Arial" w:hAnsi="Arial"/>
                <w:sz w:val="22"/>
                <w:szCs w:val="20"/>
                <w:shd w:val="clear" w:color="auto" w:fill="FFFFFF" w:themeFill="background1"/>
              </w:rPr>
              <w:t>-</w:t>
            </w:r>
            <w:r w:rsidR="009F02C7" w:rsidRPr="00640DB6">
              <w:rPr>
                <w:rFonts w:ascii="Arial" w:hAnsi="Arial"/>
                <w:sz w:val="22"/>
                <w:szCs w:val="20"/>
                <w:shd w:val="clear" w:color="auto" w:fill="FFFFFF" w:themeFill="background1"/>
              </w:rPr>
              <w:t>economic status</w:t>
            </w:r>
          </w:p>
          <w:p w:rsidR="001E35A6" w:rsidRDefault="001E35A6" w:rsidP="001E35A6">
            <w:pPr>
              <w:pStyle w:val="BoxListBullet"/>
              <w:shd w:val="clear" w:color="auto" w:fill="FFFFFF" w:themeFill="background1"/>
            </w:pPr>
            <w:r w:rsidRPr="006216A4">
              <w:t xml:space="preserve">the </w:t>
            </w:r>
            <w:r w:rsidRPr="00640DB6">
              <w:rPr>
                <w:shd w:val="clear" w:color="auto" w:fill="FFFFFF" w:themeFill="background1"/>
              </w:rPr>
              <w:t>proportion of sampled 15 year old students achieving at or above the proficient standard on the OECD PISA combined reading, mathematical literacy and science literacy scales in a</w:t>
            </w:r>
            <w:r w:rsidRPr="006216A4">
              <w:t xml:space="preserve"> triennial international assessment. National data are also reported by sex, Indigenous status, socio</w:t>
            </w:r>
            <w:r w:rsidR="009131A4">
              <w:t>-</w:t>
            </w:r>
            <w:r w:rsidRPr="006216A4">
              <w:t>economic status and geolocation.</w:t>
            </w:r>
          </w:p>
          <w:p w:rsidR="001E35A6" w:rsidRPr="001E35A6" w:rsidRDefault="001E35A6" w:rsidP="001C174A">
            <w:pPr>
              <w:pStyle w:val="BoxListBullet"/>
              <w:shd w:val="clear" w:color="auto" w:fill="FFFFFF" w:themeFill="background1"/>
            </w:pPr>
            <w:r>
              <w:t>t</w:t>
            </w:r>
            <w:r w:rsidRPr="001E35A6">
              <w:t xml:space="preserve">he proportion of sampled </w:t>
            </w:r>
            <w:r w:rsidRPr="00104AF2">
              <w:rPr>
                <w:shd w:val="clear" w:color="auto" w:fill="FFFFFF" w:themeFill="background1"/>
              </w:rPr>
              <w:t xml:space="preserve">year </w:t>
            </w:r>
            <w:r w:rsidR="001517E0" w:rsidRPr="00104AF2">
              <w:rPr>
                <w:shd w:val="clear" w:color="auto" w:fill="FFFFFF" w:themeFill="background1"/>
              </w:rPr>
              <w:t>4</w:t>
            </w:r>
            <w:r w:rsidRPr="001E35A6">
              <w:t xml:space="preserve"> students achieving at or above the proficient standard on the </w:t>
            </w:r>
            <w:r w:rsidR="005F4AEF" w:rsidRPr="00C43453">
              <w:rPr>
                <w:shd w:val="clear" w:color="auto" w:fill="FFFFFF" w:themeFill="background1"/>
              </w:rPr>
              <w:t>5 yearly</w:t>
            </w:r>
            <w:r w:rsidR="005F4AEF">
              <w:t xml:space="preserve"> </w:t>
            </w:r>
            <w:r w:rsidRPr="001E35A6">
              <w:t xml:space="preserve">PIRLS reading literacy test. </w:t>
            </w:r>
            <w:r w:rsidRPr="001E35A6">
              <w:rPr>
                <w:shd w:val="clear" w:color="auto" w:fill="FFFFFF" w:themeFill="background1"/>
              </w:rPr>
              <w:t>National data are also reported by sex, Indigenous status and MCEECDYA categories of</w:t>
            </w:r>
            <w:r w:rsidRPr="001E35A6">
              <w:t xml:space="preserve"> geolocation</w:t>
            </w:r>
          </w:p>
          <w:p w:rsidR="007425CD" w:rsidRPr="006216A4" w:rsidRDefault="007425CD" w:rsidP="001C174A">
            <w:pPr>
              <w:pStyle w:val="BoxListBullet"/>
              <w:shd w:val="clear" w:color="auto" w:fill="FFFFFF" w:themeFill="background1"/>
            </w:pPr>
            <w:r w:rsidRPr="006216A4">
              <w:t xml:space="preserve">the </w:t>
            </w:r>
            <w:r w:rsidR="00F562B5" w:rsidRPr="00640DB6">
              <w:rPr>
                <w:shd w:val="clear" w:color="auto" w:fill="FFFFFF" w:themeFill="background1"/>
              </w:rPr>
              <w:t>proportion</w:t>
            </w:r>
            <w:r w:rsidRPr="00640DB6">
              <w:rPr>
                <w:shd w:val="clear" w:color="auto" w:fill="FFFFFF" w:themeFill="background1"/>
              </w:rPr>
              <w:t xml:space="preserve"> of sampled students achieving at or above the proficient standard on the TIMSS mathematical literacy and science literacy scales in a quadrennial assessment (assessed year 4 and year 8 students who achieve at or above the proficient standard on the TIMSS mathematical literacy scale for a given year). </w:t>
            </w:r>
            <w:r w:rsidR="00F62857" w:rsidRPr="00640DB6">
              <w:rPr>
                <w:shd w:val="clear" w:color="auto" w:fill="FFFFFF" w:themeFill="background1"/>
              </w:rPr>
              <w:t>National data are also repo</w:t>
            </w:r>
            <w:r w:rsidR="009062E8">
              <w:rPr>
                <w:shd w:val="clear" w:color="auto" w:fill="FFFFFF" w:themeFill="background1"/>
              </w:rPr>
              <w:t xml:space="preserve">rted by sex, Indigenous status </w:t>
            </w:r>
            <w:r w:rsidR="00F62857" w:rsidRPr="00640DB6">
              <w:rPr>
                <w:shd w:val="clear" w:color="auto" w:fill="FFFFFF" w:themeFill="background1"/>
              </w:rPr>
              <w:t xml:space="preserve">and </w:t>
            </w:r>
            <w:r w:rsidR="00F562B5" w:rsidRPr="00640DB6">
              <w:rPr>
                <w:shd w:val="clear" w:color="auto" w:fill="FFFFFF" w:themeFill="background1"/>
              </w:rPr>
              <w:t>MCEECDYA categories of</w:t>
            </w:r>
            <w:r w:rsidR="00F562B5" w:rsidRPr="006216A4">
              <w:t xml:space="preserve"> </w:t>
            </w:r>
            <w:r w:rsidR="00F62857" w:rsidRPr="006216A4">
              <w:t>geolocation</w:t>
            </w:r>
          </w:p>
          <w:p w:rsidR="007425CD" w:rsidRPr="006216A4" w:rsidRDefault="007425CD" w:rsidP="00640DB6">
            <w:pPr>
              <w:keepNext/>
              <w:shd w:val="clear" w:color="auto" w:fill="FFFFFF" w:themeFill="background1"/>
              <w:spacing w:before="120" w:line="280" w:lineRule="atLeast"/>
              <w:jc w:val="both"/>
              <w:rPr>
                <w:rFonts w:ascii="Arial" w:hAnsi="Arial"/>
                <w:sz w:val="22"/>
                <w:szCs w:val="20"/>
              </w:rPr>
            </w:pPr>
            <w:r w:rsidRPr="006216A4">
              <w:rPr>
                <w:rFonts w:ascii="Arial" w:hAnsi="Arial"/>
                <w:sz w:val="22"/>
                <w:szCs w:val="20"/>
              </w:rPr>
              <w:t>A high or increasing proportion of students achieving at or above the national minimum standard or proficient standard, or a high or increasing mean scale score for learning outcomes is desirable.</w:t>
            </w:r>
          </w:p>
          <w:p w:rsidR="001C174A" w:rsidRDefault="00444C24" w:rsidP="00D75886">
            <w:pPr>
              <w:pStyle w:val="Box"/>
            </w:pPr>
            <w:r w:rsidRPr="00444C24">
              <w:t xml:space="preserve">Data reported for all measures in this indicator are </w:t>
            </w:r>
          </w:p>
          <w:p w:rsidR="001C174A" w:rsidRDefault="00444C24" w:rsidP="001C174A">
            <w:pPr>
              <w:pStyle w:val="BoxListBullet"/>
            </w:pPr>
            <w:r w:rsidRPr="00444C24">
              <w:t>comparable (subject to caveats) acro</w:t>
            </w:r>
            <w:r w:rsidR="001C174A">
              <w:t>ss jurisdictions and over time</w:t>
            </w:r>
          </w:p>
          <w:p w:rsidR="00444C24" w:rsidRDefault="00444C24" w:rsidP="001C174A">
            <w:pPr>
              <w:pStyle w:val="BoxListBullet"/>
            </w:pPr>
            <w:r w:rsidRPr="00444C24">
              <w:t>complete for the current reporting period (subject to caveats). All required 2012 data are available for all jurisdictions providing the service.</w:t>
            </w:r>
          </w:p>
          <w:p w:rsidR="00666ECE" w:rsidRPr="00666ECE" w:rsidRDefault="0057698F" w:rsidP="00D75886">
            <w:pPr>
              <w:pStyle w:val="Box"/>
            </w:pPr>
            <w:r w:rsidRPr="006216A4">
              <w:t xml:space="preserve">Information about data quality for this indicator is at </w:t>
            </w:r>
            <w:r w:rsidR="00D75886" w:rsidRPr="00C77140">
              <w:t>www.pc.gov.au/gsp/reports/rogs/2014</w:t>
            </w:r>
            <w:r w:rsidRPr="006216A4">
              <w:t>.</w:t>
            </w: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color w:val="FF00FF"/>
                <w:sz w:val="14"/>
                <w:szCs w:val="20"/>
              </w:rPr>
            </w:pPr>
          </w:p>
        </w:tc>
      </w:tr>
    </w:tbl>
    <w:p w:rsidR="00666ECE" w:rsidRPr="00666ECE" w:rsidRDefault="00666ECE" w:rsidP="00666ECE">
      <w:pPr>
        <w:keepNext/>
        <w:spacing w:before="480" w:line="320" w:lineRule="exact"/>
        <w:outlineLvl w:val="4"/>
        <w:rPr>
          <w:b/>
          <w:i/>
        </w:rPr>
      </w:pPr>
      <w:r w:rsidRPr="00666ECE">
        <w:rPr>
          <w:b/>
          <w:i/>
        </w:rPr>
        <w:lastRenderedPageBreak/>
        <w:t>NAPLAN Reading</w:t>
      </w:r>
    </w:p>
    <w:p w:rsidR="00666ECE" w:rsidRPr="00666ECE" w:rsidRDefault="00D62FAA" w:rsidP="00666ECE">
      <w:pPr>
        <w:spacing w:before="240" w:line="320" w:lineRule="atLeast"/>
        <w:jc w:val="both"/>
        <w:rPr>
          <w:szCs w:val="20"/>
        </w:rPr>
      </w:pPr>
      <w:r>
        <w:rPr>
          <w:szCs w:val="20"/>
        </w:rPr>
        <w:t>This section of the learning outcomes</w:t>
      </w:r>
      <w:r w:rsidR="00666ECE" w:rsidRPr="00666ECE">
        <w:rPr>
          <w:szCs w:val="20"/>
        </w:rPr>
        <w:t xml:space="preserve"> indicator provides key outcomes for NAPLAN testing (years 3, 5, 7 and 9) in the reading domain. Indigenous outcomes are highlighted, but outcomes for a range of other equity groups including male, female, LBOTE, geolocation and socio-economic status (parental education and parental occupation) are included in tables 4A.3</w:t>
      </w:r>
      <w:r w:rsidR="009819A6">
        <w:rPr>
          <w:szCs w:val="20"/>
        </w:rPr>
        <w:t>6</w:t>
      </w:r>
      <w:r w:rsidR="00666ECE" w:rsidRPr="00666ECE">
        <w:rPr>
          <w:szCs w:val="20"/>
        </w:rPr>
        <w:t>–</w:t>
      </w:r>
      <w:r w:rsidR="009819A6">
        <w:rPr>
          <w:szCs w:val="20"/>
        </w:rPr>
        <w:t>53</w:t>
      </w:r>
      <w:r w:rsidR="00666ECE" w:rsidRPr="00666ECE">
        <w:rPr>
          <w:szCs w:val="20"/>
        </w:rPr>
        <w:t>.</w:t>
      </w:r>
    </w:p>
    <w:p w:rsidR="00666ECE" w:rsidRPr="00666ECE" w:rsidRDefault="00666ECE" w:rsidP="00666ECE">
      <w:pPr>
        <w:spacing w:before="240" w:line="320" w:lineRule="atLeast"/>
        <w:jc w:val="both"/>
        <w:rPr>
          <w:i/>
          <w:szCs w:val="20"/>
        </w:rPr>
      </w:pPr>
      <w:r w:rsidRPr="00666ECE">
        <w:rPr>
          <w:i/>
          <w:szCs w:val="20"/>
        </w:rPr>
        <w:t>All students and Indigenous students</w:t>
      </w:r>
    </w:p>
    <w:p w:rsidR="00666ECE" w:rsidRPr="00666ECE" w:rsidRDefault="00666ECE" w:rsidP="00666ECE">
      <w:pPr>
        <w:spacing w:before="240" w:line="320" w:lineRule="atLeast"/>
        <w:jc w:val="both"/>
        <w:rPr>
          <w:szCs w:val="20"/>
        </w:rPr>
      </w:pPr>
      <w:r w:rsidRPr="00666ECE">
        <w:rPr>
          <w:szCs w:val="20"/>
        </w:rPr>
        <w:t xml:space="preserve">The proportion </w:t>
      </w:r>
      <w:r w:rsidRPr="00EC1693">
        <w:rPr>
          <w:szCs w:val="20"/>
        </w:rPr>
        <w:t>of year 3 students who achieved at or above the reading national minimum standard in 201</w:t>
      </w:r>
      <w:r w:rsidR="00D75886" w:rsidRPr="00EC1693">
        <w:rPr>
          <w:szCs w:val="20"/>
        </w:rPr>
        <w:t>2</w:t>
      </w:r>
      <w:r w:rsidRPr="00EC1693">
        <w:rPr>
          <w:szCs w:val="20"/>
        </w:rPr>
        <w:t xml:space="preserve"> was </w:t>
      </w:r>
      <w:r w:rsidR="00CF2310" w:rsidRPr="00EC1693">
        <w:rPr>
          <w:szCs w:val="20"/>
        </w:rPr>
        <w:t>93.</w:t>
      </w:r>
      <w:r w:rsidR="00EC1693" w:rsidRPr="00EC1693">
        <w:rPr>
          <w:szCs w:val="20"/>
        </w:rPr>
        <w:t>4</w:t>
      </w:r>
      <w:r w:rsidR="005303EE" w:rsidRPr="00EC1693">
        <w:rPr>
          <w:szCs w:val="20"/>
        </w:rPr>
        <w:t>–</w:t>
      </w:r>
      <w:r w:rsidR="00CF2310" w:rsidRPr="00EC1693">
        <w:rPr>
          <w:szCs w:val="20"/>
        </w:rPr>
        <w:t>9</w:t>
      </w:r>
      <w:r w:rsidR="000233BF">
        <w:rPr>
          <w:szCs w:val="20"/>
        </w:rPr>
        <w:t>3</w:t>
      </w:r>
      <w:r w:rsidR="00CF2310" w:rsidRPr="00EC1693">
        <w:rPr>
          <w:szCs w:val="20"/>
        </w:rPr>
        <w:t>.</w:t>
      </w:r>
      <w:r w:rsidR="00EC1693" w:rsidRPr="00EC1693">
        <w:rPr>
          <w:szCs w:val="20"/>
        </w:rPr>
        <w:t>8</w:t>
      </w:r>
      <w:r w:rsidR="005303EE" w:rsidRPr="00EC1693">
        <w:rPr>
          <w:szCs w:val="20"/>
        </w:rPr>
        <w:t xml:space="preserve"> </w:t>
      </w:r>
      <w:r w:rsidRPr="00EC1693">
        <w:rPr>
          <w:szCs w:val="20"/>
        </w:rPr>
        <w:t xml:space="preserve">per cent nationally. The proportion </w:t>
      </w:r>
      <w:r w:rsidR="000233BF">
        <w:rPr>
          <w:szCs w:val="20"/>
        </w:rPr>
        <w:t xml:space="preserve">for </w:t>
      </w:r>
      <w:r w:rsidRPr="00EC1693">
        <w:rPr>
          <w:szCs w:val="20"/>
        </w:rPr>
        <w:t>Indigenous students (</w:t>
      </w:r>
      <w:r w:rsidR="00CF2310" w:rsidRPr="00EC1693">
        <w:rPr>
          <w:szCs w:val="20"/>
        </w:rPr>
        <w:t>7</w:t>
      </w:r>
      <w:r w:rsidR="00EC1693" w:rsidRPr="00EC1693">
        <w:rPr>
          <w:szCs w:val="20"/>
        </w:rPr>
        <w:t>2</w:t>
      </w:r>
      <w:r w:rsidR="00CF2310" w:rsidRPr="00EC1693">
        <w:rPr>
          <w:szCs w:val="20"/>
        </w:rPr>
        <w:t>.6</w:t>
      </w:r>
      <w:r w:rsidRPr="00EC1693">
        <w:rPr>
          <w:szCs w:val="20"/>
        </w:rPr>
        <w:t>–</w:t>
      </w:r>
      <w:r w:rsidR="00EC1693" w:rsidRPr="00EC1693">
        <w:rPr>
          <w:szCs w:val="20"/>
        </w:rPr>
        <w:t>75.8</w:t>
      </w:r>
      <w:r w:rsidRPr="00EC1693">
        <w:rPr>
          <w:szCs w:val="20"/>
        </w:rPr>
        <w:t xml:space="preserve"> per cent) was significantly lower than for non</w:t>
      </w:r>
      <w:r w:rsidRPr="00EC1693">
        <w:rPr>
          <w:szCs w:val="20"/>
        </w:rPr>
        <w:noBreakHyphen/>
        <w:t>Indigenous students (</w:t>
      </w:r>
      <w:r w:rsidR="00CF2310" w:rsidRPr="00EC1693">
        <w:rPr>
          <w:szCs w:val="20"/>
        </w:rPr>
        <w:t>94.</w:t>
      </w:r>
      <w:r w:rsidR="00EC1693" w:rsidRPr="00EC1693">
        <w:rPr>
          <w:szCs w:val="20"/>
        </w:rPr>
        <w:t>5</w:t>
      </w:r>
      <w:r w:rsidR="00AF243E" w:rsidRPr="00EC1693">
        <w:rPr>
          <w:szCs w:val="20"/>
        </w:rPr>
        <w:t>–</w:t>
      </w:r>
      <w:r w:rsidR="00EC1693" w:rsidRPr="00EC1693">
        <w:rPr>
          <w:szCs w:val="20"/>
        </w:rPr>
        <w:t>94.9</w:t>
      </w:r>
      <w:r w:rsidR="00AF243E" w:rsidRPr="00EC1693">
        <w:rPr>
          <w:szCs w:val="20"/>
        </w:rPr>
        <w:t xml:space="preserve"> </w:t>
      </w:r>
      <w:r w:rsidRPr="00EC1693">
        <w:rPr>
          <w:szCs w:val="20"/>
        </w:rPr>
        <w:t xml:space="preserve">per cent) (figure </w:t>
      </w:r>
      <w:r w:rsidRPr="00666ECE">
        <w:rPr>
          <w:szCs w:val="20"/>
        </w:rPr>
        <w:t>4.</w:t>
      </w:r>
      <w:r w:rsidR="00BA40CA">
        <w:rPr>
          <w:szCs w:val="20"/>
        </w:rPr>
        <w:t>23</w:t>
      </w:r>
      <w:r w:rsidRPr="00666ECE">
        <w:rPr>
          <w:szCs w:val="20"/>
        </w:rPr>
        <w:t>). These proportions varied across jurisdictions.</w:t>
      </w:r>
    </w:p>
    <w:p w:rsidR="00666ECE" w:rsidRPr="00666ECE" w:rsidRDefault="00666ECE" w:rsidP="006B35ED">
      <w:pPr>
        <w:pStyle w:val="FigureTitle"/>
        <w:rPr>
          <w:position w:val="6"/>
          <w:sz w:val="18"/>
        </w:rPr>
      </w:pPr>
      <w:r w:rsidRPr="007A7568">
        <w:rPr>
          <w:b w:val="0"/>
        </w:rPr>
        <w:t xml:space="preserve">Figure </w:t>
      </w:r>
      <w:r w:rsidR="00EB256F" w:rsidRPr="007A7568">
        <w:rPr>
          <w:b w:val="0"/>
        </w:rPr>
        <w:t>4.</w:t>
      </w:r>
      <w:r w:rsidR="00EC06F7" w:rsidRPr="007A7568">
        <w:rPr>
          <w:b w:val="0"/>
          <w:noProof/>
        </w:rPr>
        <w:t>23</w:t>
      </w:r>
      <w:r w:rsidRPr="00666ECE">
        <w:tab/>
      </w:r>
      <w:r w:rsidRPr="00611405">
        <w:t>Proportion of year 3 students achieving at or above the reading national minimum standard, 201</w:t>
      </w:r>
      <w:r w:rsidR="00D75886" w:rsidRPr="00611405">
        <w:t>2</w:t>
      </w:r>
      <w:r w:rsidRPr="00611405">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24" name="Picture 24" descr="Figure 4.23 Proportion of year 3 students achieving at or above the read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sidR="009819A6">
        <w:rPr>
          <w:rFonts w:ascii="Arial" w:hAnsi="Arial"/>
          <w:sz w:val="18"/>
          <w:szCs w:val="20"/>
        </w:rPr>
        <w:t>6</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D75886">
        <w:rPr>
          <w:rFonts w:ascii="Arial" w:hAnsi="Arial"/>
          <w:sz w:val="18"/>
          <w:szCs w:val="20"/>
        </w:rPr>
        <w:t>2</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sidR="00D75886">
        <w:rPr>
          <w:rFonts w:ascii="Arial" w:hAnsi="Arial"/>
          <w:i/>
          <w:sz w:val="18"/>
          <w:szCs w:val="20"/>
        </w:rPr>
        <w:t>2</w:t>
      </w:r>
      <w:r w:rsidRPr="00666ECE">
        <w:rPr>
          <w:rFonts w:ascii="Arial" w:hAnsi="Arial"/>
          <w:sz w:val="18"/>
          <w:szCs w:val="20"/>
        </w:rPr>
        <w:t>; table 4A.3</w:t>
      </w:r>
      <w:r w:rsidR="009819A6">
        <w:rPr>
          <w:rFonts w:ascii="Arial" w:hAnsi="Arial"/>
          <w:sz w:val="18"/>
          <w:szCs w:val="20"/>
        </w:rPr>
        <w:t>6</w:t>
      </w:r>
      <w:r w:rsidRPr="00666ECE">
        <w:rPr>
          <w:rFonts w:ascii="Arial" w:hAnsi="Arial"/>
          <w:sz w:val="18"/>
          <w:szCs w:val="20"/>
        </w:rPr>
        <w:t>.</w:t>
      </w:r>
    </w:p>
    <w:p w:rsidR="00406C4A" w:rsidRDefault="00406C4A">
      <w:pPr>
        <w:rPr>
          <w:szCs w:val="20"/>
        </w:rPr>
      </w:pPr>
      <w:r>
        <w:rPr>
          <w:szCs w:val="20"/>
        </w:rPr>
        <w:br w:type="page"/>
      </w:r>
    </w:p>
    <w:p w:rsidR="00666ECE" w:rsidRPr="00EC1693" w:rsidRDefault="00666ECE" w:rsidP="00666ECE">
      <w:pPr>
        <w:spacing w:before="240" w:line="320" w:lineRule="atLeast"/>
        <w:jc w:val="both"/>
        <w:rPr>
          <w:szCs w:val="20"/>
        </w:rPr>
      </w:pPr>
      <w:r w:rsidRPr="00666ECE">
        <w:rPr>
          <w:szCs w:val="20"/>
        </w:rPr>
        <w:lastRenderedPageBreak/>
        <w:t>The mean scale score for year 3 reading in 201</w:t>
      </w:r>
      <w:r w:rsidR="00D75886">
        <w:rPr>
          <w:szCs w:val="20"/>
        </w:rPr>
        <w:t>2</w:t>
      </w:r>
      <w:r w:rsidRPr="00666ECE">
        <w:rPr>
          <w:szCs w:val="20"/>
        </w:rPr>
        <w:t xml:space="preserve"> </w:t>
      </w:r>
      <w:r w:rsidRPr="00EC1693">
        <w:rPr>
          <w:szCs w:val="20"/>
        </w:rPr>
        <w:t xml:space="preserve">for all students was </w:t>
      </w:r>
      <w:r w:rsidR="00EC1693" w:rsidRPr="00EC1693">
        <w:rPr>
          <w:szCs w:val="20"/>
        </w:rPr>
        <w:t>418.5–420.7</w:t>
      </w:r>
      <w:r w:rsidRPr="00EC1693">
        <w:rPr>
          <w:szCs w:val="20"/>
        </w:rPr>
        <w:t xml:space="preserve"> nationally. The mean scale score for Indigenous students (</w:t>
      </w:r>
      <w:r w:rsidR="00EC1693" w:rsidRPr="00EC1693">
        <w:rPr>
          <w:szCs w:val="20"/>
        </w:rPr>
        <w:t>329.2–337.4</w:t>
      </w:r>
      <w:r w:rsidRPr="00EC1693">
        <w:rPr>
          <w:szCs w:val="20"/>
        </w:rPr>
        <w:t>) was significantly lower than for non-Indigenous students (</w:t>
      </w:r>
      <w:r w:rsidR="00EC1693" w:rsidRPr="00EC1693">
        <w:rPr>
          <w:szCs w:val="20"/>
        </w:rPr>
        <w:t>423.2–425.2</w:t>
      </w:r>
      <w:r w:rsidRPr="00EC1693">
        <w:rPr>
          <w:szCs w:val="20"/>
        </w:rPr>
        <w:t>) (figure 4.2</w:t>
      </w:r>
      <w:r w:rsidR="00BA40CA" w:rsidRPr="00EC1693">
        <w:rPr>
          <w:szCs w:val="20"/>
        </w:rPr>
        <w:t>4</w:t>
      </w:r>
      <w:r w:rsidRPr="00EC1693">
        <w:rPr>
          <w:szCs w:val="20"/>
        </w:rPr>
        <w:t>). Mean scale scores varied across jurisdictions.</w:t>
      </w:r>
    </w:p>
    <w:p w:rsidR="00666ECE" w:rsidRPr="00CB2928" w:rsidRDefault="00666ECE" w:rsidP="006B35ED">
      <w:pPr>
        <w:pStyle w:val="FigureTitle"/>
      </w:pPr>
      <w:r w:rsidRPr="007A7568">
        <w:rPr>
          <w:b w:val="0"/>
        </w:rPr>
        <w:t xml:space="preserve">Figure </w:t>
      </w:r>
      <w:r w:rsidR="00EB256F" w:rsidRPr="007A7568">
        <w:rPr>
          <w:b w:val="0"/>
        </w:rPr>
        <w:t>4.</w:t>
      </w:r>
      <w:r w:rsidR="00EC06F7" w:rsidRPr="007A7568">
        <w:rPr>
          <w:b w:val="0"/>
          <w:noProof/>
        </w:rPr>
        <w:t>24</w:t>
      </w:r>
      <w:r w:rsidRPr="00CB2928">
        <w:tab/>
        <w:t>Mean scale scores for year 3 students</w:t>
      </w:r>
      <w:r w:rsidR="000B7ACD" w:rsidRPr="00CB2928">
        <w:t>,</w:t>
      </w:r>
      <w:r w:rsidRPr="00CB2928">
        <w:t xml:space="preserve"> reading, 201</w:t>
      </w:r>
      <w:r w:rsidR="00D75886" w:rsidRPr="00CB2928">
        <w:t>2</w:t>
      </w:r>
      <w:r w:rsidRPr="00CB2928">
        <w:rPr>
          <w:position w:val="6"/>
          <w:sz w:val="18"/>
        </w:rPr>
        <w:t>a, b</w:t>
      </w:r>
      <w:r w:rsidRPr="00CB292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25" name="Picture 25" descr="Figure 4.24 Mean scale scores for year 3 students, read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sidR="009819A6">
        <w:rPr>
          <w:rFonts w:ascii="Arial" w:hAnsi="Arial"/>
          <w:sz w:val="18"/>
          <w:szCs w:val="20"/>
        </w:rPr>
        <w:t>9</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D75886">
        <w:rPr>
          <w:rFonts w:ascii="Arial" w:hAnsi="Arial"/>
          <w:sz w:val="18"/>
          <w:szCs w:val="20"/>
        </w:rPr>
        <w:t>2</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sidR="00D75886">
        <w:rPr>
          <w:rFonts w:ascii="Arial" w:hAnsi="Arial"/>
          <w:i/>
          <w:sz w:val="18"/>
          <w:szCs w:val="20"/>
        </w:rPr>
        <w:t>2</w:t>
      </w:r>
      <w:r w:rsidRPr="00666ECE">
        <w:rPr>
          <w:rFonts w:ascii="Arial" w:hAnsi="Arial"/>
          <w:sz w:val="18"/>
          <w:szCs w:val="20"/>
        </w:rPr>
        <w:t>; table 4A.3</w:t>
      </w:r>
      <w:r w:rsidR="009819A6">
        <w:rPr>
          <w:rFonts w:ascii="Arial" w:hAnsi="Arial"/>
          <w:sz w:val="18"/>
          <w:szCs w:val="20"/>
        </w:rPr>
        <w:t>9</w:t>
      </w:r>
      <w:r w:rsidRPr="00666ECE">
        <w:rPr>
          <w:rFonts w:ascii="Arial" w:hAnsi="Arial"/>
          <w:sz w:val="18"/>
          <w:szCs w:val="20"/>
        </w:rPr>
        <w:t>.</w:t>
      </w:r>
    </w:p>
    <w:p w:rsidR="00406C4A" w:rsidRDefault="00406C4A">
      <w:pPr>
        <w:rPr>
          <w:szCs w:val="20"/>
        </w:rPr>
      </w:pPr>
      <w:r>
        <w:rPr>
          <w:szCs w:val="20"/>
        </w:rPr>
        <w:br w:type="page"/>
      </w:r>
    </w:p>
    <w:p w:rsidR="00666ECE" w:rsidRPr="00EC1693" w:rsidRDefault="00666ECE" w:rsidP="00666ECE">
      <w:pPr>
        <w:spacing w:before="240" w:line="320" w:lineRule="atLeast"/>
        <w:jc w:val="both"/>
        <w:rPr>
          <w:szCs w:val="20"/>
        </w:rPr>
      </w:pPr>
      <w:r w:rsidRPr="00666ECE">
        <w:rPr>
          <w:szCs w:val="20"/>
        </w:rPr>
        <w:lastRenderedPageBreak/>
        <w:t xml:space="preserve">The proportion of year 5 </w:t>
      </w:r>
      <w:r w:rsidRPr="00EC1693">
        <w:rPr>
          <w:szCs w:val="20"/>
        </w:rPr>
        <w:t>students who achieved at or above the reading national minimum standard in 201</w:t>
      </w:r>
      <w:r w:rsidR="00FC2FDF" w:rsidRPr="00EC1693">
        <w:rPr>
          <w:szCs w:val="20"/>
        </w:rPr>
        <w:t>2</w:t>
      </w:r>
      <w:r w:rsidRPr="00EC1693">
        <w:rPr>
          <w:szCs w:val="20"/>
        </w:rPr>
        <w:t xml:space="preserve"> was </w:t>
      </w:r>
      <w:r w:rsidR="00CF2310" w:rsidRPr="00EC1693">
        <w:rPr>
          <w:szCs w:val="20"/>
        </w:rPr>
        <w:t>91.</w:t>
      </w:r>
      <w:r w:rsidR="00EC1693" w:rsidRPr="00EC1693">
        <w:rPr>
          <w:szCs w:val="20"/>
        </w:rPr>
        <w:t>3</w:t>
      </w:r>
      <w:r w:rsidR="005303EE" w:rsidRPr="00EC1693">
        <w:rPr>
          <w:szCs w:val="20"/>
        </w:rPr>
        <w:t>–</w:t>
      </w:r>
      <w:r w:rsidR="00CF2310" w:rsidRPr="00EC1693">
        <w:rPr>
          <w:szCs w:val="20"/>
        </w:rPr>
        <w:t>91.</w:t>
      </w:r>
      <w:r w:rsidR="00EC1693" w:rsidRPr="00EC1693">
        <w:rPr>
          <w:szCs w:val="20"/>
        </w:rPr>
        <w:t>9</w:t>
      </w:r>
      <w:r w:rsidR="005303EE" w:rsidRPr="00EC1693">
        <w:rPr>
          <w:szCs w:val="20"/>
        </w:rPr>
        <w:t xml:space="preserve"> </w:t>
      </w:r>
      <w:r w:rsidRPr="00EC1693">
        <w:rPr>
          <w:szCs w:val="20"/>
        </w:rPr>
        <w:t xml:space="preserve">per cent nationally. The proportion </w:t>
      </w:r>
      <w:r w:rsidR="000233BF">
        <w:rPr>
          <w:szCs w:val="20"/>
        </w:rPr>
        <w:t>for</w:t>
      </w:r>
      <w:r w:rsidRPr="00EC1693">
        <w:rPr>
          <w:szCs w:val="20"/>
        </w:rPr>
        <w:t xml:space="preserve"> Indigenous students (</w:t>
      </w:r>
      <w:r w:rsidR="00EC1693" w:rsidRPr="00EC1693">
        <w:rPr>
          <w:szCs w:val="20"/>
        </w:rPr>
        <w:t>62.8</w:t>
      </w:r>
      <w:r w:rsidR="005303EE" w:rsidRPr="00EC1693">
        <w:rPr>
          <w:szCs w:val="20"/>
        </w:rPr>
        <w:t>–</w:t>
      </w:r>
      <w:r w:rsidR="00EC1693" w:rsidRPr="00EC1693">
        <w:rPr>
          <w:szCs w:val="20"/>
        </w:rPr>
        <w:t>66.6</w:t>
      </w:r>
      <w:r w:rsidRPr="00EC1693">
        <w:rPr>
          <w:szCs w:val="20"/>
        </w:rPr>
        <w:t xml:space="preserve"> per cent) was significantly lower than for non</w:t>
      </w:r>
      <w:r w:rsidRPr="00EC1693">
        <w:rPr>
          <w:szCs w:val="20"/>
        </w:rPr>
        <w:noBreakHyphen/>
        <w:t>Indigenous students (</w:t>
      </w:r>
      <w:r w:rsidR="00CF2310" w:rsidRPr="00EC1693">
        <w:rPr>
          <w:szCs w:val="20"/>
        </w:rPr>
        <w:t>92.</w:t>
      </w:r>
      <w:r w:rsidR="00EC1693" w:rsidRPr="00EC1693">
        <w:rPr>
          <w:szCs w:val="20"/>
        </w:rPr>
        <w:t>9</w:t>
      </w:r>
      <w:r w:rsidR="005303EE" w:rsidRPr="00EC1693">
        <w:rPr>
          <w:szCs w:val="20"/>
        </w:rPr>
        <w:t>–</w:t>
      </w:r>
      <w:r w:rsidR="00CF2310" w:rsidRPr="00EC1693">
        <w:rPr>
          <w:szCs w:val="20"/>
        </w:rPr>
        <w:t>93.</w:t>
      </w:r>
      <w:r w:rsidR="00EC1693" w:rsidRPr="00EC1693">
        <w:rPr>
          <w:szCs w:val="20"/>
        </w:rPr>
        <w:t>3</w:t>
      </w:r>
      <w:r w:rsidR="005303EE" w:rsidRPr="00EC1693">
        <w:rPr>
          <w:szCs w:val="20"/>
        </w:rPr>
        <w:t xml:space="preserve"> </w:t>
      </w:r>
      <w:r w:rsidRPr="00EC1693">
        <w:rPr>
          <w:szCs w:val="20"/>
        </w:rPr>
        <w:t>per cent) (figure 4.2</w:t>
      </w:r>
      <w:r w:rsidR="00BA40CA" w:rsidRPr="00EC1693">
        <w:rPr>
          <w:szCs w:val="20"/>
        </w:rPr>
        <w:t>5</w:t>
      </w:r>
      <w:r w:rsidRPr="00EC1693">
        <w:rPr>
          <w:szCs w:val="20"/>
        </w:rPr>
        <w:t>). These proportions varied across jurisdictions.</w:t>
      </w:r>
    </w:p>
    <w:p w:rsidR="00666ECE" w:rsidRPr="00611405" w:rsidRDefault="00666ECE" w:rsidP="006B35ED">
      <w:pPr>
        <w:pStyle w:val="FigureTitle"/>
        <w:rPr>
          <w:position w:val="6"/>
          <w:sz w:val="18"/>
        </w:rPr>
      </w:pPr>
      <w:r w:rsidRPr="007A7568">
        <w:rPr>
          <w:b w:val="0"/>
        </w:rPr>
        <w:t xml:space="preserve">Figure </w:t>
      </w:r>
      <w:bookmarkStart w:id="43" w:name="OLE_LINK45"/>
      <w:r w:rsidR="00EB256F" w:rsidRPr="007A7568">
        <w:rPr>
          <w:b w:val="0"/>
        </w:rPr>
        <w:t>4.</w:t>
      </w:r>
      <w:bookmarkEnd w:id="43"/>
      <w:r w:rsidR="00EC06F7" w:rsidRPr="007A7568">
        <w:rPr>
          <w:b w:val="0"/>
          <w:noProof/>
        </w:rPr>
        <w:t>25</w:t>
      </w:r>
      <w:r w:rsidRPr="00611405">
        <w:tab/>
        <w:t>Proportion of year 5 students achieving at or above the reading national minimum standard, 201</w:t>
      </w:r>
      <w:r w:rsidR="00FC2FDF" w:rsidRPr="00611405">
        <w:t>2</w:t>
      </w:r>
      <w:r w:rsidRPr="00611405">
        <w:rPr>
          <w:position w:val="6"/>
          <w:sz w:val="18"/>
        </w:rPr>
        <w:t>a, b</w:t>
      </w:r>
      <w:r w:rsidRPr="00611405">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26" name="Picture 26" descr="Figure 4.25 Proportion of year 5 students achieving at or above the read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sidR="009819A6">
        <w:rPr>
          <w:rFonts w:ascii="Arial" w:hAnsi="Arial"/>
          <w:sz w:val="18"/>
          <w:szCs w:val="20"/>
        </w:rPr>
        <w:t>6</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FC2FDF">
        <w:rPr>
          <w:rFonts w:ascii="Arial" w:hAnsi="Arial"/>
          <w:sz w:val="18"/>
          <w:szCs w:val="20"/>
        </w:rPr>
        <w:t>2</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sidR="00FC2FDF">
        <w:rPr>
          <w:rFonts w:ascii="Arial" w:hAnsi="Arial"/>
          <w:i/>
          <w:sz w:val="18"/>
          <w:szCs w:val="20"/>
        </w:rPr>
        <w:t>2</w:t>
      </w:r>
      <w:r w:rsidRPr="00666ECE">
        <w:rPr>
          <w:rFonts w:ascii="Arial" w:hAnsi="Arial"/>
          <w:sz w:val="18"/>
          <w:szCs w:val="20"/>
        </w:rPr>
        <w:t>; table 4A.3</w:t>
      </w:r>
      <w:r w:rsidR="009819A6">
        <w:rPr>
          <w:rFonts w:ascii="Arial" w:hAnsi="Arial"/>
          <w:sz w:val="18"/>
          <w:szCs w:val="20"/>
        </w:rPr>
        <w:t>6</w:t>
      </w:r>
      <w:r w:rsidRPr="00666ECE">
        <w:rPr>
          <w:rFonts w:ascii="Arial" w:hAnsi="Arial"/>
          <w:sz w:val="18"/>
          <w:szCs w:val="20"/>
        </w:rPr>
        <w:t>.</w:t>
      </w:r>
    </w:p>
    <w:p w:rsidR="00406C4A" w:rsidRDefault="00406C4A">
      <w:pPr>
        <w:rPr>
          <w:szCs w:val="20"/>
        </w:rPr>
      </w:pPr>
      <w:r>
        <w:rPr>
          <w:szCs w:val="20"/>
        </w:rPr>
        <w:br w:type="page"/>
      </w:r>
    </w:p>
    <w:p w:rsidR="00666ECE" w:rsidRPr="00EC1693" w:rsidRDefault="00666ECE" w:rsidP="00666ECE">
      <w:pPr>
        <w:spacing w:before="240" w:line="320" w:lineRule="atLeast"/>
        <w:jc w:val="both"/>
        <w:rPr>
          <w:szCs w:val="20"/>
        </w:rPr>
      </w:pPr>
      <w:r w:rsidRPr="00666ECE">
        <w:rPr>
          <w:szCs w:val="20"/>
        </w:rPr>
        <w:lastRenderedPageBreak/>
        <w:t>The mean scale score for year 5 reading in 201</w:t>
      </w:r>
      <w:r w:rsidR="00FC2FDF">
        <w:rPr>
          <w:szCs w:val="20"/>
        </w:rPr>
        <w:t>2</w:t>
      </w:r>
      <w:r w:rsidRPr="00666ECE">
        <w:rPr>
          <w:szCs w:val="20"/>
        </w:rPr>
        <w:t xml:space="preserve"> </w:t>
      </w:r>
      <w:r w:rsidRPr="00EC1693">
        <w:rPr>
          <w:szCs w:val="20"/>
        </w:rPr>
        <w:t xml:space="preserve">for all students was </w:t>
      </w:r>
      <w:r w:rsidR="00EC1693" w:rsidRPr="00EC1693">
        <w:rPr>
          <w:szCs w:val="20"/>
        </w:rPr>
        <w:t>492.5–494.7</w:t>
      </w:r>
      <w:r w:rsidR="005303EE" w:rsidRPr="00EC1693">
        <w:rPr>
          <w:szCs w:val="20"/>
        </w:rPr>
        <w:t xml:space="preserve"> </w:t>
      </w:r>
      <w:r w:rsidRPr="00EC1693">
        <w:rPr>
          <w:szCs w:val="20"/>
        </w:rPr>
        <w:t>nationally. The mean scale score for Indigenous students (</w:t>
      </w:r>
      <w:r w:rsidR="00EC1693" w:rsidRPr="00EC1693">
        <w:rPr>
          <w:szCs w:val="20"/>
        </w:rPr>
        <w:t>403.5–414.5</w:t>
      </w:r>
      <w:r w:rsidRPr="00EC1693">
        <w:rPr>
          <w:szCs w:val="20"/>
        </w:rPr>
        <w:t>) was significantly lower than for non-Indigenous students (</w:t>
      </w:r>
      <w:r w:rsidR="00EC1693" w:rsidRPr="00EC1693">
        <w:rPr>
          <w:szCs w:val="20"/>
        </w:rPr>
        <w:t>497.0–499.0</w:t>
      </w:r>
      <w:r w:rsidRPr="00EC1693">
        <w:rPr>
          <w:szCs w:val="20"/>
        </w:rPr>
        <w:t>) (figure 4.2</w:t>
      </w:r>
      <w:r w:rsidR="00BA40CA" w:rsidRPr="00EC1693">
        <w:rPr>
          <w:szCs w:val="20"/>
        </w:rPr>
        <w:t>6</w:t>
      </w:r>
      <w:r w:rsidRPr="00EC1693">
        <w:rPr>
          <w:szCs w:val="20"/>
        </w:rPr>
        <w:t>). Mean scale scores varied across jurisdictions.</w:t>
      </w:r>
    </w:p>
    <w:p w:rsidR="00666ECE" w:rsidRPr="00CB2928" w:rsidRDefault="00666ECE" w:rsidP="006B35ED">
      <w:pPr>
        <w:pStyle w:val="FigureTitle"/>
      </w:pPr>
      <w:r w:rsidRPr="007A7568">
        <w:rPr>
          <w:b w:val="0"/>
        </w:rPr>
        <w:t xml:space="preserve">Figure </w:t>
      </w:r>
      <w:r w:rsidR="00EB256F" w:rsidRPr="007A7568">
        <w:rPr>
          <w:b w:val="0"/>
        </w:rPr>
        <w:t>4.</w:t>
      </w:r>
      <w:r w:rsidR="00EC06F7" w:rsidRPr="007A7568">
        <w:rPr>
          <w:b w:val="0"/>
          <w:noProof/>
        </w:rPr>
        <w:t>26</w:t>
      </w:r>
      <w:r w:rsidRPr="00CB2928">
        <w:tab/>
        <w:t>Mean scale scores for year 5 students</w:t>
      </w:r>
      <w:r w:rsidR="000B7ACD" w:rsidRPr="00CB2928">
        <w:t>,</w:t>
      </w:r>
      <w:r w:rsidRPr="00CB2928">
        <w:t xml:space="preserve"> reading, 201</w:t>
      </w:r>
      <w:r w:rsidR="00FC2FDF" w:rsidRPr="00CB2928">
        <w:t>2</w:t>
      </w:r>
      <w:r w:rsidRPr="00CB2928">
        <w:rPr>
          <w:position w:val="6"/>
          <w:sz w:val="18"/>
        </w:rPr>
        <w:t>a, b</w:t>
      </w:r>
      <w:r w:rsidRPr="00CB292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27" name="Picture 27" descr="Figure 4.26 Mean scale scores for year 5 students, read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sidR="009819A6">
        <w:rPr>
          <w:rFonts w:ascii="Arial" w:hAnsi="Arial"/>
          <w:sz w:val="18"/>
          <w:szCs w:val="20"/>
        </w:rPr>
        <w:t>9</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FC2FDF">
        <w:rPr>
          <w:rFonts w:ascii="Arial" w:hAnsi="Arial"/>
          <w:sz w:val="18"/>
          <w:szCs w:val="20"/>
        </w:rPr>
        <w:t xml:space="preserve">2 </w:t>
      </w:r>
      <w:r w:rsidRPr="00666ECE">
        <w:rPr>
          <w:rFonts w:ascii="Arial" w:hAnsi="Arial"/>
          <w:sz w:val="18"/>
          <w:szCs w:val="20"/>
        </w:rPr>
        <w:t xml:space="preserve">and unpublished) </w:t>
      </w:r>
      <w:r w:rsidRPr="00666ECE">
        <w:rPr>
          <w:rFonts w:ascii="Arial" w:hAnsi="Arial"/>
          <w:i/>
          <w:sz w:val="18"/>
          <w:szCs w:val="20"/>
        </w:rPr>
        <w:t>NAPLAN Achievement in Reading, Writing, Language Conventions and Numeracy: National Report for 201</w:t>
      </w:r>
      <w:r w:rsidR="00FC2FDF">
        <w:rPr>
          <w:rFonts w:ascii="Arial" w:hAnsi="Arial"/>
          <w:i/>
          <w:sz w:val="18"/>
          <w:szCs w:val="20"/>
        </w:rPr>
        <w:t>2</w:t>
      </w:r>
      <w:r w:rsidRPr="00666ECE">
        <w:rPr>
          <w:rFonts w:ascii="Arial" w:hAnsi="Arial"/>
          <w:sz w:val="18"/>
          <w:szCs w:val="20"/>
        </w:rPr>
        <w:t>; table 4A.3</w:t>
      </w:r>
      <w:r w:rsidR="009819A6">
        <w:rPr>
          <w:rFonts w:ascii="Arial" w:hAnsi="Arial"/>
          <w:sz w:val="18"/>
          <w:szCs w:val="20"/>
        </w:rPr>
        <w:t>9</w:t>
      </w:r>
      <w:r w:rsidRPr="00666ECE">
        <w:rPr>
          <w:rFonts w:ascii="Arial" w:hAnsi="Arial"/>
          <w:sz w:val="18"/>
          <w:szCs w:val="20"/>
        </w:rPr>
        <w:t>.</w:t>
      </w:r>
    </w:p>
    <w:p w:rsidR="00406C4A" w:rsidRDefault="00406C4A">
      <w:pPr>
        <w:rPr>
          <w:szCs w:val="20"/>
        </w:rPr>
      </w:pPr>
      <w:r>
        <w:rPr>
          <w:szCs w:val="20"/>
        </w:rPr>
        <w:br w:type="page"/>
      </w:r>
    </w:p>
    <w:p w:rsidR="00666ECE" w:rsidRPr="002C5BBE" w:rsidRDefault="00666ECE" w:rsidP="00666ECE">
      <w:pPr>
        <w:spacing w:before="240" w:line="320" w:lineRule="atLeast"/>
        <w:jc w:val="both"/>
        <w:rPr>
          <w:szCs w:val="20"/>
        </w:rPr>
      </w:pPr>
      <w:r w:rsidRPr="00666ECE">
        <w:rPr>
          <w:szCs w:val="20"/>
        </w:rPr>
        <w:lastRenderedPageBreak/>
        <w:t xml:space="preserve">The proportion of year 7 students who </w:t>
      </w:r>
      <w:r w:rsidRPr="002C5BBE">
        <w:rPr>
          <w:szCs w:val="20"/>
        </w:rPr>
        <w:t>achieved at or above the reading national minimum standard in 201</w:t>
      </w:r>
      <w:r w:rsidR="00AF243E" w:rsidRPr="002C5BBE">
        <w:rPr>
          <w:szCs w:val="20"/>
        </w:rPr>
        <w:t>1</w:t>
      </w:r>
      <w:r w:rsidRPr="002C5BBE">
        <w:rPr>
          <w:szCs w:val="20"/>
        </w:rPr>
        <w:t xml:space="preserve"> was </w:t>
      </w:r>
      <w:r w:rsidR="002C5BBE" w:rsidRPr="002C5BBE">
        <w:rPr>
          <w:szCs w:val="20"/>
        </w:rPr>
        <w:t>93.9</w:t>
      </w:r>
      <w:r w:rsidR="005303EE" w:rsidRPr="002C5BBE">
        <w:rPr>
          <w:szCs w:val="20"/>
        </w:rPr>
        <w:t>–</w:t>
      </w:r>
      <w:r w:rsidR="002C5BBE" w:rsidRPr="002C5BBE">
        <w:rPr>
          <w:szCs w:val="20"/>
        </w:rPr>
        <w:t>94.3</w:t>
      </w:r>
      <w:r w:rsidR="005303EE" w:rsidRPr="002C5BBE">
        <w:rPr>
          <w:szCs w:val="20"/>
        </w:rPr>
        <w:t xml:space="preserve"> </w:t>
      </w:r>
      <w:r w:rsidRPr="002C5BBE">
        <w:rPr>
          <w:szCs w:val="20"/>
        </w:rPr>
        <w:t xml:space="preserve">per cent nationally. The proportion </w:t>
      </w:r>
      <w:r w:rsidR="000233BF">
        <w:rPr>
          <w:szCs w:val="20"/>
        </w:rPr>
        <w:t>for</w:t>
      </w:r>
      <w:r w:rsidRPr="002C5BBE">
        <w:rPr>
          <w:szCs w:val="20"/>
        </w:rPr>
        <w:t xml:space="preserve"> Indigenous students (</w:t>
      </w:r>
      <w:r w:rsidR="002C5BBE" w:rsidRPr="002C5BBE">
        <w:rPr>
          <w:szCs w:val="20"/>
        </w:rPr>
        <w:t>73.8</w:t>
      </w:r>
      <w:r w:rsidR="005303EE" w:rsidRPr="002C5BBE">
        <w:rPr>
          <w:szCs w:val="20"/>
        </w:rPr>
        <w:t>–</w:t>
      </w:r>
      <w:r w:rsidR="002C5BBE" w:rsidRPr="002C5BBE">
        <w:rPr>
          <w:szCs w:val="20"/>
        </w:rPr>
        <w:t>77.0</w:t>
      </w:r>
      <w:r w:rsidR="005303EE" w:rsidRPr="002C5BBE">
        <w:rPr>
          <w:szCs w:val="20"/>
        </w:rPr>
        <w:t xml:space="preserve"> </w:t>
      </w:r>
      <w:r w:rsidRPr="002C5BBE">
        <w:rPr>
          <w:szCs w:val="20"/>
        </w:rPr>
        <w:t>per cent) was significantly lower than for non</w:t>
      </w:r>
      <w:r w:rsidRPr="002C5BBE">
        <w:rPr>
          <w:szCs w:val="20"/>
        </w:rPr>
        <w:noBreakHyphen/>
        <w:t>Indigenous students (</w:t>
      </w:r>
      <w:r w:rsidR="002C5BBE" w:rsidRPr="002C5BBE">
        <w:rPr>
          <w:szCs w:val="20"/>
        </w:rPr>
        <w:t>94.9</w:t>
      </w:r>
      <w:r w:rsidR="005303EE" w:rsidRPr="002C5BBE">
        <w:rPr>
          <w:szCs w:val="20"/>
        </w:rPr>
        <w:t>–</w:t>
      </w:r>
      <w:r w:rsidR="00CF2310" w:rsidRPr="002C5BBE">
        <w:rPr>
          <w:szCs w:val="20"/>
        </w:rPr>
        <w:t>95.</w:t>
      </w:r>
      <w:r w:rsidR="002C5BBE" w:rsidRPr="002C5BBE">
        <w:rPr>
          <w:szCs w:val="20"/>
        </w:rPr>
        <w:t>3</w:t>
      </w:r>
      <w:r w:rsidR="005303EE" w:rsidRPr="002C5BBE">
        <w:rPr>
          <w:szCs w:val="20"/>
        </w:rPr>
        <w:t xml:space="preserve"> </w:t>
      </w:r>
      <w:r w:rsidRPr="002C5BBE">
        <w:rPr>
          <w:szCs w:val="20"/>
        </w:rPr>
        <w:t>per cent) (figure 4.2</w:t>
      </w:r>
      <w:r w:rsidR="00BA40CA" w:rsidRPr="002C5BBE">
        <w:rPr>
          <w:szCs w:val="20"/>
        </w:rPr>
        <w:t>7</w:t>
      </w:r>
      <w:r w:rsidRPr="002C5BBE">
        <w:rPr>
          <w:szCs w:val="20"/>
        </w:rPr>
        <w:t>). These proportions varied across jurisdictions.</w:t>
      </w:r>
    </w:p>
    <w:p w:rsidR="00666ECE" w:rsidRPr="00611405" w:rsidRDefault="00666ECE" w:rsidP="006B35ED">
      <w:pPr>
        <w:pStyle w:val="FigureTitle"/>
        <w:rPr>
          <w:position w:val="6"/>
          <w:sz w:val="18"/>
        </w:rPr>
      </w:pPr>
      <w:r w:rsidRPr="007A7568">
        <w:rPr>
          <w:b w:val="0"/>
        </w:rPr>
        <w:t xml:space="preserve">Figure </w:t>
      </w:r>
      <w:r w:rsidR="00EB256F" w:rsidRPr="007A7568">
        <w:rPr>
          <w:b w:val="0"/>
        </w:rPr>
        <w:t>4.</w:t>
      </w:r>
      <w:r w:rsidR="00EC06F7" w:rsidRPr="007A7568">
        <w:rPr>
          <w:b w:val="0"/>
          <w:noProof/>
        </w:rPr>
        <w:t>27</w:t>
      </w:r>
      <w:r w:rsidRPr="00666ECE">
        <w:tab/>
      </w:r>
      <w:r w:rsidRPr="00611405">
        <w:t>Proportion of year 7 students achieving at or above the reading national minimum standard, 201</w:t>
      </w:r>
      <w:r w:rsidR="00FC2FDF" w:rsidRPr="00611405">
        <w:t>2</w:t>
      </w:r>
      <w:r w:rsidRPr="00611405">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28" name="Picture 28" descr="Figure 4.27 Proportion of year 7 students achieving at or above the read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sidR="009819A6">
        <w:rPr>
          <w:rFonts w:ascii="Arial" w:hAnsi="Arial"/>
          <w:sz w:val="18"/>
          <w:szCs w:val="20"/>
        </w:rPr>
        <w:t>6</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FC2FDF">
        <w:rPr>
          <w:rFonts w:ascii="Arial" w:hAnsi="Arial"/>
          <w:sz w:val="18"/>
          <w:szCs w:val="20"/>
        </w:rPr>
        <w:t>2</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sidR="00FC2FDF">
        <w:rPr>
          <w:rFonts w:ascii="Arial" w:hAnsi="Arial"/>
          <w:i/>
          <w:sz w:val="18"/>
          <w:szCs w:val="20"/>
        </w:rPr>
        <w:t>2</w:t>
      </w:r>
      <w:r w:rsidRPr="00666ECE">
        <w:rPr>
          <w:rFonts w:ascii="Arial" w:hAnsi="Arial"/>
          <w:sz w:val="18"/>
          <w:szCs w:val="20"/>
        </w:rPr>
        <w:t>; table 4A.3</w:t>
      </w:r>
      <w:r w:rsidR="009819A6">
        <w:rPr>
          <w:rFonts w:ascii="Arial" w:hAnsi="Arial"/>
          <w:sz w:val="18"/>
          <w:szCs w:val="20"/>
        </w:rPr>
        <w:t>6</w:t>
      </w:r>
      <w:r w:rsidRPr="00666ECE">
        <w:rPr>
          <w:rFonts w:ascii="Arial" w:hAnsi="Arial"/>
          <w:sz w:val="18"/>
          <w:szCs w:val="20"/>
        </w:rPr>
        <w:t>.</w:t>
      </w:r>
    </w:p>
    <w:p w:rsidR="00406C4A" w:rsidRDefault="00406C4A">
      <w:pPr>
        <w:rPr>
          <w:szCs w:val="20"/>
        </w:rPr>
      </w:pPr>
      <w:r>
        <w:rPr>
          <w:szCs w:val="20"/>
        </w:rPr>
        <w:br w:type="page"/>
      </w:r>
    </w:p>
    <w:p w:rsidR="00666ECE" w:rsidRPr="002C5BBE" w:rsidRDefault="00666ECE" w:rsidP="00666ECE">
      <w:pPr>
        <w:spacing w:before="240" w:line="320" w:lineRule="atLeast"/>
        <w:jc w:val="both"/>
        <w:rPr>
          <w:szCs w:val="20"/>
        </w:rPr>
      </w:pPr>
      <w:r w:rsidRPr="00666ECE">
        <w:rPr>
          <w:szCs w:val="20"/>
        </w:rPr>
        <w:lastRenderedPageBreak/>
        <w:t>The mean scale score for year 7 reading in 201</w:t>
      </w:r>
      <w:r w:rsidR="00FC2FDF">
        <w:rPr>
          <w:szCs w:val="20"/>
        </w:rPr>
        <w:t>2</w:t>
      </w:r>
      <w:r w:rsidRPr="00666ECE">
        <w:rPr>
          <w:szCs w:val="20"/>
        </w:rPr>
        <w:t xml:space="preserve"> for all </w:t>
      </w:r>
      <w:r w:rsidRPr="002C5BBE">
        <w:rPr>
          <w:szCs w:val="20"/>
        </w:rPr>
        <w:t xml:space="preserve">students was </w:t>
      </w:r>
      <w:r w:rsidR="002C5BBE" w:rsidRPr="002C5BBE">
        <w:rPr>
          <w:szCs w:val="20"/>
        </w:rPr>
        <w:t>540.2–542.8</w:t>
      </w:r>
      <w:r w:rsidR="005303EE" w:rsidRPr="002C5BBE">
        <w:rPr>
          <w:szCs w:val="20"/>
        </w:rPr>
        <w:t xml:space="preserve"> </w:t>
      </w:r>
      <w:r w:rsidRPr="002C5BBE">
        <w:rPr>
          <w:szCs w:val="20"/>
        </w:rPr>
        <w:t>nationally. The mean scale score for Indigenous students (</w:t>
      </w:r>
      <w:r w:rsidR="002C5BBE" w:rsidRPr="002C5BBE">
        <w:rPr>
          <w:szCs w:val="20"/>
        </w:rPr>
        <w:t>471.4–478.2</w:t>
      </w:r>
      <w:r w:rsidRPr="002C5BBE">
        <w:rPr>
          <w:szCs w:val="20"/>
        </w:rPr>
        <w:t>) was significantly lower than for non-Indigenous students (</w:t>
      </w:r>
      <w:r w:rsidR="002C5BBE" w:rsidRPr="002C5BBE">
        <w:rPr>
          <w:szCs w:val="20"/>
        </w:rPr>
        <w:t>543.7</w:t>
      </w:r>
      <w:r w:rsidR="005303EE" w:rsidRPr="002C5BBE">
        <w:rPr>
          <w:szCs w:val="20"/>
        </w:rPr>
        <w:t>–</w:t>
      </w:r>
      <w:r w:rsidR="002C5BBE" w:rsidRPr="002C5BBE">
        <w:rPr>
          <w:szCs w:val="20"/>
        </w:rPr>
        <w:t>546.3</w:t>
      </w:r>
      <w:r w:rsidRPr="002C5BBE">
        <w:rPr>
          <w:szCs w:val="20"/>
        </w:rPr>
        <w:t>) (figure 4.2</w:t>
      </w:r>
      <w:r w:rsidR="00BA40CA" w:rsidRPr="002C5BBE">
        <w:rPr>
          <w:szCs w:val="20"/>
        </w:rPr>
        <w:t>8</w:t>
      </w:r>
      <w:r w:rsidRPr="002C5BBE">
        <w:rPr>
          <w:szCs w:val="20"/>
        </w:rPr>
        <w:t>). Mean scale scores varied across jurisdictions.</w:t>
      </w:r>
    </w:p>
    <w:p w:rsidR="00666ECE" w:rsidRPr="00CB2928" w:rsidRDefault="00666ECE" w:rsidP="006B35ED">
      <w:pPr>
        <w:pStyle w:val="FigureTitle"/>
      </w:pPr>
      <w:r w:rsidRPr="007A7568">
        <w:rPr>
          <w:b w:val="0"/>
        </w:rPr>
        <w:t xml:space="preserve">Figure </w:t>
      </w:r>
      <w:r w:rsidR="00EB256F" w:rsidRPr="007A7568">
        <w:rPr>
          <w:b w:val="0"/>
        </w:rPr>
        <w:t>4.</w:t>
      </w:r>
      <w:r w:rsidR="00EC06F7" w:rsidRPr="007A7568">
        <w:rPr>
          <w:b w:val="0"/>
          <w:noProof/>
        </w:rPr>
        <w:t>28</w:t>
      </w:r>
      <w:r w:rsidRPr="00CB2928">
        <w:tab/>
        <w:t>Mean scale scores for year 7 students</w:t>
      </w:r>
      <w:r w:rsidR="000B7ACD" w:rsidRPr="00CB2928">
        <w:t>,</w:t>
      </w:r>
      <w:r w:rsidRPr="00CB2928">
        <w:t xml:space="preserve"> reading, 201</w:t>
      </w:r>
      <w:r w:rsidR="00FC2FDF" w:rsidRPr="00CB2928">
        <w:t>2</w:t>
      </w:r>
      <w:r w:rsidRPr="00CB2928">
        <w:rPr>
          <w:position w:val="6"/>
          <w:sz w:val="18"/>
        </w:rPr>
        <w:t>a, b</w:t>
      </w:r>
      <w:r w:rsidRPr="00CB292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29" name="Picture 29" descr="Figure 4.28 Mean scale scores for year 7 students, read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sidR="009819A6">
        <w:rPr>
          <w:rFonts w:ascii="Arial" w:hAnsi="Arial"/>
          <w:sz w:val="18"/>
          <w:szCs w:val="20"/>
        </w:rPr>
        <w:t>9</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w:t>
      </w:r>
      <w:r w:rsidR="00FC486F" w:rsidRPr="00666ECE">
        <w:rPr>
          <w:rFonts w:ascii="Arial" w:hAnsi="Arial"/>
          <w:sz w:val="18"/>
          <w:szCs w:val="20"/>
        </w:rPr>
        <w:t>201</w:t>
      </w:r>
      <w:r w:rsidR="00FC2FDF">
        <w:rPr>
          <w:rFonts w:ascii="Arial" w:hAnsi="Arial"/>
          <w:sz w:val="18"/>
          <w:szCs w:val="20"/>
        </w:rPr>
        <w:t>2</w:t>
      </w:r>
      <w:r w:rsidR="00FC486F" w:rsidRPr="00666ECE">
        <w:rPr>
          <w:rFonts w:ascii="Arial" w:hAnsi="Arial"/>
          <w:sz w:val="18"/>
          <w:szCs w:val="20"/>
        </w:rPr>
        <w:t xml:space="preserve"> and</w:t>
      </w:r>
      <w:r w:rsidRPr="00666ECE">
        <w:rPr>
          <w:rFonts w:ascii="Arial" w:hAnsi="Arial"/>
          <w:sz w:val="18"/>
          <w:szCs w:val="20"/>
        </w:rPr>
        <w:t xml:space="preserve"> unpublished) </w:t>
      </w:r>
      <w:r w:rsidRPr="00666ECE">
        <w:rPr>
          <w:rFonts w:ascii="Arial" w:hAnsi="Arial"/>
          <w:i/>
          <w:sz w:val="18"/>
          <w:szCs w:val="20"/>
        </w:rPr>
        <w:t>NAPLAN Achievement in Reading, Writing, Language Conventions and Numeracy: National Report for 201</w:t>
      </w:r>
      <w:r w:rsidR="00FC2FDF">
        <w:rPr>
          <w:rFonts w:ascii="Arial" w:hAnsi="Arial"/>
          <w:i/>
          <w:sz w:val="18"/>
          <w:szCs w:val="20"/>
        </w:rPr>
        <w:t>2</w:t>
      </w:r>
      <w:r w:rsidRPr="00666ECE">
        <w:rPr>
          <w:rFonts w:ascii="Arial" w:hAnsi="Arial"/>
          <w:sz w:val="18"/>
          <w:szCs w:val="20"/>
        </w:rPr>
        <w:t>; table 4A.3</w:t>
      </w:r>
      <w:r w:rsidR="009819A6">
        <w:rPr>
          <w:rFonts w:ascii="Arial" w:hAnsi="Arial"/>
          <w:sz w:val="18"/>
          <w:szCs w:val="20"/>
        </w:rPr>
        <w:t>9</w:t>
      </w:r>
      <w:r w:rsidRPr="00666ECE">
        <w:rPr>
          <w:rFonts w:ascii="Arial" w:hAnsi="Arial"/>
          <w:sz w:val="18"/>
          <w:szCs w:val="20"/>
        </w:rPr>
        <w:t>.</w:t>
      </w:r>
    </w:p>
    <w:p w:rsidR="00406C4A" w:rsidRDefault="00406C4A">
      <w:pPr>
        <w:rPr>
          <w:szCs w:val="20"/>
        </w:rPr>
      </w:pPr>
      <w:r>
        <w:rPr>
          <w:szCs w:val="20"/>
        </w:rPr>
        <w:br w:type="page"/>
      </w:r>
    </w:p>
    <w:p w:rsidR="00666ECE" w:rsidRPr="00CE6669" w:rsidRDefault="00666ECE" w:rsidP="00666ECE">
      <w:pPr>
        <w:spacing w:before="240" w:line="320" w:lineRule="atLeast"/>
        <w:jc w:val="both"/>
        <w:rPr>
          <w:szCs w:val="20"/>
        </w:rPr>
      </w:pPr>
      <w:r w:rsidRPr="00666ECE">
        <w:rPr>
          <w:szCs w:val="20"/>
        </w:rPr>
        <w:lastRenderedPageBreak/>
        <w:t xml:space="preserve">The proportion of year 9 </w:t>
      </w:r>
      <w:r w:rsidRPr="00CE6669">
        <w:rPr>
          <w:szCs w:val="20"/>
        </w:rPr>
        <w:t>students who achieved at or above the reading national minimum standard in 201</w:t>
      </w:r>
      <w:r w:rsidR="00FC2FDF" w:rsidRPr="00CE6669">
        <w:rPr>
          <w:szCs w:val="20"/>
        </w:rPr>
        <w:t>2</w:t>
      </w:r>
      <w:r w:rsidRPr="00CE6669">
        <w:rPr>
          <w:szCs w:val="20"/>
        </w:rPr>
        <w:t xml:space="preserve"> was </w:t>
      </w:r>
      <w:r w:rsidR="00CE6669" w:rsidRPr="00CE6669">
        <w:rPr>
          <w:szCs w:val="20"/>
        </w:rPr>
        <w:t>91.0</w:t>
      </w:r>
      <w:r w:rsidR="00DA5DC0" w:rsidRPr="00CE6669">
        <w:rPr>
          <w:szCs w:val="20"/>
        </w:rPr>
        <w:t>–</w:t>
      </w:r>
      <w:r w:rsidR="00CE6669" w:rsidRPr="00CE6669">
        <w:rPr>
          <w:szCs w:val="20"/>
        </w:rPr>
        <w:t>91.8</w:t>
      </w:r>
      <w:r w:rsidRPr="00CE6669">
        <w:rPr>
          <w:szCs w:val="20"/>
        </w:rPr>
        <w:t xml:space="preserve"> per cent nationally. The proportion </w:t>
      </w:r>
      <w:r w:rsidR="000233BF">
        <w:rPr>
          <w:szCs w:val="20"/>
        </w:rPr>
        <w:t xml:space="preserve">for </w:t>
      </w:r>
      <w:r w:rsidRPr="00CE6669">
        <w:rPr>
          <w:szCs w:val="20"/>
        </w:rPr>
        <w:t>Indigenous students (</w:t>
      </w:r>
      <w:r w:rsidR="00CE6669" w:rsidRPr="00CE6669">
        <w:rPr>
          <w:szCs w:val="20"/>
        </w:rPr>
        <w:t>65</w:t>
      </w:r>
      <w:r w:rsidR="00DA5DC0" w:rsidRPr="00CE6669">
        <w:rPr>
          <w:szCs w:val="20"/>
        </w:rPr>
        <w:t>.3</w:t>
      </w:r>
      <w:r w:rsidR="005303EE" w:rsidRPr="00CE6669">
        <w:rPr>
          <w:szCs w:val="20"/>
        </w:rPr>
        <w:t>–</w:t>
      </w:r>
      <w:r w:rsidR="00CE6669" w:rsidRPr="00CE6669">
        <w:rPr>
          <w:szCs w:val="20"/>
        </w:rPr>
        <w:t>69.1</w:t>
      </w:r>
      <w:r w:rsidR="005303EE" w:rsidRPr="00CE6669">
        <w:rPr>
          <w:szCs w:val="20"/>
        </w:rPr>
        <w:t xml:space="preserve"> </w:t>
      </w:r>
      <w:r w:rsidRPr="00CE6669">
        <w:rPr>
          <w:szCs w:val="20"/>
        </w:rPr>
        <w:t>per cent) was significantly lower than for non</w:t>
      </w:r>
      <w:r w:rsidRPr="00CE6669">
        <w:rPr>
          <w:szCs w:val="20"/>
        </w:rPr>
        <w:noBreakHyphen/>
        <w:t>Indigenous students (</w:t>
      </w:r>
      <w:r w:rsidR="00CE6669" w:rsidRPr="00CE6669">
        <w:rPr>
          <w:szCs w:val="20"/>
        </w:rPr>
        <w:t>92.4</w:t>
      </w:r>
      <w:r w:rsidR="005303EE" w:rsidRPr="00CE6669">
        <w:rPr>
          <w:szCs w:val="20"/>
        </w:rPr>
        <w:t>–</w:t>
      </w:r>
      <w:r w:rsidR="00DA5DC0" w:rsidRPr="00CE6669">
        <w:rPr>
          <w:szCs w:val="20"/>
        </w:rPr>
        <w:t>93.</w:t>
      </w:r>
      <w:r w:rsidR="00CE6669" w:rsidRPr="00CE6669">
        <w:rPr>
          <w:szCs w:val="20"/>
        </w:rPr>
        <w:t>0</w:t>
      </w:r>
      <w:r w:rsidR="005303EE" w:rsidRPr="00CE6669">
        <w:rPr>
          <w:szCs w:val="20"/>
        </w:rPr>
        <w:t xml:space="preserve"> </w:t>
      </w:r>
      <w:r w:rsidRPr="00CE6669">
        <w:rPr>
          <w:szCs w:val="20"/>
        </w:rPr>
        <w:t>per cent) (figure 4.</w:t>
      </w:r>
      <w:r w:rsidR="00AF243E" w:rsidRPr="00CE6669">
        <w:rPr>
          <w:szCs w:val="20"/>
        </w:rPr>
        <w:t>2</w:t>
      </w:r>
      <w:r w:rsidR="00BA40CA" w:rsidRPr="00CE6669">
        <w:rPr>
          <w:szCs w:val="20"/>
        </w:rPr>
        <w:t>9</w:t>
      </w:r>
      <w:r w:rsidRPr="00CE6669">
        <w:rPr>
          <w:szCs w:val="20"/>
        </w:rPr>
        <w:t>). These proportions varied across jurisdictions.</w:t>
      </w:r>
    </w:p>
    <w:p w:rsidR="00666ECE" w:rsidRPr="008A206B" w:rsidRDefault="00666ECE" w:rsidP="006B35ED">
      <w:pPr>
        <w:pStyle w:val="FigureTitle"/>
        <w:rPr>
          <w:position w:val="6"/>
          <w:sz w:val="18"/>
        </w:rPr>
      </w:pPr>
      <w:r w:rsidRPr="007A7568">
        <w:rPr>
          <w:b w:val="0"/>
        </w:rPr>
        <w:t xml:space="preserve">Figure </w:t>
      </w:r>
      <w:r w:rsidR="00EB256F" w:rsidRPr="007A7568">
        <w:rPr>
          <w:b w:val="0"/>
        </w:rPr>
        <w:t>4.</w:t>
      </w:r>
      <w:r w:rsidR="00EC06F7" w:rsidRPr="007A7568">
        <w:rPr>
          <w:b w:val="0"/>
          <w:noProof/>
        </w:rPr>
        <w:t>29</w:t>
      </w:r>
      <w:r w:rsidRPr="00666ECE">
        <w:tab/>
      </w:r>
      <w:r w:rsidRPr="008A206B">
        <w:t>Proportion of year 9 students achieving at or above the reading national minimum standard, 201</w:t>
      </w:r>
      <w:r w:rsidR="00FC2FDF" w:rsidRPr="008A206B">
        <w:t>2</w:t>
      </w:r>
      <w:r w:rsidRPr="008A206B">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0" name="Picture 30" descr="Figure 4.29 Proportion of year 9 students achieving at or above the read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sidR="009819A6">
        <w:rPr>
          <w:rFonts w:ascii="Arial" w:hAnsi="Arial"/>
          <w:sz w:val="18"/>
          <w:szCs w:val="20"/>
        </w:rPr>
        <w:t>6</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FC2FDF">
        <w:rPr>
          <w:rFonts w:ascii="Arial" w:hAnsi="Arial"/>
          <w:sz w:val="18"/>
          <w:szCs w:val="20"/>
        </w:rPr>
        <w:t>2</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sidR="00FC2FDF">
        <w:rPr>
          <w:rFonts w:ascii="Arial" w:hAnsi="Arial"/>
          <w:i/>
          <w:sz w:val="18"/>
          <w:szCs w:val="20"/>
        </w:rPr>
        <w:t>2</w:t>
      </w:r>
      <w:r w:rsidRPr="00666ECE">
        <w:rPr>
          <w:rFonts w:ascii="Arial" w:hAnsi="Arial"/>
          <w:sz w:val="18"/>
          <w:szCs w:val="20"/>
        </w:rPr>
        <w:t>; table 4A.3</w:t>
      </w:r>
      <w:r w:rsidR="009819A6">
        <w:rPr>
          <w:rFonts w:ascii="Arial" w:hAnsi="Arial"/>
          <w:sz w:val="18"/>
          <w:szCs w:val="20"/>
        </w:rPr>
        <w:t>6</w:t>
      </w:r>
      <w:r w:rsidRPr="00666ECE">
        <w:rPr>
          <w:rFonts w:ascii="Arial" w:hAnsi="Arial"/>
          <w:sz w:val="18"/>
          <w:szCs w:val="20"/>
        </w:rPr>
        <w:t>.</w:t>
      </w:r>
    </w:p>
    <w:p w:rsidR="00406C4A" w:rsidRDefault="00406C4A">
      <w:pPr>
        <w:rPr>
          <w:szCs w:val="20"/>
        </w:rPr>
      </w:pPr>
      <w:r>
        <w:rPr>
          <w:szCs w:val="20"/>
        </w:rPr>
        <w:br w:type="page"/>
      </w:r>
    </w:p>
    <w:p w:rsidR="00666ECE" w:rsidRPr="00CE6669" w:rsidRDefault="00666ECE" w:rsidP="00666ECE">
      <w:pPr>
        <w:spacing w:before="240" w:line="320" w:lineRule="atLeast"/>
        <w:jc w:val="both"/>
        <w:rPr>
          <w:szCs w:val="20"/>
        </w:rPr>
      </w:pPr>
      <w:r w:rsidRPr="00666ECE">
        <w:rPr>
          <w:szCs w:val="20"/>
        </w:rPr>
        <w:lastRenderedPageBreak/>
        <w:t>The mean scale score for year 9 reading in 201</w:t>
      </w:r>
      <w:r w:rsidR="00FC2FDF">
        <w:rPr>
          <w:szCs w:val="20"/>
        </w:rPr>
        <w:t>2</w:t>
      </w:r>
      <w:r w:rsidRPr="00666ECE">
        <w:rPr>
          <w:szCs w:val="20"/>
        </w:rPr>
        <w:t xml:space="preserve"> for all </w:t>
      </w:r>
      <w:r w:rsidRPr="00CE6669">
        <w:rPr>
          <w:szCs w:val="20"/>
        </w:rPr>
        <w:t xml:space="preserve">students was </w:t>
      </w:r>
      <w:r w:rsidR="00CE6669" w:rsidRPr="00CE6669">
        <w:rPr>
          <w:szCs w:val="20"/>
        </w:rPr>
        <w:t>573.3–576.3</w:t>
      </w:r>
      <w:r w:rsidR="005303EE" w:rsidRPr="00CE6669">
        <w:rPr>
          <w:szCs w:val="20"/>
        </w:rPr>
        <w:t xml:space="preserve"> </w:t>
      </w:r>
      <w:r w:rsidRPr="00CE6669">
        <w:rPr>
          <w:szCs w:val="20"/>
        </w:rPr>
        <w:t>nationally. The mean scale score for Indigenous students (</w:t>
      </w:r>
      <w:r w:rsidR="00CE6669" w:rsidRPr="00CE6669">
        <w:rPr>
          <w:szCs w:val="20"/>
        </w:rPr>
        <w:t>506.6–513.0</w:t>
      </w:r>
      <w:r w:rsidRPr="00CE6669">
        <w:rPr>
          <w:szCs w:val="20"/>
        </w:rPr>
        <w:t>) was significantly lower than for non-Indigenous st</w:t>
      </w:r>
      <w:r w:rsidR="00AF243E" w:rsidRPr="00CE6669">
        <w:rPr>
          <w:szCs w:val="20"/>
        </w:rPr>
        <w:t>udents (</w:t>
      </w:r>
      <w:r w:rsidR="00CE6669" w:rsidRPr="00CE6669">
        <w:rPr>
          <w:szCs w:val="20"/>
        </w:rPr>
        <w:t>576.5–579.5</w:t>
      </w:r>
      <w:r w:rsidR="00AF243E" w:rsidRPr="00CE6669">
        <w:rPr>
          <w:szCs w:val="20"/>
        </w:rPr>
        <w:t>) (figure 4.</w:t>
      </w:r>
      <w:r w:rsidR="00BA40CA" w:rsidRPr="00CE6669">
        <w:rPr>
          <w:szCs w:val="20"/>
        </w:rPr>
        <w:t>30</w:t>
      </w:r>
      <w:r w:rsidRPr="00CE6669">
        <w:rPr>
          <w:szCs w:val="20"/>
        </w:rPr>
        <w:t>). Mean scale scores varied across jurisdictions.</w:t>
      </w:r>
    </w:p>
    <w:p w:rsidR="00666ECE" w:rsidRPr="00CB2928" w:rsidRDefault="00666ECE" w:rsidP="006B35ED">
      <w:pPr>
        <w:pStyle w:val="FigureTitle"/>
      </w:pPr>
      <w:r w:rsidRPr="007A7568">
        <w:rPr>
          <w:b w:val="0"/>
        </w:rPr>
        <w:t xml:space="preserve">Figure </w:t>
      </w:r>
      <w:r w:rsidR="00EB256F" w:rsidRPr="007A7568">
        <w:rPr>
          <w:b w:val="0"/>
        </w:rPr>
        <w:t>4.</w:t>
      </w:r>
      <w:r w:rsidR="00EC06F7" w:rsidRPr="007A7568">
        <w:rPr>
          <w:b w:val="0"/>
          <w:noProof/>
        </w:rPr>
        <w:t>30</w:t>
      </w:r>
      <w:r w:rsidRPr="00CB2928">
        <w:tab/>
        <w:t>Mean scale scores for year 9 students</w:t>
      </w:r>
      <w:r w:rsidR="000B7ACD" w:rsidRPr="00CB2928">
        <w:t xml:space="preserve">, </w:t>
      </w:r>
      <w:r w:rsidRPr="00CB2928">
        <w:t>reading, 201</w:t>
      </w:r>
      <w:r w:rsidR="00FC2FDF" w:rsidRPr="00CB2928">
        <w:t>2</w:t>
      </w:r>
      <w:r w:rsidRPr="00CB2928">
        <w:rPr>
          <w:position w:val="6"/>
          <w:sz w:val="18"/>
        </w:rPr>
        <w:t>a, b</w:t>
      </w:r>
      <w:r w:rsidRPr="00CB292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1" name="Picture 31" descr="Figure 4.30 Mean scale scores for year 9 students, read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sidR="009819A6">
        <w:rPr>
          <w:rFonts w:ascii="Arial" w:hAnsi="Arial"/>
          <w:sz w:val="18"/>
          <w:szCs w:val="20"/>
        </w:rPr>
        <w:t>9</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FC2FDF">
        <w:rPr>
          <w:rFonts w:ascii="Arial" w:hAnsi="Arial"/>
          <w:sz w:val="18"/>
          <w:szCs w:val="20"/>
        </w:rPr>
        <w:t>2</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sidR="00FC2FDF">
        <w:rPr>
          <w:rFonts w:ascii="Arial" w:hAnsi="Arial"/>
          <w:i/>
          <w:sz w:val="18"/>
          <w:szCs w:val="20"/>
        </w:rPr>
        <w:t>2</w:t>
      </w:r>
      <w:r w:rsidRPr="00666ECE">
        <w:rPr>
          <w:rFonts w:ascii="Arial" w:hAnsi="Arial"/>
          <w:sz w:val="18"/>
          <w:szCs w:val="20"/>
        </w:rPr>
        <w:t>; table 4A.3</w:t>
      </w:r>
      <w:r w:rsidR="009819A6">
        <w:rPr>
          <w:rFonts w:ascii="Arial" w:hAnsi="Arial"/>
          <w:sz w:val="18"/>
          <w:szCs w:val="20"/>
        </w:rPr>
        <w:t>9</w:t>
      </w:r>
      <w:r w:rsidRPr="00666ECE">
        <w:rPr>
          <w:rFonts w:ascii="Arial" w:hAnsi="Arial"/>
          <w:sz w:val="18"/>
          <w:szCs w:val="20"/>
        </w:rPr>
        <w:t>.</w:t>
      </w:r>
    </w:p>
    <w:p w:rsidR="00666ECE" w:rsidRPr="00666ECE" w:rsidRDefault="00666ECE" w:rsidP="00666ECE">
      <w:pPr>
        <w:spacing w:before="240" w:line="320" w:lineRule="atLeast"/>
        <w:jc w:val="both"/>
        <w:rPr>
          <w:i/>
          <w:szCs w:val="20"/>
        </w:rPr>
      </w:pPr>
      <w:r w:rsidRPr="00666ECE">
        <w:rPr>
          <w:i/>
          <w:szCs w:val="20"/>
        </w:rPr>
        <w:t>Geolocation</w:t>
      </w:r>
    </w:p>
    <w:p w:rsidR="00666ECE" w:rsidRPr="007B32D4" w:rsidRDefault="00666ECE" w:rsidP="00666ECE">
      <w:pPr>
        <w:spacing w:before="240" w:line="320" w:lineRule="atLeast"/>
        <w:jc w:val="both"/>
        <w:rPr>
          <w:szCs w:val="20"/>
        </w:rPr>
      </w:pPr>
      <w:r w:rsidRPr="00CE6669">
        <w:rPr>
          <w:szCs w:val="20"/>
        </w:rPr>
        <w:t>Nationally, in 201</w:t>
      </w:r>
      <w:r w:rsidR="00FC2FDF" w:rsidRPr="00CE6669">
        <w:rPr>
          <w:szCs w:val="20"/>
        </w:rPr>
        <w:t>2</w:t>
      </w:r>
      <w:r w:rsidRPr="00CE6669">
        <w:rPr>
          <w:szCs w:val="20"/>
        </w:rPr>
        <w:t xml:space="preserve">, reading outcomes tended to decline with remoteness. In year </w:t>
      </w:r>
      <w:r w:rsidR="000A554E">
        <w:rPr>
          <w:szCs w:val="20"/>
        </w:rPr>
        <w:t>3</w:t>
      </w:r>
      <w:r w:rsidRPr="00CE6669">
        <w:rPr>
          <w:szCs w:val="20"/>
        </w:rPr>
        <w:t xml:space="preserve">, for example, </w:t>
      </w:r>
      <w:r w:rsidR="000A554E">
        <w:rPr>
          <w:szCs w:val="20"/>
        </w:rPr>
        <w:t>94.6</w:t>
      </w:r>
      <w:r w:rsidRPr="00CE6669">
        <w:rPr>
          <w:szCs w:val="20"/>
        </w:rPr>
        <w:t>–</w:t>
      </w:r>
      <w:r w:rsidR="000A554E">
        <w:rPr>
          <w:szCs w:val="20"/>
        </w:rPr>
        <w:t>95.0</w:t>
      </w:r>
      <w:r w:rsidRPr="00CE6669">
        <w:rPr>
          <w:szCs w:val="20"/>
        </w:rPr>
        <w:t xml:space="preserve"> per cent of students in metropolitan areas achieved at or above the reading national minimum standard, </w:t>
      </w:r>
      <w:r w:rsidR="00085459">
        <w:rPr>
          <w:szCs w:val="20"/>
        </w:rPr>
        <w:t xml:space="preserve">significantly </w:t>
      </w:r>
      <w:r w:rsidRPr="00CE6669">
        <w:rPr>
          <w:szCs w:val="20"/>
        </w:rPr>
        <w:t>higher than the proportions of provincial students (</w:t>
      </w:r>
      <w:r w:rsidR="000A554E">
        <w:rPr>
          <w:szCs w:val="20"/>
        </w:rPr>
        <w:t>91.9–92.7</w:t>
      </w:r>
      <w:r w:rsidR="005303EE" w:rsidRPr="00CE6669">
        <w:rPr>
          <w:szCs w:val="20"/>
        </w:rPr>
        <w:t xml:space="preserve"> </w:t>
      </w:r>
      <w:r w:rsidRPr="00CE6669">
        <w:rPr>
          <w:szCs w:val="20"/>
        </w:rPr>
        <w:t xml:space="preserve">per cent), remote students </w:t>
      </w:r>
      <w:r w:rsidR="00C43453">
        <w:rPr>
          <w:szCs w:val="20"/>
        </w:rPr>
        <w:br/>
      </w:r>
      <w:r w:rsidRPr="00CE6669">
        <w:rPr>
          <w:szCs w:val="20"/>
        </w:rPr>
        <w:t>(</w:t>
      </w:r>
      <w:r w:rsidR="000A554E">
        <w:rPr>
          <w:szCs w:val="20"/>
        </w:rPr>
        <w:t>81.7–86.9</w:t>
      </w:r>
      <w:r w:rsidR="00C43453">
        <w:rPr>
          <w:szCs w:val="20"/>
        </w:rPr>
        <w:t xml:space="preserve"> </w:t>
      </w:r>
      <w:r w:rsidRPr="00CE6669">
        <w:rPr>
          <w:szCs w:val="20"/>
        </w:rPr>
        <w:t xml:space="preserve">per cent) and </w:t>
      </w:r>
      <w:r w:rsidRPr="007B32D4">
        <w:rPr>
          <w:szCs w:val="20"/>
        </w:rPr>
        <w:t>very remote students (</w:t>
      </w:r>
      <w:r w:rsidR="000A554E">
        <w:rPr>
          <w:szCs w:val="20"/>
        </w:rPr>
        <w:t>52.1–63.1</w:t>
      </w:r>
      <w:r w:rsidR="005303EE" w:rsidRPr="007B32D4">
        <w:rPr>
          <w:szCs w:val="20"/>
        </w:rPr>
        <w:t xml:space="preserve"> </w:t>
      </w:r>
      <w:r w:rsidRPr="007B32D4">
        <w:rPr>
          <w:szCs w:val="20"/>
        </w:rPr>
        <w:t>per cent) (figure 4.</w:t>
      </w:r>
      <w:r w:rsidR="00BA40CA" w:rsidRPr="007B32D4">
        <w:rPr>
          <w:szCs w:val="20"/>
        </w:rPr>
        <w:t>31</w:t>
      </w:r>
      <w:r w:rsidRPr="007B32D4">
        <w:rPr>
          <w:szCs w:val="20"/>
        </w:rPr>
        <w:t>).</w:t>
      </w:r>
    </w:p>
    <w:p w:rsidR="00666ECE" w:rsidRPr="007B32D4" w:rsidRDefault="00666ECE" w:rsidP="00666ECE">
      <w:pPr>
        <w:spacing w:before="240" w:line="320" w:lineRule="atLeast"/>
        <w:jc w:val="both"/>
        <w:rPr>
          <w:szCs w:val="26"/>
        </w:rPr>
      </w:pPr>
      <w:bookmarkStart w:id="44" w:name="OLE_LINK98"/>
      <w:bookmarkStart w:id="45" w:name="OLE_LINK99"/>
      <w:r w:rsidRPr="007B32D4">
        <w:rPr>
          <w:szCs w:val="20"/>
        </w:rPr>
        <w:t>For all geolocation categories across years 3, 5, 7 and 9, reading outcomes nationally for Indigenous students were lower than those for non-Indigenous students. Nationally, outcomes for Indigenous students generally declined as remoteness increased, and</w:t>
      </w:r>
      <w:bookmarkStart w:id="46" w:name="OLE_LINK88"/>
      <w:bookmarkStart w:id="47" w:name="OLE_LINK89"/>
      <w:r w:rsidRPr="007B32D4">
        <w:rPr>
          <w:szCs w:val="26"/>
        </w:rPr>
        <w:t xml:space="preserve"> the gap in learning outcomes between Indigenous studen</w:t>
      </w:r>
      <w:r w:rsidR="00404778" w:rsidRPr="007B32D4">
        <w:rPr>
          <w:szCs w:val="26"/>
        </w:rPr>
        <w:t xml:space="preserve">ts and non-Indigenous students </w:t>
      </w:r>
      <w:r w:rsidRPr="007B32D4">
        <w:rPr>
          <w:szCs w:val="26"/>
        </w:rPr>
        <w:t>was generally greater in remote and very remote areas than in metropolitan and provincial areas.</w:t>
      </w:r>
    </w:p>
    <w:p w:rsidR="00666ECE" w:rsidRPr="00666ECE" w:rsidRDefault="00666ECE" w:rsidP="00666ECE">
      <w:pPr>
        <w:spacing w:before="240" w:line="320" w:lineRule="atLeast"/>
        <w:jc w:val="both"/>
        <w:rPr>
          <w:szCs w:val="20"/>
        </w:rPr>
      </w:pPr>
      <w:r w:rsidRPr="007B32D4">
        <w:rPr>
          <w:szCs w:val="20"/>
        </w:rPr>
        <w:t xml:space="preserve">State and Territory results by Indigenous status and geolocation for years 3, 5, </w:t>
      </w:r>
      <w:r w:rsidRPr="00666ECE">
        <w:rPr>
          <w:szCs w:val="20"/>
        </w:rPr>
        <w:t>7 and 9 reading literacy are in table 4A.3</w:t>
      </w:r>
      <w:r w:rsidR="00220AAE">
        <w:rPr>
          <w:szCs w:val="20"/>
        </w:rPr>
        <w:t>7</w:t>
      </w:r>
      <w:r w:rsidRPr="00666ECE">
        <w:rPr>
          <w:szCs w:val="20"/>
        </w:rPr>
        <w:t xml:space="preserve">. The general pattern in jurisdictions appears similar to the national results. However, due to relatively large confidence intervals, </w:t>
      </w:r>
      <w:r w:rsidRPr="00666ECE">
        <w:rPr>
          <w:szCs w:val="20"/>
        </w:rPr>
        <w:lastRenderedPageBreak/>
        <w:t>caution should be exercised when making comparisons for some data. Mean scale score results by Indigenous status and geolocation are provided in table 4A.</w:t>
      </w:r>
      <w:r w:rsidR="00220AAE">
        <w:rPr>
          <w:szCs w:val="20"/>
        </w:rPr>
        <w:t>40</w:t>
      </w:r>
      <w:r w:rsidRPr="00666ECE">
        <w:rPr>
          <w:szCs w:val="20"/>
        </w:rPr>
        <w:t>.</w:t>
      </w:r>
    </w:p>
    <w:bookmarkEnd w:id="44"/>
    <w:bookmarkEnd w:id="45"/>
    <w:bookmarkEnd w:id="46"/>
    <w:bookmarkEnd w:id="47"/>
    <w:p w:rsidR="00666ECE" w:rsidRPr="00152235" w:rsidRDefault="00666ECE" w:rsidP="006B35ED">
      <w:pPr>
        <w:pStyle w:val="FigureTitle"/>
      </w:pPr>
      <w:r w:rsidRPr="007A7568">
        <w:rPr>
          <w:b w:val="0"/>
        </w:rPr>
        <w:t xml:space="preserve">Figure </w:t>
      </w:r>
      <w:r w:rsidR="00EB256F" w:rsidRPr="007A7568">
        <w:rPr>
          <w:b w:val="0"/>
        </w:rPr>
        <w:t>4.</w:t>
      </w:r>
      <w:r w:rsidR="00EC06F7" w:rsidRPr="007A7568">
        <w:rPr>
          <w:b w:val="0"/>
          <w:noProof/>
        </w:rPr>
        <w:t>31</w:t>
      </w:r>
      <w:r w:rsidRPr="00666ECE">
        <w:tab/>
      </w:r>
      <w:r w:rsidRPr="00152235">
        <w:t xml:space="preserve">National proportion of year </w:t>
      </w:r>
      <w:r w:rsidR="00152235" w:rsidRPr="00152235">
        <w:t>3</w:t>
      </w:r>
      <w:r w:rsidRPr="00152235">
        <w:t xml:space="preserve"> students achieving at or above the reading national minimum standard, by Indigenous status and geolocation, 201</w:t>
      </w:r>
      <w:r w:rsidR="00FC2FDF" w:rsidRPr="00152235">
        <w:t>2</w:t>
      </w:r>
      <w:r w:rsidR="000911E9" w:rsidRPr="00152235">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2" name="Picture 32" descr="Figure 4.31 National proportion of year 3 students achieving at or above the reading national minimum standard, by Indigenous status and geolocation,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xml:space="preserve"> Data for year 3 students are shown and may not be representative of students in years </w:t>
      </w:r>
      <w:r w:rsidR="00152235">
        <w:rPr>
          <w:rFonts w:ascii="Arial" w:hAnsi="Arial"/>
          <w:sz w:val="18"/>
          <w:szCs w:val="20"/>
        </w:rPr>
        <w:t>5</w:t>
      </w:r>
      <w:r w:rsidRPr="00666ECE">
        <w:rPr>
          <w:rFonts w:ascii="Arial" w:hAnsi="Arial"/>
          <w:sz w:val="18"/>
          <w:szCs w:val="20"/>
        </w:rPr>
        <w:t>, 7 and 9 which are detailed in table 4A.3</w:t>
      </w:r>
      <w:r w:rsidR="00220AAE">
        <w:rPr>
          <w:rFonts w:ascii="Arial" w:hAnsi="Arial"/>
          <w:sz w:val="18"/>
          <w:szCs w:val="20"/>
        </w:rPr>
        <w:t>7</w:t>
      </w:r>
      <w:r w:rsidRPr="00666ECE">
        <w:rPr>
          <w:rFonts w:ascii="Arial" w:hAnsi="Arial"/>
          <w:sz w:val="18"/>
          <w:szCs w:val="20"/>
        </w:rPr>
        <w:t>.</w:t>
      </w:r>
      <w:r w:rsidR="00FC486F">
        <w:rPr>
          <w:rFonts w:ascii="Arial" w:hAnsi="Arial"/>
          <w:sz w:val="18"/>
          <w:szCs w:val="20"/>
        </w:rPr>
        <w:t xml:space="preserve"> </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FC2FDF">
        <w:rPr>
          <w:rFonts w:ascii="Arial" w:hAnsi="Arial"/>
          <w:sz w:val="18"/>
          <w:szCs w:val="20"/>
        </w:rPr>
        <w:t>2</w:t>
      </w:r>
      <w:r w:rsidR="00BC4CB0">
        <w:rPr>
          <w:rFonts w:ascii="Arial" w:hAnsi="Arial"/>
          <w:sz w:val="18"/>
          <w:szCs w:val="20"/>
        </w:rPr>
        <w:t xml:space="preserve"> </w:t>
      </w:r>
      <w:r w:rsidRPr="00666ECE">
        <w:rPr>
          <w:rFonts w:ascii="Arial" w:hAnsi="Arial"/>
          <w:sz w:val="18"/>
          <w:szCs w:val="20"/>
        </w:rPr>
        <w:t xml:space="preserve">and unpublished) </w:t>
      </w:r>
      <w:r w:rsidRPr="00666ECE">
        <w:rPr>
          <w:rFonts w:ascii="Arial" w:hAnsi="Arial"/>
          <w:i/>
          <w:sz w:val="18"/>
          <w:szCs w:val="20"/>
        </w:rPr>
        <w:t>NAPLAN Achievement in Reading, Writing, Language Conventions and Numeracy: National Report for 201</w:t>
      </w:r>
      <w:r w:rsidR="00FC2FDF">
        <w:rPr>
          <w:rFonts w:ascii="Arial" w:hAnsi="Arial"/>
          <w:i/>
          <w:sz w:val="18"/>
          <w:szCs w:val="20"/>
        </w:rPr>
        <w:t>2</w:t>
      </w:r>
      <w:r w:rsidRPr="00666ECE">
        <w:rPr>
          <w:rFonts w:ascii="Arial" w:hAnsi="Arial"/>
          <w:sz w:val="18"/>
          <w:szCs w:val="20"/>
        </w:rPr>
        <w:t>; table 4A.3</w:t>
      </w:r>
      <w:r w:rsidR="00220AAE">
        <w:rPr>
          <w:rFonts w:ascii="Arial" w:hAnsi="Arial"/>
          <w:sz w:val="18"/>
          <w:szCs w:val="20"/>
        </w:rPr>
        <w:t>7</w:t>
      </w:r>
      <w:r w:rsidRPr="00666ECE">
        <w:rPr>
          <w:rFonts w:ascii="Arial" w:hAnsi="Arial"/>
          <w:sz w:val="18"/>
          <w:szCs w:val="20"/>
        </w:rPr>
        <w:t>.</w:t>
      </w:r>
    </w:p>
    <w:p w:rsidR="00666ECE" w:rsidRPr="00666ECE" w:rsidRDefault="00666ECE" w:rsidP="00666ECE">
      <w:pPr>
        <w:spacing w:before="240" w:line="320" w:lineRule="atLeast"/>
        <w:jc w:val="both"/>
        <w:rPr>
          <w:i/>
          <w:szCs w:val="20"/>
        </w:rPr>
      </w:pPr>
      <w:r w:rsidRPr="00666ECE">
        <w:rPr>
          <w:i/>
          <w:szCs w:val="20"/>
        </w:rPr>
        <w:t>Socio</w:t>
      </w:r>
      <w:r w:rsidR="009131A4">
        <w:rPr>
          <w:i/>
          <w:szCs w:val="20"/>
        </w:rPr>
        <w:t>-</w:t>
      </w:r>
      <w:r w:rsidRPr="00666ECE">
        <w:rPr>
          <w:i/>
          <w:szCs w:val="20"/>
        </w:rPr>
        <w:t>economic status</w:t>
      </w:r>
    </w:p>
    <w:p w:rsidR="00666ECE" w:rsidRPr="00666ECE" w:rsidRDefault="00666ECE" w:rsidP="00666ECE">
      <w:pPr>
        <w:spacing w:before="240" w:line="320" w:lineRule="atLeast"/>
        <w:jc w:val="both"/>
        <w:rPr>
          <w:szCs w:val="20"/>
        </w:rPr>
      </w:pPr>
      <w:r w:rsidRPr="00666ECE">
        <w:rPr>
          <w:szCs w:val="20"/>
        </w:rPr>
        <w:t xml:space="preserve">State and </w:t>
      </w:r>
      <w:r w:rsidR="00406C4A">
        <w:rPr>
          <w:szCs w:val="20"/>
        </w:rPr>
        <w:t>T</w:t>
      </w:r>
      <w:r w:rsidRPr="00666ECE">
        <w:rPr>
          <w:szCs w:val="20"/>
        </w:rPr>
        <w:t>erritory data on the proportions of students achieving at or above the national minimum standard and mean scale scores in reading assessment for years</w:t>
      </w:r>
      <w:r w:rsidR="00292174">
        <w:rPr>
          <w:szCs w:val="20"/>
        </w:rPr>
        <w:t> </w:t>
      </w:r>
      <w:r w:rsidRPr="00666ECE">
        <w:rPr>
          <w:szCs w:val="20"/>
        </w:rPr>
        <w:t>3, 5, 7 and 9 by parental education and parental occupation for 201</w:t>
      </w:r>
      <w:r w:rsidR="00FC2FDF">
        <w:rPr>
          <w:szCs w:val="20"/>
        </w:rPr>
        <w:t>2</w:t>
      </w:r>
      <w:r w:rsidRPr="00666ECE">
        <w:rPr>
          <w:szCs w:val="20"/>
        </w:rPr>
        <w:t xml:space="preserve"> are included in tables</w:t>
      </w:r>
      <w:r w:rsidR="003E2CB5">
        <w:rPr>
          <w:szCs w:val="20"/>
        </w:rPr>
        <w:t xml:space="preserve"> </w:t>
      </w:r>
      <w:r w:rsidRPr="00666ECE">
        <w:rPr>
          <w:szCs w:val="20"/>
        </w:rPr>
        <w:t>4A.3</w:t>
      </w:r>
      <w:r w:rsidR="00220AAE">
        <w:rPr>
          <w:szCs w:val="20"/>
        </w:rPr>
        <w:t>8</w:t>
      </w:r>
      <w:r w:rsidRPr="00666ECE">
        <w:rPr>
          <w:szCs w:val="20"/>
        </w:rPr>
        <w:t xml:space="preserve"> and 4A.</w:t>
      </w:r>
      <w:r w:rsidR="00220AAE">
        <w:rPr>
          <w:szCs w:val="20"/>
        </w:rPr>
        <w:t>41</w:t>
      </w:r>
      <w:r w:rsidRPr="00666ECE">
        <w:rPr>
          <w:szCs w:val="20"/>
        </w:rPr>
        <w:t xml:space="preserve">. </w:t>
      </w:r>
      <w:r w:rsidR="00D948AA">
        <w:rPr>
          <w:szCs w:val="20"/>
        </w:rPr>
        <w:t>D</w:t>
      </w:r>
      <w:r w:rsidRPr="00666ECE">
        <w:rPr>
          <w:szCs w:val="20"/>
        </w:rPr>
        <w:t xml:space="preserve">ata </w:t>
      </w:r>
      <w:r w:rsidR="00D948AA">
        <w:rPr>
          <w:szCs w:val="20"/>
        </w:rPr>
        <w:t>for</w:t>
      </w:r>
      <w:r w:rsidR="00AF243E">
        <w:rPr>
          <w:szCs w:val="20"/>
        </w:rPr>
        <w:t xml:space="preserve"> 2010</w:t>
      </w:r>
      <w:r w:rsidR="00FC2FDF">
        <w:rPr>
          <w:szCs w:val="20"/>
        </w:rPr>
        <w:t xml:space="preserve"> and 2011</w:t>
      </w:r>
      <w:r w:rsidRPr="00666ECE">
        <w:rPr>
          <w:szCs w:val="20"/>
        </w:rPr>
        <w:t xml:space="preserve"> were included in </w:t>
      </w:r>
      <w:r w:rsidR="00D948AA">
        <w:rPr>
          <w:szCs w:val="20"/>
        </w:rPr>
        <w:t>the 2012</w:t>
      </w:r>
      <w:r w:rsidR="0083643B">
        <w:rPr>
          <w:szCs w:val="20"/>
        </w:rPr>
        <w:t> </w:t>
      </w:r>
      <w:r w:rsidR="00FC2FDF">
        <w:rPr>
          <w:szCs w:val="20"/>
        </w:rPr>
        <w:t xml:space="preserve">and 2013 </w:t>
      </w:r>
      <w:r w:rsidR="00D948AA">
        <w:rPr>
          <w:szCs w:val="20"/>
        </w:rPr>
        <w:t>Report</w:t>
      </w:r>
      <w:r w:rsidR="00FC2FDF">
        <w:rPr>
          <w:szCs w:val="20"/>
        </w:rPr>
        <w:t>s</w:t>
      </w:r>
      <w:r w:rsidRPr="00666ECE">
        <w:rPr>
          <w:szCs w:val="20"/>
        </w:rPr>
        <w:t>.</w:t>
      </w:r>
    </w:p>
    <w:p w:rsidR="007072F5" w:rsidRDefault="00076F94" w:rsidP="00076F94">
      <w:pPr>
        <w:keepNext/>
        <w:spacing w:before="480" w:line="320" w:lineRule="exact"/>
        <w:outlineLvl w:val="4"/>
        <w:rPr>
          <w:i/>
        </w:rPr>
      </w:pPr>
      <w:r w:rsidRPr="00076F94">
        <w:rPr>
          <w:i/>
        </w:rPr>
        <w:t>Time series analysis of NAP</w:t>
      </w:r>
      <w:r w:rsidR="007072F5">
        <w:rPr>
          <w:i/>
        </w:rPr>
        <w:t>LAN reading outcomes</w:t>
      </w:r>
    </w:p>
    <w:p w:rsidR="007072F5" w:rsidRDefault="007072F5" w:rsidP="007072F5">
      <w:pPr>
        <w:pStyle w:val="BodyText"/>
        <w:rPr>
          <w:i/>
        </w:rPr>
      </w:pPr>
      <w:r>
        <w:t>The following</w:t>
      </w:r>
      <w:r w:rsidRPr="007072F5">
        <w:t xml:space="preserve"> time series outcomes are reported</w:t>
      </w:r>
      <w:r>
        <w:rPr>
          <w:i/>
        </w:rPr>
        <w:t>:</w:t>
      </w:r>
    </w:p>
    <w:p w:rsidR="007072F5" w:rsidRDefault="007072F5" w:rsidP="007072F5">
      <w:pPr>
        <w:pStyle w:val="ListBullet"/>
      </w:pPr>
      <w:r>
        <w:t xml:space="preserve">The difference between two given years for a level (for example, year </w:t>
      </w:r>
      <w:r w:rsidR="00C43453">
        <w:t>5</w:t>
      </w:r>
      <w:r>
        <w:t xml:space="preserve"> reading from 2011 to 2012), for both the proportion at and above the national minimum standard and mean scale scores</w:t>
      </w:r>
      <w:r w:rsidR="00C43453">
        <w:t>.</w:t>
      </w:r>
    </w:p>
    <w:p w:rsidR="007072F5" w:rsidRDefault="007072F5" w:rsidP="007072F5">
      <w:pPr>
        <w:pStyle w:val="ListBullet"/>
      </w:pPr>
      <w:r>
        <w:t>The gain in mean scale score by a cohort of students as they move between year levels (for example year 3 reading in 2010 to year 5 reading in 2012).</w:t>
      </w:r>
    </w:p>
    <w:p w:rsidR="00076F94" w:rsidRDefault="00076F94" w:rsidP="00076F94">
      <w:pPr>
        <w:keepNext/>
        <w:spacing w:before="480" w:line="320" w:lineRule="exact"/>
        <w:outlineLvl w:val="4"/>
        <w:rPr>
          <w:i/>
        </w:rPr>
      </w:pPr>
      <w:r w:rsidRPr="00076F94">
        <w:rPr>
          <w:i/>
        </w:rPr>
        <w:lastRenderedPageBreak/>
        <w:t>Statistical significance of differences between years</w:t>
      </w:r>
    </w:p>
    <w:p w:rsidR="00085459" w:rsidRPr="007B32D4" w:rsidRDefault="00085459" w:rsidP="00085459">
      <w:pPr>
        <w:spacing w:before="240" w:line="320" w:lineRule="atLeast"/>
        <w:jc w:val="both"/>
        <w:rPr>
          <w:szCs w:val="20"/>
        </w:rPr>
      </w:pPr>
      <w:r w:rsidRPr="007B32D4">
        <w:rPr>
          <w:szCs w:val="20"/>
        </w:rPr>
        <w:t xml:space="preserve">Table 4.7 provides a summary of differences in achievement </w:t>
      </w:r>
      <w:r w:rsidR="00C43453">
        <w:rPr>
          <w:szCs w:val="20"/>
        </w:rPr>
        <w:t xml:space="preserve">at year 5 </w:t>
      </w:r>
      <w:r w:rsidRPr="007B32D4">
        <w:rPr>
          <w:szCs w:val="20"/>
        </w:rPr>
        <w:t>for mean scale score and proportions at and above national minimum standard, by Indigenous status, on a national basis across various years. Data for states and territories are in tables 4A.4</w:t>
      </w:r>
      <w:r w:rsidR="00220AAE">
        <w:rPr>
          <w:szCs w:val="20"/>
        </w:rPr>
        <w:t>4</w:t>
      </w:r>
      <w:r w:rsidRPr="007B32D4">
        <w:rPr>
          <w:szCs w:val="20"/>
        </w:rPr>
        <w:t>–</w:t>
      </w:r>
      <w:r w:rsidR="00220AAE">
        <w:rPr>
          <w:szCs w:val="20"/>
        </w:rPr>
        <w:t>51</w:t>
      </w:r>
      <w:r w:rsidRPr="007B32D4">
        <w:rPr>
          <w:szCs w:val="20"/>
        </w:rPr>
        <w:t>. These data are not comparable across jurisdictions and can only be used for a comparison across time for a jurisdiction, or nationally.</w:t>
      </w:r>
    </w:p>
    <w:p w:rsidR="00076F94" w:rsidRPr="007B32D4" w:rsidRDefault="00076F94" w:rsidP="00076F94">
      <w:pPr>
        <w:spacing w:before="240" w:line="320" w:lineRule="atLeast"/>
        <w:jc w:val="both"/>
        <w:rPr>
          <w:szCs w:val="20"/>
        </w:rPr>
      </w:pPr>
      <w:r w:rsidRPr="007B32D4">
        <w:rPr>
          <w:szCs w:val="20"/>
        </w:rPr>
        <w:t xml:space="preserve">Nationally, there was </w:t>
      </w:r>
      <w:r w:rsidR="00626547" w:rsidRPr="007B32D4">
        <w:rPr>
          <w:szCs w:val="20"/>
        </w:rPr>
        <w:t>no</w:t>
      </w:r>
      <w:r w:rsidR="00292174" w:rsidRPr="007B32D4">
        <w:rPr>
          <w:szCs w:val="20"/>
        </w:rPr>
        <w:t xml:space="preserve"> </w:t>
      </w:r>
      <w:r w:rsidRPr="007B32D4">
        <w:rPr>
          <w:szCs w:val="20"/>
        </w:rPr>
        <w:t xml:space="preserve">statistically significant </w:t>
      </w:r>
      <w:r w:rsidR="00626547" w:rsidRPr="007B32D4">
        <w:rPr>
          <w:szCs w:val="20"/>
        </w:rPr>
        <w:t>difference</w:t>
      </w:r>
      <w:r w:rsidRPr="007B32D4">
        <w:rPr>
          <w:szCs w:val="20"/>
        </w:rPr>
        <w:t xml:space="preserve"> in the proportions of </w:t>
      </w:r>
      <w:r w:rsidR="00085459">
        <w:rPr>
          <w:szCs w:val="20"/>
        </w:rPr>
        <w:t xml:space="preserve">all </w:t>
      </w:r>
      <w:r w:rsidRPr="007B32D4">
        <w:rPr>
          <w:szCs w:val="20"/>
        </w:rPr>
        <w:t xml:space="preserve">year </w:t>
      </w:r>
      <w:r w:rsidR="004C1479" w:rsidRPr="007B32D4">
        <w:rPr>
          <w:szCs w:val="20"/>
        </w:rPr>
        <w:t>5</w:t>
      </w:r>
      <w:r w:rsidRPr="007B32D4">
        <w:rPr>
          <w:szCs w:val="20"/>
        </w:rPr>
        <w:t xml:space="preserve"> students achieving at or above the national minimum standard</w:t>
      </w:r>
      <w:r w:rsidR="00626547" w:rsidRPr="007B32D4">
        <w:rPr>
          <w:szCs w:val="20"/>
        </w:rPr>
        <w:t xml:space="preserve">, </w:t>
      </w:r>
      <w:r w:rsidRPr="007B32D4">
        <w:rPr>
          <w:szCs w:val="20"/>
        </w:rPr>
        <w:t>for reading, from 200</w:t>
      </w:r>
      <w:r w:rsidR="00FC2FDF" w:rsidRPr="007B32D4">
        <w:rPr>
          <w:szCs w:val="20"/>
        </w:rPr>
        <w:t>8</w:t>
      </w:r>
      <w:r w:rsidRPr="007B32D4">
        <w:rPr>
          <w:szCs w:val="20"/>
        </w:rPr>
        <w:t xml:space="preserve"> to </w:t>
      </w:r>
      <w:r w:rsidR="00A22968" w:rsidRPr="007B32D4">
        <w:rPr>
          <w:szCs w:val="20"/>
        </w:rPr>
        <w:t>201</w:t>
      </w:r>
      <w:r w:rsidR="004C1479" w:rsidRPr="007B32D4">
        <w:rPr>
          <w:szCs w:val="20"/>
        </w:rPr>
        <w:t xml:space="preserve">2 </w:t>
      </w:r>
      <w:r w:rsidR="00626547" w:rsidRPr="007B32D4">
        <w:rPr>
          <w:szCs w:val="20"/>
        </w:rPr>
        <w:t>or from 2011</w:t>
      </w:r>
      <w:r w:rsidR="004C1479" w:rsidRPr="007B32D4">
        <w:rPr>
          <w:szCs w:val="20"/>
        </w:rPr>
        <w:t xml:space="preserve"> to 2012</w:t>
      </w:r>
      <w:r w:rsidR="00626547" w:rsidRPr="007B32D4">
        <w:rPr>
          <w:szCs w:val="20"/>
        </w:rPr>
        <w:t xml:space="preserve">. There was a statistically significant increase in the mean scale score for </w:t>
      </w:r>
      <w:r w:rsidR="00085459">
        <w:rPr>
          <w:szCs w:val="20"/>
        </w:rPr>
        <w:t xml:space="preserve">all </w:t>
      </w:r>
      <w:r w:rsidR="00626547" w:rsidRPr="007B32D4">
        <w:rPr>
          <w:szCs w:val="20"/>
        </w:rPr>
        <w:t xml:space="preserve">year 5 students from 2008 to 2012 but no statistically significant difference from 2011 to 2012 </w:t>
      </w:r>
      <w:r w:rsidRPr="007B32D4">
        <w:rPr>
          <w:szCs w:val="20"/>
        </w:rPr>
        <w:t>(table</w:t>
      </w:r>
      <w:r w:rsidR="00626547" w:rsidRPr="007B32D4">
        <w:rPr>
          <w:szCs w:val="20"/>
        </w:rPr>
        <w:t> </w:t>
      </w:r>
      <w:r w:rsidRPr="007B32D4">
        <w:rPr>
          <w:szCs w:val="20"/>
        </w:rPr>
        <w:t>4.</w:t>
      </w:r>
      <w:r w:rsidR="003A2EA3" w:rsidRPr="007B32D4">
        <w:rPr>
          <w:szCs w:val="20"/>
        </w:rPr>
        <w:t>7</w:t>
      </w:r>
      <w:r w:rsidRPr="007B32D4">
        <w:rPr>
          <w:szCs w:val="20"/>
        </w:rPr>
        <w:t xml:space="preserve">). </w:t>
      </w:r>
    </w:p>
    <w:p w:rsidR="00076F94" w:rsidRPr="007B32D4" w:rsidRDefault="00292174" w:rsidP="00076F94">
      <w:pPr>
        <w:spacing w:before="240" w:line="320" w:lineRule="atLeast"/>
        <w:jc w:val="both"/>
        <w:rPr>
          <w:szCs w:val="20"/>
        </w:rPr>
      </w:pPr>
      <w:r w:rsidRPr="007B32D4">
        <w:rPr>
          <w:szCs w:val="20"/>
        </w:rPr>
        <w:t xml:space="preserve">There was </w:t>
      </w:r>
      <w:r w:rsidR="00626547" w:rsidRPr="007B32D4">
        <w:rPr>
          <w:szCs w:val="20"/>
        </w:rPr>
        <w:t xml:space="preserve">no statistically significant difference </w:t>
      </w:r>
      <w:r w:rsidRPr="007B32D4">
        <w:rPr>
          <w:szCs w:val="20"/>
        </w:rPr>
        <w:t>in the proportions at and above national minimum standard</w:t>
      </w:r>
      <w:r w:rsidR="00626547" w:rsidRPr="007B32D4">
        <w:rPr>
          <w:szCs w:val="20"/>
        </w:rPr>
        <w:t>, or in mean scale scores,</w:t>
      </w:r>
      <w:r w:rsidRPr="007B32D4">
        <w:rPr>
          <w:szCs w:val="20"/>
        </w:rPr>
        <w:t xml:space="preserve"> for Indigenous students </w:t>
      </w:r>
      <w:r w:rsidR="001B4DD4" w:rsidRPr="007B32D4">
        <w:rPr>
          <w:szCs w:val="20"/>
        </w:rPr>
        <w:t>from 2008 to 201</w:t>
      </w:r>
      <w:r w:rsidR="004C1479" w:rsidRPr="007B32D4">
        <w:rPr>
          <w:szCs w:val="20"/>
        </w:rPr>
        <w:t>2 and 2011 to 2012</w:t>
      </w:r>
      <w:r w:rsidR="001B4DD4" w:rsidRPr="007B32D4">
        <w:rPr>
          <w:szCs w:val="20"/>
        </w:rPr>
        <w:t>.</w:t>
      </w:r>
      <w:r w:rsidR="00076F94" w:rsidRPr="007B32D4">
        <w:rPr>
          <w:szCs w:val="20"/>
        </w:rPr>
        <w:t xml:space="preserve"> </w:t>
      </w:r>
      <w:r w:rsidRPr="007B32D4">
        <w:rPr>
          <w:szCs w:val="20"/>
        </w:rPr>
        <w:t xml:space="preserve">There was a statistically significant increase in the mean scale score for </w:t>
      </w:r>
      <w:r w:rsidR="007B32D4" w:rsidRPr="007B32D4">
        <w:rPr>
          <w:szCs w:val="20"/>
        </w:rPr>
        <w:t>non-</w:t>
      </w:r>
      <w:r w:rsidR="00A22968" w:rsidRPr="007B32D4">
        <w:rPr>
          <w:szCs w:val="20"/>
        </w:rPr>
        <w:t>Indigenous</w:t>
      </w:r>
      <w:r w:rsidR="00076F94" w:rsidRPr="007B32D4">
        <w:rPr>
          <w:szCs w:val="20"/>
        </w:rPr>
        <w:t xml:space="preserve"> students </w:t>
      </w:r>
      <w:r w:rsidR="007B32D4" w:rsidRPr="007B32D4">
        <w:rPr>
          <w:szCs w:val="20"/>
        </w:rPr>
        <w:t>from 2008 to 2012, but no statistically significant difference from 2011 to 2012. There was no statistically significant difference in the proportions of year 5 non-Indigenous students achieving at or above the national minimum standard, from 2008 to 2012 or from 2011 to 2012</w:t>
      </w:r>
      <w:r w:rsidR="007B32D4">
        <w:rPr>
          <w:szCs w:val="20"/>
        </w:rPr>
        <w:t xml:space="preserve"> </w:t>
      </w:r>
      <w:r w:rsidR="00076F94" w:rsidRPr="007B32D4">
        <w:rPr>
          <w:szCs w:val="20"/>
        </w:rPr>
        <w:t>(table 4.</w:t>
      </w:r>
      <w:r w:rsidR="00A22968" w:rsidRPr="007B32D4">
        <w:rPr>
          <w:szCs w:val="20"/>
        </w:rPr>
        <w:t>7</w:t>
      </w:r>
      <w:r w:rsidR="00076F94" w:rsidRPr="007B32D4">
        <w:rPr>
          <w:szCs w:val="20"/>
        </w:rPr>
        <w:t xml:space="preserve">). </w:t>
      </w:r>
    </w:p>
    <w:p w:rsidR="003E52C6" w:rsidRPr="007B32D4" w:rsidRDefault="00076F94" w:rsidP="00640DB6">
      <w:pPr>
        <w:spacing w:before="240" w:line="320" w:lineRule="atLeast"/>
        <w:jc w:val="both"/>
        <w:rPr>
          <w:szCs w:val="20"/>
        </w:rPr>
      </w:pPr>
      <w:r w:rsidRPr="007B32D4">
        <w:rPr>
          <w:szCs w:val="20"/>
        </w:rPr>
        <w:t xml:space="preserve">Data for years </w:t>
      </w:r>
      <w:r w:rsidR="004C1479" w:rsidRPr="007B32D4">
        <w:rPr>
          <w:szCs w:val="20"/>
        </w:rPr>
        <w:t>3</w:t>
      </w:r>
      <w:r w:rsidRPr="007B32D4">
        <w:rPr>
          <w:szCs w:val="20"/>
        </w:rPr>
        <w:t xml:space="preserve">, 7 and 9 and proportions at or above national minimum standard for LBOTE students and by sex are included </w:t>
      </w:r>
      <w:r w:rsidR="00F562B5" w:rsidRPr="007B32D4">
        <w:rPr>
          <w:szCs w:val="20"/>
        </w:rPr>
        <w:t xml:space="preserve">separately for each </w:t>
      </w:r>
      <w:r w:rsidR="00406C4A">
        <w:rPr>
          <w:szCs w:val="20"/>
        </w:rPr>
        <w:t>S</w:t>
      </w:r>
      <w:r w:rsidR="00F562B5" w:rsidRPr="007B32D4">
        <w:rPr>
          <w:szCs w:val="20"/>
        </w:rPr>
        <w:t xml:space="preserve">tate and </w:t>
      </w:r>
      <w:r w:rsidR="00406C4A">
        <w:rPr>
          <w:szCs w:val="20"/>
          <w:shd w:val="clear" w:color="auto" w:fill="FFFFFF" w:themeFill="background1"/>
        </w:rPr>
        <w:t>T</w:t>
      </w:r>
      <w:r w:rsidR="00F562B5" w:rsidRPr="007B32D4">
        <w:rPr>
          <w:szCs w:val="20"/>
          <w:shd w:val="clear" w:color="auto" w:fill="FFFFFF" w:themeFill="background1"/>
        </w:rPr>
        <w:t xml:space="preserve">erritory </w:t>
      </w:r>
      <w:r w:rsidR="00F405A8" w:rsidRPr="007B32D4">
        <w:rPr>
          <w:szCs w:val="20"/>
          <w:shd w:val="clear" w:color="auto" w:fill="FFFFFF" w:themeFill="background1"/>
        </w:rPr>
        <w:t xml:space="preserve">and nationally </w:t>
      </w:r>
      <w:r w:rsidRPr="007B32D4">
        <w:rPr>
          <w:szCs w:val="20"/>
          <w:shd w:val="clear" w:color="auto" w:fill="FFFFFF" w:themeFill="background1"/>
        </w:rPr>
        <w:t>in tables 4A.4</w:t>
      </w:r>
      <w:r w:rsidR="00220AAE">
        <w:rPr>
          <w:szCs w:val="20"/>
          <w:shd w:val="clear" w:color="auto" w:fill="FFFFFF" w:themeFill="background1"/>
        </w:rPr>
        <w:t>4</w:t>
      </w:r>
      <w:r w:rsidR="00292174" w:rsidRPr="007B32D4">
        <w:rPr>
          <w:szCs w:val="20"/>
          <w:shd w:val="clear" w:color="auto" w:fill="FFFFFF" w:themeFill="background1"/>
        </w:rPr>
        <w:t>–</w:t>
      </w:r>
      <w:r w:rsidR="00220AAE">
        <w:rPr>
          <w:szCs w:val="20"/>
          <w:shd w:val="clear" w:color="auto" w:fill="FFFFFF" w:themeFill="background1"/>
        </w:rPr>
        <w:t>52</w:t>
      </w:r>
      <w:r w:rsidRPr="007B32D4">
        <w:rPr>
          <w:szCs w:val="20"/>
          <w:shd w:val="clear" w:color="auto" w:fill="FFFFFF" w:themeFill="background1"/>
        </w:rPr>
        <w:t>.</w:t>
      </w:r>
      <w:r w:rsidR="003E52C6" w:rsidRPr="007B32D4">
        <w:rPr>
          <w:szCs w:val="20"/>
          <w:shd w:val="clear" w:color="auto" w:fill="FFFFFF" w:themeFill="background1"/>
        </w:rPr>
        <w:t xml:space="preserve"> </w:t>
      </w:r>
    </w:p>
    <w:p w:rsidR="000B3B25" w:rsidRDefault="000B3B25">
      <w:pPr>
        <w:rPr>
          <w:rFonts w:ascii="Arial" w:hAnsi="Arial"/>
          <w:sz w:val="24"/>
        </w:rPr>
      </w:pPr>
      <w:r>
        <w:rPr>
          <w:b/>
        </w:rPr>
        <w:br w:type="page"/>
      </w:r>
    </w:p>
    <w:p w:rsidR="002C05C8" w:rsidRPr="00F41936" w:rsidRDefault="002C05C8">
      <w:pPr>
        <w:pStyle w:val="TableTitle"/>
      </w:pPr>
      <w:r w:rsidRPr="007A7568">
        <w:rPr>
          <w:b w:val="0"/>
        </w:rPr>
        <w:lastRenderedPageBreak/>
        <w:t>Table 4.</w:t>
      </w:r>
      <w:r w:rsidR="00EC06F7" w:rsidRPr="007A7568">
        <w:rPr>
          <w:b w:val="0"/>
        </w:rPr>
        <w:t>7</w:t>
      </w:r>
      <w:r w:rsidRPr="006B35ED">
        <w:tab/>
      </w:r>
      <w:r w:rsidR="00F41936" w:rsidRPr="006B35ED">
        <w:t>Mean scale scores and proportion of students who achieved at or above the national minimum standard for year 5 reading, and statistical significance of differences, Australia</w:t>
      </w:r>
      <w:r w:rsidR="00F41936" w:rsidRPr="00F41936">
        <w:rPr>
          <w:rStyle w:val="NoteLabel"/>
          <w:b/>
        </w:rPr>
        <w:t>a, b</w:t>
      </w:r>
    </w:p>
    <w:tbl>
      <w:tblPr>
        <w:tblW w:w="5000" w:type="pct"/>
        <w:tblCellMar>
          <w:left w:w="0" w:type="dxa"/>
          <w:right w:w="0" w:type="dxa"/>
        </w:tblCellMar>
        <w:tblLook w:val="0000" w:firstRow="0" w:lastRow="0" w:firstColumn="0" w:lastColumn="0" w:noHBand="0" w:noVBand="0"/>
      </w:tblPr>
      <w:tblGrid>
        <w:gridCol w:w="2268"/>
        <w:gridCol w:w="1134"/>
        <w:gridCol w:w="1134"/>
        <w:gridCol w:w="1134"/>
        <w:gridCol w:w="1658"/>
        <w:gridCol w:w="1461"/>
      </w:tblGrid>
      <w:tr w:rsidR="00F41936" w:rsidRPr="00F41936" w:rsidTr="00F41936">
        <w:tc>
          <w:tcPr>
            <w:tcW w:w="1290" w:type="pct"/>
            <w:tcBorders>
              <w:top w:val="single" w:sz="6" w:space="0" w:color="auto"/>
              <w:bottom w:val="single" w:sz="6" w:space="0" w:color="auto"/>
            </w:tcBorders>
            <w:shd w:val="clear" w:color="auto" w:fill="auto"/>
          </w:tcPr>
          <w:p w:rsidR="002C05C8" w:rsidRPr="00F41936" w:rsidRDefault="002C05C8" w:rsidP="00530424">
            <w:pPr>
              <w:pStyle w:val="TableColumnHeading"/>
              <w:jc w:val="left"/>
            </w:pPr>
          </w:p>
        </w:tc>
        <w:tc>
          <w:tcPr>
            <w:tcW w:w="645" w:type="pct"/>
            <w:tcBorders>
              <w:top w:val="single" w:sz="6" w:space="0" w:color="auto"/>
              <w:bottom w:val="single" w:sz="6" w:space="0" w:color="auto"/>
            </w:tcBorders>
            <w:shd w:val="clear" w:color="auto" w:fill="auto"/>
          </w:tcPr>
          <w:p w:rsidR="002C05C8" w:rsidRPr="00F41936" w:rsidRDefault="002C05C8" w:rsidP="00530424">
            <w:pPr>
              <w:pStyle w:val="TableColumnHeading"/>
            </w:pPr>
          </w:p>
        </w:tc>
        <w:tc>
          <w:tcPr>
            <w:tcW w:w="645" w:type="pct"/>
            <w:tcBorders>
              <w:top w:val="single" w:sz="6" w:space="0" w:color="auto"/>
              <w:bottom w:val="single" w:sz="6" w:space="0" w:color="auto"/>
            </w:tcBorders>
          </w:tcPr>
          <w:p w:rsidR="002C05C8" w:rsidRPr="00F41936" w:rsidRDefault="002C05C8" w:rsidP="00530424">
            <w:pPr>
              <w:pStyle w:val="TableColumnHeading"/>
              <w:ind w:right="28"/>
            </w:pPr>
          </w:p>
        </w:tc>
        <w:tc>
          <w:tcPr>
            <w:tcW w:w="645" w:type="pct"/>
            <w:tcBorders>
              <w:top w:val="single" w:sz="6" w:space="0" w:color="auto"/>
              <w:bottom w:val="single" w:sz="6" w:space="0" w:color="auto"/>
            </w:tcBorders>
          </w:tcPr>
          <w:p w:rsidR="002C05C8" w:rsidRPr="00F41936" w:rsidRDefault="002C05C8" w:rsidP="00530424">
            <w:pPr>
              <w:pStyle w:val="TableColumnHeading"/>
              <w:ind w:right="28"/>
            </w:pPr>
          </w:p>
        </w:tc>
        <w:tc>
          <w:tcPr>
            <w:tcW w:w="1774" w:type="pct"/>
            <w:gridSpan w:val="2"/>
            <w:tcBorders>
              <w:top w:val="single" w:sz="6" w:space="0" w:color="auto"/>
              <w:bottom w:val="single" w:sz="6" w:space="0" w:color="auto"/>
            </w:tcBorders>
          </w:tcPr>
          <w:p w:rsidR="002C05C8" w:rsidRPr="00F41936" w:rsidRDefault="002C05C8" w:rsidP="00530424">
            <w:pPr>
              <w:pStyle w:val="TableColumnHeading"/>
              <w:ind w:right="28"/>
            </w:pPr>
            <w:r w:rsidRPr="00F41936">
              <w:t>Statistical significance of difference in average achievement</w:t>
            </w:r>
          </w:p>
        </w:tc>
      </w:tr>
      <w:tr w:rsidR="00F41936" w:rsidRPr="00F41936" w:rsidTr="00F41936">
        <w:tc>
          <w:tcPr>
            <w:tcW w:w="1290" w:type="pct"/>
            <w:tcBorders>
              <w:top w:val="single" w:sz="6" w:space="0" w:color="auto"/>
            </w:tcBorders>
          </w:tcPr>
          <w:p w:rsidR="002C05C8" w:rsidRPr="00F41936" w:rsidRDefault="002C05C8" w:rsidP="00530424">
            <w:pPr>
              <w:pStyle w:val="TableUnitsRow"/>
              <w:jc w:val="left"/>
            </w:pPr>
          </w:p>
        </w:tc>
        <w:tc>
          <w:tcPr>
            <w:tcW w:w="645" w:type="pct"/>
            <w:tcBorders>
              <w:top w:val="single" w:sz="6" w:space="0" w:color="auto"/>
            </w:tcBorders>
            <w:vAlign w:val="center"/>
          </w:tcPr>
          <w:p w:rsidR="002C05C8" w:rsidRPr="00F41936" w:rsidRDefault="002C05C8" w:rsidP="00530424">
            <w:pPr>
              <w:keepNext/>
              <w:keepLines/>
              <w:spacing w:before="80" w:after="80" w:line="220" w:lineRule="atLeast"/>
              <w:ind w:left="6" w:right="113"/>
              <w:jc w:val="center"/>
              <w:rPr>
                <w:rFonts w:ascii="Arial" w:hAnsi="Arial"/>
                <w:i/>
                <w:iCs/>
                <w:sz w:val="20"/>
                <w:szCs w:val="20"/>
              </w:rPr>
            </w:pPr>
            <w:r w:rsidRPr="00F41936">
              <w:rPr>
                <w:rFonts w:ascii="Arial" w:hAnsi="Arial"/>
                <w:i/>
                <w:iCs/>
                <w:sz w:val="20"/>
                <w:szCs w:val="20"/>
              </w:rPr>
              <w:t>2008</w:t>
            </w:r>
          </w:p>
        </w:tc>
        <w:tc>
          <w:tcPr>
            <w:tcW w:w="645" w:type="pct"/>
            <w:tcBorders>
              <w:top w:val="single" w:sz="6" w:space="0" w:color="auto"/>
            </w:tcBorders>
            <w:vAlign w:val="center"/>
          </w:tcPr>
          <w:p w:rsidR="002C05C8" w:rsidRPr="00F41936" w:rsidRDefault="002C05C8" w:rsidP="00530424">
            <w:pPr>
              <w:jc w:val="center"/>
              <w:rPr>
                <w:rFonts w:ascii="Arial" w:hAnsi="Arial" w:cs="Arial"/>
                <w:i/>
                <w:iCs/>
                <w:sz w:val="20"/>
                <w:szCs w:val="20"/>
              </w:rPr>
            </w:pPr>
            <w:r w:rsidRPr="00F41936">
              <w:rPr>
                <w:rFonts w:ascii="Arial" w:hAnsi="Arial" w:cs="Arial"/>
                <w:i/>
                <w:iCs/>
                <w:sz w:val="20"/>
                <w:szCs w:val="20"/>
              </w:rPr>
              <w:t>2011</w:t>
            </w:r>
          </w:p>
        </w:tc>
        <w:tc>
          <w:tcPr>
            <w:tcW w:w="645" w:type="pct"/>
            <w:tcBorders>
              <w:top w:val="single" w:sz="6" w:space="0" w:color="auto"/>
            </w:tcBorders>
            <w:vAlign w:val="center"/>
          </w:tcPr>
          <w:p w:rsidR="002C05C8" w:rsidRPr="00F41936" w:rsidRDefault="002C05C8" w:rsidP="00530424">
            <w:pPr>
              <w:jc w:val="center"/>
              <w:rPr>
                <w:rFonts w:ascii="Arial" w:hAnsi="Arial" w:cs="Arial"/>
                <w:i/>
                <w:iCs/>
                <w:sz w:val="20"/>
                <w:szCs w:val="20"/>
              </w:rPr>
            </w:pPr>
            <w:r w:rsidRPr="00F41936">
              <w:rPr>
                <w:rFonts w:ascii="Arial" w:hAnsi="Arial" w:cs="Arial"/>
                <w:i/>
                <w:iCs/>
                <w:sz w:val="20"/>
                <w:szCs w:val="20"/>
              </w:rPr>
              <w:t>2012</w:t>
            </w:r>
          </w:p>
        </w:tc>
        <w:tc>
          <w:tcPr>
            <w:tcW w:w="943" w:type="pct"/>
            <w:tcBorders>
              <w:top w:val="single" w:sz="6" w:space="0" w:color="auto"/>
            </w:tcBorders>
          </w:tcPr>
          <w:p w:rsidR="002C05C8" w:rsidRPr="00F41936" w:rsidRDefault="002C05C8" w:rsidP="00085459">
            <w:pPr>
              <w:keepNext/>
              <w:keepLines/>
              <w:spacing w:before="80" w:after="80" w:line="220" w:lineRule="atLeast"/>
              <w:ind w:left="6" w:right="113"/>
              <w:jc w:val="right"/>
              <w:rPr>
                <w:rFonts w:ascii="Arial" w:hAnsi="Arial"/>
                <w:i/>
                <w:iCs/>
                <w:sz w:val="20"/>
                <w:szCs w:val="20"/>
              </w:rPr>
            </w:pPr>
            <w:r w:rsidRPr="00F41936">
              <w:rPr>
                <w:rFonts w:ascii="Arial" w:hAnsi="Arial"/>
                <w:i/>
                <w:iCs/>
                <w:sz w:val="20"/>
                <w:szCs w:val="20"/>
              </w:rPr>
              <w:t xml:space="preserve">2008 </w:t>
            </w:r>
            <w:r w:rsidR="00085459">
              <w:rPr>
                <w:rFonts w:ascii="Arial" w:hAnsi="Arial"/>
                <w:i/>
                <w:iCs/>
                <w:sz w:val="20"/>
                <w:szCs w:val="20"/>
              </w:rPr>
              <w:t>to</w:t>
            </w:r>
            <w:r w:rsidRPr="00F41936">
              <w:rPr>
                <w:rFonts w:ascii="Arial" w:hAnsi="Arial"/>
                <w:i/>
                <w:iCs/>
                <w:sz w:val="20"/>
                <w:szCs w:val="20"/>
              </w:rPr>
              <w:t xml:space="preserve"> 2012</w:t>
            </w:r>
          </w:p>
        </w:tc>
        <w:tc>
          <w:tcPr>
            <w:tcW w:w="831" w:type="pct"/>
            <w:tcBorders>
              <w:top w:val="single" w:sz="6" w:space="0" w:color="auto"/>
            </w:tcBorders>
            <w:vAlign w:val="center"/>
          </w:tcPr>
          <w:p w:rsidR="002C05C8" w:rsidRPr="00F41936" w:rsidRDefault="002C05C8" w:rsidP="00085459">
            <w:pPr>
              <w:jc w:val="right"/>
              <w:rPr>
                <w:rFonts w:ascii="Arial" w:hAnsi="Arial" w:cs="Arial"/>
                <w:i/>
                <w:iCs/>
                <w:sz w:val="20"/>
                <w:szCs w:val="20"/>
              </w:rPr>
            </w:pPr>
            <w:r w:rsidRPr="00F41936">
              <w:rPr>
                <w:rFonts w:ascii="Arial" w:hAnsi="Arial" w:cs="Arial"/>
                <w:i/>
                <w:iCs/>
                <w:sz w:val="20"/>
                <w:szCs w:val="20"/>
              </w:rPr>
              <w:t xml:space="preserve">2011 </w:t>
            </w:r>
            <w:r w:rsidR="00085459">
              <w:rPr>
                <w:rFonts w:ascii="Arial" w:hAnsi="Arial" w:cs="Arial"/>
                <w:i/>
                <w:iCs/>
                <w:sz w:val="20"/>
                <w:szCs w:val="20"/>
              </w:rPr>
              <w:t>to</w:t>
            </w:r>
            <w:r w:rsidRPr="00F41936">
              <w:rPr>
                <w:rFonts w:ascii="Arial" w:hAnsi="Arial" w:cs="Arial"/>
                <w:i/>
                <w:iCs/>
                <w:sz w:val="20"/>
                <w:szCs w:val="20"/>
              </w:rPr>
              <w:t xml:space="preserve"> 2012</w:t>
            </w:r>
          </w:p>
        </w:tc>
      </w:tr>
      <w:tr w:rsidR="00F41936" w:rsidRPr="00F41936" w:rsidTr="00F41936">
        <w:tc>
          <w:tcPr>
            <w:tcW w:w="1935" w:type="pct"/>
            <w:gridSpan w:val="2"/>
          </w:tcPr>
          <w:p w:rsidR="00F41936" w:rsidRPr="00F41936" w:rsidRDefault="00F41936" w:rsidP="00F41936">
            <w:pPr>
              <w:pStyle w:val="TableBodyText"/>
              <w:jc w:val="left"/>
            </w:pPr>
            <w:r w:rsidRPr="00F41936">
              <w:t>Indigenous students</w:t>
            </w:r>
          </w:p>
        </w:tc>
        <w:tc>
          <w:tcPr>
            <w:tcW w:w="645" w:type="pct"/>
          </w:tcPr>
          <w:p w:rsidR="00F41936" w:rsidRPr="00F41936" w:rsidRDefault="00F41936" w:rsidP="00530424">
            <w:pPr>
              <w:pStyle w:val="TableBodyText"/>
              <w:ind w:right="28"/>
            </w:pPr>
          </w:p>
        </w:tc>
        <w:tc>
          <w:tcPr>
            <w:tcW w:w="645" w:type="pct"/>
          </w:tcPr>
          <w:p w:rsidR="00F41936" w:rsidRPr="00F41936" w:rsidRDefault="00F41936" w:rsidP="00530424">
            <w:pPr>
              <w:pStyle w:val="TableBodyText"/>
              <w:ind w:right="28"/>
            </w:pPr>
          </w:p>
        </w:tc>
        <w:tc>
          <w:tcPr>
            <w:tcW w:w="943" w:type="pct"/>
          </w:tcPr>
          <w:p w:rsidR="00F41936" w:rsidRPr="00F41936" w:rsidRDefault="00F41936" w:rsidP="00530424">
            <w:pPr>
              <w:pStyle w:val="TableBodyText"/>
              <w:ind w:right="28"/>
            </w:pPr>
          </w:p>
        </w:tc>
        <w:tc>
          <w:tcPr>
            <w:tcW w:w="831" w:type="pct"/>
          </w:tcPr>
          <w:p w:rsidR="00F41936" w:rsidRPr="00F41936" w:rsidRDefault="00F41936" w:rsidP="00530424">
            <w:pPr>
              <w:pStyle w:val="TableBodyText"/>
              <w:ind w:right="28"/>
            </w:pPr>
          </w:p>
        </w:tc>
      </w:tr>
      <w:tr w:rsidR="00F41936" w:rsidRPr="00F41936" w:rsidTr="00530424">
        <w:tc>
          <w:tcPr>
            <w:tcW w:w="1290" w:type="pct"/>
            <w:vAlign w:val="center"/>
          </w:tcPr>
          <w:p w:rsidR="00F41936" w:rsidRPr="00F41936" w:rsidRDefault="00F41936" w:rsidP="00530424">
            <w:pPr>
              <w:keepNext/>
              <w:keepLines/>
              <w:spacing w:after="40" w:line="220" w:lineRule="atLeast"/>
              <w:ind w:left="6" w:right="113"/>
              <w:jc w:val="center"/>
              <w:rPr>
                <w:rFonts w:ascii="Arial" w:hAnsi="Arial"/>
                <w:sz w:val="20"/>
                <w:szCs w:val="20"/>
              </w:rPr>
            </w:pPr>
            <w:r w:rsidRPr="00F41936">
              <w:rPr>
                <w:rFonts w:ascii="Arial" w:hAnsi="Arial"/>
                <w:sz w:val="20"/>
                <w:szCs w:val="20"/>
              </w:rPr>
              <w:t>Mean scale score</w:t>
            </w:r>
          </w:p>
        </w:tc>
        <w:tc>
          <w:tcPr>
            <w:tcW w:w="645" w:type="pct"/>
            <w:vAlign w:val="center"/>
          </w:tcPr>
          <w:p w:rsidR="00F41936" w:rsidRPr="00F41936" w:rsidRDefault="00F41936" w:rsidP="002700D1">
            <w:pPr>
              <w:pStyle w:val="TableBodyText"/>
            </w:pPr>
            <w:r w:rsidRPr="00F41936">
              <w:t>403.4 ± 4.1</w:t>
            </w:r>
          </w:p>
        </w:tc>
        <w:tc>
          <w:tcPr>
            <w:tcW w:w="645" w:type="pct"/>
            <w:vAlign w:val="center"/>
          </w:tcPr>
          <w:p w:rsidR="00F41936" w:rsidRPr="00F41936" w:rsidRDefault="00F41936" w:rsidP="002700D1">
            <w:pPr>
              <w:pStyle w:val="TableBodyText"/>
            </w:pPr>
            <w:r w:rsidRPr="00F41936">
              <w:t>409.8 ± 4.1</w:t>
            </w:r>
          </w:p>
        </w:tc>
        <w:tc>
          <w:tcPr>
            <w:tcW w:w="645" w:type="pct"/>
            <w:vAlign w:val="center"/>
          </w:tcPr>
          <w:p w:rsidR="00F41936" w:rsidRPr="00F41936" w:rsidRDefault="00F41936" w:rsidP="002700D1">
            <w:pPr>
              <w:pStyle w:val="TableBodyText"/>
            </w:pPr>
            <w:r w:rsidRPr="00F41936">
              <w:t>409.0 ± 5.5</w:t>
            </w:r>
          </w:p>
        </w:tc>
        <w:tc>
          <w:tcPr>
            <w:tcW w:w="943" w:type="pct"/>
            <w:vAlign w:val="bottom"/>
          </w:tcPr>
          <w:p w:rsidR="00F41936" w:rsidRPr="00F41936" w:rsidRDefault="00F41936" w:rsidP="002700D1">
            <w:pPr>
              <w:pStyle w:val="TableBodyText"/>
              <w:jc w:val="center"/>
            </w:pPr>
            <w:r w:rsidRPr="00F41936">
              <w:t>●</w:t>
            </w:r>
          </w:p>
        </w:tc>
        <w:tc>
          <w:tcPr>
            <w:tcW w:w="831" w:type="pct"/>
            <w:vAlign w:val="bottom"/>
          </w:tcPr>
          <w:p w:rsidR="00F41936" w:rsidRPr="00F41936" w:rsidRDefault="00F41936" w:rsidP="002700D1">
            <w:pPr>
              <w:pStyle w:val="TableBodyText"/>
              <w:jc w:val="center"/>
            </w:pPr>
            <w:r w:rsidRPr="00F41936">
              <w:t>●</w:t>
            </w:r>
          </w:p>
        </w:tc>
      </w:tr>
      <w:tr w:rsidR="00F41936" w:rsidRPr="00F41936" w:rsidTr="00530424">
        <w:tc>
          <w:tcPr>
            <w:tcW w:w="1290" w:type="pct"/>
            <w:vAlign w:val="center"/>
          </w:tcPr>
          <w:p w:rsidR="00F41936" w:rsidRPr="00F41936" w:rsidRDefault="00F41936" w:rsidP="00530424">
            <w:pPr>
              <w:keepNext/>
              <w:keepLines/>
              <w:spacing w:after="40" w:line="220" w:lineRule="atLeast"/>
              <w:ind w:left="6" w:right="113"/>
              <w:jc w:val="center"/>
              <w:rPr>
                <w:rFonts w:ascii="Arial" w:hAnsi="Arial"/>
                <w:sz w:val="20"/>
                <w:szCs w:val="20"/>
              </w:rPr>
            </w:pPr>
            <w:r w:rsidRPr="00F41936">
              <w:rPr>
                <w:rFonts w:ascii="Arial" w:hAnsi="Arial"/>
                <w:sz w:val="20"/>
                <w:szCs w:val="20"/>
              </w:rPr>
              <w:t>At or above NMS</w:t>
            </w:r>
          </w:p>
        </w:tc>
        <w:tc>
          <w:tcPr>
            <w:tcW w:w="645" w:type="pct"/>
            <w:vAlign w:val="center"/>
          </w:tcPr>
          <w:p w:rsidR="00F41936" w:rsidRPr="00F41936" w:rsidRDefault="00F41936" w:rsidP="002700D1">
            <w:pPr>
              <w:pStyle w:val="TableBodyText"/>
            </w:pPr>
            <w:r w:rsidRPr="00F41936">
              <w:t>63.4 ± 1.8</w:t>
            </w:r>
          </w:p>
        </w:tc>
        <w:tc>
          <w:tcPr>
            <w:tcW w:w="645" w:type="pct"/>
            <w:vAlign w:val="center"/>
          </w:tcPr>
          <w:p w:rsidR="00F41936" w:rsidRPr="00F41936" w:rsidRDefault="00F41936" w:rsidP="002700D1">
            <w:pPr>
              <w:pStyle w:val="TableBodyText"/>
            </w:pPr>
            <w:r w:rsidRPr="00F41936">
              <w:t>66.4 ± 1.7</w:t>
            </w:r>
          </w:p>
        </w:tc>
        <w:tc>
          <w:tcPr>
            <w:tcW w:w="645" w:type="pct"/>
            <w:vAlign w:val="center"/>
          </w:tcPr>
          <w:p w:rsidR="00F41936" w:rsidRPr="00F41936" w:rsidRDefault="00F41936" w:rsidP="002700D1">
            <w:pPr>
              <w:pStyle w:val="TableBodyText"/>
            </w:pPr>
            <w:r w:rsidRPr="00F41936">
              <w:t>64.7 ± 1.9</w:t>
            </w:r>
          </w:p>
        </w:tc>
        <w:tc>
          <w:tcPr>
            <w:tcW w:w="943" w:type="pct"/>
            <w:vAlign w:val="bottom"/>
          </w:tcPr>
          <w:p w:rsidR="00F41936" w:rsidRPr="00F41936" w:rsidRDefault="00F41936" w:rsidP="002700D1">
            <w:pPr>
              <w:pStyle w:val="TableBodyText"/>
              <w:jc w:val="center"/>
            </w:pPr>
            <w:r w:rsidRPr="00F41936">
              <w:t>●</w:t>
            </w:r>
          </w:p>
        </w:tc>
        <w:tc>
          <w:tcPr>
            <w:tcW w:w="831" w:type="pct"/>
            <w:vAlign w:val="bottom"/>
          </w:tcPr>
          <w:p w:rsidR="00F41936" w:rsidRPr="00F41936" w:rsidRDefault="00F41936" w:rsidP="002700D1">
            <w:pPr>
              <w:pStyle w:val="TableBodyText"/>
              <w:jc w:val="center"/>
            </w:pPr>
            <w:r w:rsidRPr="00F41936">
              <w:t>●</w:t>
            </w:r>
          </w:p>
        </w:tc>
      </w:tr>
      <w:tr w:rsidR="00F41936" w:rsidRPr="00F41936" w:rsidTr="00F41936">
        <w:tc>
          <w:tcPr>
            <w:tcW w:w="1935" w:type="pct"/>
            <w:gridSpan w:val="2"/>
          </w:tcPr>
          <w:p w:rsidR="00F41936" w:rsidRPr="00F41936" w:rsidRDefault="00F41936" w:rsidP="002700D1">
            <w:pPr>
              <w:pStyle w:val="TableBodyText"/>
              <w:jc w:val="left"/>
            </w:pPr>
            <w:r w:rsidRPr="00F41936">
              <w:t>Non-Indigenous students</w:t>
            </w:r>
          </w:p>
        </w:tc>
        <w:tc>
          <w:tcPr>
            <w:tcW w:w="645" w:type="pct"/>
          </w:tcPr>
          <w:p w:rsidR="00F41936" w:rsidRPr="00F41936" w:rsidRDefault="00F41936" w:rsidP="002700D1">
            <w:pPr>
              <w:pStyle w:val="TableBodyText"/>
            </w:pPr>
          </w:p>
        </w:tc>
        <w:tc>
          <w:tcPr>
            <w:tcW w:w="645" w:type="pct"/>
          </w:tcPr>
          <w:p w:rsidR="00F41936" w:rsidRPr="00F41936" w:rsidRDefault="00F41936" w:rsidP="002700D1">
            <w:pPr>
              <w:pStyle w:val="TableBodyText"/>
            </w:pPr>
          </w:p>
        </w:tc>
        <w:tc>
          <w:tcPr>
            <w:tcW w:w="943" w:type="pct"/>
          </w:tcPr>
          <w:p w:rsidR="00F41936" w:rsidRPr="00F41936" w:rsidRDefault="00F41936" w:rsidP="002700D1">
            <w:pPr>
              <w:pStyle w:val="TableBodyText"/>
              <w:jc w:val="center"/>
            </w:pPr>
          </w:p>
        </w:tc>
        <w:tc>
          <w:tcPr>
            <w:tcW w:w="831" w:type="pct"/>
          </w:tcPr>
          <w:p w:rsidR="00F41936" w:rsidRPr="00F41936" w:rsidRDefault="00F41936" w:rsidP="002700D1">
            <w:pPr>
              <w:pStyle w:val="TableBodyText"/>
              <w:jc w:val="center"/>
            </w:pPr>
          </w:p>
        </w:tc>
      </w:tr>
      <w:tr w:rsidR="00F41936" w:rsidRPr="00F41936" w:rsidTr="00530424">
        <w:tc>
          <w:tcPr>
            <w:tcW w:w="1290" w:type="pct"/>
            <w:vAlign w:val="center"/>
          </w:tcPr>
          <w:p w:rsidR="00F41936" w:rsidRPr="00F41936" w:rsidRDefault="00F41936" w:rsidP="00530424">
            <w:pPr>
              <w:keepNext/>
              <w:keepLines/>
              <w:spacing w:after="40" w:line="220" w:lineRule="atLeast"/>
              <w:ind w:left="6" w:right="113"/>
              <w:jc w:val="center"/>
              <w:rPr>
                <w:rFonts w:ascii="Arial" w:hAnsi="Arial"/>
                <w:sz w:val="20"/>
                <w:szCs w:val="20"/>
              </w:rPr>
            </w:pPr>
            <w:r w:rsidRPr="00F41936">
              <w:rPr>
                <w:rFonts w:ascii="Arial" w:hAnsi="Arial"/>
                <w:sz w:val="20"/>
                <w:szCs w:val="20"/>
              </w:rPr>
              <w:t>Mean scale score</w:t>
            </w:r>
          </w:p>
        </w:tc>
        <w:tc>
          <w:tcPr>
            <w:tcW w:w="645" w:type="pct"/>
            <w:vAlign w:val="center"/>
          </w:tcPr>
          <w:p w:rsidR="00F41936" w:rsidRPr="00F41936" w:rsidRDefault="00F41936" w:rsidP="002700D1">
            <w:pPr>
              <w:pStyle w:val="TableBodyText"/>
            </w:pPr>
            <w:r w:rsidRPr="00F41936">
              <w:t>488.7 ± 1.0</w:t>
            </w:r>
          </w:p>
        </w:tc>
        <w:tc>
          <w:tcPr>
            <w:tcW w:w="645" w:type="pct"/>
            <w:vAlign w:val="center"/>
          </w:tcPr>
          <w:p w:rsidR="00F41936" w:rsidRPr="00F41936" w:rsidRDefault="00F41936" w:rsidP="002700D1">
            <w:pPr>
              <w:pStyle w:val="TableBodyText"/>
            </w:pPr>
            <w:r w:rsidRPr="00F41936">
              <w:t>492.3 ± 1.0</w:t>
            </w:r>
          </w:p>
        </w:tc>
        <w:tc>
          <w:tcPr>
            <w:tcW w:w="645" w:type="pct"/>
            <w:vAlign w:val="center"/>
          </w:tcPr>
          <w:p w:rsidR="00F41936" w:rsidRPr="00F41936" w:rsidRDefault="00F41936" w:rsidP="002700D1">
            <w:pPr>
              <w:pStyle w:val="TableBodyText"/>
            </w:pPr>
            <w:r w:rsidRPr="00F41936">
              <w:t>498.0 ± 1.0</w:t>
            </w:r>
          </w:p>
        </w:tc>
        <w:tc>
          <w:tcPr>
            <w:tcW w:w="943" w:type="pct"/>
            <w:vAlign w:val="bottom"/>
          </w:tcPr>
          <w:p w:rsidR="00F41936" w:rsidRPr="00F41936" w:rsidRDefault="00F41936" w:rsidP="002700D1">
            <w:pPr>
              <w:pStyle w:val="TableBodyText"/>
              <w:jc w:val="center"/>
            </w:pPr>
            <w:r w:rsidRPr="00F41936">
              <w:t>↑</w:t>
            </w:r>
          </w:p>
        </w:tc>
        <w:tc>
          <w:tcPr>
            <w:tcW w:w="831" w:type="pct"/>
            <w:vAlign w:val="bottom"/>
          </w:tcPr>
          <w:p w:rsidR="00F41936" w:rsidRPr="00F41936" w:rsidRDefault="00F41936" w:rsidP="002700D1">
            <w:pPr>
              <w:pStyle w:val="TableBodyText"/>
              <w:jc w:val="center"/>
            </w:pPr>
            <w:r w:rsidRPr="00F41936">
              <w:t>●</w:t>
            </w:r>
          </w:p>
        </w:tc>
      </w:tr>
      <w:tr w:rsidR="00F41936" w:rsidRPr="00F41936" w:rsidTr="00530424">
        <w:tc>
          <w:tcPr>
            <w:tcW w:w="1290" w:type="pct"/>
            <w:vAlign w:val="center"/>
          </w:tcPr>
          <w:p w:rsidR="00F41936" w:rsidRPr="00F41936" w:rsidRDefault="00F41936" w:rsidP="00530424">
            <w:pPr>
              <w:keepNext/>
              <w:keepLines/>
              <w:spacing w:after="40" w:line="220" w:lineRule="atLeast"/>
              <w:ind w:left="6" w:right="113"/>
              <w:jc w:val="center"/>
              <w:rPr>
                <w:rFonts w:ascii="Arial" w:hAnsi="Arial"/>
                <w:sz w:val="20"/>
                <w:szCs w:val="20"/>
              </w:rPr>
            </w:pPr>
            <w:r w:rsidRPr="00F41936">
              <w:rPr>
                <w:rFonts w:ascii="Arial" w:hAnsi="Arial"/>
                <w:sz w:val="20"/>
                <w:szCs w:val="20"/>
              </w:rPr>
              <w:t>At or above NMS</w:t>
            </w:r>
          </w:p>
        </w:tc>
        <w:tc>
          <w:tcPr>
            <w:tcW w:w="645" w:type="pct"/>
            <w:vAlign w:val="center"/>
          </w:tcPr>
          <w:p w:rsidR="00F41936" w:rsidRPr="00F41936" w:rsidRDefault="00F41936" w:rsidP="002700D1">
            <w:pPr>
              <w:pStyle w:val="TableBodyText"/>
            </w:pPr>
            <w:r w:rsidRPr="00F41936">
              <w:t>92.6 ± 0.2</w:t>
            </w:r>
          </w:p>
        </w:tc>
        <w:tc>
          <w:tcPr>
            <w:tcW w:w="645" w:type="pct"/>
            <w:vAlign w:val="center"/>
          </w:tcPr>
          <w:p w:rsidR="00F41936" w:rsidRPr="00F41936" w:rsidRDefault="00F41936" w:rsidP="002700D1">
            <w:pPr>
              <w:pStyle w:val="TableBodyText"/>
            </w:pPr>
            <w:r w:rsidRPr="00F41936">
              <w:t>92.9 ± 0.2</w:t>
            </w:r>
          </w:p>
        </w:tc>
        <w:tc>
          <w:tcPr>
            <w:tcW w:w="645" w:type="pct"/>
            <w:vAlign w:val="center"/>
          </w:tcPr>
          <w:p w:rsidR="00F41936" w:rsidRPr="00F41936" w:rsidRDefault="00F41936" w:rsidP="002700D1">
            <w:pPr>
              <w:pStyle w:val="TableBodyText"/>
            </w:pPr>
            <w:r w:rsidRPr="00F41936">
              <w:t>93.1 ± 0.2</w:t>
            </w:r>
          </w:p>
        </w:tc>
        <w:tc>
          <w:tcPr>
            <w:tcW w:w="943" w:type="pct"/>
            <w:vAlign w:val="bottom"/>
          </w:tcPr>
          <w:p w:rsidR="00F41936" w:rsidRPr="00F41936" w:rsidRDefault="00F41936" w:rsidP="002700D1">
            <w:pPr>
              <w:pStyle w:val="TableBodyText"/>
              <w:jc w:val="center"/>
            </w:pPr>
            <w:r w:rsidRPr="00F41936">
              <w:t>●</w:t>
            </w:r>
          </w:p>
        </w:tc>
        <w:tc>
          <w:tcPr>
            <w:tcW w:w="831" w:type="pct"/>
            <w:vAlign w:val="bottom"/>
          </w:tcPr>
          <w:p w:rsidR="00F41936" w:rsidRPr="00F41936" w:rsidRDefault="00F41936" w:rsidP="002700D1">
            <w:pPr>
              <w:pStyle w:val="TableBodyText"/>
              <w:jc w:val="center"/>
            </w:pPr>
            <w:r w:rsidRPr="00F41936">
              <w:t>●</w:t>
            </w:r>
          </w:p>
        </w:tc>
      </w:tr>
      <w:tr w:rsidR="00F41936" w:rsidRPr="00F41936" w:rsidTr="00F41936">
        <w:tc>
          <w:tcPr>
            <w:tcW w:w="1935" w:type="pct"/>
            <w:gridSpan w:val="2"/>
          </w:tcPr>
          <w:p w:rsidR="00F41936" w:rsidRPr="00F41936" w:rsidRDefault="00F41936" w:rsidP="002700D1">
            <w:pPr>
              <w:pStyle w:val="TableBodyText"/>
              <w:jc w:val="left"/>
            </w:pPr>
            <w:r w:rsidRPr="00F41936">
              <w:t>All students</w:t>
            </w:r>
          </w:p>
        </w:tc>
        <w:tc>
          <w:tcPr>
            <w:tcW w:w="645" w:type="pct"/>
          </w:tcPr>
          <w:p w:rsidR="00F41936" w:rsidRPr="00F41936" w:rsidRDefault="00F41936" w:rsidP="002700D1">
            <w:pPr>
              <w:pStyle w:val="TableBodyText"/>
            </w:pPr>
          </w:p>
        </w:tc>
        <w:tc>
          <w:tcPr>
            <w:tcW w:w="645" w:type="pct"/>
          </w:tcPr>
          <w:p w:rsidR="00F41936" w:rsidRPr="00F41936" w:rsidRDefault="00F41936" w:rsidP="002700D1">
            <w:pPr>
              <w:pStyle w:val="TableBodyText"/>
            </w:pPr>
          </w:p>
        </w:tc>
        <w:tc>
          <w:tcPr>
            <w:tcW w:w="943" w:type="pct"/>
          </w:tcPr>
          <w:p w:rsidR="00F41936" w:rsidRPr="00F41936" w:rsidRDefault="00F41936" w:rsidP="002700D1">
            <w:pPr>
              <w:pStyle w:val="TableBodyText"/>
              <w:jc w:val="center"/>
            </w:pPr>
          </w:p>
        </w:tc>
        <w:tc>
          <w:tcPr>
            <w:tcW w:w="831" w:type="pct"/>
          </w:tcPr>
          <w:p w:rsidR="00F41936" w:rsidRPr="00F41936" w:rsidRDefault="00F41936" w:rsidP="002700D1">
            <w:pPr>
              <w:pStyle w:val="TableBodyText"/>
              <w:jc w:val="center"/>
            </w:pPr>
          </w:p>
        </w:tc>
      </w:tr>
      <w:tr w:rsidR="00F41936" w:rsidRPr="00F41936" w:rsidTr="00530424">
        <w:tc>
          <w:tcPr>
            <w:tcW w:w="1290" w:type="pct"/>
            <w:vAlign w:val="center"/>
          </w:tcPr>
          <w:p w:rsidR="00F41936" w:rsidRPr="00F41936" w:rsidRDefault="00F41936" w:rsidP="00530424">
            <w:pPr>
              <w:keepNext/>
              <w:keepLines/>
              <w:spacing w:after="40" w:line="220" w:lineRule="atLeast"/>
              <w:ind w:left="6" w:right="113"/>
              <w:jc w:val="center"/>
              <w:rPr>
                <w:rFonts w:ascii="Arial" w:hAnsi="Arial"/>
                <w:sz w:val="20"/>
                <w:szCs w:val="20"/>
              </w:rPr>
            </w:pPr>
            <w:r w:rsidRPr="00F41936">
              <w:rPr>
                <w:rFonts w:ascii="Arial" w:hAnsi="Arial"/>
                <w:sz w:val="20"/>
                <w:szCs w:val="20"/>
              </w:rPr>
              <w:t>Mean scale score</w:t>
            </w:r>
          </w:p>
        </w:tc>
        <w:tc>
          <w:tcPr>
            <w:tcW w:w="645" w:type="pct"/>
            <w:vAlign w:val="center"/>
          </w:tcPr>
          <w:p w:rsidR="00F41936" w:rsidRPr="00F41936" w:rsidRDefault="00F41936" w:rsidP="002700D1">
            <w:pPr>
              <w:pStyle w:val="TableBodyText"/>
            </w:pPr>
            <w:r w:rsidRPr="00F41936">
              <w:t>484.4 ± 1.1</w:t>
            </w:r>
          </w:p>
        </w:tc>
        <w:tc>
          <w:tcPr>
            <w:tcW w:w="645" w:type="pct"/>
            <w:vAlign w:val="center"/>
          </w:tcPr>
          <w:p w:rsidR="00F41936" w:rsidRPr="00F41936" w:rsidRDefault="00F41936" w:rsidP="002700D1">
            <w:pPr>
              <w:pStyle w:val="TableBodyText"/>
            </w:pPr>
            <w:r w:rsidRPr="00F41936">
              <w:t>488.1 ± 1.1</w:t>
            </w:r>
          </w:p>
        </w:tc>
        <w:tc>
          <w:tcPr>
            <w:tcW w:w="645" w:type="pct"/>
            <w:vAlign w:val="center"/>
          </w:tcPr>
          <w:p w:rsidR="00F41936" w:rsidRPr="00F41936" w:rsidRDefault="00F41936" w:rsidP="002700D1">
            <w:pPr>
              <w:pStyle w:val="TableBodyText"/>
            </w:pPr>
            <w:r w:rsidRPr="00F41936">
              <w:t>493.6 ± 1.1</w:t>
            </w:r>
          </w:p>
        </w:tc>
        <w:tc>
          <w:tcPr>
            <w:tcW w:w="943" w:type="pct"/>
            <w:vAlign w:val="bottom"/>
          </w:tcPr>
          <w:p w:rsidR="00F41936" w:rsidRPr="00F41936" w:rsidRDefault="00F41936" w:rsidP="002700D1">
            <w:pPr>
              <w:pStyle w:val="TableBodyText"/>
              <w:jc w:val="center"/>
            </w:pPr>
            <w:r w:rsidRPr="00F41936">
              <w:t>↑</w:t>
            </w:r>
          </w:p>
        </w:tc>
        <w:tc>
          <w:tcPr>
            <w:tcW w:w="831" w:type="pct"/>
            <w:vAlign w:val="bottom"/>
          </w:tcPr>
          <w:p w:rsidR="00F41936" w:rsidRPr="00F41936" w:rsidRDefault="00F41936" w:rsidP="002700D1">
            <w:pPr>
              <w:pStyle w:val="TableBodyText"/>
              <w:jc w:val="center"/>
            </w:pPr>
            <w:r w:rsidRPr="00F41936">
              <w:t>●</w:t>
            </w:r>
          </w:p>
        </w:tc>
      </w:tr>
      <w:tr w:rsidR="00F41936" w:rsidRPr="00F41936" w:rsidTr="00530424">
        <w:tc>
          <w:tcPr>
            <w:tcW w:w="1290" w:type="pct"/>
            <w:tcBorders>
              <w:bottom w:val="single" w:sz="6" w:space="0" w:color="auto"/>
            </w:tcBorders>
            <w:shd w:val="clear" w:color="auto" w:fill="auto"/>
            <w:vAlign w:val="center"/>
          </w:tcPr>
          <w:p w:rsidR="00F41936" w:rsidRPr="00F41936" w:rsidRDefault="00F41936" w:rsidP="00530424">
            <w:pPr>
              <w:keepNext/>
              <w:keepLines/>
              <w:spacing w:after="40" w:line="220" w:lineRule="atLeast"/>
              <w:ind w:left="6" w:right="113"/>
              <w:jc w:val="center"/>
              <w:rPr>
                <w:rFonts w:ascii="Arial" w:hAnsi="Arial"/>
                <w:sz w:val="20"/>
                <w:szCs w:val="20"/>
              </w:rPr>
            </w:pPr>
            <w:r w:rsidRPr="00F41936">
              <w:rPr>
                <w:rFonts w:ascii="Arial" w:hAnsi="Arial"/>
                <w:sz w:val="20"/>
                <w:szCs w:val="20"/>
              </w:rPr>
              <w:t>At or above NMS</w:t>
            </w:r>
          </w:p>
        </w:tc>
        <w:tc>
          <w:tcPr>
            <w:tcW w:w="645" w:type="pct"/>
            <w:tcBorders>
              <w:bottom w:val="single" w:sz="6" w:space="0" w:color="auto"/>
            </w:tcBorders>
            <w:shd w:val="clear" w:color="auto" w:fill="auto"/>
            <w:vAlign w:val="center"/>
          </w:tcPr>
          <w:p w:rsidR="00F41936" w:rsidRPr="00F41936" w:rsidRDefault="00F41936" w:rsidP="002700D1">
            <w:pPr>
              <w:pStyle w:val="TableBodyText"/>
            </w:pPr>
            <w:r w:rsidRPr="00F41936">
              <w:t>91.0 ± 0.3</w:t>
            </w:r>
          </w:p>
        </w:tc>
        <w:tc>
          <w:tcPr>
            <w:tcW w:w="645" w:type="pct"/>
            <w:tcBorders>
              <w:bottom w:val="single" w:sz="6" w:space="0" w:color="auto"/>
            </w:tcBorders>
            <w:vAlign w:val="center"/>
          </w:tcPr>
          <w:p w:rsidR="00F41936" w:rsidRPr="00F41936" w:rsidRDefault="00F41936" w:rsidP="002700D1">
            <w:pPr>
              <w:pStyle w:val="TableBodyText"/>
            </w:pPr>
            <w:r w:rsidRPr="00F41936">
              <w:t>91.5 ± 0.3</w:t>
            </w:r>
          </w:p>
        </w:tc>
        <w:tc>
          <w:tcPr>
            <w:tcW w:w="645" w:type="pct"/>
            <w:tcBorders>
              <w:bottom w:val="single" w:sz="6" w:space="0" w:color="auto"/>
            </w:tcBorders>
            <w:vAlign w:val="center"/>
          </w:tcPr>
          <w:p w:rsidR="00F41936" w:rsidRPr="00F41936" w:rsidRDefault="00F41936" w:rsidP="002700D1">
            <w:pPr>
              <w:pStyle w:val="TableBodyText"/>
            </w:pPr>
            <w:r w:rsidRPr="00F41936">
              <w:t>91.6 ± 0.3</w:t>
            </w:r>
          </w:p>
        </w:tc>
        <w:tc>
          <w:tcPr>
            <w:tcW w:w="943" w:type="pct"/>
            <w:tcBorders>
              <w:bottom w:val="single" w:sz="6" w:space="0" w:color="auto"/>
            </w:tcBorders>
            <w:vAlign w:val="bottom"/>
          </w:tcPr>
          <w:p w:rsidR="00F41936" w:rsidRPr="00F41936" w:rsidRDefault="00F41936" w:rsidP="002700D1">
            <w:pPr>
              <w:pStyle w:val="TableBodyText"/>
              <w:jc w:val="center"/>
            </w:pPr>
            <w:r w:rsidRPr="00F41936">
              <w:t>●</w:t>
            </w:r>
          </w:p>
        </w:tc>
        <w:tc>
          <w:tcPr>
            <w:tcW w:w="831" w:type="pct"/>
            <w:tcBorders>
              <w:bottom w:val="single" w:sz="6" w:space="0" w:color="auto"/>
            </w:tcBorders>
            <w:shd w:val="clear" w:color="auto" w:fill="auto"/>
            <w:vAlign w:val="bottom"/>
          </w:tcPr>
          <w:p w:rsidR="00F41936" w:rsidRPr="00F41936" w:rsidRDefault="00F41936" w:rsidP="002700D1">
            <w:pPr>
              <w:pStyle w:val="TableBodyText"/>
              <w:jc w:val="center"/>
            </w:pPr>
            <w:r w:rsidRPr="00F41936">
              <w:t>●</w:t>
            </w:r>
          </w:p>
        </w:tc>
      </w:tr>
    </w:tbl>
    <w:p w:rsidR="002C05C8" w:rsidRPr="00F41936" w:rsidRDefault="002C05C8" w:rsidP="002C05C8">
      <w:pPr>
        <w:keepLines/>
        <w:spacing w:before="80" w:line="220" w:lineRule="exact"/>
        <w:jc w:val="both"/>
        <w:rPr>
          <w:rFonts w:ascii="Arial" w:hAnsi="Arial"/>
          <w:sz w:val="18"/>
          <w:szCs w:val="20"/>
        </w:rPr>
      </w:pPr>
      <w:r w:rsidRPr="00F41936">
        <w:rPr>
          <w:rFonts w:ascii="Arial" w:hAnsi="Arial"/>
          <w:sz w:val="18"/>
          <w:szCs w:val="20"/>
        </w:rPr>
        <w:t xml:space="preserve">NMS = National Minimum Standard. </w:t>
      </w:r>
      <w:r w:rsidRPr="00F41936">
        <w:rPr>
          <w:rFonts w:ascii="Arial" w:hAnsi="Arial"/>
          <w:b/>
          <w:sz w:val="18"/>
          <w:szCs w:val="20"/>
        </w:rPr>
        <w:t>↑</w:t>
      </w:r>
      <w:r w:rsidRPr="00F41936">
        <w:rPr>
          <w:rFonts w:ascii="Arial" w:hAnsi="Arial"/>
          <w:sz w:val="18"/>
          <w:szCs w:val="20"/>
        </w:rPr>
        <w:t>= Average achievement significantly higher, statistically</w:t>
      </w:r>
      <w:r w:rsidR="00085459">
        <w:rPr>
          <w:rFonts w:ascii="Arial" w:hAnsi="Arial"/>
          <w:sz w:val="18"/>
          <w:szCs w:val="20"/>
        </w:rPr>
        <w:t>.</w:t>
      </w:r>
      <w:r w:rsidRPr="00F41936">
        <w:rPr>
          <w:rFonts w:ascii="Arial" w:hAnsi="Arial"/>
          <w:sz w:val="18"/>
          <w:szCs w:val="20"/>
        </w:rPr>
        <w:t xml:space="preserve"> </w:t>
      </w:r>
      <w:r w:rsidRPr="00F41936">
        <w:rPr>
          <w:rFonts w:ascii="Arial" w:hAnsi="Arial" w:cs="Arial"/>
          <w:sz w:val="18"/>
          <w:szCs w:val="20"/>
        </w:rPr>
        <w:t>●</w:t>
      </w:r>
      <w:r w:rsidRPr="00F41936">
        <w:rPr>
          <w:rFonts w:ascii="Arial" w:hAnsi="Arial"/>
          <w:sz w:val="18"/>
          <w:szCs w:val="20"/>
        </w:rPr>
        <w:t xml:space="preserve"> = No significant difference, statistically.</w:t>
      </w:r>
    </w:p>
    <w:p w:rsidR="002C05C8" w:rsidRPr="00F41936" w:rsidRDefault="002C05C8" w:rsidP="002C05C8">
      <w:pPr>
        <w:keepLines/>
        <w:spacing w:before="80" w:line="220" w:lineRule="exact"/>
        <w:jc w:val="both"/>
        <w:rPr>
          <w:rFonts w:ascii="Arial" w:hAnsi="Arial"/>
          <w:sz w:val="18"/>
          <w:szCs w:val="20"/>
        </w:rPr>
      </w:pPr>
      <w:r w:rsidRPr="00F41936">
        <w:rPr>
          <w:rFonts w:ascii="Arial" w:hAnsi="Arial"/>
          <w:b/>
          <w:position w:val="6"/>
          <w:sz w:val="18"/>
          <w:szCs w:val="20"/>
        </w:rPr>
        <w:t>a</w:t>
      </w:r>
      <w:r w:rsidRPr="00F41936">
        <w:rPr>
          <w:rFonts w:ascii="Arial" w:hAnsi="Arial"/>
          <w:sz w:val="18"/>
          <w:szCs w:val="20"/>
        </w:rPr>
        <w:t xml:space="preserve"> The mean scale scores and proportions at or above national minimum standard reported in this table include 95 per cent confidence intervals (for example, a mean scale score of 400.0 ± 2.7</w:t>
      </w:r>
      <w:r w:rsidRPr="00F41936">
        <w:rPr>
          <w:rFonts w:ascii="Arial" w:hAnsi="Arial"/>
          <w:sz w:val="18"/>
          <w:szCs w:val="20"/>
          <w:shd w:val="clear" w:color="auto" w:fill="FFFFFF" w:themeFill="background1"/>
        </w:rPr>
        <w:t xml:space="preserve">). The confidence intervals in this table are for the specific year applicable and do not provide an indication of statistically significant differences between years. See section </w:t>
      </w:r>
      <w:r w:rsidR="00892D0C">
        <w:rPr>
          <w:rFonts w:ascii="Arial" w:hAnsi="Arial"/>
          <w:sz w:val="18"/>
          <w:szCs w:val="20"/>
          <w:shd w:val="clear" w:color="auto" w:fill="FFFFFF" w:themeFill="background1"/>
        </w:rPr>
        <w:t>2</w:t>
      </w:r>
      <w:r w:rsidRPr="00F41936">
        <w:rPr>
          <w:rFonts w:ascii="Arial" w:hAnsi="Arial"/>
          <w:sz w:val="18"/>
          <w:szCs w:val="20"/>
          <w:shd w:val="clear" w:color="auto" w:fill="FFFFFF" w:themeFill="background1"/>
        </w:rPr>
        <w:t>.</w:t>
      </w:r>
      <w:r w:rsidRPr="00085459">
        <w:rPr>
          <w:rFonts w:ascii="Arial" w:hAnsi="Arial"/>
          <w:sz w:val="18"/>
          <w:szCs w:val="20"/>
          <w:shd w:val="clear" w:color="auto" w:fill="FFFFFF" w:themeFill="background1"/>
        </w:rPr>
        <w:t xml:space="preserve">5 of the statistical </w:t>
      </w:r>
      <w:r w:rsidR="00085459" w:rsidRPr="00085459">
        <w:rPr>
          <w:rFonts w:ascii="Arial" w:hAnsi="Arial"/>
          <w:sz w:val="18"/>
          <w:szCs w:val="20"/>
          <w:shd w:val="clear" w:color="auto" w:fill="FFFFFF" w:themeFill="background1"/>
        </w:rPr>
        <w:t>context chapter</w:t>
      </w:r>
      <w:r w:rsidR="00085459">
        <w:rPr>
          <w:rFonts w:ascii="Arial" w:hAnsi="Arial"/>
          <w:sz w:val="18"/>
          <w:szCs w:val="20"/>
          <w:shd w:val="clear" w:color="auto" w:fill="FFFFFF" w:themeFill="background1"/>
        </w:rPr>
        <w:t xml:space="preserve"> </w:t>
      </w:r>
      <w:r w:rsidRPr="00F41936">
        <w:rPr>
          <w:rFonts w:ascii="Arial" w:hAnsi="Arial"/>
          <w:sz w:val="18"/>
          <w:szCs w:val="20"/>
          <w:shd w:val="clear" w:color="auto" w:fill="FFFFFF" w:themeFill="background1"/>
        </w:rPr>
        <w:t>for more</w:t>
      </w:r>
      <w:r w:rsidRPr="00F41936">
        <w:rPr>
          <w:rFonts w:ascii="Arial" w:hAnsi="Arial"/>
          <w:sz w:val="18"/>
          <w:szCs w:val="20"/>
        </w:rPr>
        <w:t xml:space="preserve"> information on confidence intervals. </w:t>
      </w:r>
      <w:r w:rsidRPr="00F41936">
        <w:rPr>
          <w:rFonts w:ascii="Arial" w:hAnsi="Arial"/>
          <w:b/>
          <w:position w:val="6"/>
          <w:sz w:val="18"/>
          <w:szCs w:val="20"/>
        </w:rPr>
        <w:t>b</w:t>
      </w:r>
      <w:r w:rsidRPr="00F41936">
        <w:rPr>
          <w:rFonts w:ascii="Arial" w:hAnsi="Arial"/>
          <w:sz w:val="18"/>
          <w:szCs w:val="20"/>
        </w:rPr>
        <w:t> For further information and caveats see table 4A.</w:t>
      </w:r>
      <w:r w:rsidR="00220AAE">
        <w:rPr>
          <w:rFonts w:ascii="Arial" w:hAnsi="Arial"/>
          <w:sz w:val="18"/>
          <w:szCs w:val="20"/>
        </w:rPr>
        <w:t>52</w:t>
      </w:r>
      <w:r w:rsidRPr="00F41936">
        <w:rPr>
          <w:rFonts w:ascii="Arial" w:hAnsi="Arial"/>
          <w:sz w:val="18"/>
          <w:szCs w:val="20"/>
        </w:rPr>
        <w:t xml:space="preserve">. </w:t>
      </w:r>
    </w:p>
    <w:p w:rsidR="002C05C8" w:rsidRPr="00F41936" w:rsidRDefault="002C05C8" w:rsidP="002C05C8">
      <w:pPr>
        <w:keepLines/>
        <w:spacing w:before="80" w:line="220" w:lineRule="exact"/>
        <w:jc w:val="both"/>
        <w:rPr>
          <w:rFonts w:ascii="Arial" w:hAnsi="Arial"/>
          <w:sz w:val="18"/>
          <w:szCs w:val="20"/>
        </w:rPr>
      </w:pPr>
      <w:r w:rsidRPr="00F41936">
        <w:rPr>
          <w:rFonts w:ascii="Arial" w:hAnsi="Arial"/>
          <w:i/>
          <w:sz w:val="18"/>
          <w:szCs w:val="20"/>
        </w:rPr>
        <w:t>Source</w:t>
      </w:r>
      <w:r w:rsidRPr="00F41936">
        <w:rPr>
          <w:rFonts w:ascii="Arial" w:hAnsi="Arial"/>
          <w:sz w:val="18"/>
          <w:szCs w:val="20"/>
        </w:rPr>
        <w:t>: ACARA (201</w:t>
      </w:r>
      <w:r w:rsidR="00F41936" w:rsidRPr="00F41936">
        <w:rPr>
          <w:rFonts w:ascii="Arial" w:hAnsi="Arial"/>
          <w:sz w:val="18"/>
          <w:szCs w:val="20"/>
        </w:rPr>
        <w:t>2</w:t>
      </w:r>
      <w:r w:rsidRPr="00F41936">
        <w:rPr>
          <w:rFonts w:ascii="Arial" w:hAnsi="Arial"/>
          <w:sz w:val="18"/>
          <w:szCs w:val="20"/>
        </w:rPr>
        <w:t xml:space="preserve"> and unpublished) </w:t>
      </w:r>
      <w:r w:rsidRPr="00F41936">
        <w:rPr>
          <w:rFonts w:ascii="Arial" w:hAnsi="Arial"/>
          <w:i/>
          <w:sz w:val="18"/>
          <w:szCs w:val="20"/>
        </w:rPr>
        <w:t>NAPLAN Achievement in Reading, Writing, Language Conventions and Numeracy: National Report for 201</w:t>
      </w:r>
      <w:r w:rsidR="00F41936" w:rsidRPr="00F41936">
        <w:rPr>
          <w:rFonts w:ascii="Arial" w:hAnsi="Arial"/>
          <w:i/>
          <w:sz w:val="18"/>
          <w:szCs w:val="20"/>
        </w:rPr>
        <w:t>2</w:t>
      </w:r>
      <w:r w:rsidRPr="00F41936">
        <w:rPr>
          <w:rFonts w:ascii="Arial" w:hAnsi="Arial"/>
          <w:sz w:val="18"/>
          <w:szCs w:val="20"/>
        </w:rPr>
        <w:t>, ACARA, Sydney; table 4A.</w:t>
      </w:r>
      <w:r w:rsidR="00220AAE">
        <w:rPr>
          <w:rFonts w:ascii="Arial" w:hAnsi="Arial"/>
          <w:sz w:val="18"/>
          <w:szCs w:val="20"/>
        </w:rPr>
        <w:t>52</w:t>
      </w:r>
      <w:r w:rsidRPr="00F41936">
        <w:rPr>
          <w:rFonts w:ascii="Arial" w:hAnsi="Arial"/>
          <w:sz w:val="18"/>
          <w:szCs w:val="20"/>
        </w:rPr>
        <w:t>.</w:t>
      </w:r>
    </w:p>
    <w:p w:rsidR="000C510D" w:rsidRDefault="000C510D" w:rsidP="000C510D">
      <w:pPr>
        <w:pStyle w:val="Heading5"/>
      </w:pPr>
      <w:r>
        <w:t>Cohort gain</w:t>
      </w:r>
    </w:p>
    <w:p w:rsidR="0083643B" w:rsidRPr="002700D1" w:rsidRDefault="0083643B" w:rsidP="00640DB6">
      <w:pPr>
        <w:shd w:val="clear" w:color="auto" w:fill="FFFFFF" w:themeFill="background1"/>
        <w:spacing w:before="240" w:line="320" w:lineRule="atLeast"/>
        <w:jc w:val="both"/>
        <w:rPr>
          <w:szCs w:val="20"/>
        </w:rPr>
      </w:pPr>
      <w:r w:rsidRPr="002700D1">
        <w:rPr>
          <w:szCs w:val="20"/>
        </w:rPr>
        <w:t>Analysis of NAPLAN mean scale score data for the years 20</w:t>
      </w:r>
      <w:r w:rsidR="005F7536" w:rsidRPr="002700D1">
        <w:rPr>
          <w:szCs w:val="20"/>
        </w:rPr>
        <w:t>08 to 2010</w:t>
      </w:r>
      <w:r w:rsidRPr="002700D1">
        <w:rPr>
          <w:szCs w:val="20"/>
        </w:rPr>
        <w:t xml:space="preserve"> and 201</w:t>
      </w:r>
      <w:r w:rsidR="005F7536" w:rsidRPr="002700D1">
        <w:rPr>
          <w:szCs w:val="20"/>
        </w:rPr>
        <w:t>0 to 2012</w:t>
      </w:r>
      <w:r w:rsidRPr="002700D1">
        <w:rPr>
          <w:szCs w:val="20"/>
        </w:rPr>
        <w:t xml:space="preserve"> enables comparisons of outcomes for the same cohort of students over time (box 4.9). This chapter reports on gains in reading and numeracy from year 3 in 20</w:t>
      </w:r>
      <w:r w:rsidR="002700D1" w:rsidRPr="002700D1">
        <w:rPr>
          <w:szCs w:val="20"/>
        </w:rPr>
        <w:t>08</w:t>
      </w:r>
      <w:r w:rsidRPr="002700D1">
        <w:rPr>
          <w:szCs w:val="20"/>
        </w:rPr>
        <w:t xml:space="preserve"> to year 5 in 201</w:t>
      </w:r>
      <w:r w:rsidR="002700D1" w:rsidRPr="002700D1">
        <w:rPr>
          <w:szCs w:val="20"/>
        </w:rPr>
        <w:t>0 and year 7 in 2012</w:t>
      </w:r>
      <w:r w:rsidRPr="002700D1">
        <w:rPr>
          <w:szCs w:val="20"/>
        </w:rPr>
        <w:t>. Student gain for other cohorts (year 5 in 20</w:t>
      </w:r>
      <w:r w:rsidR="002700D1" w:rsidRPr="002700D1">
        <w:rPr>
          <w:szCs w:val="20"/>
        </w:rPr>
        <w:t>08</w:t>
      </w:r>
      <w:r w:rsidRPr="002700D1">
        <w:rPr>
          <w:szCs w:val="20"/>
        </w:rPr>
        <w:t xml:space="preserve"> to year 7 in 20</w:t>
      </w:r>
      <w:r w:rsidR="002700D1" w:rsidRPr="002700D1">
        <w:rPr>
          <w:szCs w:val="20"/>
        </w:rPr>
        <w:t>10</w:t>
      </w:r>
      <w:r w:rsidRPr="002700D1">
        <w:rPr>
          <w:szCs w:val="20"/>
        </w:rPr>
        <w:t xml:space="preserve"> and year 9 in 201</w:t>
      </w:r>
      <w:r w:rsidR="00FC2FDF" w:rsidRPr="002700D1">
        <w:rPr>
          <w:szCs w:val="20"/>
        </w:rPr>
        <w:t>2</w:t>
      </w:r>
      <w:r w:rsidR="002700D1" w:rsidRPr="002700D1">
        <w:rPr>
          <w:szCs w:val="20"/>
        </w:rPr>
        <w:t>; and year 3 in 2010 to year 5 in 2012</w:t>
      </w:r>
      <w:r w:rsidRPr="002700D1">
        <w:rPr>
          <w:szCs w:val="20"/>
        </w:rPr>
        <w:t xml:space="preserve">) are included in attachment tables. Data for cohort gain from </w:t>
      </w:r>
      <w:r w:rsidR="00FC2FDF" w:rsidRPr="002700D1">
        <w:rPr>
          <w:szCs w:val="20"/>
        </w:rPr>
        <w:t xml:space="preserve">2009 to 2011 </w:t>
      </w:r>
      <w:r w:rsidR="002700D1" w:rsidRPr="002700D1">
        <w:rPr>
          <w:szCs w:val="20"/>
        </w:rPr>
        <w:t xml:space="preserve">were included </w:t>
      </w:r>
      <w:r w:rsidR="00FC2FDF" w:rsidRPr="002700D1">
        <w:rPr>
          <w:szCs w:val="20"/>
        </w:rPr>
        <w:t>in the 2013 Report</w:t>
      </w:r>
      <w:r w:rsidRPr="002700D1">
        <w:rPr>
          <w:szCs w:val="20"/>
        </w:rPr>
        <w:t>.</w:t>
      </w:r>
    </w:p>
    <w:p w:rsidR="00666ECE" w:rsidRPr="007C7E11"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7E11" w:rsidRPr="007C7E11" w:rsidTr="0036281D">
        <w:tc>
          <w:tcPr>
            <w:tcW w:w="8771" w:type="dxa"/>
            <w:tcBorders>
              <w:top w:val="single" w:sz="6" w:space="0" w:color="auto"/>
              <w:bottom w:val="nil"/>
            </w:tcBorders>
          </w:tcPr>
          <w:p w:rsidR="00666ECE" w:rsidRPr="007C7E11" w:rsidRDefault="00666ECE" w:rsidP="006B35ED">
            <w:pPr>
              <w:pStyle w:val="BoxTitle"/>
            </w:pPr>
            <w:r w:rsidRPr="007A7568">
              <w:rPr>
                <w:b w:val="0"/>
              </w:rPr>
              <w:t xml:space="preserve">Box </w:t>
            </w:r>
            <w:r w:rsidR="00EB256F" w:rsidRPr="007A7568">
              <w:rPr>
                <w:b w:val="0"/>
              </w:rPr>
              <w:t>4.</w:t>
            </w:r>
            <w:r w:rsidR="00BA40CA" w:rsidRPr="007A7568">
              <w:rPr>
                <w:b w:val="0"/>
              </w:rPr>
              <w:t>9</w:t>
            </w:r>
            <w:r w:rsidRPr="007C7E11">
              <w:tab/>
              <w:t>Achievement and gain</w:t>
            </w:r>
          </w:p>
        </w:tc>
      </w:tr>
      <w:tr w:rsidR="007C7E11" w:rsidRPr="007C7E11" w:rsidTr="0036281D">
        <w:trPr>
          <w:cantSplit/>
        </w:trPr>
        <w:tc>
          <w:tcPr>
            <w:tcW w:w="8771" w:type="dxa"/>
            <w:tcBorders>
              <w:top w:val="nil"/>
              <w:left w:val="single" w:sz="6" w:space="0" w:color="auto"/>
              <w:bottom w:val="nil"/>
              <w:right w:val="single" w:sz="6" w:space="0" w:color="auto"/>
            </w:tcBorders>
          </w:tcPr>
          <w:p w:rsidR="00666ECE" w:rsidRPr="00DA7453" w:rsidRDefault="0083643B" w:rsidP="00640DB6">
            <w:pPr>
              <w:keepNext/>
              <w:shd w:val="clear" w:color="auto" w:fill="FFFFFF" w:themeFill="background1"/>
              <w:spacing w:before="120" w:line="280" w:lineRule="atLeast"/>
              <w:jc w:val="both"/>
              <w:rPr>
                <w:rFonts w:ascii="Arial" w:hAnsi="Arial"/>
                <w:sz w:val="22"/>
                <w:szCs w:val="20"/>
              </w:rPr>
            </w:pPr>
            <w:r w:rsidRPr="00640DB6">
              <w:rPr>
                <w:rFonts w:ascii="Arial" w:hAnsi="Arial"/>
                <w:sz w:val="22"/>
                <w:szCs w:val="20"/>
                <w:shd w:val="clear" w:color="auto" w:fill="FFFFFF" w:themeFill="background1"/>
              </w:rPr>
              <w:t>For national reporting purposes</w:t>
            </w:r>
            <w:r w:rsidRPr="00DA7453">
              <w:rPr>
                <w:rFonts w:ascii="Arial" w:hAnsi="Arial"/>
                <w:sz w:val="22"/>
                <w:szCs w:val="20"/>
              </w:rPr>
              <w:t>, g</w:t>
            </w:r>
            <w:r w:rsidR="00666ECE" w:rsidRPr="00DA7453">
              <w:rPr>
                <w:rFonts w:ascii="Arial" w:hAnsi="Arial"/>
                <w:sz w:val="22"/>
                <w:szCs w:val="20"/>
              </w:rPr>
              <w:t>ain is the difference in mean scale scores in a domain for the same cohort of students between two testing years, for example between 20</w:t>
            </w:r>
            <w:r w:rsidR="00FC2FDF">
              <w:rPr>
                <w:rFonts w:ascii="Arial" w:hAnsi="Arial"/>
                <w:sz w:val="22"/>
                <w:szCs w:val="20"/>
              </w:rPr>
              <w:t>10</w:t>
            </w:r>
            <w:r w:rsidR="00666ECE" w:rsidRPr="00DA7453">
              <w:rPr>
                <w:rFonts w:ascii="Arial" w:hAnsi="Arial"/>
                <w:sz w:val="22"/>
                <w:szCs w:val="20"/>
              </w:rPr>
              <w:t xml:space="preserve"> and 20</w:t>
            </w:r>
            <w:r w:rsidRPr="00DA7453">
              <w:rPr>
                <w:rFonts w:ascii="Arial" w:hAnsi="Arial"/>
                <w:sz w:val="22"/>
                <w:szCs w:val="20"/>
              </w:rPr>
              <w:t>1</w:t>
            </w:r>
            <w:r w:rsidR="00FC2FDF">
              <w:rPr>
                <w:rFonts w:ascii="Arial" w:hAnsi="Arial"/>
                <w:sz w:val="22"/>
                <w:szCs w:val="20"/>
              </w:rPr>
              <w:t>2</w:t>
            </w:r>
            <w:r w:rsidR="00666ECE" w:rsidRPr="00DA7453">
              <w:rPr>
                <w:rFonts w:ascii="Arial" w:hAnsi="Arial"/>
                <w:sz w:val="22"/>
                <w:szCs w:val="20"/>
              </w:rPr>
              <w:t xml:space="preserve">. </w:t>
            </w:r>
            <w:r w:rsidRPr="00DA7453">
              <w:rPr>
                <w:rFonts w:ascii="Arial" w:hAnsi="Arial"/>
                <w:sz w:val="22"/>
                <w:szCs w:val="20"/>
              </w:rPr>
              <w:t xml:space="preserve">The cohorts between the two years are not matched — that is, there will be differences between the </w:t>
            </w:r>
            <w:r w:rsidR="00D616EC" w:rsidRPr="00DA7453">
              <w:rPr>
                <w:rFonts w:ascii="Arial" w:hAnsi="Arial"/>
                <w:sz w:val="22"/>
                <w:szCs w:val="20"/>
              </w:rPr>
              <w:t xml:space="preserve">exact </w:t>
            </w:r>
            <w:r w:rsidR="0061654B">
              <w:rPr>
                <w:rFonts w:ascii="Arial" w:hAnsi="Arial"/>
                <w:sz w:val="22"/>
                <w:szCs w:val="20"/>
              </w:rPr>
              <w:t>composition of the student body</w:t>
            </w:r>
            <w:r w:rsidR="00D616EC" w:rsidRPr="00DA7453">
              <w:rPr>
                <w:rFonts w:ascii="Arial" w:hAnsi="Arial"/>
                <w:sz w:val="22"/>
                <w:szCs w:val="20"/>
              </w:rPr>
              <w:t xml:space="preserve"> in any given </w:t>
            </w:r>
            <w:r w:rsidR="0061654B">
              <w:rPr>
                <w:rFonts w:ascii="Arial" w:hAnsi="Arial"/>
                <w:sz w:val="22"/>
                <w:szCs w:val="20"/>
              </w:rPr>
              <w:t>St</w:t>
            </w:r>
            <w:r w:rsidR="00D616EC" w:rsidRPr="00DA7453">
              <w:rPr>
                <w:rFonts w:ascii="Arial" w:hAnsi="Arial"/>
                <w:sz w:val="22"/>
                <w:szCs w:val="20"/>
              </w:rPr>
              <w:t xml:space="preserve">ate or </w:t>
            </w:r>
            <w:r w:rsidR="0061654B">
              <w:rPr>
                <w:rFonts w:ascii="Arial" w:hAnsi="Arial"/>
                <w:sz w:val="22"/>
                <w:szCs w:val="20"/>
              </w:rPr>
              <w:t>T</w:t>
            </w:r>
            <w:r w:rsidR="00D616EC" w:rsidRPr="00DA7453">
              <w:rPr>
                <w:rFonts w:ascii="Arial" w:hAnsi="Arial"/>
                <w:sz w:val="22"/>
                <w:szCs w:val="20"/>
              </w:rPr>
              <w:t>erritory</w:t>
            </w:r>
            <w:r w:rsidRPr="00DA7453">
              <w:rPr>
                <w:rFonts w:ascii="Arial" w:hAnsi="Arial"/>
                <w:sz w:val="22"/>
                <w:szCs w:val="20"/>
              </w:rPr>
              <w:t>.</w:t>
            </w:r>
          </w:p>
          <w:p w:rsidR="00D616EC" w:rsidRPr="007C7E11" w:rsidRDefault="00666ECE" w:rsidP="00FC2FDF">
            <w:pPr>
              <w:keepNext/>
              <w:shd w:val="clear" w:color="auto" w:fill="FFFFFF" w:themeFill="background1"/>
              <w:spacing w:before="120" w:line="280" w:lineRule="atLeast"/>
              <w:jc w:val="both"/>
              <w:rPr>
                <w:rFonts w:ascii="Arial" w:hAnsi="Arial"/>
                <w:sz w:val="22"/>
                <w:szCs w:val="20"/>
              </w:rPr>
            </w:pPr>
            <w:r w:rsidRPr="00DA7453">
              <w:rPr>
                <w:rFonts w:ascii="Arial" w:hAnsi="Arial"/>
                <w:sz w:val="22"/>
                <w:szCs w:val="20"/>
              </w:rPr>
              <w:t>A feature of gain in NAPLAN performance is that the size of the gain tends to be associated with the level of prior performance: the lower the prior performance, the more likely the possibility of greater</w:t>
            </w:r>
            <w:r w:rsidRPr="007C7E11">
              <w:rPr>
                <w:rFonts w:ascii="Arial" w:hAnsi="Arial"/>
                <w:sz w:val="22"/>
                <w:szCs w:val="20"/>
              </w:rPr>
              <w:t xml:space="preserve"> gain. Further, for literacy and numeracy, student gain is greater in the early years. Few of the differences across </w:t>
            </w:r>
            <w:r w:rsidR="00A32335">
              <w:rPr>
                <w:rFonts w:ascii="Arial" w:hAnsi="Arial"/>
                <w:sz w:val="22"/>
                <w:szCs w:val="20"/>
              </w:rPr>
              <w:t>s</w:t>
            </w:r>
            <w:r w:rsidRPr="007C7E11">
              <w:rPr>
                <w:rFonts w:ascii="Arial" w:hAnsi="Arial"/>
                <w:sz w:val="22"/>
                <w:szCs w:val="20"/>
              </w:rPr>
              <w:t xml:space="preserve">tates and </w:t>
            </w:r>
            <w:r w:rsidR="00A32335">
              <w:rPr>
                <w:rFonts w:ascii="Arial" w:hAnsi="Arial"/>
                <w:sz w:val="22"/>
                <w:szCs w:val="20"/>
              </w:rPr>
              <w:t>t</w:t>
            </w:r>
            <w:r w:rsidRPr="007C7E11">
              <w:rPr>
                <w:rFonts w:ascii="Arial" w:hAnsi="Arial"/>
                <w:sz w:val="22"/>
                <w:szCs w:val="20"/>
              </w:rPr>
              <w:t xml:space="preserve">erritories in the gains made between </w:t>
            </w:r>
            <w:r w:rsidR="002700D1">
              <w:rPr>
                <w:rFonts w:ascii="Arial" w:hAnsi="Arial"/>
                <w:sz w:val="22"/>
                <w:szCs w:val="20"/>
              </w:rPr>
              <w:t xml:space="preserve">2008 and 2010 and between </w:t>
            </w:r>
            <w:r w:rsidRPr="007C7E11">
              <w:rPr>
                <w:rFonts w:ascii="Arial" w:hAnsi="Arial"/>
                <w:sz w:val="22"/>
                <w:szCs w:val="20"/>
              </w:rPr>
              <w:t>20</w:t>
            </w:r>
            <w:r w:rsidR="00FC2FDF">
              <w:rPr>
                <w:rFonts w:ascii="Arial" w:hAnsi="Arial"/>
                <w:sz w:val="22"/>
                <w:szCs w:val="20"/>
              </w:rPr>
              <w:t>10</w:t>
            </w:r>
            <w:r w:rsidRPr="007C7E11">
              <w:rPr>
                <w:rFonts w:ascii="Arial" w:hAnsi="Arial"/>
                <w:sz w:val="22"/>
                <w:szCs w:val="20"/>
              </w:rPr>
              <w:t xml:space="preserve"> and 201</w:t>
            </w:r>
            <w:r w:rsidR="00FC2FDF">
              <w:rPr>
                <w:rFonts w:ascii="Arial" w:hAnsi="Arial"/>
                <w:sz w:val="22"/>
                <w:szCs w:val="20"/>
              </w:rPr>
              <w:t>2</w:t>
            </w:r>
            <w:r w:rsidRPr="007C7E11">
              <w:rPr>
                <w:rFonts w:ascii="Arial" w:hAnsi="Arial"/>
                <w:sz w:val="22"/>
                <w:szCs w:val="20"/>
              </w:rPr>
              <w:t xml:space="preserve"> are statistically significant. This report includes confidence intervals, which provide an indication of the level of uncertainty of the gain over the two year period.</w:t>
            </w:r>
          </w:p>
        </w:tc>
      </w:tr>
      <w:tr w:rsidR="007C7E11" w:rsidRPr="007C7E11" w:rsidTr="0036281D">
        <w:trPr>
          <w:cantSplit/>
        </w:trPr>
        <w:tc>
          <w:tcPr>
            <w:tcW w:w="8771" w:type="dxa"/>
            <w:tcBorders>
              <w:top w:val="nil"/>
              <w:left w:val="single" w:sz="6" w:space="0" w:color="auto"/>
              <w:bottom w:val="nil"/>
              <w:right w:val="single" w:sz="6" w:space="0" w:color="auto"/>
            </w:tcBorders>
          </w:tcPr>
          <w:p w:rsidR="00666ECE" w:rsidRPr="007C7E11" w:rsidRDefault="00666ECE" w:rsidP="002700D1">
            <w:pPr>
              <w:keepLines/>
              <w:spacing w:before="180" w:line="220" w:lineRule="exact"/>
              <w:jc w:val="both"/>
              <w:rPr>
                <w:rFonts w:ascii="Arial" w:hAnsi="Arial"/>
                <w:sz w:val="18"/>
                <w:szCs w:val="20"/>
              </w:rPr>
            </w:pPr>
            <w:r w:rsidRPr="007C7E11">
              <w:rPr>
                <w:rFonts w:ascii="Arial" w:hAnsi="Arial"/>
                <w:i/>
                <w:sz w:val="18"/>
                <w:szCs w:val="20"/>
              </w:rPr>
              <w:t>Source</w:t>
            </w:r>
            <w:r w:rsidRPr="007C7E11">
              <w:rPr>
                <w:rFonts w:ascii="Arial" w:hAnsi="Arial"/>
                <w:sz w:val="18"/>
                <w:szCs w:val="20"/>
              </w:rPr>
              <w:t>: ACARA (20</w:t>
            </w:r>
            <w:r w:rsidR="003A2EA3">
              <w:rPr>
                <w:rFonts w:ascii="Arial" w:hAnsi="Arial"/>
                <w:sz w:val="18"/>
                <w:szCs w:val="20"/>
              </w:rPr>
              <w:t>1</w:t>
            </w:r>
            <w:r w:rsidR="002700D1">
              <w:rPr>
                <w:rFonts w:ascii="Arial" w:hAnsi="Arial"/>
                <w:sz w:val="18"/>
                <w:szCs w:val="20"/>
              </w:rPr>
              <w:t>2</w:t>
            </w:r>
            <w:r w:rsidR="00C43453">
              <w:rPr>
                <w:rFonts w:ascii="Arial" w:hAnsi="Arial"/>
                <w:sz w:val="18"/>
                <w:szCs w:val="20"/>
              </w:rPr>
              <w:t>b</w:t>
            </w:r>
            <w:r w:rsidRPr="007C7E11">
              <w:rPr>
                <w:rFonts w:ascii="Arial" w:hAnsi="Arial"/>
                <w:sz w:val="18"/>
                <w:szCs w:val="20"/>
              </w:rPr>
              <w:t>)</w:t>
            </w:r>
            <w:r w:rsidR="00764C20">
              <w:rPr>
                <w:rFonts w:ascii="Arial" w:hAnsi="Arial"/>
                <w:sz w:val="18"/>
                <w:szCs w:val="20"/>
              </w:rPr>
              <w:t>.</w:t>
            </w:r>
          </w:p>
        </w:tc>
      </w:tr>
      <w:tr w:rsidR="007C7E11" w:rsidRPr="007C7E11" w:rsidTr="0036281D">
        <w:trPr>
          <w:cantSplit/>
        </w:trPr>
        <w:tc>
          <w:tcPr>
            <w:tcW w:w="8771" w:type="dxa"/>
            <w:tcBorders>
              <w:top w:val="nil"/>
              <w:left w:val="single" w:sz="6" w:space="0" w:color="auto"/>
              <w:bottom w:val="single" w:sz="6" w:space="0" w:color="auto"/>
              <w:right w:val="single" w:sz="6" w:space="0" w:color="auto"/>
            </w:tcBorders>
          </w:tcPr>
          <w:p w:rsidR="00666ECE" w:rsidRPr="007C7E11" w:rsidRDefault="00666ECE" w:rsidP="00666ECE">
            <w:pPr>
              <w:keepNext/>
              <w:spacing w:line="120" w:lineRule="exact"/>
              <w:jc w:val="both"/>
              <w:rPr>
                <w:rFonts w:ascii="Arial" w:hAnsi="Arial"/>
                <w:sz w:val="22"/>
                <w:szCs w:val="20"/>
              </w:rPr>
            </w:pPr>
          </w:p>
        </w:tc>
      </w:tr>
      <w:tr w:rsidR="007C7E11" w:rsidRPr="007C7E11" w:rsidTr="0036281D">
        <w:tc>
          <w:tcPr>
            <w:tcW w:w="8771" w:type="dxa"/>
            <w:tcBorders>
              <w:top w:val="nil"/>
              <w:left w:val="nil"/>
              <w:bottom w:val="nil"/>
              <w:right w:val="nil"/>
            </w:tcBorders>
          </w:tcPr>
          <w:p w:rsidR="00666ECE" w:rsidRPr="007C7E11" w:rsidRDefault="00666ECE" w:rsidP="00666ECE">
            <w:pPr>
              <w:spacing w:before="60" w:after="60" w:line="80" w:lineRule="exact"/>
              <w:jc w:val="both"/>
              <w:rPr>
                <w:rFonts w:ascii="Arial" w:hAnsi="Arial"/>
                <w:b/>
                <w:sz w:val="14"/>
                <w:szCs w:val="20"/>
              </w:rPr>
            </w:pPr>
          </w:p>
        </w:tc>
      </w:tr>
    </w:tbl>
    <w:p w:rsidR="00530424" w:rsidRPr="00D07F9F" w:rsidRDefault="00666ECE" w:rsidP="00666ECE">
      <w:pPr>
        <w:spacing w:before="240" w:line="320" w:lineRule="atLeast"/>
        <w:jc w:val="both"/>
        <w:rPr>
          <w:szCs w:val="20"/>
        </w:rPr>
      </w:pPr>
      <w:r w:rsidRPr="00D07F9F">
        <w:rPr>
          <w:szCs w:val="20"/>
        </w:rPr>
        <w:t>From year 3 in 20</w:t>
      </w:r>
      <w:r w:rsidR="002700D1" w:rsidRPr="00D07F9F">
        <w:rPr>
          <w:szCs w:val="20"/>
        </w:rPr>
        <w:t>08</w:t>
      </w:r>
      <w:r w:rsidRPr="00D07F9F">
        <w:rPr>
          <w:szCs w:val="20"/>
        </w:rPr>
        <w:t xml:space="preserve"> to year 5 in 201</w:t>
      </w:r>
      <w:r w:rsidR="002700D1" w:rsidRPr="00D07F9F">
        <w:rPr>
          <w:szCs w:val="20"/>
        </w:rPr>
        <w:t>0</w:t>
      </w:r>
      <w:r w:rsidRPr="00D07F9F">
        <w:rPr>
          <w:szCs w:val="20"/>
        </w:rPr>
        <w:t xml:space="preserve">, the gain in reading mean scale score </w:t>
      </w:r>
      <w:r w:rsidR="007072F5">
        <w:rPr>
          <w:szCs w:val="20"/>
        </w:rPr>
        <w:t>(</w:t>
      </w:r>
      <w:r w:rsidR="007072F5" w:rsidRPr="007072F5">
        <w:rPr>
          <w:szCs w:val="20"/>
        </w:rPr>
        <w:t>on the common national scale for Years 3, 5, 7 and 9, ranging from 0 to 1000</w:t>
      </w:r>
      <w:r w:rsidR="007072F5">
        <w:rPr>
          <w:szCs w:val="20"/>
        </w:rPr>
        <w:t xml:space="preserve">) </w:t>
      </w:r>
      <w:r w:rsidRPr="00D07F9F">
        <w:rPr>
          <w:szCs w:val="20"/>
        </w:rPr>
        <w:t xml:space="preserve">was between </w:t>
      </w:r>
      <w:r w:rsidR="00530424" w:rsidRPr="00D07F9F">
        <w:rPr>
          <w:szCs w:val="20"/>
        </w:rPr>
        <w:t>79.0</w:t>
      </w:r>
      <w:r w:rsidRPr="00D07F9F">
        <w:rPr>
          <w:szCs w:val="20"/>
        </w:rPr>
        <w:t xml:space="preserve"> and </w:t>
      </w:r>
      <w:r w:rsidR="00D07F9F" w:rsidRPr="00D07F9F">
        <w:rPr>
          <w:szCs w:val="20"/>
        </w:rPr>
        <w:t>94.8</w:t>
      </w:r>
      <w:r w:rsidRPr="00D07F9F">
        <w:rPr>
          <w:szCs w:val="20"/>
        </w:rPr>
        <w:t xml:space="preserve"> points nationally. </w:t>
      </w:r>
      <w:r w:rsidR="00530424" w:rsidRPr="00D07F9F">
        <w:rPr>
          <w:szCs w:val="20"/>
        </w:rPr>
        <w:t>F</w:t>
      </w:r>
      <w:r w:rsidR="002700D1" w:rsidRPr="00D07F9F">
        <w:rPr>
          <w:szCs w:val="20"/>
        </w:rPr>
        <w:t xml:space="preserve">or the same cohort, from year 5 in 2010 to year 7 in 2012, the </w:t>
      </w:r>
      <w:r w:rsidR="009D7A8B">
        <w:rPr>
          <w:szCs w:val="20"/>
        </w:rPr>
        <w:t xml:space="preserve">mean scale score </w:t>
      </w:r>
      <w:r w:rsidR="002700D1" w:rsidRPr="00D07F9F">
        <w:rPr>
          <w:szCs w:val="20"/>
        </w:rPr>
        <w:t xml:space="preserve">gain </w:t>
      </w:r>
      <w:r w:rsidR="00530424" w:rsidRPr="00D07F9F">
        <w:rPr>
          <w:szCs w:val="20"/>
        </w:rPr>
        <w:t xml:space="preserve">was between </w:t>
      </w:r>
      <w:r w:rsidR="00D07F9F" w:rsidRPr="00D07F9F">
        <w:rPr>
          <w:szCs w:val="20"/>
        </w:rPr>
        <w:t>47.0</w:t>
      </w:r>
      <w:r w:rsidR="00530424" w:rsidRPr="00D07F9F">
        <w:rPr>
          <w:szCs w:val="20"/>
        </w:rPr>
        <w:t xml:space="preserve"> and </w:t>
      </w:r>
      <w:r w:rsidR="00D07F9F" w:rsidRPr="00D07F9F">
        <w:rPr>
          <w:szCs w:val="20"/>
        </w:rPr>
        <w:t>61.2</w:t>
      </w:r>
      <w:r w:rsidR="00530424" w:rsidRPr="00D07F9F">
        <w:rPr>
          <w:szCs w:val="20"/>
        </w:rPr>
        <w:t xml:space="preserve"> points nationally. </w:t>
      </w:r>
    </w:p>
    <w:p w:rsidR="00530424" w:rsidRPr="00D07F9F" w:rsidRDefault="00666ECE" w:rsidP="00530424">
      <w:pPr>
        <w:spacing w:before="240" w:line="320" w:lineRule="atLeast"/>
        <w:jc w:val="both"/>
        <w:rPr>
          <w:szCs w:val="20"/>
        </w:rPr>
      </w:pPr>
      <w:r w:rsidRPr="00D07F9F">
        <w:rPr>
          <w:szCs w:val="20"/>
        </w:rPr>
        <w:t xml:space="preserve">For Indigenous students, </w:t>
      </w:r>
      <w:r w:rsidR="00530424" w:rsidRPr="00D07F9F">
        <w:rPr>
          <w:szCs w:val="20"/>
        </w:rPr>
        <w:t xml:space="preserve">year 3 in 2008 to year 5 in 2010 </w:t>
      </w:r>
      <w:r w:rsidRPr="00D07F9F">
        <w:rPr>
          <w:szCs w:val="20"/>
        </w:rPr>
        <w:t xml:space="preserve">the </w:t>
      </w:r>
      <w:r w:rsidR="007072F5">
        <w:rPr>
          <w:szCs w:val="20"/>
        </w:rPr>
        <w:t xml:space="preserve">mean scale score </w:t>
      </w:r>
      <w:r w:rsidRPr="00D07F9F">
        <w:rPr>
          <w:szCs w:val="20"/>
        </w:rPr>
        <w:t xml:space="preserve">gain was between </w:t>
      </w:r>
      <w:r w:rsidR="00D07F9F" w:rsidRPr="00D07F9F">
        <w:rPr>
          <w:szCs w:val="20"/>
        </w:rPr>
        <w:t>85.9</w:t>
      </w:r>
      <w:r w:rsidRPr="00D07F9F">
        <w:rPr>
          <w:szCs w:val="20"/>
        </w:rPr>
        <w:t xml:space="preserve"> and </w:t>
      </w:r>
      <w:r w:rsidR="00D07F9F" w:rsidRPr="00D07F9F">
        <w:rPr>
          <w:szCs w:val="20"/>
        </w:rPr>
        <w:t>105.9</w:t>
      </w:r>
      <w:r w:rsidRPr="00D07F9F">
        <w:rPr>
          <w:szCs w:val="20"/>
        </w:rPr>
        <w:t xml:space="preserve"> points </w:t>
      </w:r>
      <w:r w:rsidR="00530424" w:rsidRPr="00D07F9F">
        <w:rPr>
          <w:szCs w:val="20"/>
        </w:rPr>
        <w:t xml:space="preserve">and from year 5 in 2010 to year 7 in 2012, the </w:t>
      </w:r>
      <w:r w:rsidR="007072F5">
        <w:rPr>
          <w:szCs w:val="20"/>
        </w:rPr>
        <w:t xml:space="preserve">mean scale score </w:t>
      </w:r>
      <w:r w:rsidR="00530424" w:rsidRPr="00D07F9F">
        <w:rPr>
          <w:szCs w:val="20"/>
        </w:rPr>
        <w:t xml:space="preserve">gain was between </w:t>
      </w:r>
      <w:r w:rsidR="00D07F9F" w:rsidRPr="00D07F9F">
        <w:rPr>
          <w:szCs w:val="20"/>
        </w:rPr>
        <w:t xml:space="preserve">56.6 </w:t>
      </w:r>
      <w:r w:rsidR="00530424" w:rsidRPr="00D07F9F">
        <w:rPr>
          <w:szCs w:val="20"/>
        </w:rPr>
        <w:t xml:space="preserve">and </w:t>
      </w:r>
      <w:r w:rsidR="00D07F9F" w:rsidRPr="00D07F9F">
        <w:rPr>
          <w:szCs w:val="20"/>
        </w:rPr>
        <w:t>73.8</w:t>
      </w:r>
      <w:r w:rsidR="00530424" w:rsidRPr="00D07F9F">
        <w:rPr>
          <w:szCs w:val="20"/>
        </w:rPr>
        <w:t xml:space="preserve"> points nationally. For </w:t>
      </w:r>
      <w:r w:rsidR="00D07F9F" w:rsidRPr="00D07F9F">
        <w:rPr>
          <w:szCs w:val="20"/>
        </w:rPr>
        <w:t>non</w:t>
      </w:r>
      <w:r w:rsidR="007072F5">
        <w:rPr>
          <w:szCs w:val="20"/>
        </w:rPr>
        <w:noBreakHyphen/>
      </w:r>
      <w:r w:rsidR="00530424" w:rsidRPr="00D07F9F">
        <w:rPr>
          <w:szCs w:val="20"/>
        </w:rPr>
        <w:t xml:space="preserve">Indigenous students, year 3 in 2008 to year 5 in 2010 the </w:t>
      </w:r>
      <w:r w:rsidR="007072F5">
        <w:rPr>
          <w:szCs w:val="20"/>
        </w:rPr>
        <w:t xml:space="preserve">mean scale score </w:t>
      </w:r>
      <w:r w:rsidR="00530424" w:rsidRPr="00D07F9F">
        <w:rPr>
          <w:szCs w:val="20"/>
        </w:rPr>
        <w:t xml:space="preserve">gain was between </w:t>
      </w:r>
      <w:r w:rsidR="00D07F9F" w:rsidRPr="00D07F9F">
        <w:rPr>
          <w:szCs w:val="20"/>
        </w:rPr>
        <w:t>78.5</w:t>
      </w:r>
      <w:r w:rsidR="00530424" w:rsidRPr="00D07F9F">
        <w:rPr>
          <w:szCs w:val="20"/>
        </w:rPr>
        <w:t xml:space="preserve"> and </w:t>
      </w:r>
      <w:r w:rsidR="00D07F9F" w:rsidRPr="00D07F9F">
        <w:rPr>
          <w:szCs w:val="20"/>
        </w:rPr>
        <w:t>94.3</w:t>
      </w:r>
      <w:r w:rsidR="00530424" w:rsidRPr="00D07F9F">
        <w:rPr>
          <w:szCs w:val="20"/>
        </w:rPr>
        <w:t xml:space="preserve"> points and from year 5 in 2010 to year 7 in 2012, the </w:t>
      </w:r>
      <w:r w:rsidR="007072F5">
        <w:rPr>
          <w:szCs w:val="20"/>
        </w:rPr>
        <w:t xml:space="preserve">mean scale score </w:t>
      </w:r>
      <w:r w:rsidR="00530424" w:rsidRPr="00D07F9F">
        <w:rPr>
          <w:szCs w:val="20"/>
        </w:rPr>
        <w:t xml:space="preserve">was between </w:t>
      </w:r>
      <w:r w:rsidR="00D07F9F" w:rsidRPr="00D07F9F">
        <w:rPr>
          <w:szCs w:val="20"/>
        </w:rPr>
        <w:t>46.5</w:t>
      </w:r>
      <w:r w:rsidR="00530424" w:rsidRPr="00D07F9F">
        <w:rPr>
          <w:szCs w:val="20"/>
        </w:rPr>
        <w:t xml:space="preserve"> and </w:t>
      </w:r>
      <w:r w:rsidR="00D07F9F" w:rsidRPr="00D07F9F">
        <w:rPr>
          <w:szCs w:val="20"/>
        </w:rPr>
        <w:t>60.7</w:t>
      </w:r>
      <w:r w:rsidR="00530424" w:rsidRPr="00D07F9F">
        <w:rPr>
          <w:szCs w:val="20"/>
        </w:rPr>
        <w:t xml:space="preserve"> points nationally.  </w:t>
      </w:r>
    </w:p>
    <w:p w:rsidR="00666ECE" w:rsidRPr="00530424" w:rsidRDefault="00666ECE" w:rsidP="00666ECE">
      <w:pPr>
        <w:spacing w:before="240" w:line="320" w:lineRule="atLeast"/>
        <w:jc w:val="both"/>
        <w:rPr>
          <w:szCs w:val="20"/>
          <w:highlight w:val="yellow"/>
        </w:rPr>
      </w:pPr>
      <w:r w:rsidRPr="007C7E11">
        <w:rPr>
          <w:szCs w:val="20"/>
        </w:rPr>
        <w:t xml:space="preserve">These </w:t>
      </w:r>
      <w:r w:rsidR="007072F5">
        <w:rPr>
          <w:szCs w:val="20"/>
        </w:rPr>
        <w:t>mean scale score gain</w:t>
      </w:r>
      <w:r w:rsidRPr="007C7E11">
        <w:rPr>
          <w:szCs w:val="20"/>
        </w:rPr>
        <w:t>s varied across jurisdictions (table 4.</w:t>
      </w:r>
      <w:r w:rsidR="000B7ACD">
        <w:rPr>
          <w:szCs w:val="20"/>
        </w:rPr>
        <w:t>8</w:t>
      </w:r>
      <w:r w:rsidRPr="007C7E11">
        <w:rPr>
          <w:szCs w:val="20"/>
        </w:rPr>
        <w:t xml:space="preserve">). </w:t>
      </w:r>
      <w:r w:rsidRPr="00530424">
        <w:rPr>
          <w:szCs w:val="20"/>
        </w:rPr>
        <w:t xml:space="preserve">Data for </w:t>
      </w:r>
      <w:r w:rsidR="00530424">
        <w:rPr>
          <w:szCs w:val="20"/>
        </w:rPr>
        <w:t xml:space="preserve">other cohorts from 2008–2010 and 2010-2012 </w:t>
      </w:r>
      <w:r w:rsidRPr="00530424">
        <w:rPr>
          <w:szCs w:val="20"/>
        </w:rPr>
        <w:t>are in table 4A.</w:t>
      </w:r>
      <w:r w:rsidR="00E34421">
        <w:rPr>
          <w:szCs w:val="20"/>
        </w:rPr>
        <w:t>53</w:t>
      </w:r>
      <w:r w:rsidRPr="00530424">
        <w:rPr>
          <w:szCs w:val="20"/>
        </w:rPr>
        <w:t xml:space="preserve">. </w:t>
      </w:r>
    </w:p>
    <w:p w:rsidR="00666ECE" w:rsidRPr="00530424" w:rsidRDefault="00666ECE" w:rsidP="006B35ED">
      <w:pPr>
        <w:pStyle w:val="TableTitle"/>
      </w:pPr>
      <w:r w:rsidRPr="007A7568">
        <w:rPr>
          <w:b w:val="0"/>
        </w:rPr>
        <w:lastRenderedPageBreak/>
        <w:t xml:space="preserve">Table </w:t>
      </w:r>
      <w:r w:rsidR="00EB256F" w:rsidRPr="007A7568">
        <w:rPr>
          <w:b w:val="0"/>
        </w:rPr>
        <w:t>4.</w:t>
      </w:r>
      <w:r w:rsidR="00EC06F7" w:rsidRPr="007A7568">
        <w:rPr>
          <w:b w:val="0"/>
          <w:noProof/>
        </w:rPr>
        <w:t>8</w:t>
      </w:r>
      <w:r w:rsidRPr="00530424">
        <w:tab/>
        <w:t>Gain in mean scale score for reading: year 3 (20</w:t>
      </w:r>
      <w:r w:rsidR="00530424" w:rsidRPr="00530424">
        <w:t>08</w:t>
      </w:r>
      <w:r w:rsidRPr="00530424">
        <w:t>) to year 5 (20</w:t>
      </w:r>
      <w:r w:rsidR="00530424" w:rsidRPr="00530424">
        <w:t>10</w:t>
      </w:r>
      <w:r w:rsidRPr="00530424">
        <w:t>)</w:t>
      </w:r>
      <w:r w:rsidR="00530424" w:rsidRPr="00530424">
        <w:t xml:space="preserve"> to year 7 (2012)</w:t>
      </w:r>
      <w:r w:rsidRPr="00530424">
        <w:rPr>
          <w:position w:val="6"/>
          <w:sz w:val="18"/>
        </w:rPr>
        <w:t>a</w:t>
      </w:r>
      <w:r w:rsidR="002E7CD5" w:rsidRPr="00530424">
        <w:rPr>
          <w:position w:val="6"/>
          <w:sz w:val="18"/>
        </w:rPr>
        <w:t>, b</w:t>
      </w:r>
      <w:r w:rsidR="009C663F">
        <w:rPr>
          <w:position w:val="6"/>
          <w:sz w:val="18"/>
        </w:rPr>
        <w:t xml:space="preserve"> </w:t>
      </w:r>
    </w:p>
    <w:tbl>
      <w:tblPr>
        <w:tblW w:w="8790" w:type="dxa"/>
        <w:tblLayout w:type="fixed"/>
        <w:tblCellMar>
          <w:left w:w="0" w:type="dxa"/>
          <w:right w:w="0" w:type="dxa"/>
        </w:tblCellMar>
        <w:tblLook w:val="0000" w:firstRow="0" w:lastRow="0" w:firstColumn="0" w:lastColumn="0" w:noHBand="0" w:noVBand="0"/>
      </w:tblPr>
      <w:tblGrid>
        <w:gridCol w:w="1560"/>
        <w:gridCol w:w="803"/>
        <w:gridCol w:w="803"/>
        <w:gridCol w:w="804"/>
        <w:gridCol w:w="803"/>
        <w:gridCol w:w="803"/>
        <w:gridCol w:w="804"/>
        <w:gridCol w:w="803"/>
        <w:gridCol w:w="803"/>
        <w:gridCol w:w="804"/>
      </w:tblGrid>
      <w:tr w:rsidR="004708E3" w:rsidRPr="004708E3" w:rsidTr="003103F0">
        <w:tc>
          <w:tcPr>
            <w:tcW w:w="1560"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rPr>
                <w:rFonts w:ascii="Arial" w:hAnsi="Arial"/>
                <w:i/>
                <w:sz w:val="20"/>
                <w:szCs w:val="20"/>
              </w:rPr>
            </w:pPr>
          </w:p>
        </w:tc>
        <w:tc>
          <w:tcPr>
            <w:tcW w:w="803"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NSW</w:t>
            </w:r>
          </w:p>
        </w:tc>
        <w:tc>
          <w:tcPr>
            <w:tcW w:w="803"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Vic</w:t>
            </w:r>
          </w:p>
        </w:tc>
        <w:tc>
          <w:tcPr>
            <w:tcW w:w="804"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Qld</w:t>
            </w:r>
          </w:p>
        </w:tc>
        <w:tc>
          <w:tcPr>
            <w:tcW w:w="803"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WA</w:t>
            </w:r>
          </w:p>
        </w:tc>
        <w:tc>
          <w:tcPr>
            <w:tcW w:w="803"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SA</w:t>
            </w:r>
          </w:p>
        </w:tc>
        <w:tc>
          <w:tcPr>
            <w:tcW w:w="804"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Tas</w:t>
            </w:r>
          </w:p>
        </w:tc>
        <w:tc>
          <w:tcPr>
            <w:tcW w:w="803"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ACT</w:t>
            </w:r>
          </w:p>
        </w:tc>
        <w:tc>
          <w:tcPr>
            <w:tcW w:w="803"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NT</w:t>
            </w:r>
          </w:p>
        </w:tc>
        <w:tc>
          <w:tcPr>
            <w:tcW w:w="804" w:type="dxa"/>
            <w:tcBorders>
              <w:top w:val="single" w:sz="6" w:space="0" w:color="auto"/>
              <w:bottom w:val="single" w:sz="6" w:space="0" w:color="auto"/>
            </w:tcBorders>
            <w:shd w:val="clear" w:color="auto" w:fill="auto"/>
          </w:tcPr>
          <w:p w:rsidR="00666ECE" w:rsidRPr="004708E3" w:rsidRDefault="00666ECE" w:rsidP="00666ECE">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Aust</w:t>
            </w:r>
          </w:p>
        </w:tc>
      </w:tr>
      <w:tr w:rsidR="004708E3" w:rsidRPr="004708E3" w:rsidTr="0036281D">
        <w:tc>
          <w:tcPr>
            <w:tcW w:w="8790" w:type="dxa"/>
            <w:gridSpan w:val="10"/>
          </w:tcPr>
          <w:p w:rsidR="00666ECE" w:rsidRPr="00D07F9F" w:rsidRDefault="00666ECE" w:rsidP="00666ECE">
            <w:pPr>
              <w:keepNext/>
              <w:keepLines/>
              <w:spacing w:after="40" w:line="220" w:lineRule="atLeast"/>
              <w:ind w:left="6" w:right="113"/>
              <w:rPr>
                <w:rFonts w:ascii="Arial" w:hAnsi="Arial" w:cs="Arial"/>
                <w:b/>
                <w:sz w:val="20"/>
                <w:szCs w:val="20"/>
              </w:rPr>
            </w:pPr>
            <w:r w:rsidRPr="00D07F9F">
              <w:rPr>
                <w:rFonts w:ascii="Arial" w:hAnsi="Arial"/>
                <w:b/>
                <w:sz w:val="20"/>
                <w:szCs w:val="20"/>
              </w:rPr>
              <w:t>Indigenous students</w:t>
            </w:r>
          </w:p>
        </w:tc>
      </w:tr>
      <w:tr w:rsidR="00530424" w:rsidRPr="00530424" w:rsidTr="003103F0">
        <w:tc>
          <w:tcPr>
            <w:tcW w:w="1560" w:type="dxa"/>
          </w:tcPr>
          <w:p w:rsidR="00530424" w:rsidRPr="00530424" w:rsidRDefault="00530424" w:rsidP="00530424">
            <w:pPr>
              <w:keepNext/>
              <w:keepLines/>
              <w:spacing w:after="40" w:line="220" w:lineRule="atLeast"/>
              <w:ind w:left="6" w:right="113"/>
              <w:rPr>
                <w:rFonts w:ascii="Arial" w:hAnsi="Arial"/>
                <w:sz w:val="20"/>
                <w:szCs w:val="20"/>
              </w:rPr>
            </w:pPr>
            <w:r w:rsidRPr="00530424">
              <w:rPr>
                <w:rFonts w:ascii="Arial" w:hAnsi="Arial"/>
                <w:sz w:val="20"/>
                <w:szCs w:val="20"/>
              </w:rPr>
              <w:t>2008 Year 3</w:t>
            </w:r>
          </w:p>
        </w:tc>
        <w:tc>
          <w:tcPr>
            <w:tcW w:w="803" w:type="dxa"/>
            <w:vAlign w:val="center"/>
          </w:tcPr>
          <w:p w:rsidR="00530424" w:rsidRPr="00530424" w:rsidRDefault="00530424" w:rsidP="00530424">
            <w:pPr>
              <w:pStyle w:val="TableBodyText"/>
            </w:pPr>
            <w:r w:rsidRPr="00530424">
              <w:t xml:space="preserve">347.5 </w:t>
            </w:r>
            <w:r w:rsidR="003103F0">
              <w:br/>
            </w:r>
            <w:r w:rsidRPr="00530424">
              <w:t>± 3.6</w:t>
            </w:r>
          </w:p>
        </w:tc>
        <w:tc>
          <w:tcPr>
            <w:tcW w:w="803" w:type="dxa"/>
            <w:vAlign w:val="center"/>
          </w:tcPr>
          <w:p w:rsidR="00530424" w:rsidRPr="00530424" w:rsidRDefault="00530424" w:rsidP="00530424">
            <w:pPr>
              <w:pStyle w:val="TableBodyText"/>
            </w:pPr>
            <w:r w:rsidRPr="00530424">
              <w:t xml:space="preserve">368.9 </w:t>
            </w:r>
            <w:r w:rsidR="003103F0">
              <w:br/>
            </w:r>
            <w:r w:rsidRPr="00530424">
              <w:t>± 6.3</w:t>
            </w:r>
          </w:p>
        </w:tc>
        <w:tc>
          <w:tcPr>
            <w:tcW w:w="804" w:type="dxa"/>
            <w:vAlign w:val="center"/>
          </w:tcPr>
          <w:p w:rsidR="00530424" w:rsidRPr="00530424" w:rsidRDefault="00530424" w:rsidP="00530424">
            <w:pPr>
              <w:pStyle w:val="TableBodyText"/>
            </w:pPr>
            <w:r w:rsidRPr="00530424">
              <w:t xml:space="preserve">309.5 </w:t>
            </w:r>
            <w:r w:rsidR="003103F0">
              <w:br/>
            </w:r>
            <w:r w:rsidRPr="00530424">
              <w:t>± 7.6</w:t>
            </w:r>
          </w:p>
        </w:tc>
        <w:tc>
          <w:tcPr>
            <w:tcW w:w="803" w:type="dxa"/>
            <w:vAlign w:val="center"/>
          </w:tcPr>
          <w:p w:rsidR="00530424" w:rsidRPr="00530424" w:rsidRDefault="00530424" w:rsidP="00530424">
            <w:pPr>
              <w:pStyle w:val="TableBodyText"/>
            </w:pPr>
            <w:r w:rsidRPr="00530424">
              <w:t xml:space="preserve">292.7 </w:t>
            </w:r>
            <w:r w:rsidR="003103F0">
              <w:br/>
            </w:r>
            <w:r w:rsidRPr="00530424">
              <w:t>± 7.1</w:t>
            </w:r>
          </w:p>
        </w:tc>
        <w:tc>
          <w:tcPr>
            <w:tcW w:w="803" w:type="dxa"/>
            <w:vAlign w:val="center"/>
          </w:tcPr>
          <w:p w:rsidR="00530424" w:rsidRPr="00530424" w:rsidRDefault="00530424" w:rsidP="00530424">
            <w:pPr>
              <w:pStyle w:val="TableBodyText"/>
            </w:pPr>
            <w:r w:rsidRPr="00530424">
              <w:t xml:space="preserve">329.7 </w:t>
            </w:r>
            <w:r w:rsidR="003103F0">
              <w:br/>
            </w:r>
            <w:r w:rsidRPr="00530424">
              <w:t>± 8.7</w:t>
            </w:r>
          </w:p>
        </w:tc>
        <w:tc>
          <w:tcPr>
            <w:tcW w:w="804" w:type="dxa"/>
            <w:vAlign w:val="center"/>
          </w:tcPr>
          <w:p w:rsidR="00530424" w:rsidRPr="00530424" w:rsidRDefault="00530424" w:rsidP="00530424">
            <w:pPr>
              <w:pStyle w:val="TableBodyText"/>
            </w:pPr>
            <w:r w:rsidRPr="00530424">
              <w:t xml:space="preserve">376.6 </w:t>
            </w:r>
            <w:r w:rsidR="003103F0">
              <w:br/>
            </w:r>
            <w:r w:rsidRPr="00530424">
              <w:t>± 9.4</w:t>
            </w:r>
          </w:p>
        </w:tc>
        <w:tc>
          <w:tcPr>
            <w:tcW w:w="803" w:type="dxa"/>
            <w:vAlign w:val="center"/>
          </w:tcPr>
          <w:p w:rsidR="00530424" w:rsidRPr="00530424" w:rsidRDefault="00530424" w:rsidP="00530424">
            <w:pPr>
              <w:pStyle w:val="TableBodyText"/>
            </w:pPr>
            <w:r w:rsidRPr="00530424">
              <w:t xml:space="preserve">359.5 </w:t>
            </w:r>
            <w:r w:rsidR="003103F0">
              <w:br/>
            </w:r>
            <w:r w:rsidRPr="00530424">
              <w:t>± 17.6</w:t>
            </w:r>
          </w:p>
        </w:tc>
        <w:tc>
          <w:tcPr>
            <w:tcW w:w="803" w:type="dxa"/>
            <w:vAlign w:val="center"/>
          </w:tcPr>
          <w:p w:rsidR="00530424" w:rsidRPr="00530424" w:rsidRDefault="00530424" w:rsidP="00530424">
            <w:pPr>
              <w:pStyle w:val="TableBodyText"/>
            </w:pPr>
            <w:r w:rsidRPr="00530424">
              <w:t xml:space="preserve">208.1 </w:t>
            </w:r>
            <w:r w:rsidR="003103F0">
              <w:br/>
            </w:r>
            <w:r w:rsidRPr="00530424">
              <w:t>± 19.5</w:t>
            </w:r>
          </w:p>
        </w:tc>
        <w:tc>
          <w:tcPr>
            <w:tcW w:w="804" w:type="dxa"/>
            <w:vAlign w:val="center"/>
          </w:tcPr>
          <w:p w:rsidR="00530424" w:rsidRPr="00530424" w:rsidRDefault="00530424" w:rsidP="00530424">
            <w:pPr>
              <w:pStyle w:val="TableBodyText"/>
            </w:pPr>
            <w:r w:rsidRPr="00530424">
              <w:t xml:space="preserve">313.7 </w:t>
            </w:r>
            <w:r w:rsidR="003103F0">
              <w:br/>
            </w:r>
            <w:r w:rsidRPr="00530424">
              <w:t>± 4.9</w:t>
            </w:r>
          </w:p>
        </w:tc>
      </w:tr>
      <w:tr w:rsidR="00530424" w:rsidRPr="00530424" w:rsidTr="003103F0">
        <w:tc>
          <w:tcPr>
            <w:tcW w:w="1560" w:type="dxa"/>
          </w:tcPr>
          <w:p w:rsidR="00530424" w:rsidRPr="00530424" w:rsidRDefault="00530424" w:rsidP="00530424">
            <w:pPr>
              <w:keepNext/>
              <w:keepLines/>
              <w:spacing w:after="40" w:line="220" w:lineRule="atLeast"/>
              <w:ind w:right="113"/>
              <w:rPr>
                <w:rFonts w:ascii="Arial" w:hAnsi="Arial"/>
                <w:sz w:val="20"/>
                <w:szCs w:val="20"/>
              </w:rPr>
            </w:pPr>
            <w:r w:rsidRPr="00530424">
              <w:rPr>
                <w:rFonts w:ascii="Arial" w:hAnsi="Arial"/>
                <w:sz w:val="20"/>
                <w:szCs w:val="20"/>
              </w:rPr>
              <w:t>2010 Year 5</w:t>
            </w:r>
          </w:p>
        </w:tc>
        <w:tc>
          <w:tcPr>
            <w:tcW w:w="803" w:type="dxa"/>
            <w:vAlign w:val="center"/>
          </w:tcPr>
          <w:p w:rsidR="00530424" w:rsidRPr="00530424" w:rsidRDefault="00530424" w:rsidP="00530424">
            <w:pPr>
              <w:pStyle w:val="TableBodyText"/>
            </w:pPr>
            <w:r w:rsidRPr="00530424">
              <w:t xml:space="preserve">433.3 </w:t>
            </w:r>
            <w:r w:rsidR="003103F0">
              <w:br/>
            </w:r>
            <w:r w:rsidRPr="00530424">
              <w:t>± 3.4</w:t>
            </w:r>
          </w:p>
        </w:tc>
        <w:tc>
          <w:tcPr>
            <w:tcW w:w="803" w:type="dxa"/>
            <w:vAlign w:val="center"/>
          </w:tcPr>
          <w:p w:rsidR="00530424" w:rsidRPr="00530424" w:rsidRDefault="00530424" w:rsidP="00530424">
            <w:pPr>
              <w:pStyle w:val="TableBodyText"/>
            </w:pPr>
            <w:r w:rsidRPr="00530424">
              <w:t xml:space="preserve">454.4 </w:t>
            </w:r>
            <w:r w:rsidR="003103F0">
              <w:br/>
            </w:r>
            <w:r w:rsidRPr="00530424">
              <w:t>± 6.5</w:t>
            </w:r>
          </w:p>
        </w:tc>
        <w:tc>
          <w:tcPr>
            <w:tcW w:w="804" w:type="dxa"/>
            <w:vAlign w:val="center"/>
          </w:tcPr>
          <w:p w:rsidR="00530424" w:rsidRPr="00530424" w:rsidRDefault="00530424" w:rsidP="00530424">
            <w:pPr>
              <w:pStyle w:val="TableBodyText"/>
            </w:pPr>
            <w:r w:rsidRPr="00530424">
              <w:t xml:space="preserve">411.3 </w:t>
            </w:r>
            <w:r w:rsidR="003103F0">
              <w:br/>
            </w:r>
            <w:r w:rsidRPr="00530424">
              <w:t>± 4.7</w:t>
            </w:r>
          </w:p>
        </w:tc>
        <w:tc>
          <w:tcPr>
            <w:tcW w:w="803" w:type="dxa"/>
            <w:vAlign w:val="center"/>
          </w:tcPr>
          <w:p w:rsidR="00530424" w:rsidRPr="00530424" w:rsidRDefault="00530424" w:rsidP="00530424">
            <w:pPr>
              <w:pStyle w:val="TableBodyText"/>
            </w:pPr>
            <w:r w:rsidRPr="00530424">
              <w:t xml:space="preserve">387.3 </w:t>
            </w:r>
            <w:r w:rsidR="003103F0">
              <w:br/>
            </w:r>
            <w:r w:rsidRPr="00530424">
              <w:t>± 6.1</w:t>
            </w:r>
          </w:p>
        </w:tc>
        <w:tc>
          <w:tcPr>
            <w:tcW w:w="803" w:type="dxa"/>
            <w:vAlign w:val="center"/>
          </w:tcPr>
          <w:p w:rsidR="00530424" w:rsidRPr="00530424" w:rsidRDefault="00530424" w:rsidP="00530424">
            <w:pPr>
              <w:pStyle w:val="TableBodyText"/>
            </w:pPr>
            <w:r w:rsidRPr="00530424">
              <w:t xml:space="preserve">408.8 </w:t>
            </w:r>
            <w:r w:rsidR="003103F0">
              <w:br/>
            </w:r>
            <w:r w:rsidRPr="00530424">
              <w:t>± 7.5</w:t>
            </w:r>
          </w:p>
        </w:tc>
        <w:tc>
          <w:tcPr>
            <w:tcW w:w="804" w:type="dxa"/>
            <w:vAlign w:val="center"/>
          </w:tcPr>
          <w:p w:rsidR="00530424" w:rsidRPr="00530424" w:rsidRDefault="00530424" w:rsidP="00530424">
            <w:pPr>
              <w:pStyle w:val="TableBodyText"/>
            </w:pPr>
            <w:r w:rsidRPr="00530424">
              <w:t xml:space="preserve">451.9 </w:t>
            </w:r>
            <w:r w:rsidR="003103F0">
              <w:br/>
            </w:r>
            <w:r w:rsidRPr="00530424">
              <w:t>± 8.8</w:t>
            </w:r>
          </w:p>
        </w:tc>
        <w:tc>
          <w:tcPr>
            <w:tcW w:w="803" w:type="dxa"/>
            <w:vAlign w:val="center"/>
          </w:tcPr>
          <w:p w:rsidR="00530424" w:rsidRPr="00530424" w:rsidRDefault="00530424" w:rsidP="00530424">
            <w:pPr>
              <w:pStyle w:val="TableBodyText"/>
            </w:pPr>
            <w:r w:rsidRPr="00530424">
              <w:t xml:space="preserve">430.6 </w:t>
            </w:r>
            <w:r w:rsidR="003103F0">
              <w:br/>
            </w:r>
            <w:r w:rsidRPr="00530424">
              <w:t>± 14.7</w:t>
            </w:r>
          </w:p>
        </w:tc>
        <w:tc>
          <w:tcPr>
            <w:tcW w:w="803" w:type="dxa"/>
            <w:vAlign w:val="center"/>
          </w:tcPr>
          <w:p w:rsidR="00530424" w:rsidRPr="00530424" w:rsidRDefault="00530424" w:rsidP="00530424">
            <w:pPr>
              <w:pStyle w:val="TableBodyText"/>
            </w:pPr>
            <w:r w:rsidRPr="00530424">
              <w:t xml:space="preserve">326.7 </w:t>
            </w:r>
            <w:r w:rsidR="003103F0">
              <w:br/>
            </w:r>
            <w:r w:rsidRPr="00530424">
              <w:t>± 18.8</w:t>
            </w:r>
          </w:p>
        </w:tc>
        <w:tc>
          <w:tcPr>
            <w:tcW w:w="804" w:type="dxa"/>
            <w:vAlign w:val="center"/>
          </w:tcPr>
          <w:p w:rsidR="00530424" w:rsidRPr="00530424" w:rsidRDefault="00530424" w:rsidP="00530424">
            <w:pPr>
              <w:pStyle w:val="TableBodyText"/>
            </w:pPr>
            <w:r w:rsidRPr="00530424">
              <w:t xml:space="preserve">409.6 </w:t>
            </w:r>
            <w:r w:rsidR="003103F0">
              <w:br/>
            </w:r>
            <w:r w:rsidRPr="00530424">
              <w:t>± 3.8</w:t>
            </w:r>
          </w:p>
        </w:tc>
      </w:tr>
      <w:tr w:rsidR="00530424" w:rsidRPr="00530424" w:rsidTr="003103F0">
        <w:tc>
          <w:tcPr>
            <w:tcW w:w="1560" w:type="dxa"/>
          </w:tcPr>
          <w:p w:rsidR="00530424" w:rsidRPr="00530424" w:rsidRDefault="00530424" w:rsidP="00530424">
            <w:pPr>
              <w:keepNext/>
              <w:keepLines/>
              <w:spacing w:after="40" w:line="220" w:lineRule="atLeast"/>
              <w:ind w:right="113"/>
              <w:rPr>
                <w:rFonts w:ascii="Arial" w:hAnsi="Arial"/>
                <w:sz w:val="20"/>
                <w:szCs w:val="20"/>
              </w:rPr>
            </w:pPr>
            <w:r w:rsidRPr="00530424">
              <w:rPr>
                <w:rFonts w:ascii="Arial" w:hAnsi="Arial"/>
                <w:sz w:val="20"/>
                <w:szCs w:val="20"/>
              </w:rPr>
              <w:t>2012 Year 7</w:t>
            </w:r>
          </w:p>
        </w:tc>
        <w:tc>
          <w:tcPr>
            <w:tcW w:w="803" w:type="dxa"/>
            <w:vAlign w:val="center"/>
          </w:tcPr>
          <w:p w:rsidR="00530424" w:rsidRPr="00530424" w:rsidRDefault="00530424" w:rsidP="00530424">
            <w:pPr>
              <w:pStyle w:val="TableBodyText"/>
            </w:pPr>
            <w:r w:rsidRPr="00530424">
              <w:t xml:space="preserve">489.9 </w:t>
            </w:r>
            <w:r w:rsidR="003103F0">
              <w:br/>
            </w:r>
            <w:r w:rsidRPr="00530424">
              <w:t>± 3.2</w:t>
            </w:r>
          </w:p>
        </w:tc>
        <w:tc>
          <w:tcPr>
            <w:tcW w:w="803" w:type="dxa"/>
            <w:vAlign w:val="center"/>
          </w:tcPr>
          <w:p w:rsidR="00530424" w:rsidRPr="00530424" w:rsidRDefault="00530424" w:rsidP="00530424">
            <w:pPr>
              <w:pStyle w:val="TableBodyText"/>
            </w:pPr>
            <w:r w:rsidRPr="00530424">
              <w:t xml:space="preserve">504.3 </w:t>
            </w:r>
            <w:r w:rsidR="003103F0">
              <w:br/>
            </w:r>
            <w:r w:rsidRPr="00530424">
              <w:t>± 5.5</w:t>
            </w:r>
          </w:p>
        </w:tc>
        <w:tc>
          <w:tcPr>
            <w:tcW w:w="804" w:type="dxa"/>
            <w:vAlign w:val="center"/>
          </w:tcPr>
          <w:p w:rsidR="00530424" w:rsidRPr="00530424" w:rsidRDefault="00530424" w:rsidP="00530424">
            <w:pPr>
              <w:pStyle w:val="TableBodyText"/>
            </w:pPr>
            <w:r w:rsidRPr="00530424">
              <w:t xml:space="preserve">478.0 </w:t>
            </w:r>
            <w:r w:rsidR="003103F0">
              <w:br/>
            </w:r>
            <w:r w:rsidRPr="00530424">
              <w:t>± 4.0</w:t>
            </w:r>
          </w:p>
        </w:tc>
        <w:tc>
          <w:tcPr>
            <w:tcW w:w="803" w:type="dxa"/>
            <w:vAlign w:val="center"/>
          </w:tcPr>
          <w:p w:rsidR="00530424" w:rsidRPr="00530424" w:rsidRDefault="00530424" w:rsidP="00530424">
            <w:pPr>
              <w:pStyle w:val="TableBodyText"/>
            </w:pPr>
            <w:r w:rsidRPr="00530424">
              <w:t xml:space="preserve">462.0 </w:t>
            </w:r>
            <w:r w:rsidR="003103F0">
              <w:br/>
            </w:r>
            <w:r w:rsidRPr="00530424">
              <w:t>± 5.2</w:t>
            </w:r>
          </w:p>
        </w:tc>
        <w:tc>
          <w:tcPr>
            <w:tcW w:w="803" w:type="dxa"/>
            <w:vAlign w:val="center"/>
          </w:tcPr>
          <w:p w:rsidR="00530424" w:rsidRPr="00530424" w:rsidRDefault="00530424" w:rsidP="00530424">
            <w:pPr>
              <w:pStyle w:val="TableBodyText"/>
            </w:pPr>
            <w:r w:rsidRPr="00530424">
              <w:t xml:space="preserve">478.4 </w:t>
            </w:r>
            <w:r w:rsidR="003103F0">
              <w:br/>
            </w:r>
            <w:r w:rsidRPr="00530424">
              <w:t>± 7.6</w:t>
            </w:r>
          </w:p>
        </w:tc>
        <w:tc>
          <w:tcPr>
            <w:tcW w:w="804" w:type="dxa"/>
            <w:vAlign w:val="center"/>
          </w:tcPr>
          <w:p w:rsidR="00530424" w:rsidRPr="00530424" w:rsidRDefault="00530424" w:rsidP="00530424">
            <w:pPr>
              <w:pStyle w:val="TableBodyText"/>
            </w:pPr>
            <w:r w:rsidRPr="00530424">
              <w:t xml:space="preserve">505.0 </w:t>
            </w:r>
            <w:r w:rsidR="003103F0">
              <w:br/>
            </w:r>
            <w:r w:rsidRPr="00530424">
              <w:t>± 7.9</w:t>
            </w:r>
          </w:p>
        </w:tc>
        <w:tc>
          <w:tcPr>
            <w:tcW w:w="803" w:type="dxa"/>
            <w:vAlign w:val="center"/>
          </w:tcPr>
          <w:p w:rsidR="00530424" w:rsidRPr="00530424" w:rsidRDefault="00530424" w:rsidP="00530424">
            <w:pPr>
              <w:pStyle w:val="TableBodyText"/>
            </w:pPr>
            <w:r w:rsidRPr="00530424">
              <w:t xml:space="preserve">507.4 </w:t>
            </w:r>
            <w:r w:rsidR="003103F0">
              <w:br/>
            </w:r>
            <w:r w:rsidRPr="00530424">
              <w:t>± 14.2</w:t>
            </w:r>
          </w:p>
        </w:tc>
        <w:tc>
          <w:tcPr>
            <w:tcW w:w="803" w:type="dxa"/>
            <w:vAlign w:val="center"/>
          </w:tcPr>
          <w:p w:rsidR="00530424" w:rsidRPr="00530424" w:rsidRDefault="00530424" w:rsidP="00530424">
            <w:pPr>
              <w:pStyle w:val="TableBodyText"/>
            </w:pPr>
            <w:r w:rsidRPr="00530424">
              <w:t xml:space="preserve">397.3 </w:t>
            </w:r>
            <w:r w:rsidR="003103F0">
              <w:br/>
            </w:r>
            <w:r w:rsidRPr="00530424">
              <w:t>± 22.7</w:t>
            </w:r>
          </w:p>
        </w:tc>
        <w:tc>
          <w:tcPr>
            <w:tcW w:w="804" w:type="dxa"/>
            <w:vAlign w:val="center"/>
          </w:tcPr>
          <w:p w:rsidR="00530424" w:rsidRPr="00530424" w:rsidRDefault="00530424" w:rsidP="00530424">
            <w:pPr>
              <w:pStyle w:val="TableBodyText"/>
            </w:pPr>
            <w:r w:rsidRPr="00530424">
              <w:t xml:space="preserve">474.8 </w:t>
            </w:r>
            <w:r w:rsidR="003103F0">
              <w:br/>
            </w:r>
            <w:r w:rsidRPr="00530424">
              <w:t>± 3.4</w:t>
            </w:r>
          </w:p>
        </w:tc>
      </w:tr>
      <w:tr w:rsidR="00530424" w:rsidRPr="00530424" w:rsidTr="003103F0">
        <w:tc>
          <w:tcPr>
            <w:tcW w:w="1560" w:type="dxa"/>
          </w:tcPr>
          <w:p w:rsidR="00530424" w:rsidRPr="00D07F9F" w:rsidRDefault="00530424" w:rsidP="00530424">
            <w:pPr>
              <w:keepNext/>
              <w:keepLines/>
              <w:spacing w:after="40" w:line="220" w:lineRule="atLeast"/>
              <w:ind w:right="113"/>
              <w:rPr>
                <w:rFonts w:ascii="Arial" w:hAnsi="Arial"/>
                <w:sz w:val="20"/>
                <w:szCs w:val="20"/>
              </w:rPr>
            </w:pPr>
            <w:r w:rsidRPr="00D07F9F">
              <w:rPr>
                <w:rFonts w:ascii="Arial" w:hAnsi="Arial"/>
                <w:sz w:val="20"/>
                <w:szCs w:val="20"/>
              </w:rPr>
              <w:t>Gain 2008-2010</w:t>
            </w:r>
          </w:p>
        </w:tc>
        <w:tc>
          <w:tcPr>
            <w:tcW w:w="803" w:type="dxa"/>
            <w:vAlign w:val="center"/>
          </w:tcPr>
          <w:p w:rsidR="00530424" w:rsidRPr="00530424" w:rsidRDefault="00530424" w:rsidP="00530424">
            <w:pPr>
              <w:pStyle w:val="TableBodyText"/>
            </w:pPr>
            <w:r w:rsidRPr="00530424">
              <w:t xml:space="preserve">85.8 </w:t>
            </w:r>
            <w:r w:rsidR="003103F0">
              <w:br/>
            </w:r>
            <w:r w:rsidRPr="00530424">
              <w:t>± 9.2</w:t>
            </w:r>
          </w:p>
        </w:tc>
        <w:tc>
          <w:tcPr>
            <w:tcW w:w="803" w:type="dxa"/>
            <w:vAlign w:val="center"/>
          </w:tcPr>
          <w:p w:rsidR="00530424" w:rsidRPr="00530424" w:rsidRDefault="00530424" w:rsidP="00530424">
            <w:pPr>
              <w:pStyle w:val="TableBodyText"/>
            </w:pPr>
            <w:r w:rsidRPr="00530424">
              <w:t xml:space="preserve">85.5 </w:t>
            </w:r>
            <w:r w:rsidR="003103F0">
              <w:br/>
            </w:r>
            <w:r w:rsidRPr="00530424">
              <w:t>± 11.9</w:t>
            </w:r>
          </w:p>
        </w:tc>
        <w:tc>
          <w:tcPr>
            <w:tcW w:w="804" w:type="dxa"/>
            <w:vAlign w:val="center"/>
          </w:tcPr>
          <w:p w:rsidR="00530424" w:rsidRPr="00530424" w:rsidRDefault="00530424" w:rsidP="00530424">
            <w:pPr>
              <w:pStyle w:val="TableBodyText"/>
            </w:pPr>
            <w:r w:rsidRPr="00530424">
              <w:t xml:space="preserve">101.8 </w:t>
            </w:r>
            <w:r w:rsidR="003103F0">
              <w:br/>
            </w:r>
            <w:r w:rsidRPr="00530424">
              <w:t>± 11.8</w:t>
            </w:r>
          </w:p>
        </w:tc>
        <w:tc>
          <w:tcPr>
            <w:tcW w:w="803" w:type="dxa"/>
            <w:vAlign w:val="center"/>
          </w:tcPr>
          <w:p w:rsidR="00530424" w:rsidRPr="00530424" w:rsidRDefault="00530424" w:rsidP="00530424">
            <w:pPr>
              <w:pStyle w:val="TableBodyText"/>
            </w:pPr>
            <w:r w:rsidRPr="00530424">
              <w:t xml:space="preserve">94.6 </w:t>
            </w:r>
            <w:r w:rsidR="003103F0">
              <w:br/>
            </w:r>
            <w:r w:rsidRPr="00530424">
              <w:t>± 12.2</w:t>
            </w:r>
          </w:p>
        </w:tc>
        <w:tc>
          <w:tcPr>
            <w:tcW w:w="803" w:type="dxa"/>
            <w:vAlign w:val="center"/>
          </w:tcPr>
          <w:p w:rsidR="00530424" w:rsidRPr="00530424" w:rsidRDefault="00530424" w:rsidP="00530424">
            <w:pPr>
              <w:pStyle w:val="TableBodyText"/>
            </w:pPr>
            <w:r w:rsidRPr="00530424">
              <w:t xml:space="preserve">79.1 </w:t>
            </w:r>
            <w:r w:rsidR="003103F0">
              <w:br/>
            </w:r>
            <w:r w:rsidRPr="00530424">
              <w:t>± 13.9</w:t>
            </w:r>
          </w:p>
        </w:tc>
        <w:tc>
          <w:tcPr>
            <w:tcW w:w="804" w:type="dxa"/>
            <w:vAlign w:val="center"/>
          </w:tcPr>
          <w:p w:rsidR="00530424" w:rsidRPr="00530424" w:rsidRDefault="00530424" w:rsidP="00530424">
            <w:pPr>
              <w:pStyle w:val="TableBodyText"/>
            </w:pPr>
            <w:r w:rsidRPr="00530424">
              <w:t xml:space="preserve">75.3 </w:t>
            </w:r>
            <w:r w:rsidR="003103F0">
              <w:br/>
            </w:r>
            <w:r w:rsidRPr="00530424">
              <w:t>± 15.0</w:t>
            </w:r>
          </w:p>
        </w:tc>
        <w:tc>
          <w:tcPr>
            <w:tcW w:w="803" w:type="dxa"/>
            <w:vAlign w:val="center"/>
          </w:tcPr>
          <w:p w:rsidR="00530424" w:rsidRPr="00530424" w:rsidRDefault="00530424" w:rsidP="00530424">
            <w:pPr>
              <w:pStyle w:val="TableBodyText"/>
            </w:pPr>
            <w:r w:rsidRPr="00530424">
              <w:t xml:space="preserve">71.1 </w:t>
            </w:r>
            <w:r w:rsidR="003103F0">
              <w:br/>
            </w:r>
            <w:r w:rsidRPr="00530424">
              <w:t>± 24.1</w:t>
            </w:r>
          </w:p>
        </w:tc>
        <w:tc>
          <w:tcPr>
            <w:tcW w:w="803" w:type="dxa"/>
            <w:vAlign w:val="center"/>
          </w:tcPr>
          <w:p w:rsidR="00530424" w:rsidRPr="00530424" w:rsidRDefault="00530424" w:rsidP="00530424">
            <w:pPr>
              <w:pStyle w:val="TableBodyText"/>
            </w:pPr>
            <w:r w:rsidRPr="00530424">
              <w:t xml:space="preserve">118.6 </w:t>
            </w:r>
            <w:r w:rsidR="003103F0">
              <w:br/>
            </w:r>
            <w:r w:rsidRPr="00530424">
              <w:t>± 28.2</w:t>
            </w:r>
          </w:p>
        </w:tc>
        <w:tc>
          <w:tcPr>
            <w:tcW w:w="804" w:type="dxa"/>
            <w:vAlign w:val="center"/>
          </w:tcPr>
          <w:p w:rsidR="00530424" w:rsidRPr="00530424" w:rsidRDefault="00530424" w:rsidP="00530424">
            <w:pPr>
              <w:pStyle w:val="TableBodyText"/>
            </w:pPr>
            <w:r w:rsidRPr="00530424">
              <w:t xml:space="preserve">95.9 </w:t>
            </w:r>
            <w:r w:rsidR="003103F0">
              <w:br/>
            </w:r>
            <w:r w:rsidRPr="00530424">
              <w:t>± 10.0</w:t>
            </w:r>
          </w:p>
        </w:tc>
      </w:tr>
      <w:tr w:rsidR="00530424" w:rsidRPr="00530424" w:rsidTr="003103F0">
        <w:tc>
          <w:tcPr>
            <w:tcW w:w="1560" w:type="dxa"/>
          </w:tcPr>
          <w:p w:rsidR="00530424" w:rsidRPr="00D07F9F" w:rsidRDefault="00530424" w:rsidP="001517E0">
            <w:pPr>
              <w:keepNext/>
              <w:keepLines/>
              <w:spacing w:line="220" w:lineRule="atLeast"/>
              <w:ind w:right="113"/>
              <w:rPr>
                <w:rFonts w:ascii="Arial" w:hAnsi="Arial"/>
                <w:sz w:val="20"/>
                <w:szCs w:val="20"/>
              </w:rPr>
            </w:pPr>
            <w:r w:rsidRPr="00D07F9F">
              <w:rPr>
                <w:rFonts w:ascii="Arial" w:hAnsi="Arial"/>
                <w:sz w:val="20"/>
                <w:szCs w:val="20"/>
              </w:rPr>
              <w:t>Gain 2010-2012</w:t>
            </w:r>
          </w:p>
        </w:tc>
        <w:tc>
          <w:tcPr>
            <w:tcW w:w="803" w:type="dxa"/>
            <w:vAlign w:val="center"/>
          </w:tcPr>
          <w:p w:rsidR="00530424" w:rsidRPr="00530424" w:rsidRDefault="00530424" w:rsidP="001517E0">
            <w:pPr>
              <w:pStyle w:val="TableBodyText"/>
              <w:spacing w:after="0"/>
            </w:pPr>
            <w:r w:rsidRPr="00530424">
              <w:t xml:space="preserve">56.6 </w:t>
            </w:r>
            <w:r w:rsidR="003103F0">
              <w:br/>
            </w:r>
            <w:r w:rsidRPr="00530424">
              <w:t>± 8.4</w:t>
            </w:r>
          </w:p>
        </w:tc>
        <w:tc>
          <w:tcPr>
            <w:tcW w:w="803" w:type="dxa"/>
            <w:vAlign w:val="center"/>
          </w:tcPr>
          <w:p w:rsidR="00530424" w:rsidRPr="00530424" w:rsidRDefault="00530424" w:rsidP="001517E0">
            <w:pPr>
              <w:pStyle w:val="TableBodyText"/>
              <w:spacing w:after="0"/>
            </w:pPr>
            <w:r w:rsidRPr="00530424">
              <w:t xml:space="preserve">49.9 </w:t>
            </w:r>
            <w:r w:rsidR="003103F0">
              <w:br/>
            </w:r>
            <w:r w:rsidRPr="00530424">
              <w:t>± 11.0</w:t>
            </w:r>
          </w:p>
        </w:tc>
        <w:tc>
          <w:tcPr>
            <w:tcW w:w="804" w:type="dxa"/>
            <w:vAlign w:val="center"/>
          </w:tcPr>
          <w:p w:rsidR="00530424" w:rsidRPr="00530424" w:rsidRDefault="00530424" w:rsidP="001517E0">
            <w:pPr>
              <w:pStyle w:val="TableBodyText"/>
              <w:spacing w:after="0"/>
            </w:pPr>
            <w:r w:rsidRPr="00530424">
              <w:t xml:space="preserve">66.7 </w:t>
            </w:r>
            <w:r w:rsidR="003103F0">
              <w:br/>
            </w:r>
            <w:r w:rsidRPr="00530424">
              <w:t>± 9.3</w:t>
            </w:r>
          </w:p>
        </w:tc>
        <w:tc>
          <w:tcPr>
            <w:tcW w:w="803" w:type="dxa"/>
            <w:vAlign w:val="center"/>
          </w:tcPr>
          <w:p w:rsidR="00530424" w:rsidRPr="00530424" w:rsidRDefault="00530424" w:rsidP="001517E0">
            <w:pPr>
              <w:pStyle w:val="TableBodyText"/>
              <w:spacing w:after="0"/>
            </w:pPr>
            <w:r w:rsidRPr="00530424">
              <w:t xml:space="preserve">74.7 </w:t>
            </w:r>
            <w:r w:rsidR="003103F0">
              <w:br/>
            </w:r>
            <w:r w:rsidRPr="00530424">
              <w:t>± 10.6</w:t>
            </w:r>
          </w:p>
        </w:tc>
        <w:tc>
          <w:tcPr>
            <w:tcW w:w="803" w:type="dxa"/>
            <w:vAlign w:val="center"/>
          </w:tcPr>
          <w:p w:rsidR="00530424" w:rsidRPr="00530424" w:rsidRDefault="00530424" w:rsidP="001517E0">
            <w:pPr>
              <w:pStyle w:val="TableBodyText"/>
              <w:spacing w:after="0"/>
            </w:pPr>
            <w:r w:rsidRPr="00530424">
              <w:t xml:space="preserve">69.6 </w:t>
            </w:r>
            <w:r w:rsidR="003103F0">
              <w:br/>
            </w:r>
            <w:r w:rsidRPr="00530424">
              <w:t>± 12.8</w:t>
            </w:r>
          </w:p>
        </w:tc>
        <w:tc>
          <w:tcPr>
            <w:tcW w:w="804" w:type="dxa"/>
            <w:vAlign w:val="center"/>
          </w:tcPr>
          <w:p w:rsidR="00530424" w:rsidRPr="00530424" w:rsidRDefault="00530424" w:rsidP="001517E0">
            <w:pPr>
              <w:pStyle w:val="TableBodyText"/>
              <w:spacing w:after="0"/>
            </w:pPr>
            <w:r w:rsidRPr="00530424">
              <w:t xml:space="preserve">53.1 </w:t>
            </w:r>
            <w:r w:rsidR="003103F0">
              <w:br/>
            </w:r>
            <w:r w:rsidRPr="00530424">
              <w:t>± 13.7</w:t>
            </w:r>
          </w:p>
        </w:tc>
        <w:tc>
          <w:tcPr>
            <w:tcW w:w="803" w:type="dxa"/>
            <w:vAlign w:val="center"/>
          </w:tcPr>
          <w:p w:rsidR="00530424" w:rsidRPr="00530424" w:rsidRDefault="00530424" w:rsidP="001517E0">
            <w:pPr>
              <w:pStyle w:val="TableBodyText"/>
              <w:spacing w:after="0"/>
            </w:pPr>
            <w:r w:rsidRPr="00530424">
              <w:t xml:space="preserve">76.8 </w:t>
            </w:r>
            <w:r w:rsidR="003103F0">
              <w:br/>
            </w:r>
            <w:r w:rsidRPr="00530424">
              <w:t>± 21.6</w:t>
            </w:r>
          </w:p>
        </w:tc>
        <w:tc>
          <w:tcPr>
            <w:tcW w:w="803" w:type="dxa"/>
            <w:vAlign w:val="center"/>
          </w:tcPr>
          <w:p w:rsidR="00530424" w:rsidRPr="00530424" w:rsidRDefault="00530424" w:rsidP="001517E0">
            <w:pPr>
              <w:pStyle w:val="TableBodyText"/>
              <w:spacing w:after="0"/>
            </w:pPr>
            <w:r w:rsidRPr="00530424">
              <w:t xml:space="preserve">70.6 </w:t>
            </w:r>
            <w:r w:rsidR="003103F0">
              <w:br/>
            </w:r>
            <w:r w:rsidRPr="00530424">
              <w:t>± 30.3</w:t>
            </w:r>
          </w:p>
        </w:tc>
        <w:tc>
          <w:tcPr>
            <w:tcW w:w="804" w:type="dxa"/>
            <w:vAlign w:val="center"/>
          </w:tcPr>
          <w:p w:rsidR="00530424" w:rsidRPr="00530424" w:rsidRDefault="00530424" w:rsidP="001517E0">
            <w:pPr>
              <w:pStyle w:val="TableBodyText"/>
              <w:spacing w:after="0"/>
            </w:pPr>
            <w:r w:rsidRPr="00530424">
              <w:t xml:space="preserve">65.2 </w:t>
            </w:r>
            <w:r w:rsidR="003103F0">
              <w:br/>
            </w:r>
            <w:r w:rsidRPr="00530424">
              <w:t>± 8.6</w:t>
            </w:r>
          </w:p>
        </w:tc>
      </w:tr>
      <w:tr w:rsidR="00530424" w:rsidRPr="00530424" w:rsidTr="0036281D">
        <w:tc>
          <w:tcPr>
            <w:tcW w:w="8790" w:type="dxa"/>
            <w:gridSpan w:val="10"/>
          </w:tcPr>
          <w:p w:rsidR="00666ECE" w:rsidRPr="00D07F9F" w:rsidRDefault="00666ECE" w:rsidP="001517E0">
            <w:pPr>
              <w:pStyle w:val="TableBodyText"/>
              <w:spacing w:before="80"/>
              <w:jc w:val="left"/>
              <w:rPr>
                <w:b/>
              </w:rPr>
            </w:pPr>
            <w:r w:rsidRPr="00D07F9F">
              <w:rPr>
                <w:b/>
              </w:rPr>
              <w:t>Non-Indigenous students</w:t>
            </w:r>
          </w:p>
        </w:tc>
      </w:tr>
      <w:tr w:rsidR="00530424" w:rsidRPr="00530424" w:rsidTr="003103F0">
        <w:tc>
          <w:tcPr>
            <w:tcW w:w="1560" w:type="dxa"/>
          </w:tcPr>
          <w:p w:rsidR="00530424" w:rsidRPr="00530424" w:rsidRDefault="00530424" w:rsidP="00530424">
            <w:pPr>
              <w:keepNext/>
              <w:keepLines/>
              <w:spacing w:after="40" w:line="220" w:lineRule="atLeast"/>
              <w:ind w:left="6" w:right="113"/>
              <w:rPr>
                <w:rFonts w:ascii="Arial" w:hAnsi="Arial"/>
                <w:sz w:val="20"/>
                <w:szCs w:val="20"/>
              </w:rPr>
            </w:pPr>
            <w:r w:rsidRPr="00530424">
              <w:rPr>
                <w:rFonts w:ascii="Arial" w:hAnsi="Arial"/>
                <w:sz w:val="20"/>
                <w:szCs w:val="20"/>
              </w:rPr>
              <w:t>2008 Year 3</w:t>
            </w:r>
          </w:p>
        </w:tc>
        <w:tc>
          <w:tcPr>
            <w:tcW w:w="803" w:type="dxa"/>
            <w:vAlign w:val="center"/>
          </w:tcPr>
          <w:p w:rsidR="00530424" w:rsidRPr="00530424" w:rsidRDefault="00530424" w:rsidP="00530424">
            <w:pPr>
              <w:pStyle w:val="TableBodyText"/>
            </w:pPr>
            <w:r w:rsidRPr="00530424">
              <w:t xml:space="preserve">414.9 </w:t>
            </w:r>
            <w:r w:rsidR="003103F0">
              <w:br/>
            </w:r>
            <w:r w:rsidRPr="00530424">
              <w:t>± 1.7</w:t>
            </w:r>
          </w:p>
        </w:tc>
        <w:tc>
          <w:tcPr>
            <w:tcW w:w="803" w:type="dxa"/>
            <w:vAlign w:val="center"/>
          </w:tcPr>
          <w:p w:rsidR="00530424" w:rsidRPr="00530424" w:rsidRDefault="00530424" w:rsidP="00530424">
            <w:pPr>
              <w:pStyle w:val="TableBodyText"/>
            </w:pPr>
            <w:r w:rsidRPr="00530424">
              <w:t xml:space="preserve">420.6 </w:t>
            </w:r>
            <w:r w:rsidR="003103F0">
              <w:br/>
            </w:r>
            <w:r w:rsidRPr="00530424">
              <w:t>± 1.6</w:t>
            </w:r>
          </w:p>
        </w:tc>
        <w:tc>
          <w:tcPr>
            <w:tcW w:w="804" w:type="dxa"/>
            <w:vAlign w:val="center"/>
          </w:tcPr>
          <w:p w:rsidR="00530424" w:rsidRPr="00530424" w:rsidRDefault="00530424" w:rsidP="00530424">
            <w:pPr>
              <w:pStyle w:val="TableBodyText"/>
            </w:pPr>
            <w:r w:rsidRPr="00530424">
              <w:t xml:space="preserve">375.9 </w:t>
            </w:r>
            <w:r w:rsidR="003103F0">
              <w:br/>
            </w:r>
            <w:r w:rsidRPr="00530424">
              <w:t>± 2.4</w:t>
            </w:r>
          </w:p>
        </w:tc>
        <w:tc>
          <w:tcPr>
            <w:tcW w:w="803" w:type="dxa"/>
            <w:vAlign w:val="center"/>
          </w:tcPr>
          <w:p w:rsidR="00530424" w:rsidRPr="00530424" w:rsidRDefault="00530424" w:rsidP="00530424">
            <w:pPr>
              <w:pStyle w:val="TableBodyText"/>
            </w:pPr>
            <w:r w:rsidRPr="00530424">
              <w:t xml:space="preserve">394.5 </w:t>
            </w:r>
            <w:r w:rsidR="003103F0">
              <w:br/>
            </w:r>
            <w:r w:rsidRPr="00530424">
              <w:t>± 2.7</w:t>
            </w:r>
          </w:p>
        </w:tc>
        <w:tc>
          <w:tcPr>
            <w:tcW w:w="803" w:type="dxa"/>
            <w:vAlign w:val="center"/>
          </w:tcPr>
          <w:p w:rsidR="00530424" w:rsidRPr="00530424" w:rsidRDefault="00530424" w:rsidP="00530424">
            <w:pPr>
              <w:pStyle w:val="TableBodyText"/>
            </w:pPr>
            <w:r w:rsidRPr="00530424">
              <w:t xml:space="preserve">403.9 </w:t>
            </w:r>
            <w:r w:rsidR="003103F0">
              <w:br/>
            </w:r>
            <w:r w:rsidRPr="00530424">
              <w:t>± 3.1</w:t>
            </w:r>
          </w:p>
        </w:tc>
        <w:tc>
          <w:tcPr>
            <w:tcW w:w="804" w:type="dxa"/>
            <w:vAlign w:val="center"/>
          </w:tcPr>
          <w:p w:rsidR="00530424" w:rsidRPr="00530424" w:rsidRDefault="00530424" w:rsidP="00530424">
            <w:pPr>
              <w:pStyle w:val="TableBodyText"/>
            </w:pPr>
            <w:r w:rsidRPr="00530424">
              <w:t xml:space="preserve">403.4 </w:t>
            </w:r>
            <w:r w:rsidR="003103F0">
              <w:br/>
            </w:r>
            <w:r w:rsidRPr="00530424">
              <w:t>± 5.2</w:t>
            </w:r>
          </w:p>
        </w:tc>
        <w:tc>
          <w:tcPr>
            <w:tcW w:w="803" w:type="dxa"/>
            <w:vAlign w:val="center"/>
          </w:tcPr>
          <w:p w:rsidR="00530424" w:rsidRPr="00530424" w:rsidRDefault="00530424" w:rsidP="00530424">
            <w:pPr>
              <w:pStyle w:val="TableBodyText"/>
            </w:pPr>
            <w:r w:rsidRPr="00530424">
              <w:t xml:space="preserve">422.8 </w:t>
            </w:r>
            <w:r w:rsidR="003103F0">
              <w:br/>
            </w:r>
            <w:r w:rsidRPr="00530424">
              <w:t>± 5.7</w:t>
            </w:r>
          </w:p>
        </w:tc>
        <w:tc>
          <w:tcPr>
            <w:tcW w:w="803" w:type="dxa"/>
            <w:vAlign w:val="center"/>
          </w:tcPr>
          <w:p w:rsidR="00530424" w:rsidRPr="00530424" w:rsidRDefault="00530424" w:rsidP="00530424">
            <w:pPr>
              <w:pStyle w:val="TableBodyText"/>
            </w:pPr>
            <w:r w:rsidRPr="00530424">
              <w:t xml:space="preserve">382.5 </w:t>
            </w:r>
            <w:r w:rsidR="003103F0">
              <w:br/>
            </w:r>
            <w:r w:rsidRPr="00530424">
              <w:t>± 8.1</w:t>
            </w:r>
          </w:p>
        </w:tc>
        <w:tc>
          <w:tcPr>
            <w:tcW w:w="804" w:type="dxa"/>
            <w:vAlign w:val="center"/>
          </w:tcPr>
          <w:p w:rsidR="00530424" w:rsidRPr="00530424" w:rsidRDefault="00530424" w:rsidP="00530424">
            <w:pPr>
              <w:pStyle w:val="TableBodyText"/>
            </w:pPr>
            <w:r w:rsidRPr="00530424">
              <w:t xml:space="preserve">405.0 </w:t>
            </w:r>
            <w:r w:rsidR="003103F0">
              <w:br/>
            </w:r>
            <w:r w:rsidRPr="00530424">
              <w:t>± 1.1</w:t>
            </w:r>
          </w:p>
        </w:tc>
      </w:tr>
      <w:tr w:rsidR="00530424" w:rsidRPr="00530424" w:rsidTr="003103F0">
        <w:tc>
          <w:tcPr>
            <w:tcW w:w="1560" w:type="dxa"/>
          </w:tcPr>
          <w:p w:rsidR="00530424" w:rsidRPr="00530424" w:rsidRDefault="00530424" w:rsidP="00530424">
            <w:pPr>
              <w:keepNext/>
              <w:keepLines/>
              <w:spacing w:after="40" w:line="220" w:lineRule="atLeast"/>
              <w:ind w:right="113"/>
              <w:rPr>
                <w:rFonts w:ascii="Arial" w:hAnsi="Arial"/>
                <w:sz w:val="20"/>
                <w:szCs w:val="20"/>
              </w:rPr>
            </w:pPr>
            <w:r w:rsidRPr="00530424">
              <w:rPr>
                <w:rFonts w:ascii="Arial" w:hAnsi="Arial"/>
                <w:sz w:val="20"/>
                <w:szCs w:val="20"/>
              </w:rPr>
              <w:t>2010 Year 5</w:t>
            </w:r>
          </w:p>
        </w:tc>
        <w:tc>
          <w:tcPr>
            <w:tcW w:w="803" w:type="dxa"/>
            <w:vAlign w:val="center"/>
          </w:tcPr>
          <w:p w:rsidR="00530424" w:rsidRPr="00530424" w:rsidRDefault="00530424" w:rsidP="00530424">
            <w:pPr>
              <w:pStyle w:val="TableBodyText"/>
            </w:pPr>
            <w:r w:rsidRPr="00530424">
              <w:t xml:space="preserve">498.7 </w:t>
            </w:r>
            <w:r w:rsidR="003103F0">
              <w:br/>
            </w:r>
            <w:r w:rsidRPr="00530424">
              <w:t>± 1.9</w:t>
            </w:r>
          </w:p>
        </w:tc>
        <w:tc>
          <w:tcPr>
            <w:tcW w:w="803" w:type="dxa"/>
            <w:vAlign w:val="center"/>
          </w:tcPr>
          <w:p w:rsidR="00530424" w:rsidRPr="00530424" w:rsidRDefault="00530424" w:rsidP="00530424">
            <w:pPr>
              <w:pStyle w:val="TableBodyText"/>
            </w:pPr>
            <w:r w:rsidRPr="00530424">
              <w:t xml:space="preserve">502.7 </w:t>
            </w:r>
            <w:r w:rsidR="003103F0">
              <w:br/>
            </w:r>
            <w:r w:rsidRPr="00530424">
              <w:t>± 1.7</w:t>
            </w:r>
          </w:p>
        </w:tc>
        <w:tc>
          <w:tcPr>
            <w:tcW w:w="804" w:type="dxa"/>
            <w:vAlign w:val="center"/>
          </w:tcPr>
          <w:p w:rsidR="00530424" w:rsidRPr="00530424" w:rsidRDefault="00530424" w:rsidP="00530424">
            <w:pPr>
              <w:pStyle w:val="TableBodyText"/>
            </w:pPr>
            <w:r w:rsidRPr="00530424">
              <w:t xml:space="preserve">473.4 </w:t>
            </w:r>
            <w:r w:rsidR="003103F0">
              <w:br/>
            </w:r>
            <w:r w:rsidRPr="00530424">
              <w:t>± 1.9</w:t>
            </w:r>
          </w:p>
        </w:tc>
        <w:tc>
          <w:tcPr>
            <w:tcW w:w="803" w:type="dxa"/>
            <w:vAlign w:val="center"/>
          </w:tcPr>
          <w:p w:rsidR="00530424" w:rsidRPr="00530424" w:rsidRDefault="00530424" w:rsidP="00530424">
            <w:pPr>
              <w:pStyle w:val="TableBodyText"/>
            </w:pPr>
            <w:r w:rsidRPr="00530424">
              <w:t xml:space="preserve">484.5 </w:t>
            </w:r>
            <w:r w:rsidR="003103F0">
              <w:br/>
            </w:r>
            <w:r w:rsidRPr="00530424">
              <w:t>± 2.6</w:t>
            </w:r>
          </w:p>
        </w:tc>
        <w:tc>
          <w:tcPr>
            <w:tcW w:w="803" w:type="dxa"/>
            <w:vAlign w:val="center"/>
          </w:tcPr>
          <w:p w:rsidR="00530424" w:rsidRPr="00530424" w:rsidRDefault="00530424" w:rsidP="00530424">
            <w:pPr>
              <w:pStyle w:val="TableBodyText"/>
            </w:pPr>
            <w:r w:rsidRPr="00530424">
              <w:t xml:space="preserve">479.1 </w:t>
            </w:r>
            <w:r w:rsidR="003103F0">
              <w:br/>
            </w:r>
            <w:r w:rsidRPr="00530424">
              <w:t>± 2.9</w:t>
            </w:r>
          </w:p>
        </w:tc>
        <w:tc>
          <w:tcPr>
            <w:tcW w:w="804" w:type="dxa"/>
            <w:vAlign w:val="center"/>
          </w:tcPr>
          <w:p w:rsidR="00530424" w:rsidRPr="00530424" w:rsidRDefault="00530424" w:rsidP="00530424">
            <w:pPr>
              <w:pStyle w:val="TableBodyText"/>
            </w:pPr>
            <w:r w:rsidRPr="00530424">
              <w:t xml:space="preserve">488.0 </w:t>
            </w:r>
            <w:r w:rsidR="003103F0">
              <w:br/>
            </w:r>
            <w:r w:rsidRPr="00530424">
              <w:t>± 5.3</w:t>
            </w:r>
          </w:p>
        </w:tc>
        <w:tc>
          <w:tcPr>
            <w:tcW w:w="803" w:type="dxa"/>
            <w:vAlign w:val="center"/>
          </w:tcPr>
          <w:p w:rsidR="00530424" w:rsidRPr="00530424" w:rsidRDefault="00530424" w:rsidP="00530424">
            <w:pPr>
              <w:pStyle w:val="TableBodyText"/>
            </w:pPr>
            <w:r w:rsidRPr="00530424">
              <w:t xml:space="preserve">510.4 </w:t>
            </w:r>
            <w:r w:rsidR="003103F0">
              <w:br/>
            </w:r>
            <w:r w:rsidRPr="00530424">
              <w:t>± 5.4</w:t>
            </w:r>
          </w:p>
        </w:tc>
        <w:tc>
          <w:tcPr>
            <w:tcW w:w="803" w:type="dxa"/>
            <w:vAlign w:val="center"/>
          </w:tcPr>
          <w:p w:rsidR="00530424" w:rsidRPr="00530424" w:rsidRDefault="00530424" w:rsidP="00530424">
            <w:pPr>
              <w:pStyle w:val="TableBodyText"/>
            </w:pPr>
            <w:r w:rsidRPr="00530424">
              <w:t xml:space="preserve">475.4 </w:t>
            </w:r>
            <w:r w:rsidR="003103F0">
              <w:br/>
            </w:r>
            <w:r w:rsidRPr="00530424">
              <w:t>± 6.1</w:t>
            </w:r>
          </w:p>
        </w:tc>
        <w:tc>
          <w:tcPr>
            <w:tcW w:w="804" w:type="dxa"/>
            <w:vAlign w:val="center"/>
          </w:tcPr>
          <w:p w:rsidR="00530424" w:rsidRPr="00530424" w:rsidRDefault="00530424" w:rsidP="00530424">
            <w:pPr>
              <w:pStyle w:val="TableBodyText"/>
            </w:pPr>
            <w:r w:rsidRPr="00530424">
              <w:t xml:space="preserve">491.4 </w:t>
            </w:r>
            <w:r w:rsidR="003103F0">
              <w:br/>
            </w:r>
            <w:r w:rsidRPr="00530424">
              <w:t>± 1.0</w:t>
            </w:r>
          </w:p>
        </w:tc>
      </w:tr>
      <w:tr w:rsidR="00530424" w:rsidRPr="00530424" w:rsidTr="003103F0">
        <w:tc>
          <w:tcPr>
            <w:tcW w:w="1560" w:type="dxa"/>
          </w:tcPr>
          <w:p w:rsidR="00530424" w:rsidRPr="00530424" w:rsidRDefault="00530424" w:rsidP="00530424">
            <w:pPr>
              <w:keepNext/>
              <w:keepLines/>
              <w:spacing w:after="40" w:line="220" w:lineRule="atLeast"/>
              <w:ind w:right="113"/>
              <w:rPr>
                <w:rFonts w:ascii="Arial" w:hAnsi="Arial"/>
                <w:sz w:val="20"/>
                <w:szCs w:val="20"/>
              </w:rPr>
            </w:pPr>
            <w:r w:rsidRPr="00530424">
              <w:rPr>
                <w:rFonts w:ascii="Arial" w:hAnsi="Arial"/>
                <w:sz w:val="20"/>
                <w:szCs w:val="20"/>
              </w:rPr>
              <w:t>2012 Year 7</w:t>
            </w:r>
          </w:p>
        </w:tc>
        <w:tc>
          <w:tcPr>
            <w:tcW w:w="803" w:type="dxa"/>
            <w:vAlign w:val="center"/>
          </w:tcPr>
          <w:p w:rsidR="00530424" w:rsidRPr="00530424" w:rsidRDefault="00530424" w:rsidP="00530424">
            <w:pPr>
              <w:pStyle w:val="TableBodyText"/>
            </w:pPr>
            <w:r w:rsidRPr="00530424">
              <w:t xml:space="preserve">548.7 </w:t>
            </w:r>
            <w:r w:rsidR="003103F0">
              <w:br/>
            </w:r>
            <w:r w:rsidRPr="00530424">
              <w:t>± 2.9</w:t>
            </w:r>
          </w:p>
        </w:tc>
        <w:tc>
          <w:tcPr>
            <w:tcW w:w="803" w:type="dxa"/>
            <w:vAlign w:val="center"/>
          </w:tcPr>
          <w:p w:rsidR="00530424" w:rsidRPr="00530424" w:rsidRDefault="00530424" w:rsidP="00530424">
            <w:pPr>
              <w:pStyle w:val="TableBodyText"/>
            </w:pPr>
            <w:r w:rsidRPr="00530424">
              <w:t xml:space="preserve">549.1 </w:t>
            </w:r>
            <w:r w:rsidR="003103F0">
              <w:br/>
            </w:r>
            <w:r w:rsidRPr="00530424">
              <w:t>± 2.6</w:t>
            </w:r>
          </w:p>
        </w:tc>
        <w:tc>
          <w:tcPr>
            <w:tcW w:w="804" w:type="dxa"/>
            <w:vAlign w:val="center"/>
          </w:tcPr>
          <w:p w:rsidR="00530424" w:rsidRPr="00530424" w:rsidRDefault="00530424" w:rsidP="00530424">
            <w:pPr>
              <w:pStyle w:val="TableBodyText"/>
            </w:pPr>
            <w:r w:rsidRPr="00530424">
              <w:t xml:space="preserve">536.8 </w:t>
            </w:r>
            <w:r w:rsidR="003103F0">
              <w:br/>
            </w:r>
            <w:r w:rsidRPr="00530424">
              <w:t>± 1.9</w:t>
            </w:r>
          </w:p>
        </w:tc>
        <w:tc>
          <w:tcPr>
            <w:tcW w:w="803" w:type="dxa"/>
            <w:vAlign w:val="center"/>
          </w:tcPr>
          <w:p w:rsidR="00530424" w:rsidRPr="00530424" w:rsidRDefault="00530424" w:rsidP="00530424">
            <w:pPr>
              <w:pStyle w:val="TableBodyText"/>
            </w:pPr>
            <w:r w:rsidRPr="00530424">
              <w:t xml:space="preserve">543.3 </w:t>
            </w:r>
            <w:r w:rsidR="003103F0">
              <w:br/>
            </w:r>
            <w:r w:rsidRPr="00530424">
              <w:t>± 2.9</w:t>
            </w:r>
          </w:p>
        </w:tc>
        <w:tc>
          <w:tcPr>
            <w:tcW w:w="803" w:type="dxa"/>
            <w:vAlign w:val="center"/>
          </w:tcPr>
          <w:p w:rsidR="00530424" w:rsidRPr="00530424" w:rsidRDefault="00530424" w:rsidP="00530424">
            <w:pPr>
              <w:pStyle w:val="TableBodyText"/>
            </w:pPr>
            <w:r w:rsidRPr="00530424">
              <w:t xml:space="preserve">539.5 </w:t>
            </w:r>
            <w:r w:rsidR="003103F0">
              <w:br/>
            </w:r>
            <w:r w:rsidRPr="00530424">
              <w:t>± 2.8</w:t>
            </w:r>
          </w:p>
        </w:tc>
        <w:tc>
          <w:tcPr>
            <w:tcW w:w="804" w:type="dxa"/>
            <w:vAlign w:val="center"/>
          </w:tcPr>
          <w:p w:rsidR="00530424" w:rsidRPr="00530424" w:rsidRDefault="00530424" w:rsidP="00530424">
            <w:pPr>
              <w:pStyle w:val="TableBodyText"/>
            </w:pPr>
            <w:r w:rsidRPr="00530424">
              <w:t xml:space="preserve">542.8 </w:t>
            </w:r>
            <w:r w:rsidR="003103F0">
              <w:br/>
            </w:r>
            <w:r w:rsidRPr="00530424">
              <w:t>± 6.8</w:t>
            </w:r>
          </w:p>
        </w:tc>
        <w:tc>
          <w:tcPr>
            <w:tcW w:w="803" w:type="dxa"/>
            <w:vAlign w:val="center"/>
          </w:tcPr>
          <w:p w:rsidR="00530424" w:rsidRPr="00530424" w:rsidRDefault="00530424" w:rsidP="00530424">
            <w:pPr>
              <w:pStyle w:val="TableBodyText"/>
            </w:pPr>
            <w:r w:rsidRPr="00530424">
              <w:t xml:space="preserve">559.8 </w:t>
            </w:r>
            <w:r w:rsidR="003103F0">
              <w:br/>
            </w:r>
            <w:r w:rsidRPr="00530424">
              <w:t>± 8.3</w:t>
            </w:r>
          </w:p>
        </w:tc>
        <w:tc>
          <w:tcPr>
            <w:tcW w:w="803" w:type="dxa"/>
            <w:vAlign w:val="center"/>
          </w:tcPr>
          <w:p w:rsidR="00530424" w:rsidRPr="00530424" w:rsidRDefault="00530424" w:rsidP="00530424">
            <w:pPr>
              <w:pStyle w:val="TableBodyText"/>
            </w:pPr>
            <w:r w:rsidRPr="00530424">
              <w:t xml:space="preserve">530.8 </w:t>
            </w:r>
            <w:r w:rsidR="003103F0">
              <w:br/>
            </w:r>
            <w:r w:rsidRPr="00530424">
              <w:t>± 13.2</w:t>
            </w:r>
          </w:p>
        </w:tc>
        <w:tc>
          <w:tcPr>
            <w:tcW w:w="804" w:type="dxa"/>
            <w:vAlign w:val="center"/>
          </w:tcPr>
          <w:p w:rsidR="00530424" w:rsidRPr="00530424" w:rsidRDefault="00530424" w:rsidP="00530424">
            <w:pPr>
              <w:pStyle w:val="TableBodyText"/>
            </w:pPr>
            <w:r w:rsidRPr="00530424">
              <w:t xml:space="preserve">545.0 </w:t>
            </w:r>
            <w:r w:rsidR="003103F0">
              <w:br/>
            </w:r>
            <w:r w:rsidRPr="00530424">
              <w:t>± 1.3</w:t>
            </w:r>
          </w:p>
        </w:tc>
      </w:tr>
      <w:tr w:rsidR="00530424" w:rsidRPr="00530424" w:rsidTr="003103F0">
        <w:tc>
          <w:tcPr>
            <w:tcW w:w="1560" w:type="dxa"/>
          </w:tcPr>
          <w:p w:rsidR="00530424" w:rsidRPr="00D07F9F" w:rsidRDefault="00530424" w:rsidP="00530424">
            <w:pPr>
              <w:keepNext/>
              <w:keepLines/>
              <w:spacing w:after="40" w:line="220" w:lineRule="atLeast"/>
              <w:ind w:right="113"/>
              <w:rPr>
                <w:rFonts w:ascii="Arial" w:hAnsi="Arial"/>
                <w:sz w:val="20"/>
                <w:szCs w:val="20"/>
              </w:rPr>
            </w:pPr>
            <w:r w:rsidRPr="00D07F9F">
              <w:rPr>
                <w:rFonts w:ascii="Arial" w:hAnsi="Arial"/>
                <w:sz w:val="20"/>
                <w:szCs w:val="20"/>
              </w:rPr>
              <w:t>Gain 2008-2010</w:t>
            </w:r>
          </w:p>
        </w:tc>
        <w:tc>
          <w:tcPr>
            <w:tcW w:w="803" w:type="dxa"/>
            <w:vAlign w:val="center"/>
          </w:tcPr>
          <w:p w:rsidR="00530424" w:rsidRPr="00530424" w:rsidRDefault="00530424" w:rsidP="00530424">
            <w:pPr>
              <w:pStyle w:val="TableBodyText"/>
            </w:pPr>
            <w:r w:rsidRPr="00530424">
              <w:t xml:space="preserve">83.8 </w:t>
            </w:r>
            <w:r w:rsidR="003103F0">
              <w:br/>
            </w:r>
            <w:r w:rsidRPr="00530424">
              <w:t>± 8.2</w:t>
            </w:r>
          </w:p>
        </w:tc>
        <w:tc>
          <w:tcPr>
            <w:tcW w:w="803" w:type="dxa"/>
            <w:vAlign w:val="center"/>
          </w:tcPr>
          <w:p w:rsidR="00530424" w:rsidRPr="00530424" w:rsidRDefault="00530424" w:rsidP="00530424">
            <w:pPr>
              <w:pStyle w:val="TableBodyText"/>
            </w:pPr>
            <w:r w:rsidRPr="00530424">
              <w:t xml:space="preserve">82.1 </w:t>
            </w:r>
            <w:r w:rsidR="003103F0">
              <w:br/>
            </w:r>
            <w:r w:rsidRPr="00530424">
              <w:t>± 8.1</w:t>
            </w:r>
          </w:p>
        </w:tc>
        <w:tc>
          <w:tcPr>
            <w:tcW w:w="804" w:type="dxa"/>
            <w:vAlign w:val="center"/>
          </w:tcPr>
          <w:p w:rsidR="00530424" w:rsidRPr="00530424" w:rsidRDefault="00530424" w:rsidP="00530424">
            <w:pPr>
              <w:pStyle w:val="TableBodyText"/>
            </w:pPr>
            <w:r w:rsidRPr="00530424">
              <w:t xml:space="preserve">97.5 </w:t>
            </w:r>
            <w:r w:rsidR="003103F0">
              <w:br/>
            </w:r>
            <w:r w:rsidRPr="00530424">
              <w:t>± 8.4</w:t>
            </w:r>
          </w:p>
        </w:tc>
        <w:tc>
          <w:tcPr>
            <w:tcW w:w="803" w:type="dxa"/>
            <w:vAlign w:val="center"/>
          </w:tcPr>
          <w:p w:rsidR="00530424" w:rsidRPr="00530424" w:rsidRDefault="00530424" w:rsidP="00530424">
            <w:pPr>
              <w:pStyle w:val="TableBodyText"/>
            </w:pPr>
            <w:r w:rsidRPr="00530424">
              <w:t xml:space="preserve">90.0 </w:t>
            </w:r>
            <w:r w:rsidR="003103F0">
              <w:br/>
            </w:r>
            <w:r w:rsidRPr="00530424">
              <w:t>± 8.6</w:t>
            </w:r>
          </w:p>
        </w:tc>
        <w:tc>
          <w:tcPr>
            <w:tcW w:w="803" w:type="dxa"/>
            <w:vAlign w:val="center"/>
          </w:tcPr>
          <w:p w:rsidR="00530424" w:rsidRPr="00530424" w:rsidRDefault="00530424" w:rsidP="00530424">
            <w:pPr>
              <w:pStyle w:val="TableBodyText"/>
            </w:pPr>
            <w:r w:rsidRPr="00530424">
              <w:t xml:space="preserve">75.2 </w:t>
            </w:r>
            <w:r w:rsidR="003103F0">
              <w:br/>
            </w:r>
            <w:r w:rsidRPr="00530424">
              <w:t>± 8.9</w:t>
            </w:r>
          </w:p>
        </w:tc>
        <w:tc>
          <w:tcPr>
            <w:tcW w:w="804" w:type="dxa"/>
            <w:vAlign w:val="center"/>
          </w:tcPr>
          <w:p w:rsidR="00530424" w:rsidRPr="00530424" w:rsidRDefault="00530424" w:rsidP="00530424">
            <w:pPr>
              <w:pStyle w:val="TableBodyText"/>
            </w:pPr>
            <w:r w:rsidRPr="00530424">
              <w:t xml:space="preserve">84.6 </w:t>
            </w:r>
            <w:r w:rsidR="003103F0">
              <w:br/>
            </w:r>
            <w:r w:rsidRPr="00530424">
              <w:t>± 10.7</w:t>
            </w:r>
          </w:p>
        </w:tc>
        <w:tc>
          <w:tcPr>
            <w:tcW w:w="803" w:type="dxa"/>
            <w:vAlign w:val="center"/>
          </w:tcPr>
          <w:p w:rsidR="00530424" w:rsidRPr="00530424" w:rsidRDefault="00530424" w:rsidP="00530424">
            <w:pPr>
              <w:pStyle w:val="TableBodyText"/>
            </w:pPr>
            <w:r w:rsidRPr="00530424">
              <w:t xml:space="preserve">87.6 </w:t>
            </w:r>
            <w:r w:rsidR="003103F0">
              <w:br/>
            </w:r>
            <w:r w:rsidRPr="00530424">
              <w:t>± 11.0</w:t>
            </w:r>
          </w:p>
        </w:tc>
        <w:tc>
          <w:tcPr>
            <w:tcW w:w="803" w:type="dxa"/>
            <w:vAlign w:val="center"/>
          </w:tcPr>
          <w:p w:rsidR="00530424" w:rsidRPr="00530424" w:rsidRDefault="00530424" w:rsidP="00530424">
            <w:pPr>
              <w:pStyle w:val="TableBodyText"/>
            </w:pPr>
            <w:r w:rsidRPr="00530424">
              <w:t xml:space="preserve">92.9 </w:t>
            </w:r>
            <w:r w:rsidR="003103F0">
              <w:br/>
            </w:r>
            <w:r w:rsidRPr="00530424">
              <w:t>± 12.8</w:t>
            </w:r>
          </w:p>
        </w:tc>
        <w:tc>
          <w:tcPr>
            <w:tcW w:w="804" w:type="dxa"/>
            <w:vAlign w:val="center"/>
          </w:tcPr>
          <w:p w:rsidR="00530424" w:rsidRPr="00530424" w:rsidRDefault="00530424" w:rsidP="00530424">
            <w:pPr>
              <w:pStyle w:val="TableBodyText"/>
            </w:pPr>
            <w:r w:rsidRPr="00530424">
              <w:t xml:space="preserve">86.4 </w:t>
            </w:r>
            <w:r w:rsidR="003103F0">
              <w:br/>
            </w:r>
            <w:r w:rsidRPr="00530424">
              <w:t>± 7.9</w:t>
            </w:r>
          </w:p>
        </w:tc>
      </w:tr>
      <w:tr w:rsidR="00530424" w:rsidRPr="00530424" w:rsidTr="003103F0">
        <w:tc>
          <w:tcPr>
            <w:tcW w:w="1560" w:type="dxa"/>
          </w:tcPr>
          <w:p w:rsidR="00530424" w:rsidRPr="00D07F9F" w:rsidRDefault="00530424" w:rsidP="001517E0">
            <w:pPr>
              <w:keepNext/>
              <w:keepLines/>
              <w:spacing w:line="220" w:lineRule="atLeast"/>
              <w:ind w:right="113"/>
              <w:rPr>
                <w:rFonts w:ascii="Arial" w:hAnsi="Arial"/>
                <w:sz w:val="20"/>
                <w:szCs w:val="20"/>
              </w:rPr>
            </w:pPr>
            <w:r w:rsidRPr="00D07F9F">
              <w:rPr>
                <w:rFonts w:ascii="Arial" w:hAnsi="Arial"/>
                <w:sz w:val="20"/>
                <w:szCs w:val="20"/>
              </w:rPr>
              <w:t>Gain 2010-2012</w:t>
            </w:r>
          </w:p>
        </w:tc>
        <w:tc>
          <w:tcPr>
            <w:tcW w:w="803" w:type="dxa"/>
            <w:vAlign w:val="center"/>
          </w:tcPr>
          <w:p w:rsidR="00530424" w:rsidRPr="00530424" w:rsidRDefault="00530424" w:rsidP="001517E0">
            <w:pPr>
              <w:pStyle w:val="TableBodyText"/>
              <w:spacing w:after="0"/>
            </w:pPr>
            <w:r w:rsidRPr="00530424">
              <w:t xml:space="preserve">50.0 </w:t>
            </w:r>
            <w:r w:rsidR="003103F0">
              <w:br/>
            </w:r>
            <w:r w:rsidRPr="00530424">
              <w:t>± 7.8</w:t>
            </w:r>
          </w:p>
        </w:tc>
        <w:tc>
          <w:tcPr>
            <w:tcW w:w="803" w:type="dxa"/>
            <w:vAlign w:val="center"/>
          </w:tcPr>
          <w:p w:rsidR="00530424" w:rsidRPr="00530424" w:rsidRDefault="00530424" w:rsidP="001517E0">
            <w:pPr>
              <w:pStyle w:val="TableBodyText"/>
              <w:spacing w:after="0"/>
            </w:pPr>
            <w:r w:rsidRPr="00530424">
              <w:t xml:space="preserve">46.4 </w:t>
            </w:r>
            <w:r w:rsidR="003103F0">
              <w:br/>
            </w:r>
            <w:r w:rsidRPr="00530424">
              <w:t>± 7.6</w:t>
            </w:r>
          </w:p>
        </w:tc>
        <w:tc>
          <w:tcPr>
            <w:tcW w:w="804" w:type="dxa"/>
            <w:vAlign w:val="center"/>
          </w:tcPr>
          <w:p w:rsidR="00530424" w:rsidRPr="00530424" w:rsidRDefault="00530424" w:rsidP="001517E0">
            <w:pPr>
              <w:pStyle w:val="TableBodyText"/>
              <w:spacing w:after="0"/>
            </w:pPr>
            <w:r w:rsidRPr="00530424">
              <w:t xml:space="preserve">63.4 </w:t>
            </w:r>
            <w:r w:rsidR="003103F0">
              <w:br/>
            </w:r>
            <w:r w:rsidRPr="00530424">
              <w:t>± 7.4</w:t>
            </w:r>
          </w:p>
        </w:tc>
        <w:tc>
          <w:tcPr>
            <w:tcW w:w="803" w:type="dxa"/>
            <w:vAlign w:val="center"/>
          </w:tcPr>
          <w:p w:rsidR="00530424" w:rsidRPr="00530424" w:rsidRDefault="00530424" w:rsidP="001517E0">
            <w:pPr>
              <w:pStyle w:val="TableBodyText"/>
              <w:spacing w:after="0"/>
            </w:pPr>
            <w:r w:rsidRPr="00530424">
              <w:t xml:space="preserve">58.8 </w:t>
            </w:r>
            <w:r w:rsidR="003103F0">
              <w:br/>
            </w:r>
            <w:r w:rsidRPr="00530424">
              <w:t>± 7.9</w:t>
            </w:r>
          </w:p>
        </w:tc>
        <w:tc>
          <w:tcPr>
            <w:tcW w:w="803" w:type="dxa"/>
            <w:vAlign w:val="center"/>
          </w:tcPr>
          <w:p w:rsidR="00530424" w:rsidRPr="00530424" w:rsidRDefault="00530424" w:rsidP="001517E0">
            <w:pPr>
              <w:pStyle w:val="TableBodyText"/>
              <w:spacing w:after="0"/>
            </w:pPr>
            <w:r w:rsidRPr="00530424">
              <w:t xml:space="preserve">60.4 </w:t>
            </w:r>
            <w:r w:rsidR="003103F0">
              <w:br/>
            </w:r>
            <w:r w:rsidRPr="00530424">
              <w:t>± 8.0</w:t>
            </w:r>
          </w:p>
        </w:tc>
        <w:tc>
          <w:tcPr>
            <w:tcW w:w="804" w:type="dxa"/>
            <w:vAlign w:val="center"/>
          </w:tcPr>
          <w:p w:rsidR="00530424" w:rsidRPr="00530424" w:rsidRDefault="00530424" w:rsidP="001517E0">
            <w:pPr>
              <w:pStyle w:val="TableBodyText"/>
              <w:spacing w:after="0"/>
            </w:pPr>
            <w:r w:rsidRPr="00530424">
              <w:t xml:space="preserve">54.8 </w:t>
            </w:r>
            <w:r w:rsidR="003103F0">
              <w:br/>
            </w:r>
            <w:r w:rsidRPr="00530424">
              <w:t>± 11.1</w:t>
            </w:r>
          </w:p>
        </w:tc>
        <w:tc>
          <w:tcPr>
            <w:tcW w:w="803" w:type="dxa"/>
            <w:vAlign w:val="center"/>
          </w:tcPr>
          <w:p w:rsidR="00530424" w:rsidRPr="00530424" w:rsidRDefault="00530424" w:rsidP="001517E0">
            <w:pPr>
              <w:pStyle w:val="TableBodyText"/>
              <w:spacing w:after="0"/>
            </w:pPr>
            <w:r w:rsidRPr="00530424">
              <w:t xml:space="preserve">49.4 </w:t>
            </w:r>
            <w:r w:rsidR="003103F0">
              <w:br/>
            </w:r>
            <w:r w:rsidRPr="00530424">
              <w:t>± 12.1</w:t>
            </w:r>
          </w:p>
        </w:tc>
        <w:tc>
          <w:tcPr>
            <w:tcW w:w="803" w:type="dxa"/>
            <w:vAlign w:val="center"/>
          </w:tcPr>
          <w:p w:rsidR="00530424" w:rsidRPr="00530424" w:rsidRDefault="00530424" w:rsidP="001517E0">
            <w:pPr>
              <w:pStyle w:val="TableBodyText"/>
              <w:spacing w:after="0"/>
            </w:pPr>
            <w:r w:rsidRPr="00530424">
              <w:t xml:space="preserve">55.4 </w:t>
            </w:r>
            <w:r w:rsidR="003103F0">
              <w:br/>
            </w:r>
            <w:r w:rsidRPr="00530424">
              <w:t>± 16.1</w:t>
            </w:r>
          </w:p>
        </w:tc>
        <w:tc>
          <w:tcPr>
            <w:tcW w:w="804" w:type="dxa"/>
            <w:vAlign w:val="center"/>
          </w:tcPr>
          <w:p w:rsidR="00530424" w:rsidRPr="00530424" w:rsidRDefault="00530424" w:rsidP="001517E0">
            <w:pPr>
              <w:pStyle w:val="TableBodyText"/>
              <w:spacing w:after="0"/>
            </w:pPr>
            <w:r w:rsidRPr="00530424">
              <w:t xml:space="preserve">53.6 </w:t>
            </w:r>
            <w:r w:rsidR="003103F0">
              <w:br/>
            </w:r>
            <w:r w:rsidRPr="00530424">
              <w:t>± 7.1</w:t>
            </w:r>
          </w:p>
        </w:tc>
      </w:tr>
      <w:tr w:rsidR="00530424" w:rsidRPr="00530424" w:rsidTr="0036281D">
        <w:tc>
          <w:tcPr>
            <w:tcW w:w="8790" w:type="dxa"/>
            <w:gridSpan w:val="10"/>
          </w:tcPr>
          <w:p w:rsidR="00666ECE" w:rsidRPr="00D07F9F" w:rsidRDefault="00666ECE" w:rsidP="001517E0">
            <w:pPr>
              <w:pStyle w:val="TableBodyText"/>
              <w:spacing w:before="80"/>
              <w:jc w:val="left"/>
              <w:rPr>
                <w:b/>
              </w:rPr>
            </w:pPr>
            <w:r w:rsidRPr="00D07F9F">
              <w:rPr>
                <w:b/>
              </w:rPr>
              <w:t>All students</w:t>
            </w:r>
          </w:p>
        </w:tc>
      </w:tr>
      <w:tr w:rsidR="00530424" w:rsidRPr="00530424" w:rsidTr="003103F0">
        <w:tc>
          <w:tcPr>
            <w:tcW w:w="1560" w:type="dxa"/>
          </w:tcPr>
          <w:p w:rsidR="00530424" w:rsidRPr="00530424" w:rsidRDefault="00530424" w:rsidP="00530424">
            <w:pPr>
              <w:keepNext/>
              <w:keepLines/>
              <w:spacing w:after="40" w:line="220" w:lineRule="atLeast"/>
              <w:ind w:left="6" w:right="113"/>
              <w:rPr>
                <w:rFonts w:ascii="Arial" w:hAnsi="Arial"/>
                <w:sz w:val="20"/>
                <w:szCs w:val="20"/>
              </w:rPr>
            </w:pPr>
            <w:r w:rsidRPr="00530424">
              <w:rPr>
                <w:rFonts w:ascii="Arial" w:hAnsi="Arial"/>
                <w:sz w:val="20"/>
                <w:szCs w:val="20"/>
              </w:rPr>
              <w:t>2008 Year 3</w:t>
            </w:r>
          </w:p>
        </w:tc>
        <w:tc>
          <w:tcPr>
            <w:tcW w:w="803" w:type="dxa"/>
            <w:vAlign w:val="center"/>
          </w:tcPr>
          <w:p w:rsidR="00530424" w:rsidRPr="00530424" w:rsidRDefault="00530424" w:rsidP="00530424">
            <w:pPr>
              <w:pStyle w:val="TableBodyText"/>
            </w:pPr>
            <w:r w:rsidRPr="00530424">
              <w:t xml:space="preserve">412.3 </w:t>
            </w:r>
            <w:r w:rsidR="003103F0">
              <w:br/>
            </w:r>
            <w:r w:rsidRPr="00530424">
              <w:t>± 1.8</w:t>
            </w:r>
          </w:p>
        </w:tc>
        <w:tc>
          <w:tcPr>
            <w:tcW w:w="803" w:type="dxa"/>
            <w:vAlign w:val="center"/>
          </w:tcPr>
          <w:p w:rsidR="00530424" w:rsidRPr="00530424" w:rsidRDefault="00530424" w:rsidP="00530424">
            <w:pPr>
              <w:pStyle w:val="TableBodyText"/>
            </w:pPr>
            <w:r w:rsidRPr="00530424">
              <w:t xml:space="preserve">419.9 </w:t>
            </w:r>
            <w:r w:rsidR="003103F0">
              <w:br/>
            </w:r>
            <w:r w:rsidRPr="00530424">
              <w:t>± 1.6</w:t>
            </w:r>
          </w:p>
        </w:tc>
        <w:tc>
          <w:tcPr>
            <w:tcW w:w="804" w:type="dxa"/>
            <w:vAlign w:val="center"/>
          </w:tcPr>
          <w:p w:rsidR="00530424" w:rsidRPr="00530424" w:rsidRDefault="00530424" w:rsidP="00530424">
            <w:pPr>
              <w:pStyle w:val="TableBodyText"/>
            </w:pPr>
            <w:r w:rsidRPr="00530424">
              <w:t xml:space="preserve">371.1 </w:t>
            </w:r>
            <w:r w:rsidR="003103F0">
              <w:br/>
            </w:r>
            <w:r w:rsidRPr="00530424">
              <w:t>± 2.6</w:t>
            </w:r>
          </w:p>
        </w:tc>
        <w:tc>
          <w:tcPr>
            <w:tcW w:w="803" w:type="dxa"/>
            <w:vAlign w:val="center"/>
          </w:tcPr>
          <w:p w:rsidR="00530424" w:rsidRPr="00530424" w:rsidRDefault="00530424" w:rsidP="00530424">
            <w:pPr>
              <w:pStyle w:val="TableBodyText"/>
            </w:pPr>
            <w:r w:rsidRPr="00530424">
              <w:t xml:space="preserve">386.7 </w:t>
            </w:r>
            <w:r w:rsidR="003103F0">
              <w:br/>
            </w:r>
            <w:r w:rsidRPr="00530424">
              <w:t>± 3.1</w:t>
            </w:r>
          </w:p>
        </w:tc>
        <w:tc>
          <w:tcPr>
            <w:tcW w:w="803" w:type="dxa"/>
            <w:vAlign w:val="center"/>
          </w:tcPr>
          <w:p w:rsidR="00530424" w:rsidRPr="00530424" w:rsidRDefault="00530424" w:rsidP="00530424">
            <w:pPr>
              <w:pStyle w:val="TableBodyText"/>
            </w:pPr>
            <w:r w:rsidRPr="00530424">
              <w:t xml:space="preserve">400.5 </w:t>
            </w:r>
            <w:r w:rsidR="003103F0">
              <w:br/>
            </w:r>
            <w:r w:rsidRPr="00530424">
              <w:t>± 3.3</w:t>
            </w:r>
          </w:p>
        </w:tc>
        <w:tc>
          <w:tcPr>
            <w:tcW w:w="804" w:type="dxa"/>
            <w:vAlign w:val="center"/>
          </w:tcPr>
          <w:p w:rsidR="00530424" w:rsidRPr="00530424" w:rsidRDefault="00530424" w:rsidP="00530424">
            <w:pPr>
              <w:pStyle w:val="TableBodyText"/>
            </w:pPr>
            <w:r w:rsidRPr="00530424">
              <w:t xml:space="preserve">401.2 </w:t>
            </w:r>
            <w:r w:rsidR="003103F0">
              <w:br/>
            </w:r>
            <w:r w:rsidRPr="00530424">
              <w:t>± 4.9</w:t>
            </w:r>
          </w:p>
        </w:tc>
        <w:tc>
          <w:tcPr>
            <w:tcW w:w="803" w:type="dxa"/>
            <w:vAlign w:val="center"/>
          </w:tcPr>
          <w:p w:rsidR="00530424" w:rsidRPr="00530424" w:rsidRDefault="00530424" w:rsidP="00530424">
            <w:pPr>
              <w:pStyle w:val="TableBodyText"/>
            </w:pPr>
            <w:r w:rsidRPr="00530424">
              <w:t xml:space="preserve">421.0 </w:t>
            </w:r>
            <w:r w:rsidR="003103F0">
              <w:br/>
            </w:r>
            <w:r w:rsidRPr="00530424">
              <w:t>± 5.9</w:t>
            </w:r>
          </w:p>
        </w:tc>
        <w:tc>
          <w:tcPr>
            <w:tcW w:w="803" w:type="dxa"/>
            <w:vAlign w:val="center"/>
          </w:tcPr>
          <w:p w:rsidR="00530424" w:rsidRPr="00530424" w:rsidRDefault="00530424" w:rsidP="00530424">
            <w:pPr>
              <w:pStyle w:val="TableBodyText"/>
            </w:pPr>
            <w:r w:rsidRPr="00530424">
              <w:t xml:space="preserve">306.6 </w:t>
            </w:r>
            <w:r w:rsidR="003103F0">
              <w:br/>
            </w:r>
            <w:r w:rsidRPr="00530424">
              <w:t>± 19.9</w:t>
            </w:r>
          </w:p>
        </w:tc>
        <w:tc>
          <w:tcPr>
            <w:tcW w:w="804" w:type="dxa"/>
            <w:vAlign w:val="center"/>
          </w:tcPr>
          <w:p w:rsidR="00530424" w:rsidRPr="00530424" w:rsidRDefault="00530424" w:rsidP="00530424">
            <w:pPr>
              <w:pStyle w:val="TableBodyText"/>
            </w:pPr>
            <w:r w:rsidRPr="00530424">
              <w:t xml:space="preserve">400.5 </w:t>
            </w:r>
            <w:r w:rsidR="003103F0">
              <w:br/>
            </w:r>
            <w:r w:rsidRPr="00530424">
              <w:t>± 1.2</w:t>
            </w:r>
          </w:p>
        </w:tc>
      </w:tr>
      <w:tr w:rsidR="00530424" w:rsidRPr="00530424" w:rsidTr="003103F0">
        <w:tc>
          <w:tcPr>
            <w:tcW w:w="1560" w:type="dxa"/>
            <w:shd w:val="clear" w:color="auto" w:fill="auto"/>
          </w:tcPr>
          <w:p w:rsidR="00530424" w:rsidRPr="00530424" w:rsidRDefault="00530424" w:rsidP="00530424">
            <w:pPr>
              <w:keepNext/>
              <w:keepLines/>
              <w:spacing w:after="40" w:line="220" w:lineRule="atLeast"/>
              <w:ind w:right="113"/>
              <w:rPr>
                <w:rFonts w:ascii="Arial" w:hAnsi="Arial"/>
                <w:sz w:val="20"/>
                <w:szCs w:val="20"/>
              </w:rPr>
            </w:pPr>
            <w:r w:rsidRPr="00530424">
              <w:rPr>
                <w:rFonts w:ascii="Arial" w:hAnsi="Arial"/>
                <w:sz w:val="20"/>
                <w:szCs w:val="20"/>
              </w:rPr>
              <w:t>2010 Year 5</w:t>
            </w:r>
          </w:p>
        </w:tc>
        <w:tc>
          <w:tcPr>
            <w:tcW w:w="803" w:type="dxa"/>
            <w:shd w:val="clear" w:color="auto" w:fill="auto"/>
            <w:vAlign w:val="center"/>
          </w:tcPr>
          <w:p w:rsidR="00530424" w:rsidRPr="00530424" w:rsidRDefault="00530424" w:rsidP="00530424">
            <w:pPr>
              <w:pStyle w:val="TableBodyText"/>
            </w:pPr>
            <w:r w:rsidRPr="00530424">
              <w:t xml:space="preserve">496.2 </w:t>
            </w:r>
            <w:r w:rsidR="003103F0">
              <w:br/>
            </w:r>
            <w:r w:rsidRPr="00530424">
              <w:t>± 1.9</w:t>
            </w:r>
          </w:p>
        </w:tc>
        <w:tc>
          <w:tcPr>
            <w:tcW w:w="803" w:type="dxa"/>
            <w:shd w:val="clear" w:color="auto" w:fill="auto"/>
            <w:vAlign w:val="center"/>
          </w:tcPr>
          <w:p w:rsidR="00530424" w:rsidRPr="00530424" w:rsidRDefault="00530424" w:rsidP="00530424">
            <w:pPr>
              <w:pStyle w:val="TableBodyText"/>
            </w:pPr>
            <w:r w:rsidRPr="00530424">
              <w:t xml:space="preserve">502.2 </w:t>
            </w:r>
            <w:r w:rsidR="003103F0">
              <w:br/>
            </w:r>
            <w:r w:rsidRPr="00530424">
              <w:t>± 1.7</w:t>
            </w:r>
          </w:p>
        </w:tc>
        <w:tc>
          <w:tcPr>
            <w:tcW w:w="804" w:type="dxa"/>
            <w:shd w:val="clear" w:color="auto" w:fill="auto"/>
            <w:vAlign w:val="center"/>
          </w:tcPr>
          <w:p w:rsidR="00530424" w:rsidRPr="00530424" w:rsidRDefault="00530424" w:rsidP="00530424">
            <w:pPr>
              <w:pStyle w:val="TableBodyText"/>
            </w:pPr>
            <w:r w:rsidRPr="00530424">
              <w:t xml:space="preserve">468.7 </w:t>
            </w:r>
            <w:r w:rsidR="003103F0">
              <w:br/>
            </w:r>
            <w:r w:rsidRPr="00530424">
              <w:t>± 2.1</w:t>
            </w:r>
          </w:p>
        </w:tc>
        <w:tc>
          <w:tcPr>
            <w:tcW w:w="803" w:type="dxa"/>
            <w:shd w:val="clear" w:color="auto" w:fill="auto"/>
            <w:vAlign w:val="center"/>
          </w:tcPr>
          <w:p w:rsidR="00530424" w:rsidRPr="00530424" w:rsidRDefault="00530424" w:rsidP="00530424">
            <w:pPr>
              <w:pStyle w:val="TableBodyText"/>
            </w:pPr>
            <w:r w:rsidRPr="00530424">
              <w:t xml:space="preserve">477.5 </w:t>
            </w:r>
            <w:r w:rsidR="003103F0">
              <w:br/>
            </w:r>
            <w:r w:rsidRPr="00530424">
              <w:t>± 2.8</w:t>
            </w:r>
          </w:p>
        </w:tc>
        <w:tc>
          <w:tcPr>
            <w:tcW w:w="803" w:type="dxa"/>
            <w:shd w:val="clear" w:color="auto" w:fill="auto"/>
            <w:vAlign w:val="center"/>
          </w:tcPr>
          <w:p w:rsidR="00530424" w:rsidRPr="00530424" w:rsidRDefault="00530424" w:rsidP="00530424">
            <w:pPr>
              <w:pStyle w:val="TableBodyText"/>
            </w:pPr>
            <w:r w:rsidRPr="00530424">
              <w:t xml:space="preserve">476.5 </w:t>
            </w:r>
            <w:r w:rsidR="003103F0">
              <w:br/>
            </w:r>
            <w:r w:rsidRPr="00530424">
              <w:t>± 3.0</w:t>
            </w:r>
          </w:p>
        </w:tc>
        <w:tc>
          <w:tcPr>
            <w:tcW w:w="804" w:type="dxa"/>
            <w:shd w:val="clear" w:color="auto" w:fill="auto"/>
            <w:vAlign w:val="center"/>
          </w:tcPr>
          <w:p w:rsidR="00530424" w:rsidRPr="00530424" w:rsidRDefault="00530424" w:rsidP="00530424">
            <w:pPr>
              <w:pStyle w:val="TableBodyText"/>
            </w:pPr>
            <w:r w:rsidRPr="00530424">
              <w:t xml:space="preserve">484.6 </w:t>
            </w:r>
            <w:r w:rsidR="003103F0">
              <w:br/>
            </w:r>
            <w:r w:rsidRPr="00530424">
              <w:t>± 5.5</w:t>
            </w:r>
          </w:p>
        </w:tc>
        <w:tc>
          <w:tcPr>
            <w:tcW w:w="803" w:type="dxa"/>
            <w:shd w:val="clear" w:color="auto" w:fill="auto"/>
            <w:vAlign w:val="center"/>
          </w:tcPr>
          <w:p w:rsidR="00530424" w:rsidRPr="00530424" w:rsidRDefault="00530424" w:rsidP="00530424">
            <w:pPr>
              <w:pStyle w:val="TableBodyText"/>
            </w:pPr>
            <w:r w:rsidRPr="00530424">
              <w:t xml:space="preserve">508.6 </w:t>
            </w:r>
            <w:r w:rsidR="003103F0">
              <w:br/>
            </w:r>
            <w:r w:rsidRPr="00530424">
              <w:t>± 5.5</w:t>
            </w:r>
          </w:p>
        </w:tc>
        <w:tc>
          <w:tcPr>
            <w:tcW w:w="803" w:type="dxa"/>
            <w:shd w:val="clear" w:color="auto" w:fill="auto"/>
            <w:vAlign w:val="center"/>
          </w:tcPr>
          <w:p w:rsidR="00530424" w:rsidRPr="00530424" w:rsidRDefault="00530424" w:rsidP="00530424">
            <w:pPr>
              <w:pStyle w:val="TableBodyText"/>
            </w:pPr>
            <w:r w:rsidRPr="00530424">
              <w:t xml:space="preserve">412.1 </w:t>
            </w:r>
            <w:r w:rsidR="003103F0">
              <w:br/>
            </w:r>
            <w:r w:rsidRPr="00530424">
              <w:t>± 18.1</w:t>
            </w:r>
          </w:p>
        </w:tc>
        <w:tc>
          <w:tcPr>
            <w:tcW w:w="804" w:type="dxa"/>
            <w:shd w:val="clear" w:color="auto" w:fill="auto"/>
            <w:vAlign w:val="center"/>
          </w:tcPr>
          <w:p w:rsidR="00530424" w:rsidRPr="00530424" w:rsidRDefault="00530424" w:rsidP="00530424">
            <w:pPr>
              <w:pStyle w:val="TableBodyText"/>
            </w:pPr>
            <w:r w:rsidRPr="00530424">
              <w:t xml:space="preserve">487.4 </w:t>
            </w:r>
            <w:r w:rsidR="003103F0">
              <w:br/>
            </w:r>
            <w:r w:rsidRPr="00530424">
              <w:t>± 1.1</w:t>
            </w:r>
          </w:p>
        </w:tc>
      </w:tr>
      <w:tr w:rsidR="00530424" w:rsidRPr="00530424" w:rsidTr="003103F0">
        <w:tc>
          <w:tcPr>
            <w:tcW w:w="1560" w:type="dxa"/>
            <w:shd w:val="clear" w:color="auto" w:fill="auto"/>
          </w:tcPr>
          <w:p w:rsidR="00530424" w:rsidRPr="00530424" w:rsidRDefault="00530424" w:rsidP="00530424">
            <w:pPr>
              <w:keepNext/>
              <w:keepLines/>
              <w:spacing w:after="40" w:line="220" w:lineRule="atLeast"/>
              <w:ind w:right="113"/>
              <w:rPr>
                <w:rFonts w:ascii="Arial" w:hAnsi="Arial"/>
                <w:sz w:val="20"/>
                <w:szCs w:val="20"/>
              </w:rPr>
            </w:pPr>
            <w:r w:rsidRPr="00530424">
              <w:rPr>
                <w:rFonts w:ascii="Arial" w:hAnsi="Arial"/>
                <w:sz w:val="20"/>
                <w:szCs w:val="20"/>
              </w:rPr>
              <w:t>2012 Year 7</w:t>
            </w:r>
          </w:p>
        </w:tc>
        <w:tc>
          <w:tcPr>
            <w:tcW w:w="803" w:type="dxa"/>
            <w:shd w:val="clear" w:color="auto" w:fill="auto"/>
            <w:vAlign w:val="center"/>
          </w:tcPr>
          <w:p w:rsidR="00530424" w:rsidRPr="00530424" w:rsidRDefault="00530424" w:rsidP="00530424">
            <w:pPr>
              <w:pStyle w:val="TableBodyText"/>
            </w:pPr>
            <w:r w:rsidRPr="00530424">
              <w:t xml:space="preserve">546.1 </w:t>
            </w:r>
            <w:r w:rsidR="003103F0">
              <w:br/>
            </w:r>
            <w:r w:rsidRPr="00530424">
              <w:t>± 2.9</w:t>
            </w:r>
          </w:p>
        </w:tc>
        <w:tc>
          <w:tcPr>
            <w:tcW w:w="803" w:type="dxa"/>
            <w:shd w:val="clear" w:color="auto" w:fill="auto"/>
            <w:vAlign w:val="center"/>
          </w:tcPr>
          <w:p w:rsidR="00530424" w:rsidRPr="00530424" w:rsidRDefault="00530424" w:rsidP="00530424">
            <w:pPr>
              <w:pStyle w:val="TableBodyText"/>
            </w:pPr>
            <w:r w:rsidRPr="00530424">
              <w:t xml:space="preserve">548.3 </w:t>
            </w:r>
            <w:r w:rsidR="003103F0">
              <w:br/>
            </w:r>
            <w:r w:rsidRPr="00530424">
              <w:t>± 2.6</w:t>
            </w:r>
          </w:p>
        </w:tc>
        <w:tc>
          <w:tcPr>
            <w:tcW w:w="804" w:type="dxa"/>
            <w:shd w:val="clear" w:color="auto" w:fill="auto"/>
            <w:vAlign w:val="center"/>
          </w:tcPr>
          <w:p w:rsidR="00530424" w:rsidRPr="00530424" w:rsidRDefault="00530424" w:rsidP="00530424">
            <w:pPr>
              <w:pStyle w:val="TableBodyText"/>
            </w:pPr>
            <w:r w:rsidRPr="00530424">
              <w:t xml:space="preserve">532.7 </w:t>
            </w:r>
            <w:r w:rsidR="003103F0">
              <w:br/>
            </w:r>
            <w:r w:rsidRPr="00530424">
              <w:t>± 2.0</w:t>
            </w:r>
          </w:p>
        </w:tc>
        <w:tc>
          <w:tcPr>
            <w:tcW w:w="803" w:type="dxa"/>
            <w:shd w:val="clear" w:color="auto" w:fill="auto"/>
            <w:vAlign w:val="center"/>
          </w:tcPr>
          <w:p w:rsidR="00530424" w:rsidRPr="00530424" w:rsidRDefault="00530424" w:rsidP="00530424">
            <w:pPr>
              <w:pStyle w:val="TableBodyText"/>
            </w:pPr>
            <w:r w:rsidRPr="00530424">
              <w:t xml:space="preserve">537.8 </w:t>
            </w:r>
            <w:r w:rsidR="003103F0">
              <w:br/>
            </w:r>
            <w:r w:rsidRPr="00530424">
              <w:t>± 3.0</w:t>
            </w:r>
          </w:p>
        </w:tc>
        <w:tc>
          <w:tcPr>
            <w:tcW w:w="803" w:type="dxa"/>
            <w:shd w:val="clear" w:color="auto" w:fill="auto"/>
            <w:vAlign w:val="center"/>
          </w:tcPr>
          <w:p w:rsidR="00530424" w:rsidRPr="00530424" w:rsidRDefault="00530424" w:rsidP="00530424">
            <w:pPr>
              <w:pStyle w:val="TableBodyText"/>
            </w:pPr>
            <w:r w:rsidRPr="00530424">
              <w:t xml:space="preserve">537.0 </w:t>
            </w:r>
            <w:r w:rsidR="003103F0">
              <w:br/>
            </w:r>
            <w:r w:rsidRPr="00530424">
              <w:t>± 2.9</w:t>
            </w:r>
          </w:p>
        </w:tc>
        <w:tc>
          <w:tcPr>
            <w:tcW w:w="804" w:type="dxa"/>
            <w:shd w:val="clear" w:color="auto" w:fill="auto"/>
            <w:vAlign w:val="center"/>
          </w:tcPr>
          <w:p w:rsidR="00530424" w:rsidRPr="00530424" w:rsidRDefault="00530424" w:rsidP="00530424">
            <w:pPr>
              <w:pStyle w:val="TableBodyText"/>
            </w:pPr>
            <w:r w:rsidRPr="00530424">
              <w:t xml:space="preserve">540.6 </w:t>
            </w:r>
            <w:r w:rsidR="003103F0">
              <w:br/>
            </w:r>
            <w:r w:rsidRPr="00530424">
              <w:t>± 7.4</w:t>
            </w:r>
          </w:p>
        </w:tc>
        <w:tc>
          <w:tcPr>
            <w:tcW w:w="803" w:type="dxa"/>
            <w:shd w:val="clear" w:color="auto" w:fill="auto"/>
            <w:vAlign w:val="center"/>
          </w:tcPr>
          <w:p w:rsidR="00530424" w:rsidRPr="00530424" w:rsidRDefault="00530424" w:rsidP="00530424">
            <w:pPr>
              <w:pStyle w:val="TableBodyText"/>
            </w:pPr>
            <w:r w:rsidRPr="00530424">
              <w:t xml:space="preserve">558.6 </w:t>
            </w:r>
            <w:r w:rsidR="003103F0">
              <w:br/>
            </w:r>
            <w:r w:rsidRPr="00530424">
              <w:t>± 8.3</w:t>
            </w:r>
          </w:p>
        </w:tc>
        <w:tc>
          <w:tcPr>
            <w:tcW w:w="803" w:type="dxa"/>
            <w:shd w:val="clear" w:color="auto" w:fill="auto"/>
            <w:vAlign w:val="center"/>
          </w:tcPr>
          <w:p w:rsidR="00530424" w:rsidRPr="00530424" w:rsidRDefault="00530424" w:rsidP="00530424">
            <w:pPr>
              <w:pStyle w:val="TableBodyText"/>
            </w:pPr>
            <w:r w:rsidRPr="00530424">
              <w:t xml:space="preserve">474.3 </w:t>
            </w:r>
            <w:r w:rsidR="003103F0">
              <w:br/>
            </w:r>
            <w:r w:rsidRPr="00530424">
              <w:t>± 22.2</w:t>
            </w:r>
          </w:p>
        </w:tc>
        <w:tc>
          <w:tcPr>
            <w:tcW w:w="804" w:type="dxa"/>
            <w:shd w:val="clear" w:color="auto" w:fill="auto"/>
            <w:vAlign w:val="center"/>
          </w:tcPr>
          <w:p w:rsidR="00530424" w:rsidRPr="00530424" w:rsidRDefault="00530424" w:rsidP="00530424">
            <w:pPr>
              <w:pStyle w:val="TableBodyText"/>
            </w:pPr>
            <w:r w:rsidRPr="00530424">
              <w:t xml:space="preserve">541.5 </w:t>
            </w:r>
            <w:r w:rsidR="003103F0">
              <w:br/>
            </w:r>
            <w:r w:rsidRPr="00530424">
              <w:t>± 1.3</w:t>
            </w:r>
          </w:p>
        </w:tc>
      </w:tr>
      <w:tr w:rsidR="00530424" w:rsidRPr="00530424" w:rsidTr="003103F0">
        <w:tc>
          <w:tcPr>
            <w:tcW w:w="1560" w:type="dxa"/>
            <w:shd w:val="clear" w:color="auto" w:fill="auto"/>
          </w:tcPr>
          <w:p w:rsidR="00530424" w:rsidRPr="00D07F9F" w:rsidRDefault="00530424" w:rsidP="00D94D81">
            <w:pPr>
              <w:keepNext/>
              <w:keepLines/>
              <w:spacing w:after="40" w:line="220" w:lineRule="atLeast"/>
              <w:ind w:right="113"/>
              <w:rPr>
                <w:rFonts w:ascii="Arial" w:hAnsi="Arial"/>
                <w:sz w:val="20"/>
                <w:szCs w:val="20"/>
              </w:rPr>
            </w:pPr>
            <w:r w:rsidRPr="00D07F9F">
              <w:rPr>
                <w:rFonts w:ascii="Arial" w:hAnsi="Arial"/>
                <w:sz w:val="20"/>
                <w:szCs w:val="20"/>
              </w:rPr>
              <w:t>Gain 2008-2010</w:t>
            </w:r>
          </w:p>
        </w:tc>
        <w:tc>
          <w:tcPr>
            <w:tcW w:w="803" w:type="dxa"/>
            <w:shd w:val="clear" w:color="auto" w:fill="auto"/>
            <w:vAlign w:val="center"/>
          </w:tcPr>
          <w:p w:rsidR="00530424" w:rsidRPr="00530424" w:rsidRDefault="00530424" w:rsidP="00530424">
            <w:pPr>
              <w:pStyle w:val="TableBodyText"/>
            </w:pPr>
            <w:r w:rsidRPr="00530424">
              <w:t xml:space="preserve">83.9 </w:t>
            </w:r>
            <w:r w:rsidR="003103F0">
              <w:br/>
            </w:r>
            <w:r w:rsidRPr="00530424">
              <w:t>± 8.2</w:t>
            </w:r>
          </w:p>
        </w:tc>
        <w:tc>
          <w:tcPr>
            <w:tcW w:w="803" w:type="dxa"/>
            <w:shd w:val="clear" w:color="auto" w:fill="auto"/>
            <w:vAlign w:val="center"/>
          </w:tcPr>
          <w:p w:rsidR="00530424" w:rsidRPr="00530424" w:rsidRDefault="00530424" w:rsidP="00530424">
            <w:pPr>
              <w:pStyle w:val="TableBodyText"/>
            </w:pPr>
            <w:r w:rsidRPr="00530424">
              <w:t xml:space="preserve">82.3 </w:t>
            </w:r>
            <w:r w:rsidR="003103F0">
              <w:br/>
            </w:r>
            <w:r w:rsidRPr="00530424">
              <w:t>± 8.1</w:t>
            </w:r>
          </w:p>
        </w:tc>
        <w:tc>
          <w:tcPr>
            <w:tcW w:w="804" w:type="dxa"/>
            <w:shd w:val="clear" w:color="auto" w:fill="auto"/>
            <w:vAlign w:val="center"/>
          </w:tcPr>
          <w:p w:rsidR="00530424" w:rsidRPr="00530424" w:rsidRDefault="00530424" w:rsidP="00530424">
            <w:pPr>
              <w:pStyle w:val="TableBodyText"/>
            </w:pPr>
            <w:r w:rsidRPr="00530424">
              <w:t xml:space="preserve">97.6 </w:t>
            </w:r>
            <w:r w:rsidR="003103F0">
              <w:br/>
            </w:r>
            <w:r w:rsidRPr="00530424">
              <w:t>± 8.4</w:t>
            </w:r>
          </w:p>
        </w:tc>
        <w:tc>
          <w:tcPr>
            <w:tcW w:w="803" w:type="dxa"/>
            <w:shd w:val="clear" w:color="auto" w:fill="auto"/>
            <w:vAlign w:val="center"/>
          </w:tcPr>
          <w:p w:rsidR="00530424" w:rsidRPr="00530424" w:rsidRDefault="00530424" w:rsidP="00530424">
            <w:pPr>
              <w:pStyle w:val="TableBodyText"/>
            </w:pPr>
            <w:r w:rsidRPr="00530424">
              <w:t xml:space="preserve">90.8 </w:t>
            </w:r>
            <w:r w:rsidR="003103F0">
              <w:br/>
            </w:r>
            <w:r w:rsidRPr="00530424">
              <w:t>± 8.8</w:t>
            </w:r>
          </w:p>
        </w:tc>
        <w:tc>
          <w:tcPr>
            <w:tcW w:w="803" w:type="dxa"/>
            <w:shd w:val="clear" w:color="auto" w:fill="auto"/>
            <w:vAlign w:val="center"/>
          </w:tcPr>
          <w:p w:rsidR="00530424" w:rsidRPr="00530424" w:rsidRDefault="00530424" w:rsidP="00530424">
            <w:pPr>
              <w:pStyle w:val="TableBodyText"/>
            </w:pPr>
            <w:r w:rsidRPr="00530424">
              <w:t xml:space="preserve">76.0 </w:t>
            </w:r>
            <w:r w:rsidR="003103F0">
              <w:br/>
            </w:r>
            <w:r w:rsidRPr="00530424">
              <w:t>± 9.0</w:t>
            </w:r>
          </w:p>
        </w:tc>
        <w:tc>
          <w:tcPr>
            <w:tcW w:w="804" w:type="dxa"/>
            <w:shd w:val="clear" w:color="auto" w:fill="auto"/>
            <w:vAlign w:val="center"/>
          </w:tcPr>
          <w:p w:rsidR="00530424" w:rsidRPr="00530424" w:rsidRDefault="00530424" w:rsidP="00530424">
            <w:pPr>
              <w:pStyle w:val="TableBodyText"/>
            </w:pPr>
            <w:r w:rsidRPr="00530424">
              <w:t xml:space="preserve">83.4 </w:t>
            </w:r>
            <w:r w:rsidR="003103F0">
              <w:br/>
            </w:r>
            <w:r w:rsidRPr="00530424">
              <w:t>± 10.7</w:t>
            </w:r>
          </w:p>
        </w:tc>
        <w:tc>
          <w:tcPr>
            <w:tcW w:w="803" w:type="dxa"/>
            <w:shd w:val="clear" w:color="auto" w:fill="auto"/>
            <w:vAlign w:val="center"/>
          </w:tcPr>
          <w:p w:rsidR="00530424" w:rsidRPr="00530424" w:rsidRDefault="00530424" w:rsidP="00530424">
            <w:pPr>
              <w:pStyle w:val="TableBodyText"/>
            </w:pPr>
            <w:r w:rsidRPr="00530424">
              <w:t xml:space="preserve">87.6 </w:t>
            </w:r>
            <w:r w:rsidR="003103F0">
              <w:br/>
            </w:r>
            <w:r w:rsidRPr="00530424">
              <w:t>± 11.1</w:t>
            </w:r>
          </w:p>
        </w:tc>
        <w:tc>
          <w:tcPr>
            <w:tcW w:w="803" w:type="dxa"/>
            <w:shd w:val="clear" w:color="auto" w:fill="auto"/>
            <w:vAlign w:val="center"/>
          </w:tcPr>
          <w:p w:rsidR="00530424" w:rsidRPr="00530424" w:rsidRDefault="00530424" w:rsidP="00530424">
            <w:pPr>
              <w:pStyle w:val="TableBodyText"/>
            </w:pPr>
            <w:r w:rsidRPr="00530424">
              <w:t xml:space="preserve">105.5 </w:t>
            </w:r>
            <w:r w:rsidR="003103F0">
              <w:br/>
            </w:r>
            <w:r w:rsidRPr="00530424">
              <w:t>± 27.7</w:t>
            </w:r>
          </w:p>
        </w:tc>
        <w:tc>
          <w:tcPr>
            <w:tcW w:w="804" w:type="dxa"/>
            <w:shd w:val="clear" w:color="auto" w:fill="auto"/>
            <w:vAlign w:val="center"/>
          </w:tcPr>
          <w:p w:rsidR="00530424" w:rsidRPr="00530424" w:rsidRDefault="00530424" w:rsidP="00530424">
            <w:pPr>
              <w:pStyle w:val="TableBodyText"/>
            </w:pPr>
            <w:r w:rsidRPr="00530424">
              <w:t xml:space="preserve">86.9 </w:t>
            </w:r>
            <w:r w:rsidR="003103F0">
              <w:br/>
            </w:r>
            <w:r w:rsidRPr="00530424">
              <w:t>± 7.9</w:t>
            </w:r>
          </w:p>
        </w:tc>
      </w:tr>
      <w:tr w:rsidR="00530424" w:rsidRPr="00530424" w:rsidTr="003103F0">
        <w:tc>
          <w:tcPr>
            <w:tcW w:w="1560" w:type="dxa"/>
            <w:tcBorders>
              <w:bottom w:val="single" w:sz="6" w:space="0" w:color="auto"/>
            </w:tcBorders>
            <w:shd w:val="clear" w:color="auto" w:fill="auto"/>
          </w:tcPr>
          <w:p w:rsidR="00530424" w:rsidRPr="00D07F9F" w:rsidRDefault="00530424" w:rsidP="001517E0">
            <w:pPr>
              <w:keepNext/>
              <w:keepLines/>
              <w:spacing w:line="220" w:lineRule="atLeast"/>
              <w:ind w:right="113"/>
              <w:rPr>
                <w:rFonts w:ascii="Arial" w:hAnsi="Arial"/>
                <w:sz w:val="20"/>
                <w:szCs w:val="20"/>
              </w:rPr>
            </w:pPr>
            <w:r w:rsidRPr="00D07F9F">
              <w:rPr>
                <w:rFonts w:ascii="Arial" w:hAnsi="Arial"/>
                <w:sz w:val="20"/>
                <w:szCs w:val="20"/>
              </w:rPr>
              <w:t>Gain 2010-2012</w:t>
            </w:r>
          </w:p>
        </w:tc>
        <w:tc>
          <w:tcPr>
            <w:tcW w:w="803" w:type="dxa"/>
            <w:tcBorders>
              <w:bottom w:val="single" w:sz="6" w:space="0" w:color="auto"/>
            </w:tcBorders>
            <w:shd w:val="clear" w:color="auto" w:fill="auto"/>
            <w:vAlign w:val="center"/>
          </w:tcPr>
          <w:p w:rsidR="00530424" w:rsidRPr="00530424" w:rsidRDefault="00530424" w:rsidP="001517E0">
            <w:pPr>
              <w:pStyle w:val="TableBodyText"/>
              <w:spacing w:after="0"/>
            </w:pPr>
            <w:r w:rsidRPr="00530424">
              <w:t xml:space="preserve">49.9 </w:t>
            </w:r>
            <w:r w:rsidR="003103F0">
              <w:br/>
            </w:r>
            <w:r w:rsidRPr="00530424">
              <w:t>± 7.8</w:t>
            </w:r>
          </w:p>
        </w:tc>
        <w:tc>
          <w:tcPr>
            <w:tcW w:w="803" w:type="dxa"/>
            <w:tcBorders>
              <w:bottom w:val="single" w:sz="6" w:space="0" w:color="auto"/>
            </w:tcBorders>
            <w:shd w:val="clear" w:color="auto" w:fill="auto"/>
            <w:vAlign w:val="center"/>
          </w:tcPr>
          <w:p w:rsidR="00530424" w:rsidRPr="00530424" w:rsidRDefault="00530424" w:rsidP="001517E0">
            <w:pPr>
              <w:pStyle w:val="TableBodyText"/>
              <w:spacing w:after="0"/>
            </w:pPr>
            <w:r w:rsidRPr="00530424">
              <w:t xml:space="preserve">46.1 </w:t>
            </w:r>
            <w:r w:rsidR="003103F0">
              <w:br/>
            </w:r>
            <w:r w:rsidRPr="00530424">
              <w:t>± 7.6</w:t>
            </w:r>
          </w:p>
        </w:tc>
        <w:tc>
          <w:tcPr>
            <w:tcW w:w="804" w:type="dxa"/>
            <w:tcBorders>
              <w:bottom w:val="single" w:sz="6" w:space="0" w:color="auto"/>
            </w:tcBorders>
            <w:shd w:val="clear" w:color="auto" w:fill="auto"/>
            <w:vAlign w:val="center"/>
          </w:tcPr>
          <w:p w:rsidR="00530424" w:rsidRPr="00530424" w:rsidRDefault="00530424" w:rsidP="001517E0">
            <w:pPr>
              <w:pStyle w:val="TableBodyText"/>
              <w:spacing w:after="0"/>
            </w:pPr>
            <w:r w:rsidRPr="00530424">
              <w:t xml:space="preserve">64.0 </w:t>
            </w:r>
            <w:r w:rsidR="003103F0">
              <w:br/>
            </w:r>
            <w:r w:rsidRPr="00530424">
              <w:t>± 7.5</w:t>
            </w:r>
          </w:p>
        </w:tc>
        <w:tc>
          <w:tcPr>
            <w:tcW w:w="803" w:type="dxa"/>
            <w:tcBorders>
              <w:bottom w:val="single" w:sz="6" w:space="0" w:color="auto"/>
            </w:tcBorders>
            <w:shd w:val="clear" w:color="auto" w:fill="auto"/>
            <w:vAlign w:val="center"/>
          </w:tcPr>
          <w:p w:rsidR="00530424" w:rsidRPr="00530424" w:rsidRDefault="00530424" w:rsidP="001517E0">
            <w:pPr>
              <w:pStyle w:val="TableBodyText"/>
              <w:spacing w:after="0"/>
            </w:pPr>
            <w:r w:rsidRPr="00530424">
              <w:t xml:space="preserve">60.3 </w:t>
            </w:r>
            <w:r w:rsidR="003103F0">
              <w:br/>
            </w:r>
            <w:r w:rsidRPr="00530424">
              <w:t>± 8.1</w:t>
            </w:r>
          </w:p>
        </w:tc>
        <w:tc>
          <w:tcPr>
            <w:tcW w:w="803" w:type="dxa"/>
            <w:tcBorders>
              <w:bottom w:val="single" w:sz="6" w:space="0" w:color="auto"/>
            </w:tcBorders>
            <w:shd w:val="clear" w:color="auto" w:fill="auto"/>
            <w:vAlign w:val="center"/>
          </w:tcPr>
          <w:p w:rsidR="00530424" w:rsidRPr="00530424" w:rsidRDefault="00530424" w:rsidP="001517E0">
            <w:pPr>
              <w:pStyle w:val="TableBodyText"/>
              <w:spacing w:after="0"/>
            </w:pPr>
            <w:r w:rsidRPr="00530424">
              <w:t xml:space="preserve">60.5 </w:t>
            </w:r>
            <w:r w:rsidR="003103F0">
              <w:br/>
            </w:r>
            <w:r w:rsidRPr="00530424">
              <w:t>± 8.1</w:t>
            </w:r>
          </w:p>
        </w:tc>
        <w:tc>
          <w:tcPr>
            <w:tcW w:w="804" w:type="dxa"/>
            <w:tcBorders>
              <w:bottom w:val="single" w:sz="6" w:space="0" w:color="auto"/>
            </w:tcBorders>
            <w:shd w:val="clear" w:color="auto" w:fill="auto"/>
            <w:vAlign w:val="center"/>
          </w:tcPr>
          <w:p w:rsidR="00530424" w:rsidRPr="00530424" w:rsidRDefault="00530424" w:rsidP="001517E0">
            <w:pPr>
              <w:pStyle w:val="TableBodyText"/>
              <w:spacing w:after="0"/>
            </w:pPr>
            <w:r w:rsidRPr="00530424">
              <w:t xml:space="preserve">56.0 </w:t>
            </w:r>
            <w:r w:rsidR="003103F0">
              <w:br/>
            </w:r>
            <w:r w:rsidRPr="00530424">
              <w:t>± 11.6</w:t>
            </w:r>
          </w:p>
        </w:tc>
        <w:tc>
          <w:tcPr>
            <w:tcW w:w="803" w:type="dxa"/>
            <w:tcBorders>
              <w:bottom w:val="single" w:sz="6" w:space="0" w:color="auto"/>
            </w:tcBorders>
            <w:shd w:val="clear" w:color="auto" w:fill="auto"/>
            <w:vAlign w:val="center"/>
          </w:tcPr>
          <w:p w:rsidR="00530424" w:rsidRPr="00530424" w:rsidRDefault="00530424" w:rsidP="001517E0">
            <w:pPr>
              <w:pStyle w:val="TableBodyText"/>
              <w:spacing w:after="0"/>
            </w:pPr>
            <w:r w:rsidRPr="00530424">
              <w:t xml:space="preserve">50.0 </w:t>
            </w:r>
            <w:r w:rsidR="003103F0">
              <w:br/>
            </w:r>
            <w:r w:rsidRPr="00530424">
              <w:t>± 12.1</w:t>
            </w:r>
          </w:p>
        </w:tc>
        <w:tc>
          <w:tcPr>
            <w:tcW w:w="803" w:type="dxa"/>
            <w:tcBorders>
              <w:bottom w:val="single" w:sz="6" w:space="0" w:color="auto"/>
            </w:tcBorders>
            <w:shd w:val="clear" w:color="auto" w:fill="auto"/>
            <w:vAlign w:val="center"/>
          </w:tcPr>
          <w:p w:rsidR="00530424" w:rsidRPr="00530424" w:rsidRDefault="00530424" w:rsidP="001517E0">
            <w:pPr>
              <w:pStyle w:val="TableBodyText"/>
              <w:spacing w:after="0"/>
            </w:pPr>
            <w:r w:rsidRPr="00530424">
              <w:t xml:space="preserve">62.2 </w:t>
            </w:r>
            <w:r w:rsidR="003103F0">
              <w:br/>
            </w:r>
            <w:r w:rsidRPr="00530424">
              <w:t>± 29.5</w:t>
            </w:r>
          </w:p>
        </w:tc>
        <w:tc>
          <w:tcPr>
            <w:tcW w:w="804" w:type="dxa"/>
            <w:tcBorders>
              <w:bottom w:val="single" w:sz="6" w:space="0" w:color="auto"/>
            </w:tcBorders>
            <w:shd w:val="clear" w:color="auto" w:fill="auto"/>
            <w:vAlign w:val="center"/>
          </w:tcPr>
          <w:p w:rsidR="00530424" w:rsidRPr="00530424" w:rsidRDefault="00530424" w:rsidP="001517E0">
            <w:pPr>
              <w:pStyle w:val="TableBodyText"/>
              <w:spacing w:after="0"/>
            </w:pPr>
            <w:r w:rsidRPr="00530424">
              <w:t xml:space="preserve">54.1 </w:t>
            </w:r>
            <w:r w:rsidR="003103F0">
              <w:br/>
            </w:r>
            <w:r w:rsidRPr="00530424">
              <w:t>± 7.1</w:t>
            </w:r>
          </w:p>
        </w:tc>
      </w:tr>
    </w:tbl>
    <w:p w:rsidR="00A32BA6" w:rsidRDefault="00666ECE" w:rsidP="00A32BA6">
      <w:pPr>
        <w:keepLines/>
        <w:spacing w:before="80" w:line="220" w:lineRule="exact"/>
        <w:jc w:val="both"/>
        <w:rPr>
          <w:rFonts w:ascii="Arial" w:hAnsi="Arial"/>
          <w:sz w:val="18"/>
          <w:szCs w:val="20"/>
        </w:rPr>
      </w:pPr>
      <w:r w:rsidRPr="004708E3">
        <w:rPr>
          <w:rFonts w:ascii="Arial" w:hAnsi="Arial"/>
          <w:b/>
          <w:position w:val="6"/>
          <w:sz w:val="18"/>
          <w:szCs w:val="20"/>
        </w:rPr>
        <w:t>a</w:t>
      </w:r>
      <w:r w:rsidRPr="004708E3">
        <w:rPr>
          <w:rFonts w:ascii="Arial" w:hAnsi="Arial"/>
          <w:sz w:val="18"/>
          <w:szCs w:val="20"/>
        </w:rPr>
        <w:t xml:space="preserve"> The mean scale scores for </w:t>
      </w:r>
      <w:r w:rsidR="00D07F9F">
        <w:rPr>
          <w:rFonts w:ascii="Arial" w:hAnsi="Arial"/>
          <w:sz w:val="18"/>
          <w:szCs w:val="20"/>
        </w:rPr>
        <w:t xml:space="preserve">2008, </w:t>
      </w:r>
      <w:r w:rsidRPr="004708E3">
        <w:rPr>
          <w:rFonts w:ascii="Arial" w:hAnsi="Arial"/>
          <w:sz w:val="18"/>
          <w:szCs w:val="20"/>
        </w:rPr>
        <w:t>20</w:t>
      </w:r>
      <w:r w:rsidR="00875300">
        <w:rPr>
          <w:rFonts w:ascii="Arial" w:hAnsi="Arial"/>
          <w:sz w:val="18"/>
          <w:szCs w:val="20"/>
        </w:rPr>
        <w:t>10</w:t>
      </w:r>
      <w:r w:rsidRPr="004708E3">
        <w:rPr>
          <w:rFonts w:ascii="Arial" w:hAnsi="Arial"/>
          <w:sz w:val="18"/>
          <w:szCs w:val="20"/>
        </w:rPr>
        <w:t xml:space="preserve"> and 201</w:t>
      </w:r>
      <w:r w:rsidR="00875300">
        <w:rPr>
          <w:rFonts w:ascii="Arial" w:hAnsi="Arial"/>
          <w:sz w:val="18"/>
          <w:szCs w:val="20"/>
        </w:rPr>
        <w:t xml:space="preserve">2 </w:t>
      </w:r>
      <w:r w:rsidRPr="004708E3">
        <w:rPr>
          <w:rFonts w:ascii="Arial" w:hAnsi="Arial"/>
          <w:sz w:val="18"/>
          <w:szCs w:val="20"/>
        </w:rPr>
        <w:t>reported in this table include 95 per cent confidence intervals (for example, a mean scale score of 400.0 ± 2.7, or a gain from 20</w:t>
      </w:r>
      <w:r w:rsidR="00875300">
        <w:rPr>
          <w:rFonts w:ascii="Arial" w:hAnsi="Arial"/>
          <w:sz w:val="18"/>
          <w:szCs w:val="20"/>
        </w:rPr>
        <w:t>10</w:t>
      </w:r>
      <w:r w:rsidRPr="004708E3">
        <w:rPr>
          <w:rFonts w:ascii="Arial" w:hAnsi="Arial"/>
          <w:sz w:val="18"/>
          <w:szCs w:val="20"/>
        </w:rPr>
        <w:t xml:space="preserve"> to 201</w:t>
      </w:r>
      <w:r w:rsidR="00875300">
        <w:rPr>
          <w:rFonts w:ascii="Arial" w:hAnsi="Arial"/>
          <w:sz w:val="18"/>
          <w:szCs w:val="20"/>
        </w:rPr>
        <w:t>2</w:t>
      </w:r>
      <w:r w:rsidRPr="004708E3">
        <w:rPr>
          <w:rFonts w:ascii="Arial" w:hAnsi="Arial"/>
          <w:sz w:val="18"/>
          <w:szCs w:val="20"/>
        </w:rPr>
        <w:t xml:space="preserve"> of 80.1 ± 2.7). Confidence intervals for the gain provide an indication of the level of uncertainty of the gain over the two year period.</w:t>
      </w:r>
      <w:r w:rsidR="00DD3B2D">
        <w:rPr>
          <w:rFonts w:ascii="Arial" w:hAnsi="Arial"/>
          <w:sz w:val="18"/>
          <w:szCs w:val="20"/>
        </w:rPr>
        <w:t xml:space="preserve"> </w:t>
      </w:r>
      <w:r w:rsidR="00A32BA6" w:rsidRPr="00A32BA6">
        <w:rPr>
          <w:rStyle w:val="NoteLabel"/>
        </w:rPr>
        <w:t>b</w:t>
      </w:r>
      <w:r w:rsidR="00A32BA6" w:rsidRPr="00A32BA6">
        <w:rPr>
          <w:rFonts w:ascii="Arial" w:hAnsi="Arial"/>
          <w:sz w:val="18"/>
          <w:szCs w:val="20"/>
        </w:rPr>
        <w:t xml:space="preserve"> The confidence interval provided is for the specific jurisdictional gain and should not be used for comparisons between jurisdictions</w:t>
      </w:r>
      <w:r w:rsidR="00D616EC">
        <w:rPr>
          <w:rFonts w:ascii="Arial" w:hAnsi="Arial"/>
          <w:sz w:val="18"/>
          <w:szCs w:val="20"/>
        </w:rPr>
        <w:t xml:space="preserve"> or between subgroups</w:t>
      </w:r>
      <w:r w:rsidR="00A32BA6" w:rsidRPr="00A32BA6">
        <w:rPr>
          <w:rFonts w:ascii="Arial" w:hAnsi="Arial"/>
          <w:sz w:val="18"/>
          <w:szCs w:val="20"/>
        </w:rPr>
        <w:t>.</w:t>
      </w:r>
    </w:p>
    <w:p w:rsidR="00666ECE" w:rsidRPr="004708E3" w:rsidRDefault="00666ECE" w:rsidP="00A32BA6">
      <w:pPr>
        <w:keepLines/>
        <w:spacing w:before="80" w:line="220" w:lineRule="exact"/>
        <w:jc w:val="both"/>
        <w:rPr>
          <w:rFonts w:ascii="Arial" w:hAnsi="Arial"/>
          <w:sz w:val="18"/>
          <w:szCs w:val="20"/>
        </w:rPr>
      </w:pPr>
      <w:r w:rsidRPr="004708E3">
        <w:rPr>
          <w:rFonts w:ascii="Arial" w:hAnsi="Arial"/>
          <w:i/>
          <w:sz w:val="18"/>
          <w:szCs w:val="20"/>
        </w:rPr>
        <w:t>Source</w:t>
      </w:r>
      <w:r w:rsidRPr="004708E3">
        <w:rPr>
          <w:rFonts w:ascii="Arial" w:hAnsi="Arial"/>
          <w:sz w:val="18"/>
          <w:szCs w:val="20"/>
        </w:rPr>
        <w:t>: ACARA (201</w:t>
      </w:r>
      <w:r w:rsidR="00875300">
        <w:rPr>
          <w:rFonts w:ascii="Arial" w:hAnsi="Arial"/>
          <w:sz w:val="18"/>
          <w:szCs w:val="20"/>
        </w:rPr>
        <w:t>2</w:t>
      </w:r>
      <w:r w:rsidRPr="004708E3">
        <w:rPr>
          <w:rFonts w:ascii="Arial" w:hAnsi="Arial"/>
          <w:sz w:val="18"/>
          <w:szCs w:val="20"/>
        </w:rPr>
        <w:t xml:space="preserve"> and unpublished) </w:t>
      </w:r>
      <w:r w:rsidRPr="004708E3">
        <w:rPr>
          <w:rFonts w:ascii="Arial" w:hAnsi="Arial"/>
          <w:i/>
          <w:sz w:val="18"/>
          <w:szCs w:val="20"/>
        </w:rPr>
        <w:t>201</w:t>
      </w:r>
      <w:r w:rsidR="00875300">
        <w:rPr>
          <w:rFonts w:ascii="Arial" w:hAnsi="Arial"/>
          <w:i/>
          <w:sz w:val="18"/>
          <w:szCs w:val="20"/>
        </w:rPr>
        <w:t>2</w:t>
      </w:r>
      <w:r w:rsidRPr="004708E3">
        <w:rPr>
          <w:rFonts w:ascii="Arial" w:hAnsi="Arial"/>
          <w:i/>
          <w:sz w:val="18"/>
          <w:szCs w:val="20"/>
        </w:rPr>
        <w:t xml:space="preserve"> National Assessment Program — Literacy and Numeracy: Achievement in Numeracy, Writing, Language Conventions and Numeracy</w:t>
      </w:r>
      <w:r w:rsidRPr="004708E3">
        <w:rPr>
          <w:rFonts w:ascii="Arial" w:hAnsi="Arial"/>
          <w:sz w:val="18"/>
          <w:szCs w:val="20"/>
        </w:rPr>
        <w:t>; table 4A.</w:t>
      </w:r>
      <w:r w:rsidR="00E34421">
        <w:rPr>
          <w:rFonts w:ascii="Arial" w:hAnsi="Arial"/>
          <w:sz w:val="18"/>
          <w:szCs w:val="20"/>
        </w:rPr>
        <w:t>53</w:t>
      </w:r>
      <w:r w:rsidRPr="004708E3">
        <w:rPr>
          <w:rFonts w:ascii="Arial" w:hAnsi="Arial"/>
          <w:sz w:val="18"/>
          <w:szCs w:val="20"/>
        </w:rPr>
        <w:t>.</w:t>
      </w:r>
    </w:p>
    <w:p w:rsidR="00666ECE" w:rsidRPr="00666ECE" w:rsidRDefault="00666ECE" w:rsidP="00666ECE">
      <w:pPr>
        <w:keepNext/>
        <w:spacing w:before="480" w:line="320" w:lineRule="exact"/>
        <w:outlineLvl w:val="4"/>
        <w:rPr>
          <w:b/>
          <w:i/>
        </w:rPr>
      </w:pPr>
      <w:r w:rsidRPr="00666ECE">
        <w:rPr>
          <w:b/>
          <w:i/>
        </w:rPr>
        <w:t>NAPLAN Numeracy</w:t>
      </w:r>
    </w:p>
    <w:p w:rsidR="00666ECE" w:rsidRPr="00666ECE" w:rsidRDefault="00D62FAA" w:rsidP="00666ECE">
      <w:pPr>
        <w:spacing w:before="240" w:line="320" w:lineRule="atLeast"/>
        <w:jc w:val="both"/>
        <w:rPr>
          <w:szCs w:val="20"/>
        </w:rPr>
      </w:pPr>
      <w:r>
        <w:rPr>
          <w:szCs w:val="20"/>
        </w:rPr>
        <w:t>This section of the learning outcomes</w:t>
      </w:r>
      <w:r w:rsidR="00666ECE" w:rsidRPr="00666ECE">
        <w:rPr>
          <w:szCs w:val="20"/>
        </w:rPr>
        <w:t xml:space="preserve"> indicator provides key outcomes for NAPLAN testing (years 3, 5, 7 and 9) in the numeracy domain. Indigenous outcomes are highlighted, but outcomes for a range of other equity groups, </w:t>
      </w:r>
      <w:r w:rsidR="00666ECE" w:rsidRPr="00666ECE">
        <w:rPr>
          <w:szCs w:val="20"/>
        </w:rPr>
        <w:lastRenderedPageBreak/>
        <w:t>including male, female, LBOTE, geolocation and socio-economic status (parental education and parental occupation) are included in tables 4A.</w:t>
      </w:r>
      <w:r w:rsidR="00E34421">
        <w:rPr>
          <w:szCs w:val="20"/>
        </w:rPr>
        <w:t>71</w:t>
      </w:r>
      <w:r w:rsidR="00666ECE" w:rsidRPr="00666ECE">
        <w:rPr>
          <w:szCs w:val="20"/>
        </w:rPr>
        <w:t>–</w:t>
      </w:r>
      <w:r w:rsidR="00E116EB">
        <w:rPr>
          <w:szCs w:val="20"/>
        </w:rPr>
        <w:t>8</w:t>
      </w:r>
      <w:r w:rsidR="00E34421">
        <w:rPr>
          <w:szCs w:val="20"/>
        </w:rPr>
        <w:t>8</w:t>
      </w:r>
      <w:r w:rsidR="00666ECE" w:rsidRPr="00666ECE">
        <w:rPr>
          <w:szCs w:val="20"/>
        </w:rPr>
        <w:t>.</w:t>
      </w:r>
    </w:p>
    <w:p w:rsidR="00666ECE" w:rsidRPr="00666ECE" w:rsidRDefault="00666ECE" w:rsidP="00666ECE">
      <w:pPr>
        <w:spacing w:before="240" w:line="320" w:lineRule="atLeast"/>
        <w:jc w:val="both"/>
        <w:rPr>
          <w:i/>
          <w:szCs w:val="20"/>
        </w:rPr>
      </w:pPr>
      <w:r w:rsidRPr="00666ECE">
        <w:rPr>
          <w:i/>
          <w:szCs w:val="20"/>
        </w:rPr>
        <w:t>All students and Indigenous students</w:t>
      </w:r>
    </w:p>
    <w:p w:rsidR="00666ECE" w:rsidRPr="00E116EB" w:rsidRDefault="00666ECE" w:rsidP="00666ECE">
      <w:pPr>
        <w:spacing w:before="240" w:line="320" w:lineRule="atLeast"/>
        <w:jc w:val="both"/>
        <w:rPr>
          <w:szCs w:val="20"/>
        </w:rPr>
      </w:pPr>
      <w:r w:rsidRPr="00666ECE">
        <w:rPr>
          <w:szCs w:val="20"/>
        </w:rPr>
        <w:t xml:space="preserve">The proportion of year 3 </w:t>
      </w:r>
      <w:r w:rsidRPr="00E116EB">
        <w:rPr>
          <w:szCs w:val="20"/>
        </w:rPr>
        <w:t>students who achieved at or above the numeracy national minimum standard in 201</w:t>
      </w:r>
      <w:r w:rsidR="00887D04" w:rsidRPr="00E116EB">
        <w:rPr>
          <w:szCs w:val="20"/>
        </w:rPr>
        <w:t>2</w:t>
      </w:r>
      <w:r w:rsidRPr="00E116EB">
        <w:rPr>
          <w:szCs w:val="20"/>
        </w:rPr>
        <w:t xml:space="preserve"> was </w:t>
      </w:r>
      <w:r w:rsidR="00E116EB" w:rsidRPr="00E116EB">
        <w:rPr>
          <w:szCs w:val="20"/>
        </w:rPr>
        <w:t>93.7–94.1</w:t>
      </w:r>
      <w:r w:rsidRPr="00E116EB">
        <w:rPr>
          <w:szCs w:val="20"/>
        </w:rPr>
        <w:t xml:space="preserve"> per cent nationally. The proportion </w:t>
      </w:r>
      <w:r w:rsidR="00764C20">
        <w:rPr>
          <w:szCs w:val="20"/>
        </w:rPr>
        <w:t xml:space="preserve">for </w:t>
      </w:r>
      <w:r w:rsidRPr="00E116EB">
        <w:rPr>
          <w:szCs w:val="20"/>
        </w:rPr>
        <w:t>Indigenous students (</w:t>
      </w:r>
      <w:r w:rsidR="00E116EB" w:rsidRPr="00E116EB">
        <w:rPr>
          <w:szCs w:val="20"/>
        </w:rPr>
        <w:t>71.1–74.3</w:t>
      </w:r>
      <w:r w:rsidR="00CD44D8" w:rsidRPr="00E116EB">
        <w:rPr>
          <w:szCs w:val="20"/>
        </w:rPr>
        <w:t xml:space="preserve"> </w:t>
      </w:r>
      <w:r w:rsidRPr="00E116EB">
        <w:rPr>
          <w:szCs w:val="20"/>
        </w:rPr>
        <w:t>per cent) was significantly lower than for non</w:t>
      </w:r>
      <w:r w:rsidRPr="00E116EB">
        <w:rPr>
          <w:szCs w:val="20"/>
        </w:rPr>
        <w:noBreakHyphen/>
        <w:t>Indigenous students (</w:t>
      </w:r>
      <w:r w:rsidR="00E116EB" w:rsidRPr="00E116EB">
        <w:rPr>
          <w:szCs w:val="20"/>
        </w:rPr>
        <w:t>94.9</w:t>
      </w:r>
      <w:r w:rsidR="00C43453">
        <w:rPr>
          <w:szCs w:val="20"/>
        </w:rPr>
        <w:t>–</w:t>
      </w:r>
      <w:r w:rsidR="00E116EB" w:rsidRPr="00E116EB">
        <w:rPr>
          <w:szCs w:val="20"/>
        </w:rPr>
        <w:t>95.3</w:t>
      </w:r>
      <w:r w:rsidR="00270DA3" w:rsidRPr="00E116EB">
        <w:rPr>
          <w:szCs w:val="20"/>
        </w:rPr>
        <w:t xml:space="preserve"> </w:t>
      </w:r>
      <w:r w:rsidRPr="00E116EB">
        <w:rPr>
          <w:szCs w:val="20"/>
        </w:rPr>
        <w:t>per cent) (figure 4.3</w:t>
      </w:r>
      <w:r w:rsidR="006E4E1C" w:rsidRPr="00E116EB">
        <w:rPr>
          <w:szCs w:val="20"/>
        </w:rPr>
        <w:t>2</w:t>
      </w:r>
      <w:r w:rsidRPr="00E116EB">
        <w:rPr>
          <w:szCs w:val="20"/>
        </w:rPr>
        <w:t>). These proportions varied across jurisdictions.</w:t>
      </w:r>
    </w:p>
    <w:p w:rsidR="00666ECE" w:rsidRPr="008A206B" w:rsidRDefault="00666ECE" w:rsidP="006B35ED">
      <w:pPr>
        <w:pStyle w:val="FigureTitle"/>
        <w:rPr>
          <w:position w:val="6"/>
          <w:sz w:val="18"/>
        </w:rPr>
      </w:pPr>
      <w:r w:rsidRPr="007A7568">
        <w:rPr>
          <w:b w:val="0"/>
        </w:rPr>
        <w:t xml:space="preserve">Figure </w:t>
      </w:r>
      <w:r w:rsidR="00EB256F" w:rsidRPr="007A7568">
        <w:rPr>
          <w:b w:val="0"/>
        </w:rPr>
        <w:t>4.</w:t>
      </w:r>
      <w:r w:rsidR="00EC06F7" w:rsidRPr="007A7568">
        <w:rPr>
          <w:b w:val="0"/>
          <w:noProof/>
        </w:rPr>
        <w:t>32</w:t>
      </w:r>
      <w:r w:rsidRPr="00666ECE">
        <w:tab/>
      </w:r>
      <w:r w:rsidRPr="008A206B">
        <w:t>Proportion of year 3 students achieving at or above the numeracy national minimum standard, 201</w:t>
      </w:r>
      <w:r w:rsidR="006135F8" w:rsidRPr="008A206B">
        <w:t>2</w:t>
      </w:r>
      <w:r w:rsidRPr="008A206B">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3" name="Picture 33" descr="Figure 4.32 Proportion of year 3 students achieving at or above the numeracy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E34421">
        <w:rPr>
          <w:rFonts w:ascii="Arial" w:hAnsi="Arial"/>
          <w:sz w:val="18"/>
          <w:szCs w:val="20"/>
        </w:rPr>
        <w:t>71</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2475A9">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sidR="006135F8">
        <w:rPr>
          <w:rFonts w:ascii="Arial" w:hAnsi="Arial"/>
          <w:i/>
          <w:sz w:val="18"/>
          <w:szCs w:val="20"/>
        </w:rPr>
        <w:t>2</w:t>
      </w:r>
      <w:r w:rsidRPr="00666ECE">
        <w:rPr>
          <w:rFonts w:ascii="Arial" w:hAnsi="Arial"/>
          <w:sz w:val="18"/>
          <w:szCs w:val="20"/>
        </w:rPr>
        <w:t>; table 4A.</w:t>
      </w:r>
      <w:r w:rsidR="00E34421">
        <w:rPr>
          <w:rFonts w:ascii="Arial" w:hAnsi="Arial"/>
          <w:sz w:val="18"/>
          <w:szCs w:val="20"/>
        </w:rPr>
        <w:t>71</w:t>
      </w:r>
      <w:r w:rsidRPr="00666ECE">
        <w:rPr>
          <w:rFonts w:ascii="Arial" w:hAnsi="Arial"/>
          <w:sz w:val="18"/>
          <w:szCs w:val="20"/>
        </w:rPr>
        <w:t>.</w:t>
      </w:r>
    </w:p>
    <w:p w:rsidR="00406C4A" w:rsidRDefault="00406C4A">
      <w:pPr>
        <w:rPr>
          <w:szCs w:val="20"/>
        </w:rPr>
      </w:pPr>
      <w:r>
        <w:rPr>
          <w:szCs w:val="20"/>
        </w:rPr>
        <w:br w:type="page"/>
      </w:r>
    </w:p>
    <w:p w:rsidR="00666ECE" w:rsidRPr="00666ECE" w:rsidRDefault="00666ECE" w:rsidP="00666ECE">
      <w:pPr>
        <w:spacing w:before="240" w:line="320" w:lineRule="atLeast"/>
        <w:jc w:val="both"/>
        <w:rPr>
          <w:szCs w:val="20"/>
        </w:rPr>
      </w:pPr>
      <w:r w:rsidRPr="00891EF6">
        <w:rPr>
          <w:szCs w:val="20"/>
        </w:rPr>
        <w:lastRenderedPageBreak/>
        <w:t>Nationally</w:t>
      </w:r>
      <w:r w:rsidR="00292174" w:rsidRPr="00891EF6">
        <w:rPr>
          <w:szCs w:val="20"/>
        </w:rPr>
        <w:t xml:space="preserve"> in 201</w:t>
      </w:r>
      <w:r w:rsidR="006135F8" w:rsidRPr="00891EF6">
        <w:rPr>
          <w:szCs w:val="20"/>
        </w:rPr>
        <w:t>2</w:t>
      </w:r>
      <w:r w:rsidRPr="00891EF6">
        <w:rPr>
          <w:szCs w:val="20"/>
        </w:rPr>
        <w:t xml:space="preserve">, the mean scale score for year 3 numeracy for all students was </w:t>
      </w:r>
      <w:r w:rsidR="00E116EB" w:rsidRPr="00891EF6">
        <w:rPr>
          <w:szCs w:val="20"/>
        </w:rPr>
        <w:t>394.5–396.5</w:t>
      </w:r>
      <w:r w:rsidRPr="00891EF6">
        <w:rPr>
          <w:szCs w:val="20"/>
        </w:rPr>
        <w:t>. The mean scale score for Indigenous students (</w:t>
      </w:r>
      <w:r w:rsidR="00891EF6" w:rsidRPr="00891EF6">
        <w:rPr>
          <w:szCs w:val="20"/>
        </w:rPr>
        <w:t>316.9–32</w:t>
      </w:r>
      <w:r w:rsidR="00764C20">
        <w:rPr>
          <w:szCs w:val="20"/>
        </w:rPr>
        <w:t>3</w:t>
      </w:r>
      <w:r w:rsidR="00891EF6" w:rsidRPr="00891EF6">
        <w:rPr>
          <w:szCs w:val="20"/>
        </w:rPr>
        <w:t>.3</w:t>
      </w:r>
      <w:r w:rsidRPr="00891EF6">
        <w:rPr>
          <w:szCs w:val="20"/>
        </w:rPr>
        <w:t>) was significantly lower than for non-Indigenous students (</w:t>
      </w:r>
      <w:r w:rsidR="00891EF6" w:rsidRPr="00891EF6">
        <w:rPr>
          <w:szCs w:val="20"/>
        </w:rPr>
        <w:t>398.6–400.4</w:t>
      </w:r>
      <w:r w:rsidRPr="00891EF6">
        <w:rPr>
          <w:szCs w:val="20"/>
        </w:rPr>
        <w:t xml:space="preserve">). Mean scale scores </w:t>
      </w:r>
      <w:r w:rsidRPr="00666ECE">
        <w:rPr>
          <w:szCs w:val="20"/>
        </w:rPr>
        <w:t>varied across jurisdictions (figure 4.3</w:t>
      </w:r>
      <w:r w:rsidR="006E4E1C">
        <w:rPr>
          <w:szCs w:val="20"/>
        </w:rPr>
        <w:t>3</w:t>
      </w:r>
      <w:r w:rsidRPr="00666ECE">
        <w:rPr>
          <w:szCs w:val="20"/>
        </w:rPr>
        <w:t>).</w:t>
      </w:r>
    </w:p>
    <w:p w:rsidR="00666ECE" w:rsidRPr="00CB2928" w:rsidRDefault="00666ECE" w:rsidP="006B35ED">
      <w:pPr>
        <w:pStyle w:val="FigureTitle"/>
      </w:pPr>
      <w:r w:rsidRPr="007A7568">
        <w:rPr>
          <w:b w:val="0"/>
        </w:rPr>
        <w:t xml:space="preserve">Figure </w:t>
      </w:r>
      <w:r w:rsidR="00EB256F" w:rsidRPr="007A7568">
        <w:rPr>
          <w:b w:val="0"/>
        </w:rPr>
        <w:t>4.</w:t>
      </w:r>
      <w:r w:rsidR="00EC06F7" w:rsidRPr="007A7568">
        <w:rPr>
          <w:b w:val="0"/>
          <w:noProof/>
        </w:rPr>
        <w:t>33</w:t>
      </w:r>
      <w:r w:rsidRPr="00CB2928">
        <w:tab/>
        <w:t>Mean scale scores for year 3 students</w:t>
      </w:r>
      <w:r w:rsidR="000B7ACD" w:rsidRPr="00CB2928">
        <w:t>,</w:t>
      </w:r>
      <w:r w:rsidRPr="00CB2928">
        <w:t xml:space="preserve"> numeracy, </w:t>
      </w:r>
      <w:r w:rsidR="006135F8" w:rsidRPr="00CB2928">
        <w:t>2012</w:t>
      </w:r>
      <w:r w:rsidR="000B7ACD" w:rsidRPr="00CB2928">
        <w:rPr>
          <w:position w:val="6"/>
          <w:sz w:val="18"/>
        </w:rPr>
        <w:t xml:space="preserve">a, </w:t>
      </w:r>
      <w:r w:rsidRPr="00CB2928">
        <w:rPr>
          <w:position w:val="6"/>
          <w:sz w:val="18"/>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4" name="Picture 34" descr="Figure 4.33 Mean scale scores for year 3 students, numerac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891EF6">
        <w:rPr>
          <w:rFonts w:ascii="Arial" w:hAnsi="Arial"/>
          <w:sz w:val="18"/>
          <w:szCs w:val="20"/>
        </w:rPr>
        <w:t>7</w:t>
      </w:r>
      <w:r w:rsidR="00E34421">
        <w:rPr>
          <w:rFonts w:ascii="Arial" w:hAnsi="Arial"/>
          <w:sz w:val="18"/>
          <w:szCs w:val="20"/>
        </w:rPr>
        <w:t>4</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6135F8">
        <w:rPr>
          <w:rFonts w:ascii="Arial" w:hAnsi="Arial"/>
          <w:sz w:val="18"/>
          <w:szCs w:val="20"/>
        </w:rPr>
        <w:t>2</w:t>
      </w:r>
      <w:r w:rsidRPr="00666ECE">
        <w:rPr>
          <w:rFonts w:ascii="Arial" w:hAnsi="Arial"/>
          <w:sz w:val="18"/>
          <w:szCs w:val="20"/>
        </w:rPr>
        <w:t xml:space="preserve"> and unpublished) </w:t>
      </w:r>
      <w:r w:rsidR="006135F8">
        <w:rPr>
          <w:rFonts w:ascii="Arial" w:hAnsi="Arial"/>
          <w:i/>
          <w:sz w:val="18"/>
          <w:szCs w:val="20"/>
        </w:rPr>
        <w:t>2012</w:t>
      </w:r>
      <w:r w:rsidRPr="00666ECE">
        <w:rPr>
          <w:rFonts w:ascii="Arial" w:hAnsi="Arial"/>
          <w:i/>
          <w:sz w:val="18"/>
          <w:szCs w:val="20"/>
        </w:rPr>
        <w:t xml:space="preserve"> National Assessment Program — Literacy and Numeracy: Achievement in Numeracy, Writing, Language Conventions and Numeracy</w:t>
      </w:r>
      <w:r w:rsidRPr="00666ECE">
        <w:rPr>
          <w:rFonts w:ascii="Arial" w:hAnsi="Arial"/>
          <w:sz w:val="18"/>
          <w:szCs w:val="20"/>
        </w:rPr>
        <w:t>; table 4A.</w:t>
      </w:r>
      <w:r w:rsidR="00891EF6">
        <w:rPr>
          <w:rFonts w:ascii="Arial" w:hAnsi="Arial"/>
          <w:sz w:val="18"/>
          <w:szCs w:val="20"/>
        </w:rPr>
        <w:t>7</w:t>
      </w:r>
      <w:r w:rsidR="00E34421">
        <w:rPr>
          <w:rFonts w:ascii="Arial" w:hAnsi="Arial"/>
          <w:sz w:val="18"/>
          <w:szCs w:val="20"/>
        </w:rPr>
        <w:t>4</w:t>
      </w:r>
      <w:r w:rsidRPr="00666ECE">
        <w:rPr>
          <w:rFonts w:ascii="Arial" w:hAnsi="Arial"/>
          <w:sz w:val="18"/>
          <w:szCs w:val="20"/>
        </w:rPr>
        <w:t>.</w:t>
      </w:r>
    </w:p>
    <w:p w:rsidR="00406C4A" w:rsidRDefault="00406C4A" w:rsidP="00666ECE">
      <w:pPr>
        <w:spacing w:before="240" w:line="320" w:lineRule="atLeast"/>
        <w:jc w:val="both"/>
        <w:rPr>
          <w:szCs w:val="20"/>
        </w:rPr>
      </w:pPr>
    </w:p>
    <w:p w:rsidR="00406C4A" w:rsidRDefault="00406C4A">
      <w:pPr>
        <w:rPr>
          <w:szCs w:val="20"/>
        </w:rPr>
      </w:pPr>
      <w:r>
        <w:rPr>
          <w:szCs w:val="20"/>
        </w:rPr>
        <w:br w:type="page"/>
      </w:r>
    </w:p>
    <w:p w:rsidR="00666ECE" w:rsidRPr="00666ECE" w:rsidRDefault="00666ECE" w:rsidP="00666ECE">
      <w:pPr>
        <w:spacing w:before="240" w:line="320" w:lineRule="atLeast"/>
        <w:jc w:val="both"/>
        <w:rPr>
          <w:szCs w:val="20"/>
        </w:rPr>
      </w:pPr>
      <w:r w:rsidRPr="00666ECE">
        <w:rPr>
          <w:szCs w:val="20"/>
        </w:rPr>
        <w:lastRenderedPageBreak/>
        <w:t xml:space="preserve">The proportion of year 5 students who achieved at or above the numeracy national minimum standard in </w:t>
      </w:r>
      <w:r w:rsidR="006135F8">
        <w:rPr>
          <w:szCs w:val="20"/>
        </w:rPr>
        <w:t>2012</w:t>
      </w:r>
      <w:r w:rsidRPr="00666ECE">
        <w:rPr>
          <w:szCs w:val="20"/>
        </w:rPr>
        <w:t xml:space="preserve"> </w:t>
      </w:r>
      <w:r w:rsidRPr="00E116EB">
        <w:rPr>
          <w:szCs w:val="20"/>
        </w:rPr>
        <w:t xml:space="preserve">was </w:t>
      </w:r>
      <w:r w:rsidR="00E116EB" w:rsidRPr="00E116EB">
        <w:rPr>
          <w:szCs w:val="20"/>
        </w:rPr>
        <w:t>93.1–93.5</w:t>
      </w:r>
      <w:r w:rsidR="00270DA3" w:rsidRPr="00E116EB">
        <w:rPr>
          <w:szCs w:val="20"/>
        </w:rPr>
        <w:t xml:space="preserve"> </w:t>
      </w:r>
      <w:r w:rsidRPr="00E116EB">
        <w:rPr>
          <w:szCs w:val="20"/>
        </w:rPr>
        <w:t xml:space="preserve">per cent nationally. The proportion </w:t>
      </w:r>
      <w:r w:rsidR="00764C20">
        <w:rPr>
          <w:szCs w:val="20"/>
        </w:rPr>
        <w:t>for</w:t>
      </w:r>
      <w:r w:rsidR="00241EB3">
        <w:rPr>
          <w:szCs w:val="20"/>
        </w:rPr>
        <w:t xml:space="preserve"> </w:t>
      </w:r>
      <w:r w:rsidRPr="00E116EB">
        <w:rPr>
          <w:szCs w:val="20"/>
        </w:rPr>
        <w:t>Indigenous students (</w:t>
      </w:r>
      <w:r w:rsidR="00E116EB" w:rsidRPr="00E116EB">
        <w:rPr>
          <w:szCs w:val="20"/>
        </w:rPr>
        <w:t>67.3–71.1</w:t>
      </w:r>
      <w:r w:rsidR="00270DA3" w:rsidRPr="00E116EB">
        <w:rPr>
          <w:szCs w:val="20"/>
        </w:rPr>
        <w:t xml:space="preserve"> </w:t>
      </w:r>
      <w:r w:rsidRPr="00E116EB">
        <w:rPr>
          <w:szCs w:val="20"/>
        </w:rPr>
        <w:t>per cent) was significantly lower than for non</w:t>
      </w:r>
      <w:r w:rsidRPr="00E116EB">
        <w:rPr>
          <w:szCs w:val="20"/>
        </w:rPr>
        <w:noBreakHyphen/>
        <w:t>Indigenous students (</w:t>
      </w:r>
      <w:r w:rsidR="00E116EB" w:rsidRPr="00E116EB">
        <w:rPr>
          <w:szCs w:val="20"/>
        </w:rPr>
        <w:t>94.4–94.8</w:t>
      </w:r>
      <w:r w:rsidRPr="00E116EB">
        <w:rPr>
          <w:szCs w:val="20"/>
        </w:rPr>
        <w:t xml:space="preserve"> per </w:t>
      </w:r>
      <w:r w:rsidRPr="00666ECE">
        <w:rPr>
          <w:szCs w:val="20"/>
        </w:rPr>
        <w:t>cent) (figure 4.3</w:t>
      </w:r>
      <w:r w:rsidR="006E4E1C">
        <w:rPr>
          <w:szCs w:val="20"/>
        </w:rPr>
        <w:t>4</w:t>
      </w:r>
      <w:r w:rsidRPr="00666ECE">
        <w:rPr>
          <w:szCs w:val="20"/>
        </w:rPr>
        <w:t>). These proportions varied across jurisdictions.</w:t>
      </w:r>
    </w:p>
    <w:p w:rsidR="00666ECE" w:rsidRPr="00666ECE" w:rsidRDefault="00666ECE" w:rsidP="006B35ED">
      <w:pPr>
        <w:pStyle w:val="FigureTitle"/>
        <w:rPr>
          <w:position w:val="6"/>
          <w:sz w:val="18"/>
        </w:rPr>
      </w:pPr>
      <w:r w:rsidRPr="007A7568">
        <w:rPr>
          <w:b w:val="0"/>
        </w:rPr>
        <w:t xml:space="preserve">Figure </w:t>
      </w:r>
      <w:r w:rsidR="00EB256F" w:rsidRPr="007A7568">
        <w:rPr>
          <w:b w:val="0"/>
        </w:rPr>
        <w:t>4.</w:t>
      </w:r>
      <w:r w:rsidR="00EC06F7" w:rsidRPr="007A7568">
        <w:rPr>
          <w:b w:val="0"/>
          <w:noProof/>
        </w:rPr>
        <w:t>34</w:t>
      </w:r>
      <w:r w:rsidRPr="00666ECE">
        <w:tab/>
      </w:r>
      <w:r w:rsidRPr="008A206B">
        <w:t xml:space="preserve">Proportion of year 5 students achieving at or above the numeracy national minimum standard, </w:t>
      </w:r>
      <w:r w:rsidR="006135F8" w:rsidRPr="008A206B">
        <w:t>2012</w:t>
      </w:r>
      <w:r w:rsidRPr="008A206B">
        <w:rPr>
          <w:position w:val="6"/>
          <w:sz w:val="18"/>
        </w:rPr>
        <w:t>a, b</w:t>
      </w:r>
      <w:r w:rsidRPr="008A206B">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5" name="Picture 35" descr="Figure 4.34 Proportion of year 5 students achieving at or above the numeracy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E34421">
        <w:rPr>
          <w:rFonts w:ascii="Arial" w:hAnsi="Arial"/>
          <w:sz w:val="18"/>
          <w:szCs w:val="20"/>
        </w:rPr>
        <w:t>71</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w:t>
      </w:r>
      <w:r w:rsidR="006135F8">
        <w:rPr>
          <w:rFonts w:ascii="Arial" w:hAnsi="Arial"/>
          <w:sz w:val="18"/>
          <w:szCs w:val="20"/>
        </w:rPr>
        <w:t>2012</w:t>
      </w:r>
      <w:r w:rsidRPr="00666ECE">
        <w:rPr>
          <w:rFonts w:ascii="Arial" w:hAnsi="Arial"/>
          <w:sz w:val="18"/>
          <w:szCs w:val="20"/>
        </w:rPr>
        <w:t xml:space="preserve"> and unpublished) </w:t>
      </w:r>
      <w:r w:rsidRPr="00666ECE">
        <w:rPr>
          <w:rFonts w:ascii="Arial" w:hAnsi="Arial"/>
          <w:i/>
          <w:sz w:val="18"/>
          <w:szCs w:val="20"/>
        </w:rPr>
        <w:t xml:space="preserve">NAPLAN Achievement in Reading, Writing, Language Conventions and Numeracy: National Report for </w:t>
      </w:r>
      <w:r w:rsidR="006135F8">
        <w:rPr>
          <w:rFonts w:ascii="Arial" w:hAnsi="Arial"/>
          <w:i/>
          <w:sz w:val="18"/>
          <w:szCs w:val="20"/>
        </w:rPr>
        <w:t>2012</w:t>
      </w:r>
      <w:r w:rsidRPr="00666ECE">
        <w:rPr>
          <w:rFonts w:ascii="Arial" w:hAnsi="Arial"/>
          <w:sz w:val="18"/>
          <w:szCs w:val="20"/>
        </w:rPr>
        <w:t>; table 4A.</w:t>
      </w:r>
      <w:r w:rsidR="00E34421">
        <w:rPr>
          <w:rFonts w:ascii="Arial" w:hAnsi="Arial"/>
          <w:sz w:val="18"/>
          <w:szCs w:val="20"/>
        </w:rPr>
        <w:t>71</w:t>
      </w:r>
      <w:r w:rsidRPr="00666ECE">
        <w:rPr>
          <w:rFonts w:ascii="Arial" w:hAnsi="Arial"/>
          <w:sz w:val="18"/>
          <w:szCs w:val="20"/>
        </w:rPr>
        <w:t>.</w:t>
      </w:r>
    </w:p>
    <w:p w:rsidR="00406C4A" w:rsidRDefault="00406C4A">
      <w:pPr>
        <w:rPr>
          <w:szCs w:val="20"/>
        </w:rPr>
      </w:pPr>
      <w:r>
        <w:rPr>
          <w:szCs w:val="20"/>
        </w:rPr>
        <w:br w:type="page"/>
      </w:r>
    </w:p>
    <w:p w:rsidR="00666ECE" w:rsidRPr="00891EF6" w:rsidRDefault="00666ECE" w:rsidP="00666ECE">
      <w:pPr>
        <w:spacing w:before="240" w:line="320" w:lineRule="atLeast"/>
        <w:jc w:val="both"/>
        <w:rPr>
          <w:szCs w:val="20"/>
        </w:rPr>
      </w:pPr>
      <w:r w:rsidRPr="00666ECE">
        <w:rPr>
          <w:szCs w:val="20"/>
        </w:rPr>
        <w:lastRenderedPageBreak/>
        <w:t>Nationally</w:t>
      </w:r>
      <w:r w:rsidR="00292174">
        <w:rPr>
          <w:szCs w:val="20"/>
        </w:rPr>
        <w:t xml:space="preserve"> in </w:t>
      </w:r>
      <w:r w:rsidR="006135F8">
        <w:rPr>
          <w:szCs w:val="20"/>
        </w:rPr>
        <w:t>2012</w:t>
      </w:r>
      <w:r w:rsidRPr="00666ECE">
        <w:rPr>
          <w:szCs w:val="20"/>
        </w:rPr>
        <w:t xml:space="preserve">, the mean scale score for year 5 numeracy for all students was </w:t>
      </w:r>
      <w:r w:rsidR="001774B4" w:rsidRPr="00891EF6">
        <w:rPr>
          <w:szCs w:val="20"/>
        </w:rPr>
        <w:t>48</w:t>
      </w:r>
      <w:r w:rsidR="00891EF6" w:rsidRPr="00891EF6">
        <w:rPr>
          <w:szCs w:val="20"/>
        </w:rPr>
        <w:t>7</w:t>
      </w:r>
      <w:r w:rsidR="001774B4" w:rsidRPr="00891EF6">
        <w:rPr>
          <w:szCs w:val="20"/>
        </w:rPr>
        <w:t>.7</w:t>
      </w:r>
      <w:r w:rsidR="00270DA3" w:rsidRPr="00891EF6">
        <w:rPr>
          <w:szCs w:val="20"/>
        </w:rPr>
        <w:t>–</w:t>
      </w:r>
      <w:r w:rsidR="001774B4" w:rsidRPr="00891EF6">
        <w:rPr>
          <w:szCs w:val="20"/>
        </w:rPr>
        <w:t>48</w:t>
      </w:r>
      <w:r w:rsidR="00891EF6" w:rsidRPr="00891EF6">
        <w:rPr>
          <w:szCs w:val="20"/>
        </w:rPr>
        <w:t>9.7</w:t>
      </w:r>
      <w:r w:rsidRPr="00891EF6">
        <w:rPr>
          <w:szCs w:val="20"/>
        </w:rPr>
        <w:t>. The mean scale score for Indigenous students (</w:t>
      </w:r>
      <w:r w:rsidR="00891EF6" w:rsidRPr="00891EF6">
        <w:rPr>
          <w:szCs w:val="20"/>
        </w:rPr>
        <w:t>410.3–417.7</w:t>
      </w:r>
      <w:r w:rsidRPr="00891EF6">
        <w:rPr>
          <w:szCs w:val="20"/>
        </w:rPr>
        <w:t>) was significantly lower than for non-Indigenous students (</w:t>
      </w:r>
      <w:r w:rsidR="00891EF6" w:rsidRPr="00891EF6">
        <w:rPr>
          <w:szCs w:val="20"/>
        </w:rPr>
        <w:t>491.6–493.6</w:t>
      </w:r>
      <w:r w:rsidRPr="00891EF6">
        <w:rPr>
          <w:szCs w:val="20"/>
        </w:rPr>
        <w:t>) (figure 4.3</w:t>
      </w:r>
      <w:r w:rsidR="006E4E1C" w:rsidRPr="00891EF6">
        <w:rPr>
          <w:szCs w:val="20"/>
        </w:rPr>
        <w:t>5</w:t>
      </w:r>
      <w:r w:rsidRPr="00891EF6">
        <w:rPr>
          <w:szCs w:val="20"/>
        </w:rPr>
        <w:t>). Mean scale scores varied across jurisdictions.</w:t>
      </w:r>
    </w:p>
    <w:p w:rsidR="00666ECE" w:rsidRPr="00CB2928" w:rsidRDefault="00666ECE" w:rsidP="006B35ED">
      <w:pPr>
        <w:pStyle w:val="FigureTitle"/>
      </w:pPr>
      <w:r w:rsidRPr="007A7568">
        <w:rPr>
          <w:b w:val="0"/>
        </w:rPr>
        <w:t xml:space="preserve">Figure </w:t>
      </w:r>
      <w:r w:rsidR="00EB256F" w:rsidRPr="007A7568">
        <w:rPr>
          <w:b w:val="0"/>
        </w:rPr>
        <w:t>4.</w:t>
      </w:r>
      <w:r w:rsidR="00EC06F7" w:rsidRPr="007A7568">
        <w:rPr>
          <w:b w:val="0"/>
          <w:noProof/>
        </w:rPr>
        <w:t>35</w:t>
      </w:r>
      <w:r w:rsidRPr="00CB2928">
        <w:tab/>
        <w:t>Mean scale scores for year 5 students</w:t>
      </w:r>
      <w:r w:rsidR="000B7ACD" w:rsidRPr="00CB2928">
        <w:t>,</w:t>
      </w:r>
      <w:r w:rsidRPr="00CB2928">
        <w:t xml:space="preserve"> numeracy, </w:t>
      </w:r>
      <w:r w:rsidR="006135F8" w:rsidRPr="00CB2928">
        <w:t>2012</w:t>
      </w:r>
      <w:r w:rsidRPr="00CB2928">
        <w:rPr>
          <w:position w:val="6"/>
          <w:sz w:val="18"/>
        </w:rPr>
        <w:t>a, b</w:t>
      </w:r>
      <w:r w:rsidRPr="00CB292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6" name="Picture 36" descr="Figure 4.35 Mean scale scores for year 5 students, numerac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764C20">
        <w:rPr>
          <w:rFonts w:ascii="Arial" w:hAnsi="Arial"/>
          <w:sz w:val="18"/>
          <w:szCs w:val="20"/>
        </w:rPr>
        <w:t>7</w:t>
      </w:r>
      <w:r w:rsidR="00E34421">
        <w:rPr>
          <w:rFonts w:ascii="Arial" w:hAnsi="Arial"/>
          <w:sz w:val="18"/>
          <w:szCs w:val="20"/>
        </w:rPr>
        <w:t>4</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w:t>
      </w:r>
      <w:r w:rsidR="006135F8">
        <w:rPr>
          <w:rFonts w:ascii="Arial" w:hAnsi="Arial"/>
          <w:sz w:val="18"/>
          <w:szCs w:val="20"/>
        </w:rPr>
        <w:t>2012</w:t>
      </w:r>
      <w:r w:rsidRPr="00666ECE">
        <w:rPr>
          <w:rFonts w:ascii="Arial" w:hAnsi="Arial"/>
          <w:sz w:val="18"/>
          <w:szCs w:val="20"/>
        </w:rPr>
        <w:t xml:space="preserve"> and unpublished) </w:t>
      </w:r>
      <w:r w:rsidRPr="00666ECE">
        <w:rPr>
          <w:rFonts w:ascii="Arial" w:hAnsi="Arial"/>
          <w:i/>
          <w:sz w:val="18"/>
          <w:szCs w:val="20"/>
        </w:rPr>
        <w:t xml:space="preserve">NAPLAN Achievement in Reading, Writing, Language Conventions and Numeracy: National Report for </w:t>
      </w:r>
      <w:r w:rsidR="006135F8">
        <w:rPr>
          <w:rFonts w:ascii="Arial" w:hAnsi="Arial"/>
          <w:i/>
          <w:sz w:val="18"/>
          <w:szCs w:val="20"/>
        </w:rPr>
        <w:t>2012</w:t>
      </w:r>
      <w:r w:rsidRPr="00666ECE">
        <w:rPr>
          <w:rFonts w:ascii="Arial" w:hAnsi="Arial"/>
          <w:sz w:val="18"/>
          <w:szCs w:val="20"/>
        </w:rPr>
        <w:t>; table 4A.</w:t>
      </w:r>
      <w:r w:rsidR="00764C20">
        <w:rPr>
          <w:rFonts w:ascii="Arial" w:hAnsi="Arial"/>
          <w:sz w:val="18"/>
          <w:szCs w:val="20"/>
        </w:rPr>
        <w:t>7</w:t>
      </w:r>
      <w:r w:rsidR="00E34421">
        <w:rPr>
          <w:rFonts w:ascii="Arial" w:hAnsi="Arial"/>
          <w:sz w:val="18"/>
          <w:szCs w:val="20"/>
        </w:rPr>
        <w:t>4</w:t>
      </w:r>
      <w:r w:rsidRPr="00666ECE">
        <w:rPr>
          <w:rFonts w:ascii="Arial" w:hAnsi="Arial"/>
          <w:sz w:val="18"/>
          <w:szCs w:val="20"/>
        </w:rPr>
        <w:t>.</w:t>
      </w:r>
    </w:p>
    <w:p w:rsidR="00406C4A" w:rsidRDefault="00406C4A">
      <w:pPr>
        <w:rPr>
          <w:szCs w:val="20"/>
        </w:rPr>
      </w:pPr>
      <w:r>
        <w:rPr>
          <w:szCs w:val="20"/>
        </w:rPr>
        <w:br w:type="page"/>
      </w:r>
    </w:p>
    <w:p w:rsidR="00666ECE" w:rsidRPr="00E116EB" w:rsidRDefault="00666ECE" w:rsidP="00666ECE">
      <w:pPr>
        <w:spacing w:before="240" w:line="320" w:lineRule="atLeast"/>
        <w:jc w:val="both"/>
        <w:rPr>
          <w:szCs w:val="20"/>
        </w:rPr>
      </w:pPr>
      <w:r w:rsidRPr="00666ECE">
        <w:rPr>
          <w:szCs w:val="20"/>
        </w:rPr>
        <w:lastRenderedPageBreak/>
        <w:t xml:space="preserve">The proportion of year 7 students </w:t>
      </w:r>
      <w:r w:rsidRPr="00E116EB">
        <w:rPr>
          <w:szCs w:val="20"/>
        </w:rPr>
        <w:t xml:space="preserve">who achieved at or above the numeracy national minimum standard in </w:t>
      </w:r>
      <w:r w:rsidR="006135F8" w:rsidRPr="00E116EB">
        <w:rPr>
          <w:szCs w:val="20"/>
        </w:rPr>
        <w:t>2012</w:t>
      </w:r>
      <w:r w:rsidRPr="00E116EB">
        <w:rPr>
          <w:szCs w:val="20"/>
        </w:rPr>
        <w:t xml:space="preserve"> was </w:t>
      </w:r>
      <w:r w:rsidR="00E116EB" w:rsidRPr="00E116EB">
        <w:rPr>
          <w:szCs w:val="20"/>
        </w:rPr>
        <w:t>93.5–94.1</w:t>
      </w:r>
      <w:r w:rsidR="00270DA3" w:rsidRPr="00E116EB">
        <w:rPr>
          <w:szCs w:val="20"/>
        </w:rPr>
        <w:t xml:space="preserve"> </w:t>
      </w:r>
      <w:r w:rsidRPr="00E116EB">
        <w:rPr>
          <w:szCs w:val="20"/>
        </w:rPr>
        <w:t>per cent nationally. The proportion of Indigenous students (</w:t>
      </w:r>
      <w:r w:rsidR="00E116EB" w:rsidRPr="00E116EB">
        <w:rPr>
          <w:szCs w:val="20"/>
        </w:rPr>
        <w:t>72.</w:t>
      </w:r>
      <w:r w:rsidR="0016188E">
        <w:rPr>
          <w:szCs w:val="20"/>
        </w:rPr>
        <w:t>9</w:t>
      </w:r>
      <w:r w:rsidR="00E116EB" w:rsidRPr="00E116EB">
        <w:rPr>
          <w:szCs w:val="20"/>
        </w:rPr>
        <w:t>–75.</w:t>
      </w:r>
      <w:r w:rsidR="0016188E">
        <w:rPr>
          <w:szCs w:val="20"/>
        </w:rPr>
        <w:t>9</w:t>
      </w:r>
      <w:r w:rsidR="00270DA3" w:rsidRPr="00E116EB">
        <w:rPr>
          <w:szCs w:val="20"/>
        </w:rPr>
        <w:t xml:space="preserve"> </w:t>
      </w:r>
      <w:r w:rsidRPr="00E116EB">
        <w:rPr>
          <w:szCs w:val="20"/>
        </w:rPr>
        <w:t>per cent) was significantly lower than for non</w:t>
      </w:r>
      <w:r w:rsidRPr="00E116EB">
        <w:rPr>
          <w:szCs w:val="20"/>
        </w:rPr>
        <w:noBreakHyphen/>
        <w:t>Indigenous students (</w:t>
      </w:r>
      <w:r w:rsidR="00E116EB" w:rsidRPr="00E116EB">
        <w:rPr>
          <w:szCs w:val="20"/>
        </w:rPr>
        <w:t>94.</w:t>
      </w:r>
      <w:r w:rsidR="0016188E">
        <w:rPr>
          <w:szCs w:val="20"/>
        </w:rPr>
        <w:t>7</w:t>
      </w:r>
      <w:r w:rsidR="00E116EB" w:rsidRPr="00E116EB">
        <w:rPr>
          <w:szCs w:val="20"/>
        </w:rPr>
        <w:t>–95.</w:t>
      </w:r>
      <w:r w:rsidR="0016188E">
        <w:rPr>
          <w:szCs w:val="20"/>
        </w:rPr>
        <w:t>1</w:t>
      </w:r>
      <w:r w:rsidR="00270DA3" w:rsidRPr="00E116EB">
        <w:rPr>
          <w:szCs w:val="20"/>
        </w:rPr>
        <w:t xml:space="preserve"> </w:t>
      </w:r>
      <w:r w:rsidRPr="00E116EB">
        <w:rPr>
          <w:szCs w:val="20"/>
        </w:rPr>
        <w:t>per cent) (figure 4.3</w:t>
      </w:r>
      <w:r w:rsidR="006E4E1C" w:rsidRPr="00E116EB">
        <w:rPr>
          <w:szCs w:val="20"/>
        </w:rPr>
        <w:t>6</w:t>
      </w:r>
      <w:r w:rsidRPr="00E116EB">
        <w:rPr>
          <w:szCs w:val="20"/>
        </w:rPr>
        <w:t>). These proportions varied across jurisdictions.</w:t>
      </w:r>
      <w:r w:rsidR="00270DA3" w:rsidRPr="00E116EB">
        <w:rPr>
          <w:szCs w:val="20"/>
        </w:rPr>
        <w:t xml:space="preserve"> </w:t>
      </w:r>
    </w:p>
    <w:p w:rsidR="00666ECE" w:rsidRPr="00666ECE" w:rsidRDefault="00666ECE" w:rsidP="006B35ED">
      <w:pPr>
        <w:pStyle w:val="FigureTitle"/>
        <w:rPr>
          <w:position w:val="6"/>
          <w:sz w:val="18"/>
        </w:rPr>
      </w:pPr>
      <w:r w:rsidRPr="007A7568">
        <w:rPr>
          <w:b w:val="0"/>
        </w:rPr>
        <w:t xml:space="preserve">Figure </w:t>
      </w:r>
      <w:r w:rsidR="00EB256F" w:rsidRPr="007A7568">
        <w:rPr>
          <w:b w:val="0"/>
        </w:rPr>
        <w:t>4.</w:t>
      </w:r>
      <w:r w:rsidR="00EC06F7" w:rsidRPr="007A7568">
        <w:rPr>
          <w:b w:val="0"/>
          <w:noProof/>
        </w:rPr>
        <w:t>36</w:t>
      </w:r>
      <w:r w:rsidRPr="00666ECE">
        <w:tab/>
      </w:r>
      <w:r w:rsidRPr="008A206B">
        <w:t xml:space="preserve">Proportion of year 7 students achieving at or above the numeracy national minimum standard, </w:t>
      </w:r>
      <w:r w:rsidR="006135F8" w:rsidRPr="008A206B">
        <w:t>2012</w:t>
      </w:r>
      <w:r w:rsidRPr="008A206B">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7" name="Picture 37" descr="Figure 4.36 Proportion of year 7 students achieving at or above the numeracy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E34421">
        <w:rPr>
          <w:rFonts w:ascii="Arial" w:hAnsi="Arial"/>
          <w:sz w:val="18"/>
          <w:szCs w:val="20"/>
        </w:rPr>
        <w:t>71</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w:t>
      </w:r>
      <w:r w:rsidR="006135F8">
        <w:rPr>
          <w:rFonts w:ascii="Arial" w:hAnsi="Arial"/>
          <w:sz w:val="18"/>
          <w:szCs w:val="20"/>
        </w:rPr>
        <w:t>2012</w:t>
      </w:r>
      <w:r w:rsidRPr="00666ECE">
        <w:rPr>
          <w:rFonts w:ascii="Arial" w:hAnsi="Arial"/>
          <w:sz w:val="18"/>
          <w:szCs w:val="20"/>
        </w:rPr>
        <w:t xml:space="preserve"> and unpublished) </w:t>
      </w:r>
      <w:r w:rsidRPr="00666ECE">
        <w:rPr>
          <w:rFonts w:ascii="Arial" w:hAnsi="Arial"/>
          <w:i/>
          <w:sz w:val="18"/>
          <w:szCs w:val="20"/>
        </w:rPr>
        <w:t xml:space="preserve">NAPLAN Achievement in Reading, Writing, Language Conventions and Numeracy: National Report for </w:t>
      </w:r>
      <w:r w:rsidR="006135F8">
        <w:rPr>
          <w:rFonts w:ascii="Arial" w:hAnsi="Arial"/>
          <w:i/>
          <w:sz w:val="18"/>
          <w:szCs w:val="20"/>
        </w:rPr>
        <w:t>2012</w:t>
      </w:r>
      <w:r w:rsidRPr="00666ECE">
        <w:rPr>
          <w:rFonts w:ascii="Arial" w:hAnsi="Arial"/>
          <w:sz w:val="18"/>
          <w:szCs w:val="20"/>
        </w:rPr>
        <w:t>; table 4A.</w:t>
      </w:r>
      <w:r w:rsidR="00E34421">
        <w:rPr>
          <w:rFonts w:ascii="Arial" w:hAnsi="Arial"/>
          <w:sz w:val="18"/>
          <w:szCs w:val="20"/>
        </w:rPr>
        <w:t>71</w:t>
      </w:r>
      <w:r w:rsidRPr="00666ECE">
        <w:rPr>
          <w:rFonts w:ascii="Arial" w:hAnsi="Arial"/>
          <w:sz w:val="18"/>
          <w:szCs w:val="20"/>
        </w:rPr>
        <w:t>.</w:t>
      </w:r>
    </w:p>
    <w:p w:rsidR="00406C4A" w:rsidRDefault="00406C4A">
      <w:pPr>
        <w:rPr>
          <w:szCs w:val="20"/>
        </w:rPr>
      </w:pPr>
      <w:r>
        <w:rPr>
          <w:szCs w:val="20"/>
        </w:rPr>
        <w:br w:type="page"/>
      </w:r>
    </w:p>
    <w:p w:rsidR="00666ECE" w:rsidRPr="00891EF6" w:rsidRDefault="00666ECE" w:rsidP="00666ECE">
      <w:pPr>
        <w:spacing w:before="240" w:line="320" w:lineRule="atLeast"/>
        <w:jc w:val="both"/>
        <w:rPr>
          <w:szCs w:val="20"/>
        </w:rPr>
      </w:pPr>
      <w:r w:rsidRPr="00891EF6">
        <w:rPr>
          <w:szCs w:val="20"/>
        </w:rPr>
        <w:lastRenderedPageBreak/>
        <w:t>Nationally</w:t>
      </w:r>
      <w:r w:rsidR="00292174" w:rsidRPr="00891EF6">
        <w:rPr>
          <w:szCs w:val="20"/>
        </w:rPr>
        <w:t xml:space="preserve"> in </w:t>
      </w:r>
      <w:r w:rsidR="006135F8" w:rsidRPr="00891EF6">
        <w:rPr>
          <w:szCs w:val="20"/>
        </w:rPr>
        <w:t>2012</w:t>
      </w:r>
      <w:r w:rsidRPr="00891EF6">
        <w:rPr>
          <w:szCs w:val="20"/>
        </w:rPr>
        <w:t xml:space="preserve">, the mean scale score for year 7 numeracy for all students was </w:t>
      </w:r>
      <w:r w:rsidR="00891EF6" w:rsidRPr="00891EF6">
        <w:rPr>
          <w:szCs w:val="20"/>
        </w:rPr>
        <w:t>536.5–539.7</w:t>
      </w:r>
      <w:r w:rsidRPr="00891EF6">
        <w:rPr>
          <w:szCs w:val="20"/>
        </w:rPr>
        <w:t>. The mean scale score Indigenous students (</w:t>
      </w:r>
      <w:r w:rsidR="00891EF6" w:rsidRPr="00891EF6">
        <w:rPr>
          <w:szCs w:val="20"/>
        </w:rPr>
        <w:t>466.8–472.0</w:t>
      </w:r>
      <w:r w:rsidRPr="00891EF6">
        <w:rPr>
          <w:szCs w:val="20"/>
        </w:rPr>
        <w:t>) was significantly lower than for non-Indigenous students (</w:t>
      </w:r>
      <w:r w:rsidR="00891EF6" w:rsidRPr="00891EF6">
        <w:rPr>
          <w:szCs w:val="20"/>
        </w:rPr>
        <w:t>540.2–543.4</w:t>
      </w:r>
      <w:r w:rsidRPr="00891EF6">
        <w:rPr>
          <w:szCs w:val="20"/>
        </w:rPr>
        <w:t>) (figure 4.</w:t>
      </w:r>
      <w:r w:rsidR="00270DA3" w:rsidRPr="00891EF6">
        <w:rPr>
          <w:szCs w:val="20"/>
        </w:rPr>
        <w:t>3</w:t>
      </w:r>
      <w:r w:rsidR="006E4E1C" w:rsidRPr="00891EF6">
        <w:rPr>
          <w:szCs w:val="20"/>
        </w:rPr>
        <w:t>7</w:t>
      </w:r>
      <w:r w:rsidRPr="00891EF6">
        <w:rPr>
          <w:szCs w:val="20"/>
        </w:rPr>
        <w:t>). Mean scale scores varied across jurisdictions.</w:t>
      </w:r>
    </w:p>
    <w:p w:rsidR="00666ECE" w:rsidRPr="00CB2928" w:rsidRDefault="00666ECE" w:rsidP="006B35ED">
      <w:pPr>
        <w:pStyle w:val="FigureTitle"/>
      </w:pPr>
      <w:r w:rsidRPr="007A7568">
        <w:rPr>
          <w:b w:val="0"/>
        </w:rPr>
        <w:t xml:space="preserve">Figure </w:t>
      </w:r>
      <w:r w:rsidR="00EB256F" w:rsidRPr="007A7568">
        <w:rPr>
          <w:b w:val="0"/>
        </w:rPr>
        <w:t>4.</w:t>
      </w:r>
      <w:r w:rsidR="00EC06F7" w:rsidRPr="007A7568">
        <w:rPr>
          <w:b w:val="0"/>
          <w:noProof/>
        </w:rPr>
        <w:t>37</w:t>
      </w:r>
      <w:r w:rsidRPr="00CB2928">
        <w:tab/>
        <w:t>Mean scale scores for year 7 students</w:t>
      </w:r>
      <w:r w:rsidR="000B7ACD" w:rsidRPr="00CB2928">
        <w:t>,</w:t>
      </w:r>
      <w:r w:rsidRPr="00CB2928">
        <w:t xml:space="preserve"> numeracy, </w:t>
      </w:r>
      <w:r w:rsidR="006135F8" w:rsidRPr="00CB2928">
        <w:t>2012</w:t>
      </w:r>
      <w:r w:rsidRPr="00CB292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8" name="Picture 38" descr="Figure 4.37 Mean scale scores for year 7 students, numerac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891EF6">
        <w:rPr>
          <w:rFonts w:ascii="Arial" w:hAnsi="Arial"/>
          <w:sz w:val="18"/>
          <w:szCs w:val="20"/>
        </w:rPr>
        <w:t>7</w:t>
      </w:r>
      <w:r w:rsidR="00E34421">
        <w:rPr>
          <w:rFonts w:ascii="Arial" w:hAnsi="Arial"/>
          <w:sz w:val="18"/>
          <w:szCs w:val="20"/>
        </w:rPr>
        <w:t>4</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w:t>
      </w:r>
      <w:r w:rsidR="006135F8">
        <w:rPr>
          <w:rFonts w:ascii="Arial" w:hAnsi="Arial"/>
          <w:sz w:val="18"/>
          <w:szCs w:val="20"/>
        </w:rPr>
        <w:t>2012</w:t>
      </w:r>
      <w:r w:rsidRPr="00666ECE">
        <w:rPr>
          <w:rFonts w:ascii="Arial" w:hAnsi="Arial"/>
          <w:sz w:val="18"/>
          <w:szCs w:val="20"/>
        </w:rPr>
        <w:t xml:space="preserve"> and unpublished) </w:t>
      </w:r>
      <w:r w:rsidRPr="00666ECE">
        <w:rPr>
          <w:rFonts w:ascii="Arial" w:hAnsi="Arial"/>
          <w:i/>
          <w:sz w:val="18"/>
          <w:szCs w:val="20"/>
        </w:rPr>
        <w:t xml:space="preserve">NAPLAN Achievement in Reading, Writing, Language Conventions and Numeracy: National Report for </w:t>
      </w:r>
      <w:r w:rsidR="006135F8">
        <w:rPr>
          <w:rFonts w:ascii="Arial" w:hAnsi="Arial"/>
          <w:i/>
          <w:sz w:val="18"/>
          <w:szCs w:val="20"/>
        </w:rPr>
        <w:t>2012</w:t>
      </w:r>
      <w:r w:rsidRPr="00666ECE">
        <w:rPr>
          <w:rFonts w:ascii="Arial" w:hAnsi="Arial"/>
          <w:sz w:val="18"/>
          <w:szCs w:val="20"/>
        </w:rPr>
        <w:t>; table 4A</w:t>
      </w:r>
      <w:r w:rsidR="00891EF6">
        <w:rPr>
          <w:rFonts w:ascii="Arial" w:hAnsi="Arial"/>
          <w:sz w:val="18"/>
          <w:szCs w:val="20"/>
        </w:rPr>
        <w:t>.7</w:t>
      </w:r>
      <w:r w:rsidR="00E34421">
        <w:rPr>
          <w:rFonts w:ascii="Arial" w:hAnsi="Arial"/>
          <w:sz w:val="18"/>
          <w:szCs w:val="20"/>
        </w:rPr>
        <w:t>4</w:t>
      </w:r>
      <w:r w:rsidRPr="00666ECE">
        <w:rPr>
          <w:rFonts w:ascii="Arial" w:hAnsi="Arial"/>
          <w:sz w:val="18"/>
          <w:szCs w:val="20"/>
        </w:rPr>
        <w:t>.</w:t>
      </w:r>
    </w:p>
    <w:p w:rsidR="00406C4A" w:rsidRDefault="00406C4A">
      <w:pPr>
        <w:rPr>
          <w:szCs w:val="20"/>
        </w:rPr>
      </w:pPr>
      <w:r>
        <w:rPr>
          <w:szCs w:val="20"/>
        </w:rPr>
        <w:br w:type="page"/>
      </w:r>
    </w:p>
    <w:p w:rsidR="00666ECE" w:rsidRPr="00891EF6" w:rsidRDefault="00666ECE" w:rsidP="00666ECE">
      <w:pPr>
        <w:spacing w:before="240" w:line="320" w:lineRule="atLeast"/>
        <w:jc w:val="both"/>
        <w:rPr>
          <w:szCs w:val="20"/>
        </w:rPr>
      </w:pPr>
      <w:r w:rsidRPr="00891EF6">
        <w:rPr>
          <w:szCs w:val="20"/>
        </w:rPr>
        <w:lastRenderedPageBreak/>
        <w:t xml:space="preserve">The proportion of year 9 students who achieved at or above the numeracy national minimum standard in </w:t>
      </w:r>
      <w:r w:rsidR="006135F8" w:rsidRPr="00891EF6">
        <w:rPr>
          <w:szCs w:val="20"/>
        </w:rPr>
        <w:t>2012</w:t>
      </w:r>
      <w:r w:rsidRPr="00891EF6">
        <w:rPr>
          <w:szCs w:val="20"/>
        </w:rPr>
        <w:t xml:space="preserve"> was </w:t>
      </w:r>
      <w:r w:rsidR="00E116EB" w:rsidRPr="00891EF6">
        <w:rPr>
          <w:szCs w:val="20"/>
        </w:rPr>
        <w:t>93.4–94.0</w:t>
      </w:r>
      <w:r w:rsidR="00270DA3" w:rsidRPr="00891EF6">
        <w:rPr>
          <w:szCs w:val="20"/>
        </w:rPr>
        <w:t xml:space="preserve"> </w:t>
      </w:r>
      <w:r w:rsidRPr="00891EF6">
        <w:rPr>
          <w:szCs w:val="20"/>
        </w:rPr>
        <w:t>per cent nationally. The proportion of Indigenous students (</w:t>
      </w:r>
      <w:r w:rsidR="00E116EB" w:rsidRPr="00891EF6">
        <w:rPr>
          <w:szCs w:val="20"/>
        </w:rPr>
        <w:t>72.6–75.8</w:t>
      </w:r>
      <w:r w:rsidR="00270DA3" w:rsidRPr="00891EF6">
        <w:rPr>
          <w:szCs w:val="20"/>
        </w:rPr>
        <w:t xml:space="preserve"> </w:t>
      </w:r>
      <w:r w:rsidRPr="00891EF6">
        <w:rPr>
          <w:szCs w:val="20"/>
        </w:rPr>
        <w:t>per cent) was significantly lower than for non</w:t>
      </w:r>
      <w:r w:rsidRPr="00891EF6">
        <w:rPr>
          <w:szCs w:val="20"/>
        </w:rPr>
        <w:noBreakHyphen/>
        <w:t>Indigenous students (</w:t>
      </w:r>
      <w:r w:rsidR="00E116EB" w:rsidRPr="00891EF6">
        <w:rPr>
          <w:szCs w:val="20"/>
        </w:rPr>
        <w:t>94.4–95.0</w:t>
      </w:r>
      <w:r w:rsidR="00270DA3" w:rsidRPr="00891EF6">
        <w:rPr>
          <w:szCs w:val="20"/>
        </w:rPr>
        <w:t xml:space="preserve"> </w:t>
      </w:r>
      <w:r w:rsidRPr="00891EF6">
        <w:rPr>
          <w:szCs w:val="20"/>
        </w:rPr>
        <w:t>per cent) (figure 4.</w:t>
      </w:r>
      <w:r w:rsidR="006E4E1C" w:rsidRPr="00891EF6">
        <w:rPr>
          <w:szCs w:val="20"/>
        </w:rPr>
        <w:t>38</w:t>
      </w:r>
      <w:r w:rsidRPr="00891EF6">
        <w:rPr>
          <w:szCs w:val="20"/>
        </w:rPr>
        <w:t>). These proportions varied across jurisdictions.</w:t>
      </w:r>
    </w:p>
    <w:p w:rsidR="00666ECE" w:rsidRPr="00666ECE" w:rsidRDefault="00666ECE" w:rsidP="006B35ED">
      <w:pPr>
        <w:pStyle w:val="FigureTitle"/>
        <w:rPr>
          <w:position w:val="6"/>
          <w:sz w:val="18"/>
        </w:rPr>
      </w:pPr>
      <w:r w:rsidRPr="007A7568">
        <w:rPr>
          <w:b w:val="0"/>
        </w:rPr>
        <w:t xml:space="preserve">Figure </w:t>
      </w:r>
      <w:r w:rsidR="00EB256F" w:rsidRPr="007A7568">
        <w:rPr>
          <w:b w:val="0"/>
        </w:rPr>
        <w:t>4.</w:t>
      </w:r>
      <w:r w:rsidR="00EC06F7" w:rsidRPr="007A7568">
        <w:rPr>
          <w:b w:val="0"/>
          <w:noProof/>
        </w:rPr>
        <w:t>38</w:t>
      </w:r>
      <w:r w:rsidRPr="00666ECE">
        <w:tab/>
      </w:r>
      <w:r w:rsidRPr="008A206B">
        <w:t xml:space="preserve">Proportion of year 9 students achieving at or above the numeracy national minimum standard, </w:t>
      </w:r>
      <w:r w:rsidR="006135F8" w:rsidRPr="008A206B">
        <w:t>2012</w:t>
      </w:r>
      <w:r w:rsidRPr="008A206B">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39" name="Picture 39" descr="Figure 4.38 Proportion of year 9 students achieving at or above the numeracy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E34421">
        <w:rPr>
          <w:rFonts w:ascii="Arial" w:hAnsi="Arial"/>
          <w:sz w:val="18"/>
          <w:szCs w:val="20"/>
        </w:rPr>
        <w:t>71</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w:t>
      </w:r>
      <w:r w:rsidR="006135F8">
        <w:rPr>
          <w:rFonts w:ascii="Arial" w:hAnsi="Arial"/>
          <w:sz w:val="18"/>
          <w:szCs w:val="20"/>
        </w:rPr>
        <w:t>2012</w:t>
      </w:r>
      <w:r w:rsidRPr="00666ECE">
        <w:rPr>
          <w:rFonts w:ascii="Arial" w:hAnsi="Arial"/>
          <w:sz w:val="18"/>
          <w:szCs w:val="20"/>
        </w:rPr>
        <w:t xml:space="preserve"> and unpublished) </w:t>
      </w:r>
      <w:r w:rsidRPr="00666ECE">
        <w:rPr>
          <w:rFonts w:ascii="Arial" w:hAnsi="Arial"/>
          <w:i/>
          <w:sz w:val="18"/>
          <w:szCs w:val="20"/>
        </w:rPr>
        <w:t xml:space="preserve">NAPLAN Achievement in Reading, Writing, Language Conventions and Numeracy: National Report for </w:t>
      </w:r>
      <w:r w:rsidR="006135F8">
        <w:rPr>
          <w:rFonts w:ascii="Arial" w:hAnsi="Arial"/>
          <w:i/>
          <w:sz w:val="18"/>
          <w:szCs w:val="20"/>
        </w:rPr>
        <w:t>2012</w:t>
      </w:r>
      <w:r w:rsidRPr="00666ECE">
        <w:rPr>
          <w:rFonts w:ascii="Arial" w:hAnsi="Arial"/>
          <w:sz w:val="18"/>
          <w:szCs w:val="20"/>
        </w:rPr>
        <w:t>; table 4A.</w:t>
      </w:r>
      <w:r w:rsidR="00E34421">
        <w:rPr>
          <w:rFonts w:ascii="Arial" w:hAnsi="Arial"/>
          <w:sz w:val="18"/>
          <w:szCs w:val="20"/>
        </w:rPr>
        <w:t>71</w:t>
      </w:r>
      <w:r w:rsidRPr="00666ECE">
        <w:rPr>
          <w:rFonts w:ascii="Arial" w:hAnsi="Arial"/>
          <w:sz w:val="18"/>
          <w:szCs w:val="20"/>
        </w:rPr>
        <w:t>.</w:t>
      </w:r>
    </w:p>
    <w:p w:rsidR="00406C4A" w:rsidRDefault="00406C4A">
      <w:pPr>
        <w:rPr>
          <w:szCs w:val="20"/>
        </w:rPr>
      </w:pPr>
      <w:r>
        <w:rPr>
          <w:szCs w:val="20"/>
        </w:rPr>
        <w:br w:type="page"/>
      </w:r>
    </w:p>
    <w:p w:rsidR="00666ECE" w:rsidRPr="00891EF6" w:rsidRDefault="00666ECE" w:rsidP="00666ECE">
      <w:pPr>
        <w:spacing w:before="240" w:line="320" w:lineRule="atLeast"/>
        <w:jc w:val="both"/>
        <w:rPr>
          <w:szCs w:val="20"/>
        </w:rPr>
      </w:pPr>
      <w:r w:rsidRPr="00891EF6">
        <w:rPr>
          <w:szCs w:val="20"/>
        </w:rPr>
        <w:lastRenderedPageBreak/>
        <w:t>Nationally</w:t>
      </w:r>
      <w:r w:rsidR="00292174" w:rsidRPr="00891EF6">
        <w:rPr>
          <w:szCs w:val="20"/>
        </w:rPr>
        <w:t xml:space="preserve"> in </w:t>
      </w:r>
      <w:r w:rsidR="006135F8" w:rsidRPr="00891EF6">
        <w:rPr>
          <w:szCs w:val="20"/>
        </w:rPr>
        <w:t>2012</w:t>
      </w:r>
      <w:r w:rsidRPr="00891EF6">
        <w:rPr>
          <w:szCs w:val="20"/>
        </w:rPr>
        <w:t xml:space="preserve">, the mean scale score for year 9 numeracy for all students was </w:t>
      </w:r>
      <w:r w:rsidR="00891EF6" w:rsidRPr="00891EF6">
        <w:rPr>
          <w:szCs w:val="20"/>
        </w:rPr>
        <w:t>582.3–586.1</w:t>
      </w:r>
      <w:r w:rsidRPr="00891EF6">
        <w:rPr>
          <w:szCs w:val="20"/>
        </w:rPr>
        <w:t>. The mean scale score for Indigenous students (</w:t>
      </w:r>
      <w:r w:rsidR="00891EF6" w:rsidRPr="00891EF6">
        <w:rPr>
          <w:szCs w:val="20"/>
        </w:rPr>
        <w:t>515.8–520.6</w:t>
      </w:r>
      <w:r w:rsidRPr="00891EF6">
        <w:rPr>
          <w:szCs w:val="20"/>
        </w:rPr>
        <w:t>) was significantly lower than for non-Indigenous students (</w:t>
      </w:r>
      <w:r w:rsidR="00891EF6" w:rsidRPr="00891EF6">
        <w:rPr>
          <w:szCs w:val="20"/>
        </w:rPr>
        <w:t>585.6–589.4</w:t>
      </w:r>
      <w:r w:rsidRPr="00891EF6">
        <w:rPr>
          <w:szCs w:val="20"/>
        </w:rPr>
        <w:t>) (figure 4.</w:t>
      </w:r>
      <w:r w:rsidR="006E4E1C" w:rsidRPr="00891EF6">
        <w:rPr>
          <w:szCs w:val="20"/>
        </w:rPr>
        <w:t>39</w:t>
      </w:r>
      <w:r w:rsidRPr="00891EF6">
        <w:rPr>
          <w:szCs w:val="20"/>
        </w:rPr>
        <w:t>). Mean scale scores varied across jurisdictions.</w:t>
      </w:r>
    </w:p>
    <w:p w:rsidR="00666ECE" w:rsidRPr="00CB2928" w:rsidRDefault="00666ECE" w:rsidP="006B35ED">
      <w:pPr>
        <w:pStyle w:val="FigureTitle"/>
      </w:pPr>
      <w:r w:rsidRPr="007A7568">
        <w:rPr>
          <w:b w:val="0"/>
        </w:rPr>
        <w:t xml:space="preserve">Figure </w:t>
      </w:r>
      <w:r w:rsidR="00EB256F" w:rsidRPr="007A7568">
        <w:rPr>
          <w:b w:val="0"/>
        </w:rPr>
        <w:t>4.</w:t>
      </w:r>
      <w:r w:rsidR="00EC06F7" w:rsidRPr="007A7568">
        <w:rPr>
          <w:b w:val="0"/>
          <w:noProof/>
        </w:rPr>
        <w:t>39</w:t>
      </w:r>
      <w:r w:rsidRPr="00CB2928">
        <w:tab/>
        <w:t>Mean scale scores for year 9 students</w:t>
      </w:r>
      <w:r w:rsidR="000B7ACD" w:rsidRPr="00CB2928">
        <w:t>,</w:t>
      </w:r>
      <w:r w:rsidRPr="00CB2928">
        <w:t xml:space="preserve"> numeracy, </w:t>
      </w:r>
      <w:r w:rsidR="006135F8" w:rsidRPr="00CB2928">
        <w:t>2012</w:t>
      </w:r>
      <w:r w:rsidRPr="00CB292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40" name="Picture 40" descr="Figure 4.39 Mean scale scores for year 9 students, numerac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891EF6">
        <w:rPr>
          <w:rFonts w:ascii="Arial" w:hAnsi="Arial"/>
          <w:sz w:val="18"/>
          <w:szCs w:val="20"/>
        </w:rPr>
        <w:t>7</w:t>
      </w:r>
      <w:r w:rsidR="00E34421">
        <w:rPr>
          <w:rFonts w:ascii="Arial" w:hAnsi="Arial"/>
          <w:sz w:val="18"/>
          <w:szCs w:val="20"/>
        </w:rPr>
        <w:t>4</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w:t>
      </w:r>
      <w:r w:rsidR="006135F8">
        <w:rPr>
          <w:rFonts w:ascii="Arial" w:hAnsi="Arial"/>
          <w:sz w:val="18"/>
          <w:szCs w:val="20"/>
        </w:rPr>
        <w:t>2012</w:t>
      </w:r>
      <w:r w:rsidRPr="00666ECE">
        <w:rPr>
          <w:rFonts w:ascii="Arial" w:hAnsi="Arial"/>
          <w:sz w:val="18"/>
          <w:szCs w:val="20"/>
        </w:rPr>
        <w:t xml:space="preserve"> and unpublished) </w:t>
      </w:r>
      <w:r w:rsidRPr="00666ECE">
        <w:rPr>
          <w:rFonts w:ascii="Arial" w:hAnsi="Arial"/>
          <w:i/>
          <w:sz w:val="18"/>
          <w:szCs w:val="20"/>
        </w:rPr>
        <w:t xml:space="preserve">NAPLAN Achievement in Reading, Writing, Language Conventions and Numeracy: National Report for </w:t>
      </w:r>
      <w:r w:rsidR="006135F8">
        <w:rPr>
          <w:rFonts w:ascii="Arial" w:hAnsi="Arial"/>
          <w:i/>
          <w:sz w:val="18"/>
          <w:szCs w:val="20"/>
        </w:rPr>
        <w:t>2012</w:t>
      </w:r>
      <w:r w:rsidRPr="00666ECE">
        <w:rPr>
          <w:rFonts w:ascii="Arial" w:hAnsi="Arial"/>
          <w:sz w:val="18"/>
          <w:szCs w:val="20"/>
        </w:rPr>
        <w:t>; table 4A.</w:t>
      </w:r>
      <w:r w:rsidR="00891EF6">
        <w:rPr>
          <w:rFonts w:ascii="Arial" w:hAnsi="Arial"/>
          <w:sz w:val="18"/>
          <w:szCs w:val="20"/>
        </w:rPr>
        <w:t>7</w:t>
      </w:r>
      <w:r w:rsidR="00E34421">
        <w:rPr>
          <w:rFonts w:ascii="Arial" w:hAnsi="Arial"/>
          <w:sz w:val="18"/>
          <w:szCs w:val="20"/>
        </w:rPr>
        <w:t>4</w:t>
      </w:r>
      <w:r w:rsidRPr="00666ECE">
        <w:rPr>
          <w:rFonts w:ascii="Arial" w:hAnsi="Arial"/>
          <w:sz w:val="18"/>
          <w:szCs w:val="20"/>
        </w:rPr>
        <w:t>.</w:t>
      </w:r>
    </w:p>
    <w:p w:rsidR="00666ECE" w:rsidRPr="00666ECE" w:rsidRDefault="00666ECE" w:rsidP="00666ECE">
      <w:pPr>
        <w:spacing w:before="240" w:line="320" w:lineRule="atLeast"/>
        <w:jc w:val="both"/>
        <w:rPr>
          <w:i/>
          <w:szCs w:val="20"/>
        </w:rPr>
      </w:pPr>
      <w:r w:rsidRPr="00666ECE">
        <w:rPr>
          <w:i/>
          <w:szCs w:val="20"/>
        </w:rPr>
        <w:t>Geolocation</w:t>
      </w:r>
    </w:p>
    <w:p w:rsidR="00666ECE" w:rsidRPr="000A554E" w:rsidRDefault="00666ECE" w:rsidP="00666ECE">
      <w:pPr>
        <w:spacing w:before="240" w:line="320" w:lineRule="atLeast"/>
        <w:jc w:val="both"/>
        <w:rPr>
          <w:szCs w:val="20"/>
        </w:rPr>
      </w:pPr>
      <w:r w:rsidRPr="00666ECE">
        <w:rPr>
          <w:szCs w:val="20"/>
        </w:rPr>
        <w:t xml:space="preserve">Across all year levels, </w:t>
      </w:r>
      <w:r w:rsidRPr="00891EF6">
        <w:rPr>
          <w:szCs w:val="20"/>
        </w:rPr>
        <w:t xml:space="preserve">numeracy outcomes tended to decline with remoteness. For year </w:t>
      </w:r>
      <w:r w:rsidR="00D576CE">
        <w:rPr>
          <w:szCs w:val="20"/>
        </w:rPr>
        <w:t>3</w:t>
      </w:r>
      <w:r w:rsidRPr="00891EF6">
        <w:rPr>
          <w:szCs w:val="20"/>
        </w:rPr>
        <w:t xml:space="preserve">, for </w:t>
      </w:r>
      <w:r w:rsidRPr="000A554E">
        <w:rPr>
          <w:szCs w:val="20"/>
        </w:rPr>
        <w:t xml:space="preserve">example, </w:t>
      </w:r>
      <w:r w:rsidR="00891EF6" w:rsidRPr="000A554E">
        <w:rPr>
          <w:szCs w:val="20"/>
        </w:rPr>
        <w:t>94.</w:t>
      </w:r>
      <w:r w:rsidR="000A554E" w:rsidRPr="000A554E">
        <w:rPr>
          <w:szCs w:val="20"/>
        </w:rPr>
        <w:t>9</w:t>
      </w:r>
      <w:r w:rsidR="00891EF6" w:rsidRPr="000A554E">
        <w:rPr>
          <w:szCs w:val="20"/>
        </w:rPr>
        <w:t>–</w:t>
      </w:r>
      <w:r w:rsidR="000A554E" w:rsidRPr="000A554E">
        <w:rPr>
          <w:szCs w:val="20"/>
        </w:rPr>
        <w:t>95.3</w:t>
      </w:r>
      <w:r w:rsidR="00270DA3" w:rsidRPr="000A554E">
        <w:rPr>
          <w:szCs w:val="20"/>
        </w:rPr>
        <w:t xml:space="preserve"> </w:t>
      </w:r>
      <w:r w:rsidRPr="000A554E">
        <w:rPr>
          <w:szCs w:val="20"/>
        </w:rPr>
        <w:t xml:space="preserve">per cent of students in metropolitan areas achieved at or above the national minimum standard, higher than the proportion for provincial students </w:t>
      </w:r>
      <w:r w:rsidR="000A554E" w:rsidRPr="000A554E">
        <w:rPr>
          <w:szCs w:val="20"/>
        </w:rPr>
        <w:t>92.2</w:t>
      </w:r>
      <w:r w:rsidR="00891EF6" w:rsidRPr="000A554E">
        <w:rPr>
          <w:szCs w:val="20"/>
        </w:rPr>
        <w:t>–</w:t>
      </w:r>
      <w:r w:rsidR="000A554E" w:rsidRPr="000A554E">
        <w:rPr>
          <w:szCs w:val="20"/>
        </w:rPr>
        <w:t>93.0</w:t>
      </w:r>
      <w:r w:rsidR="00270DA3" w:rsidRPr="000A554E">
        <w:rPr>
          <w:szCs w:val="20"/>
        </w:rPr>
        <w:t xml:space="preserve"> </w:t>
      </w:r>
      <w:r w:rsidRPr="000A554E">
        <w:rPr>
          <w:szCs w:val="20"/>
        </w:rPr>
        <w:t>per cent), remote students (</w:t>
      </w:r>
      <w:r w:rsidR="000A554E" w:rsidRPr="000A554E">
        <w:rPr>
          <w:szCs w:val="20"/>
        </w:rPr>
        <w:t>82.0–87.2</w:t>
      </w:r>
      <w:r w:rsidR="00270DA3" w:rsidRPr="000A554E">
        <w:rPr>
          <w:szCs w:val="20"/>
        </w:rPr>
        <w:t xml:space="preserve"> </w:t>
      </w:r>
      <w:r w:rsidRPr="000A554E">
        <w:rPr>
          <w:szCs w:val="20"/>
        </w:rPr>
        <w:t>per cent) and very remote students (</w:t>
      </w:r>
      <w:r w:rsidR="000A554E" w:rsidRPr="000A554E">
        <w:rPr>
          <w:szCs w:val="20"/>
        </w:rPr>
        <w:t>50.9</w:t>
      </w:r>
      <w:r w:rsidR="00891EF6" w:rsidRPr="000A554E">
        <w:rPr>
          <w:szCs w:val="20"/>
        </w:rPr>
        <w:t>–</w:t>
      </w:r>
      <w:r w:rsidR="000A554E" w:rsidRPr="000A554E">
        <w:rPr>
          <w:szCs w:val="20"/>
        </w:rPr>
        <w:t>62.5</w:t>
      </w:r>
      <w:r w:rsidR="00270DA3" w:rsidRPr="000A554E">
        <w:rPr>
          <w:szCs w:val="20"/>
        </w:rPr>
        <w:t xml:space="preserve"> </w:t>
      </w:r>
      <w:r w:rsidRPr="000A554E">
        <w:rPr>
          <w:szCs w:val="20"/>
        </w:rPr>
        <w:t>per cent) (figure 4.</w:t>
      </w:r>
      <w:r w:rsidR="00BA40CA" w:rsidRPr="000A554E">
        <w:rPr>
          <w:szCs w:val="20"/>
        </w:rPr>
        <w:t>4</w:t>
      </w:r>
      <w:r w:rsidR="006E4E1C" w:rsidRPr="000A554E">
        <w:rPr>
          <w:szCs w:val="20"/>
        </w:rPr>
        <w:t>0</w:t>
      </w:r>
      <w:r w:rsidRPr="000A554E">
        <w:rPr>
          <w:szCs w:val="20"/>
        </w:rPr>
        <w:t>).</w:t>
      </w:r>
    </w:p>
    <w:p w:rsidR="00666ECE" w:rsidRPr="00666ECE" w:rsidRDefault="00666ECE" w:rsidP="00666ECE">
      <w:pPr>
        <w:spacing w:before="240" w:line="320" w:lineRule="atLeast"/>
        <w:jc w:val="both"/>
        <w:rPr>
          <w:szCs w:val="20"/>
        </w:rPr>
      </w:pPr>
      <w:r w:rsidRPr="00666ECE">
        <w:rPr>
          <w:szCs w:val="20"/>
        </w:rPr>
        <w:t xml:space="preserve">For all geolocation categories across years 3, 5, 7 and 9, the numeracy outcomes nationally for Indigenous students were lower than those for non-Indigenous students. Nationally, outcomes for Indigenous students generally declined as remoteness increased, and </w:t>
      </w:r>
      <w:r w:rsidRPr="00666ECE">
        <w:rPr>
          <w:szCs w:val="26"/>
        </w:rPr>
        <w:t>the gap in learning outcomes between Indigenous studen</w:t>
      </w:r>
      <w:r w:rsidR="00404778">
        <w:rPr>
          <w:szCs w:val="26"/>
        </w:rPr>
        <w:t xml:space="preserve">ts and non-Indigenous students </w:t>
      </w:r>
      <w:r w:rsidRPr="00666ECE">
        <w:rPr>
          <w:szCs w:val="26"/>
        </w:rPr>
        <w:t>was generally greater in remote and very remote areas than in metropolitan and provincial areas.</w:t>
      </w:r>
    </w:p>
    <w:p w:rsidR="00666ECE" w:rsidRPr="00666ECE" w:rsidRDefault="00666ECE" w:rsidP="00666ECE">
      <w:pPr>
        <w:spacing w:before="240" w:line="320" w:lineRule="atLeast"/>
        <w:jc w:val="both"/>
        <w:rPr>
          <w:szCs w:val="20"/>
        </w:rPr>
      </w:pPr>
      <w:r w:rsidRPr="00666ECE">
        <w:rPr>
          <w:szCs w:val="20"/>
        </w:rPr>
        <w:t>State and Territory results by Indigenous status and geolocation for years 3, 5, 7 and 9 numeracy literacy are in table 4A.</w:t>
      </w:r>
      <w:r w:rsidR="00C43453">
        <w:rPr>
          <w:szCs w:val="20"/>
        </w:rPr>
        <w:t>72</w:t>
      </w:r>
      <w:r w:rsidRPr="00666ECE">
        <w:rPr>
          <w:szCs w:val="20"/>
        </w:rPr>
        <w:t xml:space="preserve">. The general pattern in jurisdictions appears similar to the national results. However, due to relatively large confidence intervals, </w:t>
      </w:r>
      <w:r w:rsidRPr="00666ECE">
        <w:rPr>
          <w:szCs w:val="20"/>
        </w:rPr>
        <w:lastRenderedPageBreak/>
        <w:t>caution should be exercised when making comparisons for some data. Mean scale score results by Indigenous status and geolocation are provided in table 4A.</w:t>
      </w:r>
      <w:r w:rsidR="0016188E">
        <w:rPr>
          <w:szCs w:val="20"/>
        </w:rPr>
        <w:t>7</w:t>
      </w:r>
      <w:r w:rsidR="00E34421">
        <w:rPr>
          <w:szCs w:val="20"/>
        </w:rPr>
        <w:t>5</w:t>
      </w:r>
      <w:r w:rsidRPr="00666ECE">
        <w:rPr>
          <w:szCs w:val="20"/>
        </w:rPr>
        <w:t>.</w:t>
      </w:r>
    </w:p>
    <w:p w:rsidR="00666ECE" w:rsidRPr="00666ECE" w:rsidRDefault="00666ECE" w:rsidP="006B35ED">
      <w:pPr>
        <w:pStyle w:val="FigureTitle"/>
      </w:pPr>
      <w:r w:rsidRPr="007A7568">
        <w:rPr>
          <w:b w:val="0"/>
        </w:rPr>
        <w:t xml:space="preserve">Figure </w:t>
      </w:r>
      <w:r w:rsidR="00EB256F" w:rsidRPr="007A7568">
        <w:rPr>
          <w:b w:val="0"/>
        </w:rPr>
        <w:t>4.</w:t>
      </w:r>
      <w:r w:rsidR="00EC06F7" w:rsidRPr="007A7568">
        <w:rPr>
          <w:b w:val="0"/>
          <w:noProof/>
        </w:rPr>
        <w:t>40</w:t>
      </w:r>
      <w:r w:rsidRPr="00666ECE">
        <w:tab/>
      </w:r>
      <w:r w:rsidRPr="000A554E">
        <w:t xml:space="preserve">National proportion of year </w:t>
      </w:r>
      <w:r w:rsidR="00D576CE" w:rsidRPr="000A554E">
        <w:t>3</w:t>
      </w:r>
      <w:r w:rsidRPr="000A554E">
        <w:t xml:space="preserve"> students achieving at or above the numeracy national minimum standard, by Indigenous status and geolocation, </w:t>
      </w:r>
      <w:r w:rsidR="006135F8" w:rsidRPr="000A554E">
        <w:t>2012</w:t>
      </w:r>
      <w:r w:rsidR="000911E9" w:rsidRPr="000A554E">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41" name="Picture 41" descr="Figure 4.40 National proportion of year 3 students achieving at or above the numeracy national minimum standard, by Indigenous status and geolocation,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B507D4">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xml:space="preserve"> Data for year </w:t>
      </w:r>
      <w:r w:rsidR="0016188E">
        <w:rPr>
          <w:rFonts w:ascii="Arial" w:hAnsi="Arial"/>
          <w:sz w:val="18"/>
          <w:szCs w:val="20"/>
        </w:rPr>
        <w:t>3</w:t>
      </w:r>
      <w:r w:rsidRPr="00666ECE">
        <w:rPr>
          <w:rFonts w:ascii="Arial" w:hAnsi="Arial"/>
          <w:sz w:val="18"/>
          <w:szCs w:val="20"/>
        </w:rPr>
        <w:t xml:space="preserve"> students are shown and may not be representative of students in years </w:t>
      </w:r>
      <w:r w:rsidR="00D576CE">
        <w:rPr>
          <w:rFonts w:ascii="Arial" w:hAnsi="Arial"/>
          <w:sz w:val="18"/>
          <w:szCs w:val="20"/>
        </w:rPr>
        <w:t>5</w:t>
      </w:r>
      <w:r w:rsidRPr="00666ECE">
        <w:rPr>
          <w:rFonts w:ascii="Arial" w:hAnsi="Arial"/>
          <w:sz w:val="18"/>
          <w:szCs w:val="20"/>
        </w:rPr>
        <w:t>, 7 and 9 which are detailed in table 4A.</w:t>
      </w:r>
      <w:r w:rsidR="00E34421">
        <w:rPr>
          <w:rFonts w:ascii="Arial" w:hAnsi="Arial"/>
          <w:sz w:val="18"/>
          <w:szCs w:val="20"/>
        </w:rPr>
        <w:t>72</w:t>
      </w:r>
      <w:r w:rsidRPr="00666ECE">
        <w:rPr>
          <w:rFonts w:ascii="Arial" w:hAnsi="Arial"/>
          <w:sz w:val="18"/>
          <w:szCs w:val="20"/>
        </w:rPr>
        <w:t xml:space="preserve">. </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w:t>
      </w:r>
      <w:r w:rsidR="006135F8">
        <w:rPr>
          <w:rFonts w:ascii="Arial" w:hAnsi="Arial"/>
          <w:sz w:val="18"/>
          <w:szCs w:val="20"/>
        </w:rPr>
        <w:t>2012</w:t>
      </w:r>
      <w:r w:rsidRPr="00666ECE">
        <w:rPr>
          <w:rFonts w:ascii="Arial" w:hAnsi="Arial"/>
          <w:sz w:val="18"/>
          <w:szCs w:val="20"/>
        </w:rPr>
        <w:t xml:space="preserve"> and unpublished) </w:t>
      </w:r>
      <w:r w:rsidRPr="00666ECE">
        <w:rPr>
          <w:rFonts w:ascii="Arial" w:hAnsi="Arial"/>
          <w:i/>
          <w:sz w:val="18"/>
          <w:szCs w:val="20"/>
        </w:rPr>
        <w:t xml:space="preserve">NAPLAN Achievement in Reading, Writing, Language Conventions and Numeracy: National Report for </w:t>
      </w:r>
      <w:r w:rsidR="006135F8">
        <w:rPr>
          <w:rFonts w:ascii="Arial" w:hAnsi="Arial"/>
          <w:i/>
          <w:sz w:val="18"/>
          <w:szCs w:val="20"/>
        </w:rPr>
        <w:t>2012</w:t>
      </w:r>
      <w:r w:rsidRPr="00666ECE">
        <w:rPr>
          <w:rFonts w:ascii="Arial" w:hAnsi="Arial"/>
          <w:sz w:val="18"/>
          <w:szCs w:val="20"/>
        </w:rPr>
        <w:t>; table 4A.</w:t>
      </w:r>
      <w:r w:rsidR="00E34421">
        <w:rPr>
          <w:rFonts w:ascii="Arial" w:hAnsi="Arial"/>
          <w:sz w:val="18"/>
          <w:szCs w:val="20"/>
        </w:rPr>
        <w:t>72</w:t>
      </w:r>
      <w:r w:rsidRPr="00666ECE">
        <w:rPr>
          <w:rFonts w:ascii="Arial" w:hAnsi="Arial"/>
          <w:sz w:val="18"/>
          <w:szCs w:val="20"/>
        </w:rPr>
        <w:t>.</w:t>
      </w:r>
    </w:p>
    <w:p w:rsidR="00666ECE" w:rsidRPr="00666ECE" w:rsidRDefault="00666ECE" w:rsidP="00666ECE">
      <w:pPr>
        <w:spacing w:before="240" w:line="320" w:lineRule="atLeast"/>
        <w:jc w:val="both"/>
        <w:rPr>
          <w:i/>
          <w:szCs w:val="20"/>
        </w:rPr>
      </w:pPr>
      <w:r w:rsidRPr="00666ECE">
        <w:rPr>
          <w:i/>
          <w:szCs w:val="20"/>
        </w:rPr>
        <w:t>Socio-economic status</w:t>
      </w:r>
    </w:p>
    <w:p w:rsidR="00D948AA" w:rsidRPr="00666ECE" w:rsidRDefault="00666ECE" w:rsidP="00D948AA">
      <w:pPr>
        <w:spacing w:before="240" w:line="320" w:lineRule="atLeast"/>
        <w:jc w:val="both"/>
        <w:rPr>
          <w:szCs w:val="20"/>
        </w:rPr>
      </w:pPr>
      <w:r w:rsidRPr="00666ECE">
        <w:rPr>
          <w:szCs w:val="20"/>
        </w:rPr>
        <w:t xml:space="preserve">State and </w:t>
      </w:r>
      <w:r w:rsidR="00292174">
        <w:rPr>
          <w:szCs w:val="20"/>
        </w:rPr>
        <w:t>T</w:t>
      </w:r>
      <w:r w:rsidRPr="00666ECE">
        <w:rPr>
          <w:szCs w:val="20"/>
        </w:rPr>
        <w:t xml:space="preserve">erritory data on the proportions of students achieving at or above the national minimum standard and mean scale scores in numeracy assessment for years 3, 5, 7 and 9 by parental education and parental occupation for </w:t>
      </w:r>
      <w:r w:rsidR="006135F8">
        <w:rPr>
          <w:szCs w:val="20"/>
        </w:rPr>
        <w:t>2012</w:t>
      </w:r>
      <w:r w:rsidRPr="00666ECE">
        <w:rPr>
          <w:szCs w:val="20"/>
        </w:rPr>
        <w:t xml:space="preserve"> are included in tables 4A.</w:t>
      </w:r>
      <w:r w:rsidR="00E34421">
        <w:rPr>
          <w:szCs w:val="20"/>
        </w:rPr>
        <w:t>73</w:t>
      </w:r>
      <w:r w:rsidRPr="00666ECE">
        <w:rPr>
          <w:szCs w:val="20"/>
        </w:rPr>
        <w:t xml:space="preserve"> and 4A.</w:t>
      </w:r>
      <w:r w:rsidR="0077694F">
        <w:rPr>
          <w:szCs w:val="20"/>
        </w:rPr>
        <w:t>7</w:t>
      </w:r>
      <w:r w:rsidR="00E34421">
        <w:rPr>
          <w:szCs w:val="20"/>
        </w:rPr>
        <w:t>6</w:t>
      </w:r>
      <w:r w:rsidRPr="00666ECE">
        <w:rPr>
          <w:szCs w:val="20"/>
        </w:rPr>
        <w:t xml:space="preserve">. </w:t>
      </w:r>
      <w:r w:rsidR="00D948AA">
        <w:rPr>
          <w:szCs w:val="20"/>
        </w:rPr>
        <w:t>D</w:t>
      </w:r>
      <w:r w:rsidR="00D948AA" w:rsidRPr="00666ECE">
        <w:rPr>
          <w:szCs w:val="20"/>
        </w:rPr>
        <w:t xml:space="preserve">ata </w:t>
      </w:r>
      <w:r w:rsidR="00D948AA">
        <w:rPr>
          <w:szCs w:val="20"/>
        </w:rPr>
        <w:t>for 201</w:t>
      </w:r>
      <w:r w:rsidR="0077694F">
        <w:rPr>
          <w:szCs w:val="20"/>
        </w:rPr>
        <w:t>1</w:t>
      </w:r>
      <w:r w:rsidR="00D948AA" w:rsidRPr="00666ECE">
        <w:rPr>
          <w:szCs w:val="20"/>
        </w:rPr>
        <w:t xml:space="preserve"> </w:t>
      </w:r>
      <w:r w:rsidR="006135F8">
        <w:rPr>
          <w:szCs w:val="20"/>
        </w:rPr>
        <w:t>and 201</w:t>
      </w:r>
      <w:r w:rsidR="0077694F">
        <w:rPr>
          <w:szCs w:val="20"/>
        </w:rPr>
        <w:t>2</w:t>
      </w:r>
      <w:r w:rsidR="006135F8">
        <w:rPr>
          <w:szCs w:val="20"/>
        </w:rPr>
        <w:t xml:space="preserve"> </w:t>
      </w:r>
      <w:r w:rsidR="00D948AA" w:rsidRPr="00666ECE">
        <w:rPr>
          <w:szCs w:val="20"/>
        </w:rPr>
        <w:t xml:space="preserve">were included in </w:t>
      </w:r>
      <w:r w:rsidR="00D948AA">
        <w:rPr>
          <w:szCs w:val="20"/>
        </w:rPr>
        <w:t>the 2012 Report</w:t>
      </w:r>
      <w:r w:rsidR="006135F8">
        <w:rPr>
          <w:szCs w:val="20"/>
        </w:rPr>
        <w:t xml:space="preserve"> and the 2013 Report.</w:t>
      </w:r>
    </w:p>
    <w:p w:rsidR="007072F5" w:rsidRDefault="007C7E11" w:rsidP="007C7E11">
      <w:pPr>
        <w:keepNext/>
        <w:spacing w:before="480" w:line="320" w:lineRule="exact"/>
        <w:outlineLvl w:val="4"/>
        <w:rPr>
          <w:i/>
        </w:rPr>
      </w:pPr>
      <w:r w:rsidRPr="00076F94">
        <w:rPr>
          <w:i/>
        </w:rPr>
        <w:t xml:space="preserve">Time series analysis of NAPLAN </w:t>
      </w:r>
      <w:r>
        <w:rPr>
          <w:i/>
        </w:rPr>
        <w:t xml:space="preserve">numeracy </w:t>
      </w:r>
      <w:r w:rsidR="00C43453">
        <w:rPr>
          <w:i/>
        </w:rPr>
        <w:t>outcomes</w:t>
      </w:r>
      <w:r w:rsidRPr="00076F94">
        <w:rPr>
          <w:i/>
        </w:rPr>
        <w:t xml:space="preserve"> </w:t>
      </w:r>
    </w:p>
    <w:p w:rsidR="007072F5" w:rsidRDefault="007072F5" w:rsidP="007072F5">
      <w:pPr>
        <w:pStyle w:val="BodyText"/>
        <w:rPr>
          <w:i/>
        </w:rPr>
      </w:pPr>
      <w:r>
        <w:t>The following</w:t>
      </w:r>
      <w:r w:rsidRPr="007072F5">
        <w:t xml:space="preserve"> time series outcomes are reported</w:t>
      </w:r>
      <w:r>
        <w:rPr>
          <w:i/>
        </w:rPr>
        <w:t>:</w:t>
      </w:r>
    </w:p>
    <w:p w:rsidR="007072F5" w:rsidRDefault="007072F5" w:rsidP="007072F5">
      <w:pPr>
        <w:pStyle w:val="ListBullet"/>
      </w:pPr>
      <w:r>
        <w:t xml:space="preserve">The difference between two given years for a level (for example, year </w:t>
      </w:r>
      <w:r w:rsidR="00C43453">
        <w:t>5</w:t>
      </w:r>
      <w:r>
        <w:t xml:space="preserve"> numeracy from 2011 to 2012), for both the proportion at and above the national minimum standard and mean scale scores</w:t>
      </w:r>
      <w:r w:rsidR="00C43453">
        <w:t>.</w:t>
      </w:r>
    </w:p>
    <w:p w:rsidR="007072F5" w:rsidRDefault="007072F5" w:rsidP="007072F5">
      <w:pPr>
        <w:pStyle w:val="ListBullet"/>
      </w:pPr>
      <w:r>
        <w:t>The gain in mean scale score by a cohort of students as they move between year levels (for example year 3 numeracy in 2010 to year 5 numeracy in 2012).</w:t>
      </w:r>
    </w:p>
    <w:p w:rsidR="007C7E11" w:rsidRDefault="007C7E11" w:rsidP="007C7E11">
      <w:pPr>
        <w:keepNext/>
        <w:spacing w:before="480" w:line="320" w:lineRule="exact"/>
        <w:outlineLvl w:val="4"/>
        <w:rPr>
          <w:i/>
        </w:rPr>
      </w:pPr>
      <w:r w:rsidRPr="00076F94">
        <w:rPr>
          <w:i/>
        </w:rPr>
        <w:lastRenderedPageBreak/>
        <w:t>Statistical significance of differences between years</w:t>
      </w:r>
    </w:p>
    <w:p w:rsidR="0077694F" w:rsidRPr="00277216" w:rsidRDefault="0016188E" w:rsidP="0077694F">
      <w:pPr>
        <w:spacing w:before="240" w:line="320" w:lineRule="atLeast"/>
        <w:jc w:val="both"/>
        <w:rPr>
          <w:szCs w:val="20"/>
        </w:rPr>
      </w:pPr>
      <w:r>
        <w:rPr>
          <w:szCs w:val="20"/>
        </w:rPr>
        <w:t xml:space="preserve">Nationally, there was </w:t>
      </w:r>
      <w:r w:rsidR="00277216" w:rsidRPr="00277216">
        <w:rPr>
          <w:szCs w:val="20"/>
        </w:rPr>
        <w:t xml:space="preserve">no </w:t>
      </w:r>
      <w:r w:rsidR="0077694F" w:rsidRPr="00277216">
        <w:rPr>
          <w:szCs w:val="20"/>
        </w:rPr>
        <w:t xml:space="preserve">statistically significant </w:t>
      </w:r>
      <w:r w:rsidR="00277216" w:rsidRPr="00277216">
        <w:rPr>
          <w:szCs w:val="20"/>
        </w:rPr>
        <w:t>difference</w:t>
      </w:r>
      <w:r w:rsidR="0077694F" w:rsidRPr="00277216">
        <w:rPr>
          <w:szCs w:val="20"/>
        </w:rPr>
        <w:t xml:space="preserve"> in the proportions of year 5 students achieving at or above the national minimum standard, for numeracy, from 2008 to 2012 but </w:t>
      </w:r>
      <w:r w:rsidR="00277216" w:rsidRPr="00277216">
        <w:rPr>
          <w:szCs w:val="20"/>
        </w:rPr>
        <w:t>a</w:t>
      </w:r>
      <w:r w:rsidR="0077694F" w:rsidRPr="00277216">
        <w:rPr>
          <w:szCs w:val="20"/>
        </w:rPr>
        <w:t xml:space="preserve"> statistically significant </w:t>
      </w:r>
      <w:r w:rsidR="00277216" w:rsidRPr="00277216">
        <w:rPr>
          <w:szCs w:val="20"/>
        </w:rPr>
        <w:t>decrease</w:t>
      </w:r>
      <w:r>
        <w:rPr>
          <w:szCs w:val="20"/>
        </w:rPr>
        <w:t xml:space="preserve"> </w:t>
      </w:r>
      <w:r w:rsidR="0077694F" w:rsidRPr="00277216">
        <w:rPr>
          <w:szCs w:val="20"/>
        </w:rPr>
        <w:t>from 2011 to 2012. There was a statistically significant increase in the mean scale score for year 5 students from 2008 to 2012 but no statistically significant difference from 2011 to 2012 (table 4.</w:t>
      </w:r>
      <w:r w:rsidR="00277216" w:rsidRPr="00277216">
        <w:rPr>
          <w:szCs w:val="20"/>
        </w:rPr>
        <w:t>9</w:t>
      </w:r>
      <w:r w:rsidR="0077694F" w:rsidRPr="00277216">
        <w:rPr>
          <w:szCs w:val="20"/>
        </w:rPr>
        <w:t xml:space="preserve">). </w:t>
      </w:r>
    </w:p>
    <w:p w:rsidR="0077694F" w:rsidRPr="00277216" w:rsidRDefault="0077694F" w:rsidP="0077694F">
      <w:pPr>
        <w:spacing w:before="240" w:line="320" w:lineRule="atLeast"/>
        <w:jc w:val="both"/>
        <w:rPr>
          <w:szCs w:val="20"/>
        </w:rPr>
      </w:pPr>
      <w:r w:rsidRPr="00277216">
        <w:rPr>
          <w:szCs w:val="20"/>
        </w:rPr>
        <w:t>There was no statistically significant difference in the proportions at and above national minimum standard, or in mean scale scores, for Indigenous students from 2008 to 2012</w:t>
      </w:r>
      <w:r w:rsidR="00277216" w:rsidRPr="00277216">
        <w:rPr>
          <w:szCs w:val="20"/>
        </w:rPr>
        <w:t>, but there was a statistically significant decrease</w:t>
      </w:r>
      <w:r w:rsidRPr="00277216">
        <w:rPr>
          <w:szCs w:val="20"/>
        </w:rPr>
        <w:t xml:space="preserve"> </w:t>
      </w:r>
      <w:r w:rsidR="00277216" w:rsidRPr="00277216">
        <w:rPr>
          <w:szCs w:val="20"/>
        </w:rPr>
        <w:t xml:space="preserve">in both from 2011 </w:t>
      </w:r>
      <w:r w:rsidRPr="00277216">
        <w:rPr>
          <w:szCs w:val="20"/>
        </w:rPr>
        <w:t xml:space="preserve">to 2012. There was a statistically significant </w:t>
      </w:r>
      <w:r w:rsidR="00277216" w:rsidRPr="00277216">
        <w:rPr>
          <w:szCs w:val="20"/>
        </w:rPr>
        <w:t>in</w:t>
      </w:r>
      <w:r w:rsidRPr="00277216">
        <w:rPr>
          <w:szCs w:val="20"/>
        </w:rPr>
        <w:t>crease in the mean scale score for non</w:t>
      </w:r>
      <w:r w:rsidR="00C35FD6">
        <w:rPr>
          <w:szCs w:val="20"/>
        </w:rPr>
        <w:noBreakHyphen/>
      </w:r>
      <w:r w:rsidRPr="00277216">
        <w:rPr>
          <w:szCs w:val="20"/>
        </w:rPr>
        <w:t>Indigenous students from 2008 to 2012, but no statistically significant difference from 2011 to 2012. There was no statistically significant difference in the proportions of year 5 non-Indigenous students achieving at or above the national minimum standard, from 2008 to 2012</w:t>
      </w:r>
      <w:r w:rsidR="00277216" w:rsidRPr="00277216">
        <w:rPr>
          <w:szCs w:val="20"/>
        </w:rPr>
        <w:t>, but a statistically significant decrease f</w:t>
      </w:r>
      <w:r w:rsidRPr="00277216">
        <w:rPr>
          <w:szCs w:val="20"/>
        </w:rPr>
        <w:t>rom 2011 to 2012 (table 4.</w:t>
      </w:r>
      <w:r w:rsidR="00277216" w:rsidRPr="00277216">
        <w:rPr>
          <w:szCs w:val="20"/>
        </w:rPr>
        <w:t>9</w:t>
      </w:r>
      <w:r w:rsidRPr="00277216">
        <w:rPr>
          <w:szCs w:val="20"/>
        </w:rPr>
        <w:t xml:space="preserve">). </w:t>
      </w:r>
    </w:p>
    <w:p w:rsidR="0077694F" w:rsidRPr="00277216" w:rsidRDefault="0077694F" w:rsidP="0077694F">
      <w:pPr>
        <w:spacing w:before="240" w:line="320" w:lineRule="atLeast"/>
        <w:jc w:val="both"/>
        <w:rPr>
          <w:szCs w:val="20"/>
        </w:rPr>
      </w:pPr>
      <w:r w:rsidRPr="00277216">
        <w:rPr>
          <w:szCs w:val="20"/>
        </w:rPr>
        <w:t>Table 4.</w:t>
      </w:r>
      <w:r w:rsidR="0016188E">
        <w:rPr>
          <w:szCs w:val="20"/>
        </w:rPr>
        <w:t>9</w:t>
      </w:r>
      <w:r w:rsidRPr="00277216">
        <w:rPr>
          <w:szCs w:val="20"/>
        </w:rPr>
        <w:t xml:space="preserve"> provides a summary of differences in achievement </w:t>
      </w:r>
      <w:r w:rsidR="00C43453">
        <w:rPr>
          <w:szCs w:val="20"/>
        </w:rPr>
        <w:t xml:space="preserve">at year 5 </w:t>
      </w:r>
      <w:r w:rsidRPr="00277216">
        <w:rPr>
          <w:szCs w:val="20"/>
        </w:rPr>
        <w:t>for mean scale score and proportions at and above national minimum standard, by Indigenous status, on a national basis across various years. Data for states and territories are in tables 4A.</w:t>
      </w:r>
      <w:r w:rsidR="00277216" w:rsidRPr="00277216">
        <w:rPr>
          <w:szCs w:val="20"/>
        </w:rPr>
        <w:t>7</w:t>
      </w:r>
      <w:r w:rsidR="00E34421">
        <w:rPr>
          <w:szCs w:val="20"/>
        </w:rPr>
        <w:t>9</w:t>
      </w:r>
      <w:r w:rsidRPr="00277216">
        <w:rPr>
          <w:szCs w:val="20"/>
        </w:rPr>
        <w:t>–</w:t>
      </w:r>
      <w:r w:rsidR="00277216" w:rsidRPr="00277216">
        <w:rPr>
          <w:szCs w:val="20"/>
        </w:rPr>
        <w:t>8</w:t>
      </w:r>
      <w:r w:rsidR="00E34421">
        <w:rPr>
          <w:szCs w:val="20"/>
        </w:rPr>
        <w:t>6</w:t>
      </w:r>
      <w:r w:rsidRPr="00277216">
        <w:rPr>
          <w:szCs w:val="20"/>
        </w:rPr>
        <w:t>. These data are not comparable across jurisdictions and can only be used for a comparison across time for a jurisdiction, or nationally.</w:t>
      </w:r>
    </w:p>
    <w:p w:rsidR="0077694F" w:rsidRDefault="0077694F" w:rsidP="0077694F">
      <w:pPr>
        <w:spacing w:before="240" w:line="320" w:lineRule="atLeast"/>
        <w:jc w:val="both"/>
        <w:rPr>
          <w:szCs w:val="20"/>
          <w:shd w:val="clear" w:color="auto" w:fill="FFFFFF" w:themeFill="background1"/>
        </w:rPr>
      </w:pPr>
      <w:r w:rsidRPr="00277216">
        <w:rPr>
          <w:szCs w:val="20"/>
        </w:rPr>
        <w:t xml:space="preserve">Data for years 3, 7 and 9 and proportions at or above national minimum standard for LBOTE students and by sex are included separately for each </w:t>
      </w:r>
      <w:r w:rsidR="00C35FD6">
        <w:rPr>
          <w:szCs w:val="20"/>
        </w:rPr>
        <w:t>S</w:t>
      </w:r>
      <w:r w:rsidRPr="00277216">
        <w:rPr>
          <w:szCs w:val="20"/>
        </w:rPr>
        <w:t xml:space="preserve">tate and </w:t>
      </w:r>
      <w:r w:rsidR="00C35FD6">
        <w:rPr>
          <w:szCs w:val="20"/>
          <w:shd w:val="clear" w:color="auto" w:fill="FFFFFF" w:themeFill="background1"/>
        </w:rPr>
        <w:t>T</w:t>
      </w:r>
      <w:r w:rsidRPr="00277216">
        <w:rPr>
          <w:szCs w:val="20"/>
          <w:shd w:val="clear" w:color="auto" w:fill="FFFFFF" w:themeFill="background1"/>
        </w:rPr>
        <w:t>erritory and nationally in tables 4A.</w:t>
      </w:r>
      <w:r w:rsidR="00277216" w:rsidRPr="00277216">
        <w:rPr>
          <w:szCs w:val="20"/>
          <w:shd w:val="clear" w:color="auto" w:fill="FFFFFF" w:themeFill="background1"/>
        </w:rPr>
        <w:t>7</w:t>
      </w:r>
      <w:r w:rsidR="00E34421">
        <w:rPr>
          <w:szCs w:val="20"/>
          <w:shd w:val="clear" w:color="auto" w:fill="FFFFFF" w:themeFill="background1"/>
        </w:rPr>
        <w:t>9</w:t>
      </w:r>
      <w:r w:rsidRPr="00277216">
        <w:rPr>
          <w:szCs w:val="20"/>
          <w:shd w:val="clear" w:color="auto" w:fill="FFFFFF" w:themeFill="background1"/>
        </w:rPr>
        <w:t>–</w:t>
      </w:r>
      <w:r w:rsidR="00277216" w:rsidRPr="00277216">
        <w:rPr>
          <w:szCs w:val="20"/>
          <w:shd w:val="clear" w:color="auto" w:fill="FFFFFF" w:themeFill="background1"/>
        </w:rPr>
        <w:t>8</w:t>
      </w:r>
      <w:r w:rsidR="00E34421">
        <w:rPr>
          <w:szCs w:val="20"/>
          <w:shd w:val="clear" w:color="auto" w:fill="FFFFFF" w:themeFill="background1"/>
        </w:rPr>
        <w:t>7</w:t>
      </w:r>
      <w:r w:rsidRPr="00277216">
        <w:rPr>
          <w:szCs w:val="20"/>
          <w:shd w:val="clear" w:color="auto" w:fill="FFFFFF" w:themeFill="background1"/>
        </w:rPr>
        <w:t>.</w:t>
      </w:r>
      <w:r w:rsidRPr="007B32D4">
        <w:rPr>
          <w:szCs w:val="20"/>
          <w:shd w:val="clear" w:color="auto" w:fill="FFFFFF" w:themeFill="background1"/>
        </w:rPr>
        <w:t xml:space="preserve"> </w:t>
      </w:r>
    </w:p>
    <w:p w:rsidR="00277216" w:rsidRPr="00F41936" w:rsidRDefault="00277216" w:rsidP="00277216">
      <w:pPr>
        <w:pStyle w:val="TableTitle"/>
      </w:pPr>
      <w:r w:rsidRPr="00B64D68">
        <w:rPr>
          <w:b w:val="0"/>
        </w:rPr>
        <w:lastRenderedPageBreak/>
        <w:t>Table 4.</w:t>
      </w:r>
      <w:r w:rsidR="00EC06F7" w:rsidRPr="00B64D68">
        <w:rPr>
          <w:b w:val="0"/>
        </w:rPr>
        <w:t>9</w:t>
      </w:r>
      <w:r w:rsidRPr="006B35ED">
        <w:tab/>
        <w:t>Mean scale scores and proportion of students who achieved at or above the national minimum standard for year 5 numeracy, and statistical significance of differences, Australia</w:t>
      </w:r>
      <w:r w:rsidRPr="00F41936">
        <w:rPr>
          <w:rStyle w:val="NoteLabel"/>
          <w:b/>
        </w:rPr>
        <w:t>a, b</w:t>
      </w:r>
    </w:p>
    <w:tbl>
      <w:tblPr>
        <w:tblW w:w="5000" w:type="pct"/>
        <w:tblCellMar>
          <w:left w:w="0" w:type="dxa"/>
          <w:right w:w="0" w:type="dxa"/>
        </w:tblCellMar>
        <w:tblLook w:val="0000" w:firstRow="0" w:lastRow="0" w:firstColumn="0" w:lastColumn="0" w:noHBand="0" w:noVBand="0"/>
      </w:tblPr>
      <w:tblGrid>
        <w:gridCol w:w="2268"/>
        <w:gridCol w:w="1134"/>
        <w:gridCol w:w="1134"/>
        <w:gridCol w:w="1134"/>
        <w:gridCol w:w="1658"/>
        <w:gridCol w:w="1461"/>
      </w:tblGrid>
      <w:tr w:rsidR="00277216" w:rsidRPr="00F41936" w:rsidTr="005F7911">
        <w:tc>
          <w:tcPr>
            <w:tcW w:w="1290" w:type="pct"/>
            <w:tcBorders>
              <w:top w:val="single" w:sz="6" w:space="0" w:color="auto"/>
              <w:bottom w:val="single" w:sz="6" w:space="0" w:color="auto"/>
            </w:tcBorders>
            <w:shd w:val="clear" w:color="auto" w:fill="auto"/>
          </w:tcPr>
          <w:p w:rsidR="00277216" w:rsidRPr="00F41936" w:rsidRDefault="00277216" w:rsidP="005F7911">
            <w:pPr>
              <w:pStyle w:val="TableColumnHeading"/>
              <w:jc w:val="left"/>
            </w:pPr>
          </w:p>
        </w:tc>
        <w:tc>
          <w:tcPr>
            <w:tcW w:w="645" w:type="pct"/>
            <w:tcBorders>
              <w:top w:val="single" w:sz="6" w:space="0" w:color="auto"/>
              <w:bottom w:val="single" w:sz="6" w:space="0" w:color="auto"/>
            </w:tcBorders>
            <w:shd w:val="clear" w:color="auto" w:fill="auto"/>
          </w:tcPr>
          <w:p w:rsidR="00277216" w:rsidRPr="00F41936" w:rsidRDefault="00277216" w:rsidP="005F7911">
            <w:pPr>
              <w:pStyle w:val="TableColumnHeading"/>
            </w:pPr>
          </w:p>
        </w:tc>
        <w:tc>
          <w:tcPr>
            <w:tcW w:w="645" w:type="pct"/>
            <w:tcBorders>
              <w:top w:val="single" w:sz="6" w:space="0" w:color="auto"/>
              <w:bottom w:val="single" w:sz="6" w:space="0" w:color="auto"/>
            </w:tcBorders>
          </w:tcPr>
          <w:p w:rsidR="00277216" w:rsidRPr="00F41936" w:rsidRDefault="00277216" w:rsidP="005F7911">
            <w:pPr>
              <w:pStyle w:val="TableColumnHeading"/>
              <w:ind w:right="28"/>
            </w:pPr>
          </w:p>
        </w:tc>
        <w:tc>
          <w:tcPr>
            <w:tcW w:w="645" w:type="pct"/>
            <w:tcBorders>
              <w:top w:val="single" w:sz="6" w:space="0" w:color="auto"/>
              <w:bottom w:val="single" w:sz="6" w:space="0" w:color="auto"/>
            </w:tcBorders>
          </w:tcPr>
          <w:p w:rsidR="00277216" w:rsidRPr="00F41936" w:rsidRDefault="00277216" w:rsidP="005F7911">
            <w:pPr>
              <w:pStyle w:val="TableColumnHeading"/>
              <w:ind w:right="28"/>
            </w:pPr>
          </w:p>
        </w:tc>
        <w:tc>
          <w:tcPr>
            <w:tcW w:w="1774" w:type="pct"/>
            <w:gridSpan w:val="2"/>
            <w:tcBorders>
              <w:top w:val="single" w:sz="6" w:space="0" w:color="auto"/>
              <w:bottom w:val="single" w:sz="6" w:space="0" w:color="auto"/>
            </w:tcBorders>
          </w:tcPr>
          <w:p w:rsidR="00277216" w:rsidRPr="00F41936" w:rsidRDefault="00277216" w:rsidP="005F7911">
            <w:pPr>
              <w:pStyle w:val="TableColumnHeading"/>
              <w:ind w:right="28"/>
            </w:pPr>
            <w:r w:rsidRPr="00F41936">
              <w:t>Statistical significance of difference in average achievement</w:t>
            </w:r>
          </w:p>
        </w:tc>
      </w:tr>
      <w:tr w:rsidR="00277216" w:rsidRPr="00F41936" w:rsidTr="005F7911">
        <w:tc>
          <w:tcPr>
            <w:tcW w:w="1290" w:type="pct"/>
            <w:tcBorders>
              <w:top w:val="single" w:sz="6" w:space="0" w:color="auto"/>
            </w:tcBorders>
          </w:tcPr>
          <w:p w:rsidR="00277216" w:rsidRPr="00F41936" w:rsidRDefault="00277216" w:rsidP="005F7911">
            <w:pPr>
              <w:pStyle w:val="TableUnitsRow"/>
              <w:jc w:val="left"/>
            </w:pPr>
          </w:p>
        </w:tc>
        <w:tc>
          <w:tcPr>
            <w:tcW w:w="645" w:type="pct"/>
            <w:tcBorders>
              <w:top w:val="single" w:sz="6" w:space="0" w:color="auto"/>
            </w:tcBorders>
            <w:vAlign w:val="center"/>
          </w:tcPr>
          <w:p w:rsidR="00277216" w:rsidRPr="00F41936" w:rsidRDefault="00277216" w:rsidP="005F7911">
            <w:pPr>
              <w:keepNext/>
              <w:keepLines/>
              <w:spacing w:before="80" w:after="80" w:line="220" w:lineRule="atLeast"/>
              <w:ind w:left="6" w:right="113"/>
              <w:jc w:val="center"/>
              <w:rPr>
                <w:rFonts w:ascii="Arial" w:hAnsi="Arial"/>
                <w:i/>
                <w:iCs/>
                <w:sz w:val="20"/>
                <w:szCs w:val="20"/>
              </w:rPr>
            </w:pPr>
            <w:r w:rsidRPr="00F41936">
              <w:rPr>
                <w:rFonts w:ascii="Arial" w:hAnsi="Arial"/>
                <w:i/>
                <w:iCs/>
                <w:sz w:val="20"/>
                <w:szCs w:val="20"/>
              </w:rPr>
              <w:t>2008</w:t>
            </w:r>
          </w:p>
        </w:tc>
        <w:tc>
          <w:tcPr>
            <w:tcW w:w="645" w:type="pct"/>
            <w:tcBorders>
              <w:top w:val="single" w:sz="6" w:space="0" w:color="auto"/>
            </w:tcBorders>
            <w:vAlign w:val="center"/>
          </w:tcPr>
          <w:p w:rsidR="00277216" w:rsidRPr="00F41936" w:rsidRDefault="00277216" w:rsidP="005F7911">
            <w:pPr>
              <w:jc w:val="center"/>
              <w:rPr>
                <w:rFonts w:ascii="Arial" w:hAnsi="Arial" w:cs="Arial"/>
                <w:i/>
                <w:iCs/>
                <w:sz w:val="20"/>
                <w:szCs w:val="20"/>
              </w:rPr>
            </w:pPr>
            <w:r w:rsidRPr="00F41936">
              <w:rPr>
                <w:rFonts w:ascii="Arial" w:hAnsi="Arial" w:cs="Arial"/>
                <w:i/>
                <w:iCs/>
                <w:sz w:val="20"/>
                <w:szCs w:val="20"/>
              </w:rPr>
              <w:t>2011</w:t>
            </w:r>
          </w:p>
        </w:tc>
        <w:tc>
          <w:tcPr>
            <w:tcW w:w="645" w:type="pct"/>
            <w:tcBorders>
              <w:top w:val="single" w:sz="6" w:space="0" w:color="auto"/>
            </w:tcBorders>
            <w:vAlign w:val="center"/>
          </w:tcPr>
          <w:p w:rsidR="00277216" w:rsidRPr="00F41936" w:rsidRDefault="00277216" w:rsidP="005F7911">
            <w:pPr>
              <w:jc w:val="center"/>
              <w:rPr>
                <w:rFonts w:ascii="Arial" w:hAnsi="Arial" w:cs="Arial"/>
                <w:i/>
                <w:iCs/>
                <w:sz w:val="20"/>
                <w:szCs w:val="20"/>
              </w:rPr>
            </w:pPr>
            <w:r w:rsidRPr="00F41936">
              <w:rPr>
                <w:rFonts w:ascii="Arial" w:hAnsi="Arial" w:cs="Arial"/>
                <w:i/>
                <w:iCs/>
                <w:sz w:val="20"/>
                <w:szCs w:val="20"/>
              </w:rPr>
              <w:t>2012</w:t>
            </w:r>
          </w:p>
        </w:tc>
        <w:tc>
          <w:tcPr>
            <w:tcW w:w="943" w:type="pct"/>
            <w:tcBorders>
              <w:top w:val="single" w:sz="6" w:space="0" w:color="auto"/>
            </w:tcBorders>
          </w:tcPr>
          <w:p w:rsidR="00277216" w:rsidRPr="00F41936" w:rsidRDefault="00277216" w:rsidP="005F7911">
            <w:pPr>
              <w:keepNext/>
              <w:keepLines/>
              <w:spacing w:before="80" w:after="80" w:line="220" w:lineRule="atLeast"/>
              <w:ind w:left="6" w:right="113"/>
              <w:jc w:val="right"/>
              <w:rPr>
                <w:rFonts w:ascii="Arial" w:hAnsi="Arial"/>
                <w:i/>
                <w:iCs/>
                <w:sz w:val="20"/>
                <w:szCs w:val="20"/>
              </w:rPr>
            </w:pPr>
            <w:r w:rsidRPr="00F41936">
              <w:rPr>
                <w:rFonts w:ascii="Arial" w:hAnsi="Arial"/>
                <w:i/>
                <w:iCs/>
                <w:sz w:val="20"/>
                <w:szCs w:val="20"/>
              </w:rPr>
              <w:t>2008 &amp; 2012</w:t>
            </w:r>
          </w:p>
        </w:tc>
        <w:tc>
          <w:tcPr>
            <w:tcW w:w="831" w:type="pct"/>
            <w:tcBorders>
              <w:top w:val="single" w:sz="6" w:space="0" w:color="auto"/>
            </w:tcBorders>
            <w:vAlign w:val="center"/>
          </w:tcPr>
          <w:p w:rsidR="00277216" w:rsidRPr="00F41936" w:rsidRDefault="00277216" w:rsidP="005F7911">
            <w:pPr>
              <w:jc w:val="right"/>
              <w:rPr>
                <w:rFonts w:ascii="Arial" w:hAnsi="Arial" w:cs="Arial"/>
                <w:i/>
                <w:iCs/>
                <w:sz w:val="20"/>
                <w:szCs w:val="20"/>
              </w:rPr>
            </w:pPr>
            <w:r w:rsidRPr="00F41936">
              <w:rPr>
                <w:rFonts w:ascii="Arial" w:hAnsi="Arial" w:cs="Arial"/>
                <w:i/>
                <w:iCs/>
                <w:sz w:val="20"/>
                <w:szCs w:val="20"/>
              </w:rPr>
              <w:t>2011 &amp; 2012</w:t>
            </w:r>
          </w:p>
        </w:tc>
      </w:tr>
      <w:tr w:rsidR="00277216" w:rsidRPr="00F41936" w:rsidTr="005F7911">
        <w:tc>
          <w:tcPr>
            <w:tcW w:w="1935" w:type="pct"/>
            <w:gridSpan w:val="2"/>
          </w:tcPr>
          <w:p w:rsidR="00277216" w:rsidRPr="00F41936" w:rsidRDefault="00277216" w:rsidP="005F7911">
            <w:pPr>
              <w:pStyle w:val="TableBodyText"/>
              <w:jc w:val="left"/>
            </w:pPr>
            <w:r w:rsidRPr="00F41936">
              <w:t>Indigenous students</w:t>
            </w:r>
          </w:p>
        </w:tc>
        <w:tc>
          <w:tcPr>
            <w:tcW w:w="645" w:type="pct"/>
          </w:tcPr>
          <w:p w:rsidR="00277216" w:rsidRPr="00F41936" w:rsidRDefault="00277216" w:rsidP="005F7911">
            <w:pPr>
              <w:pStyle w:val="TableBodyText"/>
              <w:ind w:right="28"/>
            </w:pPr>
          </w:p>
        </w:tc>
        <w:tc>
          <w:tcPr>
            <w:tcW w:w="645" w:type="pct"/>
          </w:tcPr>
          <w:p w:rsidR="00277216" w:rsidRPr="00F41936" w:rsidRDefault="00277216" w:rsidP="005F7911">
            <w:pPr>
              <w:pStyle w:val="TableBodyText"/>
              <w:ind w:right="28"/>
            </w:pPr>
          </w:p>
        </w:tc>
        <w:tc>
          <w:tcPr>
            <w:tcW w:w="943" w:type="pct"/>
          </w:tcPr>
          <w:p w:rsidR="00277216" w:rsidRPr="00F41936" w:rsidRDefault="00277216" w:rsidP="005F7911">
            <w:pPr>
              <w:pStyle w:val="TableBodyText"/>
              <w:ind w:right="28"/>
            </w:pPr>
          </w:p>
        </w:tc>
        <w:tc>
          <w:tcPr>
            <w:tcW w:w="831" w:type="pct"/>
          </w:tcPr>
          <w:p w:rsidR="00277216" w:rsidRPr="00F41936" w:rsidRDefault="00277216" w:rsidP="005F7911">
            <w:pPr>
              <w:pStyle w:val="TableBodyText"/>
              <w:ind w:right="28"/>
            </w:pPr>
          </w:p>
        </w:tc>
      </w:tr>
      <w:tr w:rsidR="00277216" w:rsidRPr="00F41936" w:rsidTr="005F7911">
        <w:tc>
          <w:tcPr>
            <w:tcW w:w="1290" w:type="pct"/>
            <w:vAlign w:val="center"/>
          </w:tcPr>
          <w:p w:rsidR="00277216" w:rsidRPr="00F41936" w:rsidRDefault="00277216" w:rsidP="005F7911">
            <w:pPr>
              <w:keepNext/>
              <w:keepLines/>
              <w:spacing w:after="40" w:line="220" w:lineRule="atLeast"/>
              <w:ind w:left="6" w:right="113"/>
              <w:jc w:val="center"/>
              <w:rPr>
                <w:rFonts w:ascii="Arial" w:hAnsi="Arial"/>
                <w:sz w:val="20"/>
                <w:szCs w:val="20"/>
              </w:rPr>
            </w:pPr>
            <w:r w:rsidRPr="00F41936">
              <w:rPr>
                <w:rFonts w:ascii="Arial" w:hAnsi="Arial"/>
                <w:sz w:val="20"/>
                <w:szCs w:val="20"/>
              </w:rPr>
              <w:t>Mean scale score</w:t>
            </w:r>
          </w:p>
        </w:tc>
        <w:tc>
          <w:tcPr>
            <w:tcW w:w="645" w:type="pct"/>
            <w:vAlign w:val="center"/>
          </w:tcPr>
          <w:p w:rsidR="00277216" w:rsidRDefault="00277216" w:rsidP="00277216">
            <w:pPr>
              <w:pStyle w:val="TableBodyText"/>
            </w:pPr>
            <w:r>
              <w:t>408.0 ± 2.8</w:t>
            </w:r>
          </w:p>
        </w:tc>
        <w:tc>
          <w:tcPr>
            <w:tcW w:w="645" w:type="pct"/>
            <w:vAlign w:val="center"/>
          </w:tcPr>
          <w:p w:rsidR="00277216" w:rsidRDefault="00277216" w:rsidP="00277216">
            <w:pPr>
              <w:pStyle w:val="TableBodyText"/>
            </w:pPr>
            <w:r>
              <w:t>421.1 ± 2.7</w:t>
            </w:r>
          </w:p>
        </w:tc>
        <w:tc>
          <w:tcPr>
            <w:tcW w:w="645" w:type="pct"/>
            <w:vAlign w:val="center"/>
          </w:tcPr>
          <w:p w:rsidR="00277216" w:rsidRDefault="00277216" w:rsidP="00277216">
            <w:pPr>
              <w:pStyle w:val="TableBodyText"/>
            </w:pPr>
            <w:r>
              <w:t>414.0 ± 3.7</w:t>
            </w:r>
          </w:p>
        </w:tc>
        <w:tc>
          <w:tcPr>
            <w:tcW w:w="943" w:type="pct"/>
            <w:vAlign w:val="bottom"/>
          </w:tcPr>
          <w:p w:rsidR="00277216" w:rsidRDefault="00277216" w:rsidP="00277216">
            <w:pPr>
              <w:pStyle w:val="TableBodyText"/>
            </w:pPr>
            <w:r>
              <w:t>●</w:t>
            </w:r>
          </w:p>
        </w:tc>
        <w:tc>
          <w:tcPr>
            <w:tcW w:w="831" w:type="pct"/>
            <w:vAlign w:val="bottom"/>
          </w:tcPr>
          <w:p w:rsidR="00277216" w:rsidRDefault="00277216" w:rsidP="00277216">
            <w:pPr>
              <w:pStyle w:val="TableBodyText"/>
            </w:pPr>
            <w:r>
              <w:t xml:space="preserve"> ↓</w:t>
            </w:r>
          </w:p>
        </w:tc>
      </w:tr>
      <w:tr w:rsidR="00277216" w:rsidRPr="00F41936" w:rsidTr="005F7911">
        <w:tc>
          <w:tcPr>
            <w:tcW w:w="1290" w:type="pct"/>
            <w:vAlign w:val="center"/>
          </w:tcPr>
          <w:p w:rsidR="00277216" w:rsidRPr="00F41936" w:rsidRDefault="00277216" w:rsidP="005F7911">
            <w:pPr>
              <w:keepNext/>
              <w:keepLines/>
              <w:spacing w:after="40" w:line="220" w:lineRule="atLeast"/>
              <w:ind w:left="6" w:right="113"/>
              <w:jc w:val="center"/>
              <w:rPr>
                <w:rFonts w:ascii="Arial" w:hAnsi="Arial"/>
                <w:sz w:val="20"/>
                <w:szCs w:val="20"/>
              </w:rPr>
            </w:pPr>
            <w:r w:rsidRPr="00F41936">
              <w:rPr>
                <w:rFonts w:ascii="Arial" w:hAnsi="Arial"/>
                <w:sz w:val="20"/>
                <w:szCs w:val="20"/>
              </w:rPr>
              <w:t>At or above NMS</w:t>
            </w:r>
          </w:p>
        </w:tc>
        <w:tc>
          <w:tcPr>
            <w:tcW w:w="645" w:type="pct"/>
            <w:vAlign w:val="center"/>
          </w:tcPr>
          <w:p w:rsidR="00277216" w:rsidRDefault="00277216" w:rsidP="00277216">
            <w:pPr>
              <w:pStyle w:val="TableBodyText"/>
            </w:pPr>
            <w:r>
              <w:t>69.2 ± 1.7</w:t>
            </w:r>
          </w:p>
        </w:tc>
        <w:tc>
          <w:tcPr>
            <w:tcW w:w="645" w:type="pct"/>
            <w:vAlign w:val="center"/>
          </w:tcPr>
          <w:p w:rsidR="00277216" w:rsidRDefault="00277216" w:rsidP="00277216">
            <w:pPr>
              <w:pStyle w:val="TableBodyText"/>
            </w:pPr>
            <w:r>
              <w:t>75.2 ± 1.5</w:t>
            </w:r>
          </w:p>
        </w:tc>
        <w:tc>
          <w:tcPr>
            <w:tcW w:w="645" w:type="pct"/>
            <w:vAlign w:val="center"/>
          </w:tcPr>
          <w:p w:rsidR="00277216" w:rsidRDefault="00277216" w:rsidP="00277216">
            <w:pPr>
              <w:pStyle w:val="TableBodyText"/>
            </w:pPr>
            <w:r>
              <w:t>69.2 ± 1.9</w:t>
            </w:r>
          </w:p>
        </w:tc>
        <w:tc>
          <w:tcPr>
            <w:tcW w:w="943" w:type="pct"/>
            <w:vAlign w:val="bottom"/>
          </w:tcPr>
          <w:p w:rsidR="00277216" w:rsidRDefault="00277216" w:rsidP="00277216">
            <w:pPr>
              <w:pStyle w:val="TableBodyText"/>
            </w:pPr>
            <w:r>
              <w:t>●</w:t>
            </w:r>
          </w:p>
        </w:tc>
        <w:tc>
          <w:tcPr>
            <w:tcW w:w="831" w:type="pct"/>
            <w:vAlign w:val="bottom"/>
          </w:tcPr>
          <w:p w:rsidR="00277216" w:rsidRDefault="00277216" w:rsidP="00277216">
            <w:pPr>
              <w:pStyle w:val="TableBodyText"/>
            </w:pPr>
            <w:r>
              <w:t xml:space="preserve"> ↓</w:t>
            </w:r>
          </w:p>
        </w:tc>
      </w:tr>
      <w:tr w:rsidR="00277216" w:rsidRPr="00F41936" w:rsidTr="005F7911">
        <w:tc>
          <w:tcPr>
            <w:tcW w:w="1935" w:type="pct"/>
            <w:gridSpan w:val="2"/>
          </w:tcPr>
          <w:p w:rsidR="00277216" w:rsidRPr="00F41936" w:rsidRDefault="00277216" w:rsidP="00277216">
            <w:pPr>
              <w:pStyle w:val="TableBodyText"/>
              <w:jc w:val="left"/>
            </w:pPr>
            <w:r w:rsidRPr="00F41936">
              <w:t>Non-Indigenous students</w:t>
            </w:r>
          </w:p>
        </w:tc>
        <w:tc>
          <w:tcPr>
            <w:tcW w:w="645" w:type="pct"/>
          </w:tcPr>
          <w:p w:rsidR="00277216" w:rsidRPr="00F41936" w:rsidRDefault="00277216" w:rsidP="00277216">
            <w:pPr>
              <w:pStyle w:val="TableBodyText"/>
            </w:pPr>
          </w:p>
        </w:tc>
        <w:tc>
          <w:tcPr>
            <w:tcW w:w="645" w:type="pct"/>
          </w:tcPr>
          <w:p w:rsidR="00277216" w:rsidRPr="00F41936" w:rsidRDefault="00277216" w:rsidP="00277216">
            <w:pPr>
              <w:pStyle w:val="TableBodyText"/>
            </w:pPr>
          </w:p>
        </w:tc>
        <w:tc>
          <w:tcPr>
            <w:tcW w:w="943" w:type="pct"/>
          </w:tcPr>
          <w:p w:rsidR="00277216" w:rsidRPr="00F41936" w:rsidRDefault="00277216" w:rsidP="00277216">
            <w:pPr>
              <w:pStyle w:val="TableBodyText"/>
            </w:pPr>
          </w:p>
        </w:tc>
        <w:tc>
          <w:tcPr>
            <w:tcW w:w="831" w:type="pct"/>
          </w:tcPr>
          <w:p w:rsidR="00277216" w:rsidRPr="00F41936" w:rsidRDefault="00277216" w:rsidP="00277216">
            <w:pPr>
              <w:pStyle w:val="TableBodyText"/>
            </w:pPr>
          </w:p>
        </w:tc>
      </w:tr>
      <w:tr w:rsidR="00277216" w:rsidRPr="00F41936" w:rsidTr="005F7911">
        <w:tc>
          <w:tcPr>
            <w:tcW w:w="1290" w:type="pct"/>
            <w:vAlign w:val="center"/>
          </w:tcPr>
          <w:p w:rsidR="00277216" w:rsidRPr="00F41936" w:rsidRDefault="00277216" w:rsidP="005F7911">
            <w:pPr>
              <w:keepNext/>
              <w:keepLines/>
              <w:spacing w:after="40" w:line="220" w:lineRule="atLeast"/>
              <w:ind w:left="6" w:right="113"/>
              <w:jc w:val="center"/>
              <w:rPr>
                <w:rFonts w:ascii="Arial" w:hAnsi="Arial"/>
                <w:sz w:val="20"/>
                <w:szCs w:val="20"/>
              </w:rPr>
            </w:pPr>
            <w:r w:rsidRPr="00F41936">
              <w:rPr>
                <w:rFonts w:ascii="Arial" w:hAnsi="Arial"/>
                <w:sz w:val="20"/>
                <w:szCs w:val="20"/>
              </w:rPr>
              <w:t>Mean scale score</w:t>
            </w:r>
          </w:p>
        </w:tc>
        <w:tc>
          <w:tcPr>
            <w:tcW w:w="645" w:type="pct"/>
            <w:vAlign w:val="center"/>
          </w:tcPr>
          <w:p w:rsidR="00277216" w:rsidRDefault="00277216" w:rsidP="00277216">
            <w:pPr>
              <w:pStyle w:val="TableBodyText"/>
            </w:pPr>
            <w:r>
              <w:t>479.5 ± 1.0</w:t>
            </w:r>
          </w:p>
        </w:tc>
        <w:tc>
          <w:tcPr>
            <w:tcW w:w="645" w:type="pct"/>
            <w:vAlign w:val="center"/>
          </w:tcPr>
          <w:p w:rsidR="00277216" w:rsidRDefault="00277216" w:rsidP="00277216">
            <w:pPr>
              <w:pStyle w:val="TableBodyText"/>
            </w:pPr>
            <w:r>
              <w:t>491.3 ± 1.0</w:t>
            </w:r>
          </w:p>
        </w:tc>
        <w:tc>
          <w:tcPr>
            <w:tcW w:w="645" w:type="pct"/>
            <w:vAlign w:val="center"/>
          </w:tcPr>
          <w:p w:rsidR="00277216" w:rsidRDefault="00277216" w:rsidP="00277216">
            <w:pPr>
              <w:pStyle w:val="TableBodyText"/>
            </w:pPr>
            <w:r>
              <w:t>492.6 ± 1.0</w:t>
            </w:r>
          </w:p>
        </w:tc>
        <w:tc>
          <w:tcPr>
            <w:tcW w:w="943" w:type="pct"/>
            <w:vAlign w:val="bottom"/>
          </w:tcPr>
          <w:p w:rsidR="00277216" w:rsidRDefault="00277216" w:rsidP="00277216">
            <w:pPr>
              <w:pStyle w:val="TableBodyText"/>
            </w:pPr>
            <w:r>
              <w:t>↑</w:t>
            </w:r>
          </w:p>
        </w:tc>
        <w:tc>
          <w:tcPr>
            <w:tcW w:w="831" w:type="pct"/>
            <w:vAlign w:val="bottom"/>
          </w:tcPr>
          <w:p w:rsidR="00277216" w:rsidRDefault="00277216" w:rsidP="00277216">
            <w:pPr>
              <w:pStyle w:val="TableBodyText"/>
            </w:pPr>
            <w:r>
              <w:t xml:space="preserve"> ●</w:t>
            </w:r>
          </w:p>
        </w:tc>
      </w:tr>
      <w:tr w:rsidR="00277216" w:rsidRPr="00F41936" w:rsidTr="005F7911">
        <w:tc>
          <w:tcPr>
            <w:tcW w:w="1290" w:type="pct"/>
            <w:vAlign w:val="center"/>
          </w:tcPr>
          <w:p w:rsidR="00277216" w:rsidRPr="00F41936" w:rsidRDefault="00277216" w:rsidP="005F7911">
            <w:pPr>
              <w:keepNext/>
              <w:keepLines/>
              <w:spacing w:after="40" w:line="220" w:lineRule="atLeast"/>
              <w:ind w:left="6" w:right="113"/>
              <w:jc w:val="center"/>
              <w:rPr>
                <w:rFonts w:ascii="Arial" w:hAnsi="Arial"/>
                <w:sz w:val="20"/>
                <w:szCs w:val="20"/>
              </w:rPr>
            </w:pPr>
            <w:r w:rsidRPr="00F41936">
              <w:rPr>
                <w:rFonts w:ascii="Arial" w:hAnsi="Arial"/>
                <w:sz w:val="20"/>
                <w:szCs w:val="20"/>
              </w:rPr>
              <w:t>At or above NMS</w:t>
            </w:r>
          </w:p>
        </w:tc>
        <w:tc>
          <w:tcPr>
            <w:tcW w:w="645" w:type="pct"/>
            <w:vAlign w:val="center"/>
          </w:tcPr>
          <w:p w:rsidR="00277216" w:rsidRDefault="00277216" w:rsidP="00277216">
            <w:pPr>
              <w:pStyle w:val="TableBodyText"/>
            </w:pPr>
            <w:r>
              <w:t>94.0 ± 0.2</w:t>
            </w:r>
          </w:p>
        </w:tc>
        <w:tc>
          <w:tcPr>
            <w:tcW w:w="645" w:type="pct"/>
            <w:vAlign w:val="center"/>
          </w:tcPr>
          <w:p w:rsidR="00277216" w:rsidRDefault="00277216" w:rsidP="00277216">
            <w:pPr>
              <w:pStyle w:val="TableBodyText"/>
            </w:pPr>
            <w:r>
              <w:t>95.5 ± 0.2</w:t>
            </w:r>
          </w:p>
        </w:tc>
        <w:tc>
          <w:tcPr>
            <w:tcW w:w="645" w:type="pct"/>
            <w:vAlign w:val="center"/>
          </w:tcPr>
          <w:p w:rsidR="00277216" w:rsidRDefault="00277216" w:rsidP="00277216">
            <w:pPr>
              <w:pStyle w:val="TableBodyText"/>
            </w:pPr>
            <w:r>
              <w:t>94.6 ± 0.2</w:t>
            </w:r>
          </w:p>
        </w:tc>
        <w:tc>
          <w:tcPr>
            <w:tcW w:w="943" w:type="pct"/>
            <w:vAlign w:val="bottom"/>
          </w:tcPr>
          <w:p w:rsidR="00277216" w:rsidRDefault="00277216" w:rsidP="00277216">
            <w:pPr>
              <w:pStyle w:val="TableBodyText"/>
            </w:pPr>
            <w:r>
              <w:t>●</w:t>
            </w:r>
          </w:p>
        </w:tc>
        <w:tc>
          <w:tcPr>
            <w:tcW w:w="831" w:type="pct"/>
            <w:vAlign w:val="bottom"/>
          </w:tcPr>
          <w:p w:rsidR="00277216" w:rsidRDefault="00277216" w:rsidP="00277216">
            <w:pPr>
              <w:pStyle w:val="TableBodyText"/>
            </w:pPr>
            <w:r>
              <w:t xml:space="preserve"> ↓</w:t>
            </w:r>
          </w:p>
        </w:tc>
      </w:tr>
      <w:tr w:rsidR="00277216" w:rsidRPr="00F41936" w:rsidTr="005F7911">
        <w:tc>
          <w:tcPr>
            <w:tcW w:w="1935" w:type="pct"/>
            <w:gridSpan w:val="2"/>
          </w:tcPr>
          <w:p w:rsidR="00277216" w:rsidRPr="00F41936" w:rsidRDefault="00277216" w:rsidP="00277216">
            <w:pPr>
              <w:pStyle w:val="TableBodyText"/>
              <w:jc w:val="left"/>
            </w:pPr>
            <w:r w:rsidRPr="00F41936">
              <w:t>All students</w:t>
            </w:r>
          </w:p>
        </w:tc>
        <w:tc>
          <w:tcPr>
            <w:tcW w:w="645" w:type="pct"/>
          </w:tcPr>
          <w:p w:rsidR="00277216" w:rsidRPr="00F41936" w:rsidRDefault="00277216" w:rsidP="00277216">
            <w:pPr>
              <w:pStyle w:val="TableBodyText"/>
            </w:pPr>
          </w:p>
        </w:tc>
        <w:tc>
          <w:tcPr>
            <w:tcW w:w="645" w:type="pct"/>
          </w:tcPr>
          <w:p w:rsidR="00277216" w:rsidRPr="00F41936" w:rsidRDefault="00277216" w:rsidP="00277216">
            <w:pPr>
              <w:pStyle w:val="TableBodyText"/>
            </w:pPr>
          </w:p>
        </w:tc>
        <w:tc>
          <w:tcPr>
            <w:tcW w:w="943" w:type="pct"/>
          </w:tcPr>
          <w:p w:rsidR="00277216" w:rsidRPr="00F41936" w:rsidRDefault="00277216" w:rsidP="00277216">
            <w:pPr>
              <w:pStyle w:val="TableBodyText"/>
            </w:pPr>
          </w:p>
        </w:tc>
        <w:tc>
          <w:tcPr>
            <w:tcW w:w="831" w:type="pct"/>
          </w:tcPr>
          <w:p w:rsidR="00277216" w:rsidRPr="00F41936" w:rsidRDefault="00277216" w:rsidP="00277216">
            <w:pPr>
              <w:pStyle w:val="TableBodyText"/>
            </w:pPr>
          </w:p>
        </w:tc>
      </w:tr>
      <w:tr w:rsidR="00277216" w:rsidRPr="00F41936" w:rsidTr="005F7911">
        <w:tc>
          <w:tcPr>
            <w:tcW w:w="1290" w:type="pct"/>
            <w:vAlign w:val="center"/>
          </w:tcPr>
          <w:p w:rsidR="00277216" w:rsidRPr="00F41936" w:rsidRDefault="00277216" w:rsidP="005F7911">
            <w:pPr>
              <w:keepNext/>
              <w:keepLines/>
              <w:spacing w:after="40" w:line="220" w:lineRule="atLeast"/>
              <w:ind w:left="6" w:right="113"/>
              <w:jc w:val="center"/>
              <w:rPr>
                <w:rFonts w:ascii="Arial" w:hAnsi="Arial"/>
                <w:sz w:val="20"/>
                <w:szCs w:val="20"/>
              </w:rPr>
            </w:pPr>
            <w:r w:rsidRPr="00F41936">
              <w:rPr>
                <w:rFonts w:ascii="Arial" w:hAnsi="Arial"/>
                <w:sz w:val="20"/>
                <w:szCs w:val="20"/>
              </w:rPr>
              <w:t>Mean scale score</w:t>
            </w:r>
          </w:p>
        </w:tc>
        <w:tc>
          <w:tcPr>
            <w:tcW w:w="645" w:type="pct"/>
            <w:vAlign w:val="center"/>
          </w:tcPr>
          <w:p w:rsidR="00277216" w:rsidRDefault="00277216" w:rsidP="00277216">
            <w:pPr>
              <w:pStyle w:val="TableBodyText"/>
            </w:pPr>
            <w:r>
              <w:t>475.9 ± 1.1</w:t>
            </w:r>
          </w:p>
        </w:tc>
        <w:tc>
          <w:tcPr>
            <w:tcW w:w="645" w:type="pct"/>
            <w:vAlign w:val="center"/>
          </w:tcPr>
          <w:p w:rsidR="00277216" w:rsidRDefault="00277216" w:rsidP="00277216">
            <w:pPr>
              <w:pStyle w:val="TableBodyText"/>
            </w:pPr>
            <w:r>
              <w:t>487.8 ± 1.1</w:t>
            </w:r>
          </w:p>
        </w:tc>
        <w:tc>
          <w:tcPr>
            <w:tcW w:w="645" w:type="pct"/>
            <w:vAlign w:val="center"/>
          </w:tcPr>
          <w:p w:rsidR="00277216" w:rsidRDefault="00277216" w:rsidP="00277216">
            <w:pPr>
              <w:pStyle w:val="TableBodyText"/>
            </w:pPr>
            <w:r>
              <w:t>488.7 ± 1.0</w:t>
            </w:r>
          </w:p>
        </w:tc>
        <w:tc>
          <w:tcPr>
            <w:tcW w:w="943" w:type="pct"/>
            <w:vAlign w:val="bottom"/>
          </w:tcPr>
          <w:p w:rsidR="00277216" w:rsidRDefault="00277216" w:rsidP="00277216">
            <w:pPr>
              <w:pStyle w:val="TableBodyText"/>
            </w:pPr>
            <w:r>
              <w:t>↑</w:t>
            </w:r>
          </w:p>
        </w:tc>
        <w:tc>
          <w:tcPr>
            <w:tcW w:w="831" w:type="pct"/>
            <w:vAlign w:val="bottom"/>
          </w:tcPr>
          <w:p w:rsidR="00277216" w:rsidRDefault="00277216" w:rsidP="00277216">
            <w:pPr>
              <w:pStyle w:val="TableBodyText"/>
            </w:pPr>
            <w:r>
              <w:t xml:space="preserve"> ●</w:t>
            </w:r>
          </w:p>
        </w:tc>
      </w:tr>
      <w:tr w:rsidR="00277216" w:rsidRPr="00F41936" w:rsidTr="005F7911">
        <w:tc>
          <w:tcPr>
            <w:tcW w:w="1290" w:type="pct"/>
            <w:tcBorders>
              <w:bottom w:val="single" w:sz="6" w:space="0" w:color="auto"/>
            </w:tcBorders>
            <w:shd w:val="clear" w:color="auto" w:fill="auto"/>
            <w:vAlign w:val="center"/>
          </w:tcPr>
          <w:p w:rsidR="00277216" w:rsidRPr="00F41936" w:rsidRDefault="00277216" w:rsidP="005F7911">
            <w:pPr>
              <w:keepNext/>
              <w:keepLines/>
              <w:spacing w:after="40" w:line="220" w:lineRule="atLeast"/>
              <w:ind w:left="6" w:right="113"/>
              <w:jc w:val="center"/>
              <w:rPr>
                <w:rFonts w:ascii="Arial" w:hAnsi="Arial"/>
                <w:sz w:val="20"/>
                <w:szCs w:val="20"/>
              </w:rPr>
            </w:pPr>
            <w:r w:rsidRPr="00F41936">
              <w:rPr>
                <w:rFonts w:ascii="Arial" w:hAnsi="Arial"/>
                <w:sz w:val="20"/>
                <w:szCs w:val="20"/>
              </w:rPr>
              <w:t>At or above NMS</w:t>
            </w:r>
          </w:p>
        </w:tc>
        <w:tc>
          <w:tcPr>
            <w:tcW w:w="645" w:type="pct"/>
            <w:tcBorders>
              <w:bottom w:val="single" w:sz="6" w:space="0" w:color="auto"/>
            </w:tcBorders>
            <w:shd w:val="clear" w:color="auto" w:fill="auto"/>
            <w:vAlign w:val="center"/>
          </w:tcPr>
          <w:p w:rsidR="00277216" w:rsidRDefault="00277216" w:rsidP="00277216">
            <w:pPr>
              <w:pStyle w:val="TableBodyText"/>
            </w:pPr>
            <w:r>
              <w:t>92.7 ± 0.2</w:t>
            </w:r>
          </w:p>
        </w:tc>
        <w:tc>
          <w:tcPr>
            <w:tcW w:w="645" w:type="pct"/>
            <w:tcBorders>
              <w:bottom w:val="single" w:sz="6" w:space="0" w:color="auto"/>
            </w:tcBorders>
            <w:vAlign w:val="center"/>
          </w:tcPr>
          <w:p w:rsidR="00277216" w:rsidRDefault="00277216" w:rsidP="00277216">
            <w:pPr>
              <w:pStyle w:val="TableBodyText"/>
            </w:pPr>
            <w:r>
              <w:t>94.4 ± 0.2</w:t>
            </w:r>
          </w:p>
        </w:tc>
        <w:tc>
          <w:tcPr>
            <w:tcW w:w="645" w:type="pct"/>
            <w:tcBorders>
              <w:bottom w:val="single" w:sz="6" w:space="0" w:color="auto"/>
            </w:tcBorders>
            <w:vAlign w:val="center"/>
          </w:tcPr>
          <w:p w:rsidR="00277216" w:rsidRDefault="00277216" w:rsidP="00277216">
            <w:pPr>
              <w:pStyle w:val="TableBodyText"/>
            </w:pPr>
            <w:r>
              <w:t>93.3 ± 0.2</w:t>
            </w:r>
          </w:p>
        </w:tc>
        <w:tc>
          <w:tcPr>
            <w:tcW w:w="943" w:type="pct"/>
            <w:tcBorders>
              <w:bottom w:val="single" w:sz="6" w:space="0" w:color="auto"/>
            </w:tcBorders>
            <w:vAlign w:val="bottom"/>
          </w:tcPr>
          <w:p w:rsidR="00277216" w:rsidRDefault="00277216" w:rsidP="00277216">
            <w:pPr>
              <w:pStyle w:val="TableBodyText"/>
            </w:pPr>
            <w:r>
              <w:t>●</w:t>
            </w:r>
          </w:p>
        </w:tc>
        <w:tc>
          <w:tcPr>
            <w:tcW w:w="831" w:type="pct"/>
            <w:tcBorders>
              <w:bottom w:val="single" w:sz="6" w:space="0" w:color="auto"/>
            </w:tcBorders>
            <w:shd w:val="clear" w:color="auto" w:fill="auto"/>
            <w:vAlign w:val="bottom"/>
          </w:tcPr>
          <w:p w:rsidR="00277216" w:rsidRDefault="00277216" w:rsidP="00277216">
            <w:pPr>
              <w:pStyle w:val="TableBodyText"/>
            </w:pPr>
            <w:r>
              <w:t xml:space="preserve"> ↓</w:t>
            </w:r>
          </w:p>
        </w:tc>
      </w:tr>
    </w:tbl>
    <w:p w:rsidR="00277216" w:rsidRPr="00F41936" w:rsidRDefault="00277216" w:rsidP="00277216">
      <w:pPr>
        <w:keepLines/>
        <w:spacing w:before="80" w:line="220" w:lineRule="exact"/>
        <w:jc w:val="both"/>
        <w:rPr>
          <w:rFonts w:ascii="Arial" w:hAnsi="Arial"/>
          <w:sz w:val="18"/>
          <w:szCs w:val="20"/>
        </w:rPr>
      </w:pPr>
      <w:r w:rsidRPr="00F41936">
        <w:rPr>
          <w:rFonts w:ascii="Arial" w:hAnsi="Arial"/>
          <w:sz w:val="18"/>
          <w:szCs w:val="20"/>
        </w:rPr>
        <w:t xml:space="preserve">NMS = National Minimum Standard. </w:t>
      </w:r>
      <w:r w:rsidRPr="00F41936">
        <w:rPr>
          <w:rFonts w:ascii="Arial" w:hAnsi="Arial"/>
          <w:b/>
          <w:sz w:val="18"/>
          <w:szCs w:val="20"/>
        </w:rPr>
        <w:t>↑</w:t>
      </w:r>
      <w:r w:rsidRPr="00F41936">
        <w:rPr>
          <w:rFonts w:ascii="Arial" w:hAnsi="Arial"/>
          <w:sz w:val="18"/>
          <w:szCs w:val="20"/>
        </w:rPr>
        <w:t xml:space="preserve">= Average achievement significantly higher, statistically </w:t>
      </w:r>
      <w:r w:rsidRPr="00F41936">
        <w:rPr>
          <w:rFonts w:ascii="Arial" w:hAnsi="Arial" w:cs="Arial"/>
          <w:sz w:val="18"/>
          <w:szCs w:val="20"/>
        </w:rPr>
        <w:t>●</w:t>
      </w:r>
      <w:r w:rsidRPr="00F41936">
        <w:rPr>
          <w:rFonts w:ascii="Arial" w:hAnsi="Arial"/>
          <w:sz w:val="18"/>
          <w:szCs w:val="20"/>
        </w:rPr>
        <w:t xml:space="preserve"> = No significant difference, statistically.</w:t>
      </w:r>
      <w:r w:rsidR="000C510D">
        <w:rPr>
          <w:rFonts w:ascii="Arial" w:hAnsi="Arial"/>
          <w:sz w:val="18"/>
          <w:szCs w:val="20"/>
        </w:rPr>
        <w:t xml:space="preserve"> </w:t>
      </w:r>
      <w:r w:rsidR="000C510D" w:rsidRPr="000C510D">
        <w:rPr>
          <w:rFonts w:ascii="Arial" w:hAnsi="Arial"/>
          <w:sz w:val="18"/>
          <w:szCs w:val="20"/>
        </w:rPr>
        <w:t>↓= Average achievement significantly lower, statistically.</w:t>
      </w:r>
    </w:p>
    <w:p w:rsidR="00277216" w:rsidRPr="00F41936" w:rsidRDefault="00277216" w:rsidP="00277216">
      <w:pPr>
        <w:keepLines/>
        <w:spacing w:before="80" w:line="220" w:lineRule="exact"/>
        <w:jc w:val="both"/>
        <w:rPr>
          <w:rFonts w:ascii="Arial" w:hAnsi="Arial"/>
          <w:sz w:val="18"/>
          <w:szCs w:val="20"/>
        </w:rPr>
      </w:pPr>
      <w:r w:rsidRPr="00F41936">
        <w:rPr>
          <w:rFonts w:ascii="Arial" w:hAnsi="Arial"/>
          <w:b/>
          <w:position w:val="6"/>
          <w:sz w:val="18"/>
          <w:szCs w:val="20"/>
        </w:rPr>
        <w:t>a</w:t>
      </w:r>
      <w:r w:rsidRPr="00F41936">
        <w:rPr>
          <w:rFonts w:ascii="Arial" w:hAnsi="Arial"/>
          <w:sz w:val="18"/>
          <w:szCs w:val="20"/>
        </w:rPr>
        <w:t xml:space="preserve"> The mean scale scores and proportions at or above national minimum standard reported in this table include 95 per cent confidence intervals (for example, a mean scale score of 400.0 ± 2.7</w:t>
      </w:r>
      <w:r w:rsidRPr="00F41936">
        <w:rPr>
          <w:rFonts w:ascii="Arial" w:hAnsi="Arial"/>
          <w:sz w:val="18"/>
          <w:szCs w:val="20"/>
          <w:shd w:val="clear" w:color="auto" w:fill="FFFFFF" w:themeFill="background1"/>
        </w:rPr>
        <w:t xml:space="preserve">). The confidence intervals in this table are for the specific year applicable and do not provide an indication of statistically significant differences between years. See section </w:t>
      </w:r>
      <w:r w:rsidR="00892D0C">
        <w:rPr>
          <w:rFonts w:ascii="Arial" w:hAnsi="Arial"/>
          <w:sz w:val="18"/>
          <w:szCs w:val="20"/>
          <w:shd w:val="clear" w:color="auto" w:fill="FFFFFF" w:themeFill="background1"/>
        </w:rPr>
        <w:t>2</w:t>
      </w:r>
      <w:r w:rsidRPr="00F41936">
        <w:rPr>
          <w:rFonts w:ascii="Arial" w:hAnsi="Arial"/>
          <w:sz w:val="18"/>
          <w:szCs w:val="20"/>
          <w:shd w:val="clear" w:color="auto" w:fill="FFFFFF" w:themeFill="background1"/>
        </w:rPr>
        <w:t xml:space="preserve">.5 </w:t>
      </w:r>
      <w:r w:rsidRPr="0016188E">
        <w:rPr>
          <w:rFonts w:ascii="Arial" w:hAnsi="Arial"/>
          <w:sz w:val="18"/>
          <w:szCs w:val="20"/>
          <w:shd w:val="clear" w:color="auto" w:fill="FFFFFF" w:themeFill="background1"/>
        </w:rPr>
        <w:t xml:space="preserve">of the </w:t>
      </w:r>
      <w:r w:rsidR="0016188E" w:rsidRPr="0016188E">
        <w:rPr>
          <w:rFonts w:ascii="Arial" w:hAnsi="Arial"/>
          <w:sz w:val="18"/>
          <w:szCs w:val="20"/>
          <w:shd w:val="clear" w:color="auto" w:fill="FFFFFF" w:themeFill="background1"/>
        </w:rPr>
        <w:t>‘statistical context’ chapter</w:t>
      </w:r>
      <w:r w:rsidR="00892D0C" w:rsidRPr="0016188E">
        <w:rPr>
          <w:rFonts w:ascii="Arial" w:hAnsi="Arial"/>
          <w:sz w:val="18"/>
          <w:szCs w:val="20"/>
          <w:shd w:val="clear" w:color="auto" w:fill="FFFFFF" w:themeFill="background1"/>
        </w:rPr>
        <w:t xml:space="preserve"> </w:t>
      </w:r>
      <w:r w:rsidRPr="0016188E">
        <w:rPr>
          <w:rFonts w:ascii="Arial" w:hAnsi="Arial"/>
          <w:sz w:val="18"/>
          <w:szCs w:val="20"/>
          <w:shd w:val="clear" w:color="auto" w:fill="FFFFFF" w:themeFill="background1"/>
        </w:rPr>
        <w:t>for more</w:t>
      </w:r>
      <w:r w:rsidRPr="0016188E">
        <w:rPr>
          <w:rFonts w:ascii="Arial" w:hAnsi="Arial"/>
          <w:sz w:val="18"/>
          <w:szCs w:val="20"/>
        </w:rPr>
        <w:t xml:space="preserve"> information </w:t>
      </w:r>
      <w:r w:rsidRPr="00F41936">
        <w:rPr>
          <w:rFonts w:ascii="Arial" w:hAnsi="Arial"/>
          <w:sz w:val="18"/>
          <w:szCs w:val="20"/>
        </w:rPr>
        <w:t xml:space="preserve">on confidence intervals. </w:t>
      </w:r>
      <w:r w:rsidRPr="00F41936">
        <w:rPr>
          <w:rFonts w:ascii="Arial" w:hAnsi="Arial"/>
          <w:b/>
          <w:position w:val="6"/>
          <w:sz w:val="18"/>
          <w:szCs w:val="20"/>
        </w:rPr>
        <w:t>b</w:t>
      </w:r>
      <w:r w:rsidRPr="00F41936">
        <w:rPr>
          <w:rFonts w:ascii="Arial" w:hAnsi="Arial"/>
          <w:sz w:val="18"/>
          <w:szCs w:val="20"/>
        </w:rPr>
        <w:t> For further information and caveats see table 4A.</w:t>
      </w:r>
      <w:r w:rsidR="000C510D">
        <w:rPr>
          <w:rFonts w:ascii="Arial" w:hAnsi="Arial"/>
          <w:sz w:val="18"/>
          <w:szCs w:val="20"/>
        </w:rPr>
        <w:t>8</w:t>
      </w:r>
      <w:r w:rsidR="00E34421">
        <w:rPr>
          <w:rFonts w:ascii="Arial" w:hAnsi="Arial"/>
          <w:sz w:val="18"/>
          <w:szCs w:val="20"/>
        </w:rPr>
        <w:t>7</w:t>
      </w:r>
      <w:r w:rsidRPr="00F41936">
        <w:rPr>
          <w:rFonts w:ascii="Arial" w:hAnsi="Arial"/>
          <w:sz w:val="18"/>
          <w:szCs w:val="20"/>
        </w:rPr>
        <w:t xml:space="preserve">. </w:t>
      </w:r>
    </w:p>
    <w:p w:rsidR="00277216" w:rsidRPr="00F41936" w:rsidRDefault="00277216" w:rsidP="00277216">
      <w:pPr>
        <w:keepLines/>
        <w:spacing w:before="80" w:line="220" w:lineRule="exact"/>
        <w:jc w:val="both"/>
        <w:rPr>
          <w:rFonts w:ascii="Arial" w:hAnsi="Arial"/>
          <w:sz w:val="18"/>
          <w:szCs w:val="20"/>
        </w:rPr>
      </w:pPr>
      <w:r w:rsidRPr="00F41936">
        <w:rPr>
          <w:rFonts w:ascii="Arial" w:hAnsi="Arial"/>
          <w:i/>
          <w:sz w:val="18"/>
          <w:szCs w:val="20"/>
        </w:rPr>
        <w:t>Source</w:t>
      </w:r>
      <w:r w:rsidRPr="00F41936">
        <w:rPr>
          <w:rFonts w:ascii="Arial" w:hAnsi="Arial"/>
          <w:sz w:val="18"/>
          <w:szCs w:val="20"/>
        </w:rPr>
        <w:t xml:space="preserve">: ACARA (2012 and unpublished) </w:t>
      </w:r>
      <w:r w:rsidRPr="00F41936">
        <w:rPr>
          <w:rFonts w:ascii="Arial" w:hAnsi="Arial"/>
          <w:i/>
          <w:sz w:val="18"/>
          <w:szCs w:val="20"/>
        </w:rPr>
        <w:t>NAPLAN Achievement in Reading, Writing, Language Conventions and Numeracy: National Report for 2012</w:t>
      </w:r>
      <w:r w:rsidRPr="00F41936">
        <w:rPr>
          <w:rFonts w:ascii="Arial" w:hAnsi="Arial"/>
          <w:sz w:val="18"/>
          <w:szCs w:val="20"/>
        </w:rPr>
        <w:t>, ACARA, Sydney; table 4A.</w:t>
      </w:r>
      <w:r w:rsidR="000C510D">
        <w:rPr>
          <w:rFonts w:ascii="Arial" w:hAnsi="Arial"/>
          <w:sz w:val="18"/>
          <w:szCs w:val="20"/>
        </w:rPr>
        <w:t>8</w:t>
      </w:r>
      <w:r w:rsidR="00E34421">
        <w:rPr>
          <w:rFonts w:ascii="Arial" w:hAnsi="Arial"/>
          <w:sz w:val="18"/>
          <w:szCs w:val="20"/>
        </w:rPr>
        <w:t>7</w:t>
      </w:r>
      <w:r w:rsidRPr="00F41936">
        <w:rPr>
          <w:rFonts w:ascii="Arial" w:hAnsi="Arial"/>
          <w:sz w:val="18"/>
          <w:szCs w:val="20"/>
        </w:rPr>
        <w:t>.</w:t>
      </w:r>
    </w:p>
    <w:p w:rsidR="000C510D" w:rsidRDefault="000C510D" w:rsidP="000C510D">
      <w:pPr>
        <w:pStyle w:val="Heading5"/>
      </w:pPr>
      <w:r>
        <w:t>Cohort gain</w:t>
      </w:r>
    </w:p>
    <w:p w:rsidR="000C510D" w:rsidRPr="000C510D" w:rsidRDefault="000C510D" w:rsidP="000C510D">
      <w:pPr>
        <w:spacing w:before="240" w:line="320" w:lineRule="atLeast"/>
        <w:jc w:val="both"/>
        <w:rPr>
          <w:szCs w:val="20"/>
        </w:rPr>
      </w:pPr>
      <w:r w:rsidRPr="002700D1">
        <w:rPr>
          <w:szCs w:val="20"/>
        </w:rPr>
        <w:t xml:space="preserve">Analysis of NAPLAN mean scale score data for the years 2008 to 2010 and 2010 to 2012 enables comparisons of outcomes for the same cohort of students over time (box 4.9). </w:t>
      </w:r>
      <w:r w:rsidRPr="000C510D">
        <w:rPr>
          <w:szCs w:val="20"/>
        </w:rPr>
        <w:t xml:space="preserve">From year 3 in 2008 to year 5 in 2010, the gain in numeracy mean scale score </w:t>
      </w:r>
      <w:r w:rsidR="009D7A8B">
        <w:rPr>
          <w:szCs w:val="20"/>
        </w:rPr>
        <w:t>(</w:t>
      </w:r>
      <w:r w:rsidR="009D7A8B" w:rsidRPr="007072F5">
        <w:rPr>
          <w:szCs w:val="20"/>
        </w:rPr>
        <w:t>on the common national scale for Years 3, 5, 7 and 9, ranging from 0 to 1000</w:t>
      </w:r>
      <w:r w:rsidR="009D7A8B">
        <w:rPr>
          <w:szCs w:val="20"/>
        </w:rPr>
        <w:t xml:space="preserve">) </w:t>
      </w:r>
      <w:r w:rsidRPr="000C510D">
        <w:rPr>
          <w:szCs w:val="20"/>
        </w:rPr>
        <w:t xml:space="preserve">was between 83.6 and 100.2 points nationally. For the same cohort, from year 5 in 2010 to year 7 in 2012, the </w:t>
      </w:r>
      <w:r w:rsidR="009D7A8B">
        <w:rPr>
          <w:szCs w:val="20"/>
        </w:rPr>
        <w:t xml:space="preserve">mean scale score </w:t>
      </w:r>
      <w:r w:rsidRPr="000C510D">
        <w:rPr>
          <w:szCs w:val="20"/>
        </w:rPr>
        <w:t xml:space="preserve">gain was between 43.3 and 55.3 points nationally. </w:t>
      </w:r>
    </w:p>
    <w:p w:rsidR="000C510D" w:rsidRPr="000C510D" w:rsidRDefault="000C510D" w:rsidP="000C510D">
      <w:pPr>
        <w:spacing w:before="240" w:line="320" w:lineRule="atLeast"/>
        <w:jc w:val="both"/>
        <w:rPr>
          <w:szCs w:val="20"/>
        </w:rPr>
      </w:pPr>
      <w:r w:rsidRPr="000C510D">
        <w:rPr>
          <w:szCs w:val="20"/>
        </w:rPr>
        <w:t xml:space="preserve">For Indigenous students, year 3 in 2008 to year 5 in 2010 the </w:t>
      </w:r>
      <w:r w:rsidR="009D7A8B">
        <w:rPr>
          <w:szCs w:val="20"/>
        </w:rPr>
        <w:t xml:space="preserve">mean scale score </w:t>
      </w:r>
      <w:r w:rsidRPr="000C510D">
        <w:rPr>
          <w:szCs w:val="20"/>
        </w:rPr>
        <w:t xml:space="preserve">gain was between 80.0 and 98.6 points and from year 5 in 2010 to year 7 in 2012, the </w:t>
      </w:r>
      <w:r w:rsidR="009D7A8B">
        <w:rPr>
          <w:szCs w:val="20"/>
        </w:rPr>
        <w:t xml:space="preserve">mean scale score </w:t>
      </w:r>
      <w:r w:rsidRPr="000C510D">
        <w:rPr>
          <w:szCs w:val="20"/>
        </w:rPr>
        <w:t>gain was between 45.4 and 59.6 points nationally. For non</w:t>
      </w:r>
      <w:r w:rsidR="009D7A8B">
        <w:rPr>
          <w:szCs w:val="20"/>
        </w:rPr>
        <w:noBreakHyphen/>
      </w:r>
      <w:r w:rsidRPr="000C510D">
        <w:rPr>
          <w:szCs w:val="20"/>
        </w:rPr>
        <w:t xml:space="preserve">Indigenous students, year 3 in 2008 to year 5 in 2010 the </w:t>
      </w:r>
      <w:r w:rsidR="009D7A8B">
        <w:rPr>
          <w:szCs w:val="20"/>
        </w:rPr>
        <w:t xml:space="preserve">mean scale score </w:t>
      </w:r>
      <w:r w:rsidRPr="000C510D">
        <w:rPr>
          <w:szCs w:val="20"/>
        </w:rPr>
        <w:t xml:space="preserve">gain was between 83.8 and 100.4 points and from year 5 in 2010 to year 7 in 2012, the gain was between 43.2 and 55.2 points nationally.  </w:t>
      </w:r>
    </w:p>
    <w:p w:rsidR="000C510D" w:rsidRDefault="000C510D" w:rsidP="000C510D">
      <w:pPr>
        <w:spacing w:before="240" w:line="320" w:lineRule="atLeast"/>
        <w:jc w:val="both"/>
        <w:rPr>
          <w:szCs w:val="20"/>
        </w:rPr>
      </w:pPr>
      <w:r w:rsidRPr="000C510D">
        <w:rPr>
          <w:szCs w:val="20"/>
        </w:rPr>
        <w:t xml:space="preserve">These </w:t>
      </w:r>
      <w:r w:rsidR="009D7A8B">
        <w:rPr>
          <w:szCs w:val="20"/>
        </w:rPr>
        <w:t xml:space="preserve">mean scale score </w:t>
      </w:r>
      <w:r w:rsidRPr="000C510D">
        <w:rPr>
          <w:szCs w:val="20"/>
        </w:rPr>
        <w:t>gains varied across jurisdictions (table 4.</w:t>
      </w:r>
      <w:r>
        <w:rPr>
          <w:szCs w:val="20"/>
        </w:rPr>
        <w:t>10</w:t>
      </w:r>
      <w:r w:rsidRPr="000C510D">
        <w:rPr>
          <w:szCs w:val="20"/>
        </w:rPr>
        <w:t>). Data for other cohorts from 2008–2010 and 2010-2012 are in table 4A.8</w:t>
      </w:r>
      <w:r w:rsidR="00C43453">
        <w:rPr>
          <w:szCs w:val="20"/>
        </w:rPr>
        <w:t>8</w:t>
      </w:r>
      <w:r w:rsidRPr="000C510D">
        <w:rPr>
          <w:szCs w:val="20"/>
        </w:rPr>
        <w:t xml:space="preserve">. </w:t>
      </w:r>
    </w:p>
    <w:p w:rsidR="00D06782" w:rsidRPr="00B64D68" w:rsidRDefault="000C510D" w:rsidP="006B35ED">
      <w:pPr>
        <w:pStyle w:val="TableTitle"/>
      </w:pPr>
      <w:r w:rsidRPr="00B64D68">
        <w:rPr>
          <w:b w:val="0"/>
        </w:rPr>
        <w:lastRenderedPageBreak/>
        <w:t>Table 4.</w:t>
      </w:r>
      <w:r w:rsidR="00EC06F7" w:rsidRPr="00B64D68">
        <w:rPr>
          <w:b w:val="0"/>
          <w:noProof/>
        </w:rPr>
        <w:t>10</w:t>
      </w:r>
      <w:r w:rsidRPr="00530424">
        <w:tab/>
        <w:t xml:space="preserve">Gain in mean scale score for </w:t>
      </w:r>
      <w:r>
        <w:t>numeracy</w:t>
      </w:r>
      <w:r w:rsidRPr="00530424">
        <w:t>: year 3 (2008) to</w:t>
      </w:r>
      <w:r w:rsidR="006B35ED">
        <w:t xml:space="preserve"> year 5 (2010) to year 7 (2012)</w:t>
      </w:r>
      <w:r w:rsidRPr="00530424">
        <w:rPr>
          <w:position w:val="6"/>
          <w:sz w:val="18"/>
        </w:rPr>
        <w:t xml:space="preserve">a, </w:t>
      </w:r>
      <w:r w:rsidRPr="00B64D68">
        <w:rPr>
          <w:position w:val="6"/>
          <w:sz w:val="18"/>
        </w:rPr>
        <w:t>b</w:t>
      </w:r>
      <w:r w:rsidR="00D06782" w:rsidRPr="00B64D68">
        <w:rPr>
          <w:rStyle w:val="DraftingNote"/>
          <w:color w:val="auto"/>
        </w:rPr>
        <w:t xml:space="preserve"> </w:t>
      </w:r>
    </w:p>
    <w:tbl>
      <w:tblPr>
        <w:tblW w:w="8790" w:type="dxa"/>
        <w:tblLayout w:type="fixed"/>
        <w:tblCellMar>
          <w:left w:w="0" w:type="dxa"/>
          <w:right w:w="0" w:type="dxa"/>
        </w:tblCellMar>
        <w:tblLook w:val="0000" w:firstRow="0" w:lastRow="0" w:firstColumn="0" w:lastColumn="0" w:noHBand="0" w:noVBand="0"/>
      </w:tblPr>
      <w:tblGrid>
        <w:gridCol w:w="1560"/>
        <w:gridCol w:w="803"/>
        <w:gridCol w:w="803"/>
        <w:gridCol w:w="804"/>
        <w:gridCol w:w="803"/>
        <w:gridCol w:w="803"/>
        <w:gridCol w:w="804"/>
        <w:gridCol w:w="803"/>
        <w:gridCol w:w="803"/>
        <w:gridCol w:w="804"/>
      </w:tblGrid>
      <w:tr w:rsidR="000C510D" w:rsidRPr="004708E3" w:rsidTr="00F63897">
        <w:tc>
          <w:tcPr>
            <w:tcW w:w="1560"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rPr>
                <w:rFonts w:ascii="Arial" w:hAnsi="Arial"/>
                <w:i/>
                <w:sz w:val="20"/>
                <w:szCs w:val="20"/>
              </w:rPr>
            </w:pPr>
          </w:p>
        </w:tc>
        <w:tc>
          <w:tcPr>
            <w:tcW w:w="803"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NSW</w:t>
            </w:r>
          </w:p>
        </w:tc>
        <w:tc>
          <w:tcPr>
            <w:tcW w:w="803"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Vic</w:t>
            </w:r>
          </w:p>
        </w:tc>
        <w:tc>
          <w:tcPr>
            <w:tcW w:w="804"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Qld</w:t>
            </w:r>
          </w:p>
        </w:tc>
        <w:tc>
          <w:tcPr>
            <w:tcW w:w="803"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WA</w:t>
            </w:r>
          </w:p>
        </w:tc>
        <w:tc>
          <w:tcPr>
            <w:tcW w:w="803"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SA</w:t>
            </w:r>
          </w:p>
        </w:tc>
        <w:tc>
          <w:tcPr>
            <w:tcW w:w="804"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Tas</w:t>
            </w:r>
          </w:p>
        </w:tc>
        <w:tc>
          <w:tcPr>
            <w:tcW w:w="803"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ACT</w:t>
            </w:r>
          </w:p>
        </w:tc>
        <w:tc>
          <w:tcPr>
            <w:tcW w:w="803"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NT</w:t>
            </w:r>
          </w:p>
        </w:tc>
        <w:tc>
          <w:tcPr>
            <w:tcW w:w="804" w:type="dxa"/>
            <w:tcBorders>
              <w:top w:val="single" w:sz="6" w:space="0" w:color="auto"/>
              <w:bottom w:val="single" w:sz="6" w:space="0" w:color="auto"/>
            </w:tcBorders>
            <w:shd w:val="clear" w:color="auto" w:fill="auto"/>
          </w:tcPr>
          <w:p w:rsidR="000C510D" w:rsidRPr="004708E3" w:rsidRDefault="000C510D" w:rsidP="005F7911">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Aust</w:t>
            </w:r>
          </w:p>
        </w:tc>
      </w:tr>
      <w:tr w:rsidR="000C510D" w:rsidRPr="004708E3" w:rsidTr="00F63897">
        <w:tc>
          <w:tcPr>
            <w:tcW w:w="8790" w:type="dxa"/>
            <w:gridSpan w:val="10"/>
          </w:tcPr>
          <w:p w:rsidR="000C510D" w:rsidRPr="00D07F9F" w:rsidRDefault="000C510D" w:rsidP="005F7911">
            <w:pPr>
              <w:keepNext/>
              <w:keepLines/>
              <w:spacing w:after="40" w:line="220" w:lineRule="atLeast"/>
              <w:ind w:left="6" w:right="113"/>
              <w:rPr>
                <w:rFonts w:ascii="Arial" w:hAnsi="Arial" w:cs="Arial"/>
                <w:b/>
                <w:sz w:val="20"/>
                <w:szCs w:val="20"/>
              </w:rPr>
            </w:pPr>
            <w:r w:rsidRPr="00D07F9F">
              <w:rPr>
                <w:rFonts w:ascii="Arial" w:hAnsi="Arial"/>
                <w:b/>
                <w:sz w:val="20"/>
                <w:szCs w:val="20"/>
              </w:rPr>
              <w:t>Indigenous students</w:t>
            </w:r>
          </w:p>
        </w:tc>
      </w:tr>
      <w:tr w:rsidR="000C510D" w:rsidRPr="00530424" w:rsidTr="00F63897">
        <w:tc>
          <w:tcPr>
            <w:tcW w:w="1560" w:type="dxa"/>
          </w:tcPr>
          <w:p w:rsidR="000C510D" w:rsidRPr="00530424" w:rsidRDefault="000C510D" w:rsidP="005F7911">
            <w:pPr>
              <w:keepNext/>
              <w:keepLines/>
              <w:spacing w:after="40" w:line="220" w:lineRule="atLeast"/>
              <w:ind w:left="6" w:right="113"/>
              <w:rPr>
                <w:rFonts w:ascii="Arial" w:hAnsi="Arial"/>
                <w:sz w:val="20"/>
                <w:szCs w:val="20"/>
              </w:rPr>
            </w:pPr>
            <w:r w:rsidRPr="00530424">
              <w:rPr>
                <w:rFonts w:ascii="Arial" w:hAnsi="Arial"/>
                <w:sz w:val="20"/>
                <w:szCs w:val="20"/>
              </w:rPr>
              <w:t>2008 Year 3</w:t>
            </w:r>
          </w:p>
        </w:tc>
        <w:tc>
          <w:tcPr>
            <w:tcW w:w="803" w:type="dxa"/>
            <w:vAlign w:val="center"/>
          </w:tcPr>
          <w:p w:rsidR="000C510D" w:rsidRDefault="000C510D" w:rsidP="000C510D">
            <w:pPr>
              <w:pStyle w:val="TableBodyText"/>
            </w:pPr>
            <w:r>
              <w:t xml:space="preserve">350.3 </w:t>
            </w:r>
            <w:r w:rsidR="00F63897">
              <w:br/>
            </w:r>
            <w:r>
              <w:t>± 3.1</w:t>
            </w:r>
          </w:p>
        </w:tc>
        <w:tc>
          <w:tcPr>
            <w:tcW w:w="803" w:type="dxa"/>
            <w:vAlign w:val="center"/>
          </w:tcPr>
          <w:p w:rsidR="000C510D" w:rsidRDefault="000C510D" w:rsidP="000C510D">
            <w:pPr>
              <w:pStyle w:val="TableBodyText"/>
            </w:pPr>
            <w:r>
              <w:t xml:space="preserve">376.9 </w:t>
            </w:r>
            <w:r w:rsidR="00F63897">
              <w:br/>
            </w:r>
            <w:r>
              <w:t>± 5.5</w:t>
            </w:r>
          </w:p>
        </w:tc>
        <w:tc>
          <w:tcPr>
            <w:tcW w:w="804" w:type="dxa"/>
            <w:vAlign w:val="center"/>
          </w:tcPr>
          <w:p w:rsidR="000C510D" w:rsidRDefault="000C510D" w:rsidP="000C510D">
            <w:pPr>
              <w:pStyle w:val="TableBodyText"/>
            </w:pPr>
            <w:r>
              <w:t xml:space="preserve">316.2 </w:t>
            </w:r>
            <w:r w:rsidR="00F63897">
              <w:br/>
            </w:r>
            <w:r>
              <w:t>± 6.4</w:t>
            </w:r>
          </w:p>
        </w:tc>
        <w:tc>
          <w:tcPr>
            <w:tcW w:w="803" w:type="dxa"/>
            <w:vAlign w:val="center"/>
          </w:tcPr>
          <w:p w:rsidR="000C510D" w:rsidRDefault="000C510D" w:rsidP="000C510D">
            <w:pPr>
              <w:pStyle w:val="TableBodyText"/>
            </w:pPr>
            <w:r>
              <w:t xml:space="preserve">313.9 </w:t>
            </w:r>
            <w:r w:rsidR="00F63897">
              <w:br/>
            </w:r>
            <w:r>
              <w:t>± 5.1</w:t>
            </w:r>
          </w:p>
        </w:tc>
        <w:tc>
          <w:tcPr>
            <w:tcW w:w="803" w:type="dxa"/>
            <w:vAlign w:val="center"/>
          </w:tcPr>
          <w:p w:rsidR="000C510D" w:rsidRDefault="000C510D" w:rsidP="000C510D">
            <w:pPr>
              <w:pStyle w:val="TableBodyText"/>
            </w:pPr>
            <w:r>
              <w:t xml:space="preserve">330.7 </w:t>
            </w:r>
            <w:r w:rsidR="00F63897">
              <w:br/>
            </w:r>
            <w:r>
              <w:t>± 6.5</w:t>
            </w:r>
          </w:p>
        </w:tc>
        <w:tc>
          <w:tcPr>
            <w:tcW w:w="804" w:type="dxa"/>
            <w:vAlign w:val="center"/>
          </w:tcPr>
          <w:p w:rsidR="000C510D" w:rsidRDefault="000C510D" w:rsidP="000C510D">
            <w:pPr>
              <w:pStyle w:val="TableBodyText"/>
            </w:pPr>
            <w:r>
              <w:t xml:space="preserve">377.1 </w:t>
            </w:r>
            <w:r w:rsidR="00F63897">
              <w:br/>
            </w:r>
            <w:r>
              <w:t>± 8.2</w:t>
            </w:r>
          </w:p>
        </w:tc>
        <w:tc>
          <w:tcPr>
            <w:tcW w:w="803" w:type="dxa"/>
            <w:vAlign w:val="center"/>
          </w:tcPr>
          <w:p w:rsidR="000C510D" w:rsidRDefault="000C510D" w:rsidP="000C510D">
            <w:pPr>
              <w:pStyle w:val="TableBodyText"/>
            </w:pPr>
            <w:r>
              <w:t xml:space="preserve">355.1 </w:t>
            </w:r>
            <w:r w:rsidR="00F63897">
              <w:br/>
            </w:r>
            <w:r>
              <w:t>± 16.2</w:t>
            </w:r>
          </w:p>
        </w:tc>
        <w:tc>
          <w:tcPr>
            <w:tcW w:w="803" w:type="dxa"/>
            <w:vAlign w:val="center"/>
          </w:tcPr>
          <w:p w:rsidR="000C510D" w:rsidRDefault="000C510D" w:rsidP="000C510D">
            <w:pPr>
              <w:pStyle w:val="TableBodyText"/>
            </w:pPr>
            <w:r>
              <w:t xml:space="preserve">275.0 </w:t>
            </w:r>
            <w:r w:rsidR="00F63897">
              <w:br/>
            </w:r>
            <w:r>
              <w:t>± 11.0</w:t>
            </w:r>
          </w:p>
        </w:tc>
        <w:tc>
          <w:tcPr>
            <w:tcW w:w="804" w:type="dxa"/>
            <w:vAlign w:val="center"/>
          </w:tcPr>
          <w:p w:rsidR="000C510D" w:rsidRDefault="000C510D" w:rsidP="000C510D">
            <w:pPr>
              <w:pStyle w:val="TableBodyText"/>
            </w:pPr>
            <w:r>
              <w:t xml:space="preserve">327.6 </w:t>
            </w:r>
            <w:r w:rsidR="00F63897">
              <w:br/>
            </w:r>
            <w:r>
              <w:t>± 3.3</w:t>
            </w:r>
          </w:p>
        </w:tc>
      </w:tr>
      <w:tr w:rsidR="000C510D" w:rsidRPr="00530424" w:rsidTr="00F63897">
        <w:tc>
          <w:tcPr>
            <w:tcW w:w="1560" w:type="dxa"/>
          </w:tcPr>
          <w:p w:rsidR="000C510D" w:rsidRPr="00530424" w:rsidRDefault="000C510D" w:rsidP="005F7911">
            <w:pPr>
              <w:keepNext/>
              <w:keepLines/>
              <w:spacing w:after="40" w:line="220" w:lineRule="atLeast"/>
              <w:ind w:right="113"/>
              <w:rPr>
                <w:rFonts w:ascii="Arial" w:hAnsi="Arial"/>
                <w:sz w:val="20"/>
                <w:szCs w:val="20"/>
              </w:rPr>
            </w:pPr>
            <w:r w:rsidRPr="00530424">
              <w:rPr>
                <w:rFonts w:ascii="Arial" w:hAnsi="Arial"/>
                <w:sz w:val="20"/>
                <w:szCs w:val="20"/>
              </w:rPr>
              <w:t>2010 Year 5</w:t>
            </w:r>
          </w:p>
        </w:tc>
        <w:tc>
          <w:tcPr>
            <w:tcW w:w="803" w:type="dxa"/>
            <w:vAlign w:val="center"/>
          </w:tcPr>
          <w:p w:rsidR="000C510D" w:rsidRDefault="000C510D" w:rsidP="000C510D">
            <w:pPr>
              <w:pStyle w:val="TableBodyText"/>
            </w:pPr>
            <w:r>
              <w:t xml:space="preserve">435.8 </w:t>
            </w:r>
            <w:r w:rsidR="00F63897">
              <w:br/>
            </w:r>
            <w:r>
              <w:t>± 3.0</w:t>
            </w:r>
          </w:p>
        </w:tc>
        <w:tc>
          <w:tcPr>
            <w:tcW w:w="803" w:type="dxa"/>
            <w:vAlign w:val="center"/>
          </w:tcPr>
          <w:p w:rsidR="000C510D" w:rsidRDefault="000C510D" w:rsidP="000C510D">
            <w:pPr>
              <w:pStyle w:val="TableBodyText"/>
            </w:pPr>
            <w:r>
              <w:t xml:space="preserve">457.0 </w:t>
            </w:r>
            <w:r w:rsidR="00F63897">
              <w:br/>
            </w:r>
            <w:r>
              <w:t>± 5.8</w:t>
            </w:r>
          </w:p>
        </w:tc>
        <w:tc>
          <w:tcPr>
            <w:tcW w:w="804" w:type="dxa"/>
            <w:vAlign w:val="center"/>
          </w:tcPr>
          <w:p w:rsidR="000C510D" w:rsidRDefault="000C510D" w:rsidP="000C510D">
            <w:pPr>
              <w:pStyle w:val="TableBodyText"/>
            </w:pPr>
            <w:r>
              <w:t xml:space="preserve">419.5 </w:t>
            </w:r>
            <w:r w:rsidR="00F63897">
              <w:br/>
            </w:r>
            <w:r>
              <w:t>± 4.5</w:t>
            </w:r>
          </w:p>
        </w:tc>
        <w:tc>
          <w:tcPr>
            <w:tcW w:w="803" w:type="dxa"/>
            <w:vAlign w:val="center"/>
          </w:tcPr>
          <w:p w:rsidR="000C510D" w:rsidRDefault="000C510D" w:rsidP="000C510D">
            <w:pPr>
              <w:pStyle w:val="TableBodyText"/>
            </w:pPr>
            <w:r>
              <w:t xml:space="preserve">398.0 </w:t>
            </w:r>
            <w:r w:rsidR="00F63897">
              <w:br/>
            </w:r>
            <w:r>
              <w:t>± 6.0</w:t>
            </w:r>
          </w:p>
        </w:tc>
        <w:tc>
          <w:tcPr>
            <w:tcW w:w="803" w:type="dxa"/>
            <w:vAlign w:val="center"/>
          </w:tcPr>
          <w:p w:rsidR="000C510D" w:rsidRDefault="000C510D" w:rsidP="000C510D">
            <w:pPr>
              <w:pStyle w:val="TableBodyText"/>
            </w:pPr>
            <w:r>
              <w:t xml:space="preserve">406.9 </w:t>
            </w:r>
            <w:r w:rsidR="00F63897">
              <w:br/>
            </w:r>
            <w:r>
              <w:t>± 6.8</w:t>
            </w:r>
          </w:p>
        </w:tc>
        <w:tc>
          <w:tcPr>
            <w:tcW w:w="804" w:type="dxa"/>
            <w:vAlign w:val="center"/>
          </w:tcPr>
          <w:p w:rsidR="000C510D" w:rsidRDefault="000C510D" w:rsidP="000C510D">
            <w:pPr>
              <w:pStyle w:val="TableBodyText"/>
            </w:pPr>
            <w:r>
              <w:t xml:space="preserve">450.0 </w:t>
            </w:r>
            <w:r w:rsidR="00F63897">
              <w:br/>
            </w:r>
            <w:r>
              <w:t>± 8.0</w:t>
            </w:r>
          </w:p>
        </w:tc>
        <w:tc>
          <w:tcPr>
            <w:tcW w:w="803" w:type="dxa"/>
            <w:vAlign w:val="center"/>
          </w:tcPr>
          <w:p w:rsidR="000C510D" w:rsidRDefault="000C510D" w:rsidP="000C510D">
            <w:pPr>
              <w:pStyle w:val="TableBodyText"/>
            </w:pPr>
            <w:r>
              <w:t xml:space="preserve">434.7 </w:t>
            </w:r>
            <w:r w:rsidR="00F63897">
              <w:br/>
            </w:r>
            <w:r>
              <w:t>± 12.8</w:t>
            </w:r>
          </w:p>
        </w:tc>
        <w:tc>
          <w:tcPr>
            <w:tcW w:w="803" w:type="dxa"/>
            <w:vAlign w:val="center"/>
          </w:tcPr>
          <w:p w:rsidR="000C510D" w:rsidRDefault="000C510D" w:rsidP="000C510D">
            <w:pPr>
              <w:pStyle w:val="TableBodyText"/>
            </w:pPr>
            <w:r>
              <w:t xml:space="preserve">351.6 </w:t>
            </w:r>
            <w:r w:rsidR="00F63897">
              <w:br/>
            </w:r>
            <w:r>
              <w:t>± 13.0</w:t>
            </w:r>
          </w:p>
        </w:tc>
        <w:tc>
          <w:tcPr>
            <w:tcW w:w="804" w:type="dxa"/>
            <w:vAlign w:val="center"/>
          </w:tcPr>
          <w:p w:rsidR="000C510D" w:rsidRDefault="000C510D" w:rsidP="000C510D">
            <w:pPr>
              <w:pStyle w:val="TableBodyText"/>
            </w:pPr>
            <w:r>
              <w:t xml:space="preserve">416.9 </w:t>
            </w:r>
            <w:r w:rsidR="00F63897">
              <w:br/>
            </w:r>
            <w:r>
              <w:t>± 3.1</w:t>
            </w:r>
          </w:p>
        </w:tc>
      </w:tr>
      <w:tr w:rsidR="000C510D" w:rsidRPr="00530424" w:rsidTr="00F63897">
        <w:tc>
          <w:tcPr>
            <w:tcW w:w="1560" w:type="dxa"/>
          </w:tcPr>
          <w:p w:rsidR="000C510D" w:rsidRPr="00530424" w:rsidRDefault="000C510D" w:rsidP="005F7911">
            <w:pPr>
              <w:keepNext/>
              <w:keepLines/>
              <w:spacing w:after="40" w:line="220" w:lineRule="atLeast"/>
              <w:ind w:right="113"/>
              <w:rPr>
                <w:rFonts w:ascii="Arial" w:hAnsi="Arial"/>
                <w:sz w:val="20"/>
                <w:szCs w:val="20"/>
              </w:rPr>
            </w:pPr>
            <w:r w:rsidRPr="00530424">
              <w:rPr>
                <w:rFonts w:ascii="Arial" w:hAnsi="Arial"/>
                <w:sz w:val="20"/>
                <w:szCs w:val="20"/>
              </w:rPr>
              <w:t>2012 Year 7</w:t>
            </w:r>
          </w:p>
        </w:tc>
        <w:tc>
          <w:tcPr>
            <w:tcW w:w="803" w:type="dxa"/>
            <w:vAlign w:val="center"/>
          </w:tcPr>
          <w:p w:rsidR="000C510D" w:rsidRDefault="000C510D" w:rsidP="000C510D">
            <w:pPr>
              <w:pStyle w:val="TableBodyText"/>
            </w:pPr>
            <w:r>
              <w:t xml:space="preserve">477.4 </w:t>
            </w:r>
            <w:r w:rsidR="00F63897">
              <w:br/>
            </w:r>
            <w:r>
              <w:t>± 3.2</w:t>
            </w:r>
          </w:p>
        </w:tc>
        <w:tc>
          <w:tcPr>
            <w:tcW w:w="803" w:type="dxa"/>
            <w:vAlign w:val="center"/>
          </w:tcPr>
          <w:p w:rsidR="000C510D" w:rsidRDefault="000C510D" w:rsidP="000C510D">
            <w:pPr>
              <w:pStyle w:val="TableBodyText"/>
            </w:pPr>
            <w:r>
              <w:t xml:space="preserve">494.6 </w:t>
            </w:r>
            <w:r w:rsidR="00F63897">
              <w:br/>
            </w:r>
            <w:r>
              <w:t>± 5.2</w:t>
            </w:r>
          </w:p>
        </w:tc>
        <w:tc>
          <w:tcPr>
            <w:tcW w:w="804" w:type="dxa"/>
            <w:vAlign w:val="center"/>
          </w:tcPr>
          <w:p w:rsidR="000C510D" w:rsidRDefault="000C510D" w:rsidP="000C510D">
            <w:pPr>
              <w:pStyle w:val="TableBodyText"/>
            </w:pPr>
            <w:r>
              <w:t xml:space="preserve">475.9 </w:t>
            </w:r>
            <w:r w:rsidR="00F63897">
              <w:br/>
            </w:r>
            <w:r>
              <w:t>± 3.7</w:t>
            </w:r>
          </w:p>
        </w:tc>
        <w:tc>
          <w:tcPr>
            <w:tcW w:w="803" w:type="dxa"/>
            <w:vAlign w:val="center"/>
          </w:tcPr>
          <w:p w:rsidR="000C510D" w:rsidRDefault="000C510D" w:rsidP="000C510D">
            <w:pPr>
              <w:pStyle w:val="TableBodyText"/>
            </w:pPr>
            <w:r>
              <w:t xml:space="preserve">461.0 </w:t>
            </w:r>
            <w:r w:rsidR="00F63897">
              <w:br/>
            </w:r>
            <w:r>
              <w:t>± 5.0</w:t>
            </w:r>
          </w:p>
        </w:tc>
        <w:tc>
          <w:tcPr>
            <w:tcW w:w="803" w:type="dxa"/>
            <w:vAlign w:val="center"/>
          </w:tcPr>
          <w:p w:rsidR="000C510D" w:rsidRDefault="000C510D" w:rsidP="000C510D">
            <w:pPr>
              <w:pStyle w:val="TableBodyText"/>
            </w:pPr>
            <w:r>
              <w:t xml:space="preserve">464.8 </w:t>
            </w:r>
            <w:r w:rsidR="00F63897">
              <w:br/>
            </w:r>
            <w:r>
              <w:t>± 6.3</w:t>
            </w:r>
          </w:p>
        </w:tc>
        <w:tc>
          <w:tcPr>
            <w:tcW w:w="804" w:type="dxa"/>
            <w:vAlign w:val="center"/>
          </w:tcPr>
          <w:p w:rsidR="000C510D" w:rsidRDefault="000C510D" w:rsidP="000C510D">
            <w:pPr>
              <w:pStyle w:val="TableBodyText"/>
            </w:pPr>
            <w:r>
              <w:t xml:space="preserve">491.0 </w:t>
            </w:r>
            <w:r w:rsidR="00F63897">
              <w:br/>
            </w:r>
            <w:r>
              <w:t>± 7.3</w:t>
            </w:r>
          </w:p>
        </w:tc>
        <w:tc>
          <w:tcPr>
            <w:tcW w:w="803" w:type="dxa"/>
            <w:vAlign w:val="center"/>
          </w:tcPr>
          <w:p w:rsidR="000C510D" w:rsidRDefault="000C510D" w:rsidP="000C510D">
            <w:pPr>
              <w:pStyle w:val="TableBodyText"/>
            </w:pPr>
            <w:r>
              <w:t xml:space="preserve">493.1 </w:t>
            </w:r>
            <w:r w:rsidR="00F63897">
              <w:br/>
            </w:r>
            <w:r>
              <w:t>± 12.2</w:t>
            </w:r>
          </w:p>
        </w:tc>
        <w:tc>
          <w:tcPr>
            <w:tcW w:w="803" w:type="dxa"/>
            <w:vAlign w:val="center"/>
          </w:tcPr>
          <w:p w:rsidR="000C510D" w:rsidRDefault="000C510D" w:rsidP="000C510D">
            <w:pPr>
              <w:pStyle w:val="TableBodyText"/>
            </w:pPr>
            <w:r>
              <w:t xml:space="preserve">410.1 </w:t>
            </w:r>
            <w:r w:rsidR="00F63897">
              <w:br/>
            </w:r>
            <w:r>
              <w:t>± 15.0</w:t>
            </w:r>
          </w:p>
        </w:tc>
        <w:tc>
          <w:tcPr>
            <w:tcW w:w="804" w:type="dxa"/>
            <w:vAlign w:val="center"/>
          </w:tcPr>
          <w:p w:rsidR="000C510D" w:rsidRDefault="000C510D" w:rsidP="000C510D">
            <w:pPr>
              <w:pStyle w:val="TableBodyText"/>
            </w:pPr>
            <w:r>
              <w:t xml:space="preserve">469.4 </w:t>
            </w:r>
            <w:r w:rsidR="00F63897">
              <w:br/>
            </w:r>
            <w:r>
              <w:t>± 2.6</w:t>
            </w:r>
          </w:p>
        </w:tc>
      </w:tr>
      <w:tr w:rsidR="000C510D" w:rsidRPr="00530424" w:rsidTr="00F63897">
        <w:tc>
          <w:tcPr>
            <w:tcW w:w="1560" w:type="dxa"/>
          </w:tcPr>
          <w:p w:rsidR="000C510D" w:rsidRPr="00D07F9F" w:rsidRDefault="000C510D" w:rsidP="005F7911">
            <w:pPr>
              <w:keepNext/>
              <w:keepLines/>
              <w:spacing w:after="40" w:line="220" w:lineRule="atLeast"/>
              <w:ind w:right="113"/>
              <w:rPr>
                <w:rFonts w:ascii="Arial" w:hAnsi="Arial"/>
                <w:sz w:val="20"/>
                <w:szCs w:val="20"/>
              </w:rPr>
            </w:pPr>
            <w:r w:rsidRPr="00D07F9F">
              <w:rPr>
                <w:rFonts w:ascii="Arial" w:hAnsi="Arial"/>
                <w:sz w:val="20"/>
                <w:szCs w:val="20"/>
              </w:rPr>
              <w:t>Gain 2008-2010</w:t>
            </w:r>
          </w:p>
        </w:tc>
        <w:tc>
          <w:tcPr>
            <w:tcW w:w="803" w:type="dxa"/>
            <w:vAlign w:val="center"/>
          </w:tcPr>
          <w:p w:rsidR="000C510D" w:rsidRDefault="000C510D" w:rsidP="000C510D">
            <w:pPr>
              <w:pStyle w:val="TableBodyText"/>
            </w:pPr>
            <w:r>
              <w:t xml:space="preserve">85.5 </w:t>
            </w:r>
            <w:r w:rsidR="00F63897">
              <w:br/>
            </w:r>
            <w:r>
              <w:t>± 9.2</w:t>
            </w:r>
          </w:p>
        </w:tc>
        <w:tc>
          <w:tcPr>
            <w:tcW w:w="803" w:type="dxa"/>
            <w:vAlign w:val="center"/>
          </w:tcPr>
          <w:p w:rsidR="000C510D" w:rsidRDefault="000C510D" w:rsidP="000C510D">
            <w:pPr>
              <w:pStyle w:val="TableBodyText"/>
            </w:pPr>
            <w:r>
              <w:t xml:space="preserve">80.1 </w:t>
            </w:r>
            <w:r w:rsidR="00F63897">
              <w:br/>
            </w:r>
            <w:r>
              <w:t>± 11.4</w:t>
            </w:r>
          </w:p>
        </w:tc>
        <w:tc>
          <w:tcPr>
            <w:tcW w:w="804" w:type="dxa"/>
            <w:vAlign w:val="center"/>
          </w:tcPr>
          <w:p w:rsidR="000C510D" w:rsidRDefault="000C510D" w:rsidP="000C510D">
            <w:pPr>
              <w:pStyle w:val="TableBodyText"/>
            </w:pPr>
            <w:r>
              <w:t xml:space="preserve">103.3 </w:t>
            </w:r>
            <w:r w:rsidR="00F63897">
              <w:br/>
            </w:r>
            <w:r>
              <w:t>± 11.3</w:t>
            </w:r>
          </w:p>
        </w:tc>
        <w:tc>
          <w:tcPr>
            <w:tcW w:w="803" w:type="dxa"/>
            <w:vAlign w:val="center"/>
          </w:tcPr>
          <w:p w:rsidR="000C510D" w:rsidRDefault="000C510D" w:rsidP="000C510D">
            <w:pPr>
              <w:pStyle w:val="TableBodyText"/>
            </w:pPr>
            <w:r>
              <w:t xml:space="preserve">84.1 </w:t>
            </w:r>
            <w:r w:rsidR="00F63897">
              <w:br/>
            </w:r>
            <w:r>
              <w:t>± 11.3</w:t>
            </w:r>
          </w:p>
        </w:tc>
        <w:tc>
          <w:tcPr>
            <w:tcW w:w="803" w:type="dxa"/>
            <w:vAlign w:val="center"/>
          </w:tcPr>
          <w:p w:rsidR="000C510D" w:rsidRDefault="000C510D" w:rsidP="000C510D">
            <w:pPr>
              <w:pStyle w:val="TableBodyText"/>
            </w:pPr>
            <w:r>
              <w:t xml:space="preserve">76.2 </w:t>
            </w:r>
            <w:r w:rsidR="00F63897">
              <w:br/>
            </w:r>
            <w:r>
              <w:t>± 12.4</w:t>
            </w:r>
          </w:p>
        </w:tc>
        <w:tc>
          <w:tcPr>
            <w:tcW w:w="804" w:type="dxa"/>
            <w:vAlign w:val="center"/>
          </w:tcPr>
          <w:p w:rsidR="000C510D" w:rsidRDefault="000C510D" w:rsidP="000C510D">
            <w:pPr>
              <w:pStyle w:val="TableBodyText"/>
            </w:pPr>
            <w:r>
              <w:t xml:space="preserve">72.9 </w:t>
            </w:r>
            <w:r w:rsidR="00F63897">
              <w:br/>
            </w:r>
            <w:r>
              <w:t>± 14.1</w:t>
            </w:r>
          </w:p>
        </w:tc>
        <w:tc>
          <w:tcPr>
            <w:tcW w:w="803" w:type="dxa"/>
            <w:vAlign w:val="center"/>
          </w:tcPr>
          <w:p w:rsidR="000C510D" w:rsidRDefault="000C510D" w:rsidP="000C510D">
            <w:pPr>
              <w:pStyle w:val="TableBodyText"/>
            </w:pPr>
            <w:r>
              <w:t xml:space="preserve">79.6 </w:t>
            </w:r>
            <w:r w:rsidR="00F63897">
              <w:br/>
            </w:r>
            <w:r>
              <w:t>± 22.1</w:t>
            </w:r>
          </w:p>
        </w:tc>
        <w:tc>
          <w:tcPr>
            <w:tcW w:w="803" w:type="dxa"/>
            <w:vAlign w:val="center"/>
          </w:tcPr>
          <w:p w:rsidR="000C510D" w:rsidRDefault="000C510D" w:rsidP="000C510D">
            <w:pPr>
              <w:pStyle w:val="TableBodyText"/>
            </w:pPr>
            <w:r>
              <w:t xml:space="preserve">76.6 </w:t>
            </w:r>
            <w:r w:rsidR="00F63897">
              <w:br/>
            </w:r>
            <w:r>
              <w:t>± 18.9</w:t>
            </w:r>
          </w:p>
        </w:tc>
        <w:tc>
          <w:tcPr>
            <w:tcW w:w="804" w:type="dxa"/>
            <w:vAlign w:val="center"/>
          </w:tcPr>
          <w:p w:rsidR="000C510D" w:rsidRDefault="000C510D" w:rsidP="000C510D">
            <w:pPr>
              <w:pStyle w:val="TableBodyText"/>
            </w:pPr>
            <w:r>
              <w:t xml:space="preserve">89.3 </w:t>
            </w:r>
            <w:r w:rsidR="00F63897">
              <w:br/>
            </w:r>
            <w:r>
              <w:t>± 9.3</w:t>
            </w:r>
          </w:p>
        </w:tc>
      </w:tr>
      <w:tr w:rsidR="000C510D" w:rsidRPr="00530424" w:rsidTr="00F63897">
        <w:tc>
          <w:tcPr>
            <w:tcW w:w="1560" w:type="dxa"/>
          </w:tcPr>
          <w:p w:rsidR="000C510D" w:rsidRPr="00D07F9F" w:rsidRDefault="000C510D" w:rsidP="005360D5">
            <w:pPr>
              <w:keepNext/>
              <w:keepLines/>
              <w:spacing w:line="220" w:lineRule="atLeast"/>
              <w:ind w:right="113"/>
              <w:rPr>
                <w:rFonts w:ascii="Arial" w:hAnsi="Arial"/>
                <w:sz w:val="20"/>
                <w:szCs w:val="20"/>
              </w:rPr>
            </w:pPr>
            <w:r w:rsidRPr="00D07F9F">
              <w:rPr>
                <w:rFonts w:ascii="Arial" w:hAnsi="Arial"/>
                <w:sz w:val="20"/>
                <w:szCs w:val="20"/>
              </w:rPr>
              <w:t>Gain 2010-2012</w:t>
            </w:r>
          </w:p>
        </w:tc>
        <w:tc>
          <w:tcPr>
            <w:tcW w:w="803" w:type="dxa"/>
            <w:vAlign w:val="center"/>
          </w:tcPr>
          <w:p w:rsidR="000C510D" w:rsidRDefault="000C510D" w:rsidP="005360D5">
            <w:pPr>
              <w:pStyle w:val="TableBodyText"/>
              <w:spacing w:after="0"/>
            </w:pPr>
            <w:r>
              <w:t xml:space="preserve">41.6 </w:t>
            </w:r>
            <w:r w:rsidR="00F63897">
              <w:br/>
            </w:r>
            <w:r>
              <w:t>± 7.2</w:t>
            </w:r>
          </w:p>
        </w:tc>
        <w:tc>
          <w:tcPr>
            <w:tcW w:w="803" w:type="dxa"/>
            <w:vAlign w:val="center"/>
          </w:tcPr>
          <w:p w:rsidR="000C510D" w:rsidRDefault="000C510D" w:rsidP="005360D5">
            <w:pPr>
              <w:pStyle w:val="TableBodyText"/>
              <w:spacing w:after="0"/>
            </w:pPr>
            <w:r>
              <w:t xml:space="preserve">37.6 </w:t>
            </w:r>
            <w:r w:rsidR="00F63897">
              <w:br/>
            </w:r>
            <w:r>
              <w:t>± 9.7</w:t>
            </w:r>
          </w:p>
        </w:tc>
        <w:tc>
          <w:tcPr>
            <w:tcW w:w="804" w:type="dxa"/>
            <w:vAlign w:val="center"/>
          </w:tcPr>
          <w:p w:rsidR="000C510D" w:rsidRDefault="000C510D" w:rsidP="005360D5">
            <w:pPr>
              <w:pStyle w:val="TableBodyText"/>
              <w:spacing w:after="0"/>
            </w:pPr>
            <w:r>
              <w:t xml:space="preserve">56.4 </w:t>
            </w:r>
            <w:r w:rsidR="00F63897">
              <w:br/>
            </w:r>
            <w:r>
              <w:t>± 8.2</w:t>
            </w:r>
          </w:p>
        </w:tc>
        <w:tc>
          <w:tcPr>
            <w:tcW w:w="803" w:type="dxa"/>
            <w:vAlign w:val="center"/>
          </w:tcPr>
          <w:p w:rsidR="000C510D" w:rsidRDefault="000C510D" w:rsidP="005360D5">
            <w:pPr>
              <w:pStyle w:val="TableBodyText"/>
              <w:spacing w:after="0"/>
            </w:pPr>
            <w:r>
              <w:t xml:space="preserve">63.0 </w:t>
            </w:r>
            <w:r w:rsidR="00F63897">
              <w:br/>
            </w:r>
            <w:r>
              <w:t>± 9.7</w:t>
            </w:r>
          </w:p>
        </w:tc>
        <w:tc>
          <w:tcPr>
            <w:tcW w:w="803" w:type="dxa"/>
            <w:vAlign w:val="center"/>
          </w:tcPr>
          <w:p w:rsidR="000C510D" w:rsidRDefault="000C510D" w:rsidP="005360D5">
            <w:pPr>
              <w:pStyle w:val="TableBodyText"/>
              <w:spacing w:after="0"/>
            </w:pPr>
            <w:r>
              <w:t xml:space="preserve">57.9 </w:t>
            </w:r>
            <w:r w:rsidR="00F63897">
              <w:br/>
            </w:r>
            <w:r>
              <w:t>± 10.9</w:t>
            </w:r>
          </w:p>
        </w:tc>
        <w:tc>
          <w:tcPr>
            <w:tcW w:w="804" w:type="dxa"/>
            <w:vAlign w:val="center"/>
          </w:tcPr>
          <w:p w:rsidR="000C510D" w:rsidRDefault="000C510D" w:rsidP="005360D5">
            <w:pPr>
              <w:pStyle w:val="TableBodyText"/>
              <w:spacing w:after="0"/>
            </w:pPr>
            <w:r>
              <w:t xml:space="preserve">41.0 </w:t>
            </w:r>
            <w:r w:rsidR="00F63897">
              <w:br/>
            </w:r>
            <w:r>
              <w:t>± 12.3</w:t>
            </w:r>
          </w:p>
        </w:tc>
        <w:tc>
          <w:tcPr>
            <w:tcW w:w="803" w:type="dxa"/>
            <w:vAlign w:val="center"/>
          </w:tcPr>
          <w:p w:rsidR="000C510D" w:rsidRDefault="000C510D" w:rsidP="005360D5">
            <w:pPr>
              <w:pStyle w:val="TableBodyText"/>
              <w:spacing w:after="0"/>
            </w:pPr>
            <w:r>
              <w:t xml:space="preserve">58.4 </w:t>
            </w:r>
            <w:r w:rsidR="00F63897">
              <w:br/>
            </w:r>
            <w:r>
              <w:t>± 18.6</w:t>
            </w:r>
          </w:p>
        </w:tc>
        <w:tc>
          <w:tcPr>
            <w:tcW w:w="803" w:type="dxa"/>
            <w:vAlign w:val="center"/>
          </w:tcPr>
          <w:p w:rsidR="000C510D" w:rsidRDefault="000C510D" w:rsidP="005360D5">
            <w:pPr>
              <w:pStyle w:val="TableBodyText"/>
              <w:spacing w:after="0"/>
            </w:pPr>
            <w:r>
              <w:t xml:space="preserve">58.5 </w:t>
            </w:r>
            <w:r w:rsidR="00F63897">
              <w:br/>
            </w:r>
            <w:r>
              <w:t>± 20.6</w:t>
            </w:r>
          </w:p>
        </w:tc>
        <w:tc>
          <w:tcPr>
            <w:tcW w:w="804" w:type="dxa"/>
            <w:vAlign w:val="center"/>
          </w:tcPr>
          <w:p w:rsidR="000C510D" w:rsidRDefault="000C510D" w:rsidP="005360D5">
            <w:pPr>
              <w:pStyle w:val="TableBodyText"/>
              <w:spacing w:after="0"/>
            </w:pPr>
            <w:r>
              <w:t xml:space="preserve">52.5 </w:t>
            </w:r>
            <w:r w:rsidR="00F63897">
              <w:br/>
            </w:r>
            <w:r>
              <w:t>± 7.1</w:t>
            </w:r>
          </w:p>
        </w:tc>
      </w:tr>
      <w:tr w:rsidR="000C510D" w:rsidRPr="00530424" w:rsidTr="00F63897">
        <w:tc>
          <w:tcPr>
            <w:tcW w:w="8790" w:type="dxa"/>
            <w:gridSpan w:val="10"/>
          </w:tcPr>
          <w:p w:rsidR="000C510D" w:rsidRPr="00D07F9F" w:rsidRDefault="000C510D" w:rsidP="005360D5">
            <w:pPr>
              <w:pStyle w:val="TableBodyText"/>
              <w:spacing w:before="80"/>
              <w:jc w:val="left"/>
              <w:rPr>
                <w:b/>
              </w:rPr>
            </w:pPr>
            <w:r w:rsidRPr="00D07F9F">
              <w:rPr>
                <w:b/>
              </w:rPr>
              <w:t>Non-Indigenous students</w:t>
            </w:r>
          </w:p>
        </w:tc>
      </w:tr>
      <w:tr w:rsidR="000C510D" w:rsidRPr="00530424" w:rsidTr="00F63897">
        <w:tc>
          <w:tcPr>
            <w:tcW w:w="1560" w:type="dxa"/>
          </w:tcPr>
          <w:p w:rsidR="000C510D" w:rsidRPr="00530424" w:rsidRDefault="000C510D" w:rsidP="005F7911">
            <w:pPr>
              <w:keepNext/>
              <w:keepLines/>
              <w:spacing w:after="40" w:line="220" w:lineRule="atLeast"/>
              <w:ind w:left="6" w:right="113"/>
              <w:rPr>
                <w:rFonts w:ascii="Arial" w:hAnsi="Arial"/>
                <w:sz w:val="20"/>
                <w:szCs w:val="20"/>
              </w:rPr>
            </w:pPr>
            <w:r w:rsidRPr="00530424">
              <w:rPr>
                <w:rFonts w:ascii="Arial" w:hAnsi="Arial"/>
                <w:sz w:val="20"/>
                <w:szCs w:val="20"/>
              </w:rPr>
              <w:t>2008 Year 3</w:t>
            </w:r>
          </w:p>
        </w:tc>
        <w:tc>
          <w:tcPr>
            <w:tcW w:w="803" w:type="dxa"/>
            <w:vAlign w:val="center"/>
          </w:tcPr>
          <w:p w:rsidR="000C510D" w:rsidRDefault="000C510D" w:rsidP="000C510D">
            <w:pPr>
              <w:pStyle w:val="TableBodyText"/>
            </w:pPr>
            <w:r>
              <w:t xml:space="preserve">411.3 </w:t>
            </w:r>
            <w:r w:rsidR="00F63897">
              <w:br/>
            </w:r>
            <w:r>
              <w:t>± 1.6</w:t>
            </w:r>
          </w:p>
        </w:tc>
        <w:tc>
          <w:tcPr>
            <w:tcW w:w="803" w:type="dxa"/>
            <w:vAlign w:val="center"/>
          </w:tcPr>
          <w:p w:rsidR="000C510D" w:rsidRDefault="000C510D" w:rsidP="000C510D">
            <w:pPr>
              <w:pStyle w:val="TableBodyText"/>
            </w:pPr>
            <w:r>
              <w:t xml:space="preserve">417.5 </w:t>
            </w:r>
            <w:r w:rsidR="008E56F3">
              <w:br/>
            </w:r>
            <w:r>
              <w:t>± 1.4</w:t>
            </w:r>
          </w:p>
        </w:tc>
        <w:tc>
          <w:tcPr>
            <w:tcW w:w="804" w:type="dxa"/>
            <w:vAlign w:val="center"/>
          </w:tcPr>
          <w:p w:rsidR="000C510D" w:rsidRDefault="000C510D" w:rsidP="000C510D">
            <w:pPr>
              <w:pStyle w:val="TableBodyText"/>
            </w:pPr>
            <w:r>
              <w:t xml:space="preserve">371.9 </w:t>
            </w:r>
            <w:r w:rsidR="00F63897">
              <w:br/>
            </w:r>
            <w:r>
              <w:t>± 2.1</w:t>
            </w:r>
          </w:p>
        </w:tc>
        <w:tc>
          <w:tcPr>
            <w:tcW w:w="803" w:type="dxa"/>
            <w:vAlign w:val="center"/>
          </w:tcPr>
          <w:p w:rsidR="000C510D" w:rsidRDefault="000C510D" w:rsidP="000C510D">
            <w:pPr>
              <w:pStyle w:val="TableBodyText"/>
            </w:pPr>
            <w:r>
              <w:t xml:space="preserve">387.4 </w:t>
            </w:r>
            <w:r w:rsidR="00F63897">
              <w:br/>
            </w:r>
            <w:r>
              <w:t>± 2.2</w:t>
            </w:r>
          </w:p>
        </w:tc>
        <w:tc>
          <w:tcPr>
            <w:tcW w:w="803" w:type="dxa"/>
            <w:vAlign w:val="center"/>
          </w:tcPr>
          <w:p w:rsidR="000C510D" w:rsidRDefault="000C510D" w:rsidP="000C510D">
            <w:pPr>
              <w:pStyle w:val="TableBodyText"/>
            </w:pPr>
            <w:r>
              <w:t xml:space="preserve">391.7 </w:t>
            </w:r>
            <w:r w:rsidR="008E56F3">
              <w:br/>
            </w:r>
            <w:r>
              <w:t>± 2.5</w:t>
            </w:r>
          </w:p>
        </w:tc>
        <w:tc>
          <w:tcPr>
            <w:tcW w:w="804" w:type="dxa"/>
            <w:vAlign w:val="center"/>
          </w:tcPr>
          <w:p w:rsidR="000C510D" w:rsidRDefault="000C510D" w:rsidP="000C510D">
            <w:pPr>
              <w:pStyle w:val="TableBodyText"/>
            </w:pPr>
            <w:r>
              <w:t xml:space="preserve">401.6 </w:t>
            </w:r>
            <w:r w:rsidR="00F63897">
              <w:br/>
            </w:r>
            <w:r>
              <w:t>± 4.5</w:t>
            </w:r>
          </w:p>
        </w:tc>
        <w:tc>
          <w:tcPr>
            <w:tcW w:w="803" w:type="dxa"/>
            <w:vAlign w:val="center"/>
          </w:tcPr>
          <w:p w:rsidR="000C510D" w:rsidRDefault="000C510D" w:rsidP="000C510D">
            <w:pPr>
              <w:pStyle w:val="TableBodyText"/>
            </w:pPr>
            <w:r>
              <w:t xml:space="preserve">413.1 </w:t>
            </w:r>
            <w:r w:rsidR="00F63897">
              <w:br/>
            </w:r>
            <w:r>
              <w:t>± 5.0</w:t>
            </w:r>
          </w:p>
        </w:tc>
        <w:tc>
          <w:tcPr>
            <w:tcW w:w="803" w:type="dxa"/>
            <w:vAlign w:val="center"/>
          </w:tcPr>
          <w:p w:rsidR="000C510D" w:rsidRDefault="000C510D" w:rsidP="000C510D">
            <w:pPr>
              <w:pStyle w:val="TableBodyText"/>
            </w:pPr>
            <w:r>
              <w:t xml:space="preserve">386.9 </w:t>
            </w:r>
            <w:r w:rsidR="00F63897">
              <w:br/>
            </w:r>
            <w:r>
              <w:t>± 5.9</w:t>
            </w:r>
          </w:p>
        </w:tc>
        <w:tc>
          <w:tcPr>
            <w:tcW w:w="804" w:type="dxa"/>
            <w:vAlign w:val="center"/>
          </w:tcPr>
          <w:p w:rsidR="000C510D" w:rsidRDefault="000C510D" w:rsidP="000C510D">
            <w:pPr>
              <w:pStyle w:val="TableBodyText"/>
            </w:pPr>
            <w:r>
              <w:t xml:space="preserve">400.5 </w:t>
            </w:r>
            <w:r w:rsidR="00F63897">
              <w:br/>
            </w:r>
            <w:r>
              <w:t>± 1.0</w:t>
            </w:r>
          </w:p>
        </w:tc>
      </w:tr>
      <w:tr w:rsidR="000C510D" w:rsidRPr="00530424" w:rsidTr="00F63897">
        <w:tc>
          <w:tcPr>
            <w:tcW w:w="1560" w:type="dxa"/>
          </w:tcPr>
          <w:p w:rsidR="000C510D" w:rsidRPr="00530424" w:rsidRDefault="000C510D" w:rsidP="005F7911">
            <w:pPr>
              <w:keepNext/>
              <w:keepLines/>
              <w:spacing w:after="40" w:line="220" w:lineRule="atLeast"/>
              <w:ind w:right="113"/>
              <w:rPr>
                <w:rFonts w:ascii="Arial" w:hAnsi="Arial"/>
                <w:sz w:val="20"/>
                <w:szCs w:val="20"/>
              </w:rPr>
            </w:pPr>
            <w:r w:rsidRPr="00530424">
              <w:rPr>
                <w:rFonts w:ascii="Arial" w:hAnsi="Arial"/>
                <w:sz w:val="20"/>
                <w:szCs w:val="20"/>
              </w:rPr>
              <w:t>2010 Year 5</w:t>
            </w:r>
          </w:p>
        </w:tc>
        <w:tc>
          <w:tcPr>
            <w:tcW w:w="803" w:type="dxa"/>
            <w:vAlign w:val="center"/>
          </w:tcPr>
          <w:p w:rsidR="000C510D" w:rsidRDefault="000C510D" w:rsidP="000C510D">
            <w:pPr>
              <w:pStyle w:val="TableBodyText"/>
            </w:pPr>
            <w:r>
              <w:t xml:space="preserve">501.0 </w:t>
            </w:r>
            <w:r w:rsidR="00F63897">
              <w:br/>
            </w:r>
            <w:r>
              <w:t>± 1.9</w:t>
            </w:r>
          </w:p>
        </w:tc>
        <w:tc>
          <w:tcPr>
            <w:tcW w:w="803" w:type="dxa"/>
            <w:vAlign w:val="center"/>
          </w:tcPr>
          <w:p w:rsidR="000C510D" w:rsidRDefault="000C510D" w:rsidP="000C510D">
            <w:pPr>
              <w:pStyle w:val="TableBodyText"/>
            </w:pPr>
            <w:r>
              <w:t xml:space="preserve">503.2 </w:t>
            </w:r>
            <w:r w:rsidR="008E56F3">
              <w:br/>
            </w:r>
            <w:r>
              <w:t>± 1.6</w:t>
            </w:r>
          </w:p>
        </w:tc>
        <w:tc>
          <w:tcPr>
            <w:tcW w:w="804" w:type="dxa"/>
            <w:vAlign w:val="center"/>
          </w:tcPr>
          <w:p w:rsidR="000C510D" w:rsidRDefault="000C510D" w:rsidP="000C510D">
            <w:pPr>
              <w:pStyle w:val="TableBodyText"/>
            </w:pPr>
            <w:r>
              <w:t xml:space="preserve">478.5 </w:t>
            </w:r>
            <w:r w:rsidR="00F63897">
              <w:br/>
            </w:r>
            <w:r>
              <w:t>± 1.8</w:t>
            </w:r>
          </w:p>
        </w:tc>
        <w:tc>
          <w:tcPr>
            <w:tcW w:w="803" w:type="dxa"/>
            <w:vAlign w:val="center"/>
          </w:tcPr>
          <w:p w:rsidR="000C510D" w:rsidRDefault="000C510D" w:rsidP="000C510D">
            <w:pPr>
              <w:pStyle w:val="TableBodyText"/>
            </w:pPr>
            <w:r>
              <w:t xml:space="preserve">483.0 </w:t>
            </w:r>
            <w:r w:rsidR="00F63897">
              <w:br/>
            </w:r>
            <w:r>
              <w:t>± 2.4</w:t>
            </w:r>
          </w:p>
        </w:tc>
        <w:tc>
          <w:tcPr>
            <w:tcW w:w="803" w:type="dxa"/>
            <w:vAlign w:val="center"/>
          </w:tcPr>
          <w:p w:rsidR="000C510D" w:rsidRDefault="000C510D" w:rsidP="000C510D">
            <w:pPr>
              <w:pStyle w:val="TableBodyText"/>
            </w:pPr>
            <w:r>
              <w:t xml:space="preserve">475.2 </w:t>
            </w:r>
            <w:r w:rsidR="008E56F3">
              <w:br/>
            </w:r>
            <w:r>
              <w:t>± 2.7</w:t>
            </w:r>
          </w:p>
        </w:tc>
        <w:tc>
          <w:tcPr>
            <w:tcW w:w="804" w:type="dxa"/>
            <w:vAlign w:val="center"/>
          </w:tcPr>
          <w:p w:rsidR="000C510D" w:rsidRDefault="000C510D" w:rsidP="000C510D">
            <w:pPr>
              <w:pStyle w:val="TableBodyText"/>
            </w:pPr>
            <w:r>
              <w:t xml:space="preserve">482.8 </w:t>
            </w:r>
            <w:r w:rsidR="00F63897">
              <w:br/>
            </w:r>
            <w:r>
              <w:t>± 4.6</w:t>
            </w:r>
          </w:p>
        </w:tc>
        <w:tc>
          <w:tcPr>
            <w:tcW w:w="803" w:type="dxa"/>
            <w:vAlign w:val="center"/>
          </w:tcPr>
          <w:p w:rsidR="000C510D" w:rsidRDefault="000C510D" w:rsidP="000C510D">
            <w:pPr>
              <w:pStyle w:val="TableBodyText"/>
            </w:pPr>
            <w:r>
              <w:t xml:space="preserve">500.2 </w:t>
            </w:r>
            <w:r w:rsidR="00F63897">
              <w:br/>
            </w:r>
            <w:r>
              <w:t>± 5.0</w:t>
            </w:r>
          </w:p>
        </w:tc>
        <w:tc>
          <w:tcPr>
            <w:tcW w:w="803" w:type="dxa"/>
            <w:vAlign w:val="center"/>
          </w:tcPr>
          <w:p w:rsidR="000C510D" w:rsidRDefault="000C510D" w:rsidP="000C510D">
            <w:pPr>
              <w:pStyle w:val="TableBodyText"/>
            </w:pPr>
            <w:r>
              <w:t xml:space="preserve">472.7 </w:t>
            </w:r>
            <w:r w:rsidR="00F63897">
              <w:br/>
            </w:r>
            <w:r>
              <w:t>± 5.0</w:t>
            </w:r>
          </w:p>
        </w:tc>
        <w:tc>
          <w:tcPr>
            <w:tcW w:w="804" w:type="dxa"/>
            <w:vAlign w:val="center"/>
          </w:tcPr>
          <w:p w:rsidR="000C510D" w:rsidRDefault="000C510D" w:rsidP="000C510D">
            <w:pPr>
              <w:pStyle w:val="TableBodyText"/>
            </w:pPr>
            <w:r>
              <w:t xml:space="preserve">492.6 </w:t>
            </w:r>
            <w:r w:rsidR="00F63897">
              <w:br/>
            </w:r>
            <w:r>
              <w:t>± 1.0</w:t>
            </w:r>
          </w:p>
        </w:tc>
      </w:tr>
      <w:tr w:rsidR="000C510D" w:rsidRPr="00530424" w:rsidTr="00F63897">
        <w:tc>
          <w:tcPr>
            <w:tcW w:w="1560" w:type="dxa"/>
          </w:tcPr>
          <w:p w:rsidR="000C510D" w:rsidRPr="00530424" w:rsidRDefault="000C510D" w:rsidP="005F7911">
            <w:pPr>
              <w:keepNext/>
              <w:keepLines/>
              <w:spacing w:after="40" w:line="220" w:lineRule="atLeast"/>
              <w:ind w:right="113"/>
              <w:rPr>
                <w:rFonts w:ascii="Arial" w:hAnsi="Arial"/>
                <w:sz w:val="20"/>
                <w:szCs w:val="20"/>
              </w:rPr>
            </w:pPr>
            <w:r w:rsidRPr="00530424">
              <w:rPr>
                <w:rFonts w:ascii="Arial" w:hAnsi="Arial"/>
                <w:sz w:val="20"/>
                <w:szCs w:val="20"/>
              </w:rPr>
              <w:t>2012 Year 7</w:t>
            </w:r>
          </w:p>
        </w:tc>
        <w:tc>
          <w:tcPr>
            <w:tcW w:w="803" w:type="dxa"/>
            <w:vAlign w:val="center"/>
          </w:tcPr>
          <w:p w:rsidR="000C510D" w:rsidRDefault="000C510D" w:rsidP="000C510D">
            <w:pPr>
              <w:pStyle w:val="TableBodyText"/>
            </w:pPr>
            <w:r>
              <w:t xml:space="preserve">546.6 </w:t>
            </w:r>
            <w:r w:rsidR="00F63897">
              <w:br/>
            </w:r>
            <w:r>
              <w:t>± 3.8</w:t>
            </w:r>
          </w:p>
        </w:tc>
        <w:tc>
          <w:tcPr>
            <w:tcW w:w="803" w:type="dxa"/>
            <w:vAlign w:val="center"/>
          </w:tcPr>
          <w:p w:rsidR="000C510D" w:rsidRDefault="000C510D" w:rsidP="000C510D">
            <w:pPr>
              <w:pStyle w:val="TableBodyText"/>
            </w:pPr>
            <w:r>
              <w:t xml:space="preserve">545.3 </w:t>
            </w:r>
            <w:r w:rsidR="008E56F3">
              <w:br/>
            </w:r>
            <w:r>
              <w:t>± 3.1</w:t>
            </w:r>
          </w:p>
        </w:tc>
        <w:tc>
          <w:tcPr>
            <w:tcW w:w="804" w:type="dxa"/>
            <w:vAlign w:val="center"/>
          </w:tcPr>
          <w:p w:rsidR="000C510D" w:rsidRDefault="000C510D" w:rsidP="000C510D">
            <w:pPr>
              <w:pStyle w:val="TableBodyText"/>
            </w:pPr>
            <w:r>
              <w:t xml:space="preserve">536.1 </w:t>
            </w:r>
            <w:r w:rsidR="00F63897">
              <w:br/>
            </w:r>
            <w:r>
              <w:t>± 2.0</w:t>
            </w:r>
          </w:p>
        </w:tc>
        <w:tc>
          <w:tcPr>
            <w:tcW w:w="803" w:type="dxa"/>
            <w:vAlign w:val="center"/>
          </w:tcPr>
          <w:p w:rsidR="000C510D" w:rsidRDefault="000C510D" w:rsidP="000C510D">
            <w:pPr>
              <w:pStyle w:val="TableBodyText"/>
            </w:pPr>
            <w:r>
              <w:t xml:space="preserve">540.3 </w:t>
            </w:r>
            <w:r w:rsidR="00F63897">
              <w:br/>
            </w:r>
            <w:r>
              <w:t>± 3.2</w:t>
            </w:r>
          </w:p>
        </w:tc>
        <w:tc>
          <w:tcPr>
            <w:tcW w:w="803" w:type="dxa"/>
            <w:vAlign w:val="center"/>
          </w:tcPr>
          <w:p w:rsidR="000C510D" w:rsidRDefault="000C510D" w:rsidP="000C510D">
            <w:pPr>
              <w:pStyle w:val="TableBodyText"/>
            </w:pPr>
            <w:r>
              <w:t xml:space="preserve">531.8 </w:t>
            </w:r>
            <w:r w:rsidR="008E56F3">
              <w:br/>
            </w:r>
            <w:r>
              <w:t>± 3.1</w:t>
            </w:r>
          </w:p>
        </w:tc>
        <w:tc>
          <w:tcPr>
            <w:tcW w:w="804" w:type="dxa"/>
            <w:vAlign w:val="center"/>
          </w:tcPr>
          <w:p w:rsidR="000C510D" w:rsidRDefault="000C510D" w:rsidP="000C510D">
            <w:pPr>
              <w:pStyle w:val="TableBodyText"/>
            </w:pPr>
            <w:r>
              <w:t xml:space="preserve">528.6 </w:t>
            </w:r>
            <w:r w:rsidR="00F63897">
              <w:br/>
            </w:r>
            <w:r>
              <w:t>± 6.6</w:t>
            </w:r>
          </w:p>
        </w:tc>
        <w:tc>
          <w:tcPr>
            <w:tcW w:w="803" w:type="dxa"/>
            <w:vAlign w:val="center"/>
          </w:tcPr>
          <w:p w:rsidR="000C510D" w:rsidRDefault="000C510D" w:rsidP="000C510D">
            <w:pPr>
              <w:pStyle w:val="TableBodyText"/>
            </w:pPr>
            <w:r>
              <w:t xml:space="preserve">547.2 </w:t>
            </w:r>
            <w:r w:rsidR="00F63897">
              <w:br/>
            </w:r>
            <w:r>
              <w:t>± 9.7</w:t>
            </w:r>
          </w:p>
        </w:tc>
        <w:tc>
          <w:tcPr>
            <w:tcW w:w="803" w:type="dxa"/>
            <w:vAlign w:val="center"/>
          </w:tcPr>
          <w:p w:rsidR="000C510D" w:rsidRDefault="000C510D" w:rsidP="000C510D">
            <w:pPr>
              <w:pStyle w:val="TableBodyText"/>
            </w:pPr>
            <w:r>
              <w:t xml:space="preserve">522.7 </w:t>
            </w:r>
            <w:r w:rsidR="00F63897">
              <w:br/>
            </w:r>
            <w:r>
              <w:t>± 13.2</w:t>
            </w:r>
          </w:p>
        </w:tc>
        <w:tc>
          <w:tcPr>
            <w:tcW w:w="804" w:type="dxa"/>
            <w:vAlign w:val="center"/>
          </w:tcPr>
          <w:p w:rsidR="000C510D" w:rsidRDefault="000C510D" w:rsidP="000C510D">
            <w:pPr>
              <w:pStyle w:val="TableBodyText"/>
            </w:pPr>
            <w:r>
              <w:t xml:space="preserve">541.8 </w:t>
            </w:r>
            <w:r w:rsidR="00F63897">
              <w:br/>
            </w:r>
            <w:r>
              <w:t>± 1.6</w:t>
            </w:r>
          </w:p>
        </w:tc>
      </w:tr>
      <w:tr w:rsidR="000C510D" w:rsidRPr="00530424" w:rsidTr="00F63897">
        <w:tc>
          <w:tcPr>
            <w:tcW w:w="1560" w:type="dxa"/>
          </w:tcPr>
          <w:p w:rsidR="000C510D" w:rsidRPr="00D07F9F" w:rsidRDefault="000C510D" w:rsidP="005F7911">
            <w:pPr>
              <w:keepNext/>
              <w:keepLines/>
              <w:spacing w:after="40" w:line="220" w:lineRule="atLeast"/>
              <w:ind w:right="113"/>
              <w:rPr>
                <w:rFonts w:ascii="Arial" w:hAnsi="Arial"/>
                <w:sz w:val="20"/>
                <w:szCs w:val="20"/>
              </w:rPr>
            </w:pPr>
            <w:r w:rsidRPr="00D07F9F">
              <w:rPr>
                <w:rFonts w:ascii="Arial" w:hAnsi="Arial"/>
                <w:sz w:val="20"/>
                <w:szCs w:val="20"/>
              </w:rPr>
              <w:t>Gain 2008-2010</w:t>
            </w:r>
          </w:p>
        </w:tc>
        <w:tc>
          <w:tcPr>
            <w:tcW w:w="803" w:type="dxa"/>
            <w:vAlign w:val="center"/>
          </w:tcPr>
          <w:p w:rsidR="000C510D" w:rsidRDefault="000C510D" w:rsidP="000C510D">
            <w:pPr>
              <w:pStyle w:val="TableBodyText"/>
            </w:pPr>
            <w:r>
              <w:t xml:space="preserve">89.7 </w:t>
            </w:r>
            <w:r w:rsidR="00F63897">
              <w:br/>
            </w:r>
            <w:r>
              <w:t>± 8.5</w:t>
            </w:r>
          </w:p>
        </w:tc>
        <w:tc>
          <w:tcPr>
            <w:tcW w:w="803" w:type="dxa"/>
            <w:vAlign w:val="center"/>
          </w:tcPr>
          <w:p w:rsidR="000C510D" w:rsidRDefault="000C510D" w:rsidP="000C510D">
            <w:pPr>
              <w:pStyle w:val="TableBodyText"/>
            </w:pPr>
            <w:r>
              <w:t xml:space="preserve">85.7 </w:t>
            </w:r>
            <w:r w:rsidR="00F63897">
              <w:br/>
            </w:r>
            <w:r>
              <w:t>± 8.4</w:t>
            </w:r>
          </w:p>
        </w:tc>
        <w:tc>
          <w:tcPr>
            <w:tcW w:w="804" w:type="dxa"/>
            <w:vAlign w:val="center"/>
          </w:tcPr>
          <w:p w:rsidR="000C510D" w:rsidRDefault="000C510D" w:rsidP="000C510D">
            <w:pPr>
              <w:pStyle w:val="TableBodyText"/>
            </w:pPr>
            <w:r>
              <w:t xml:space="preserve">106.6 </w:t>
            </w:r>
            <w:r w:rsidR="00F63897">
              <w:br/>
            </w:r>
            <w:r>
              <w:t>± 8.6</w:t>
            </w:r>
          </w:p>
        </w:tc>
        <w:tc>
          <w:tcPr>
            <w:tcW w:w="803" w:type="dxa"/>
            <w:vAlign w:val="center"/>
          </w:tcPr>
          <w:p w:rsidR="000C510D" w:rsidRDefault="000C510D" w:rsidP="000C510D">
            <w:pPr>
              <w:pStyle w:val="TableBodyText"/>
            </w:pPr>
            <w:r>
              <w:t xml:space="preserve">95.6 </w:t>
            </w:r>
            <w:r w:rsidR="00F63897">
              <w:br/>
            </w:r>
            <w:r>
              <w:t>± 8.8</w:t>
            </w:r>
          </w:p>
        </w:tc>
        <w:tc>
          <w:tcPr>
            <w:tcW w:w="803" w:type="dxa"/>
            <w:vAlign w:val="center"/>
          </w:tcPr>
          <w:p w:rsidR="000C510D" w:rsidRDefault="000C510D" w:rsidP="000C510D">
            <w:pPr>
              <w:pStyle w:val="TableBodyText"/>
            </w:pPr>
            <w:r>
              <w:t xml:space="preserve">83.5 </w:t>
            </w:r>
            <w:r w:rsidR="00F63897">
              <w:br/>
            </w:r>
            <w:r>
              <w:t>± 9.0</w:t>
            </w:r>
          </w:p>
        </w:tc>
        <w:tc>
          <w:tcPr>
            <w:tcW w:w="804" w:type="dxa"/>
            <w:vAlign w:val="center"/>
          </w:tcPr>
          <w:p w:rsidR="000C510D" w:rsidRDefault="000C510D" w:rsidP="000C510D">
            <w:pPr>
              <w:pStyle w:val="TableBodyText"/>
            </w:pPr>
            <w:r>
              <w:t xml:space="preserve">81.2 </w:t>
            </w:r>
            <w:r w:rsidR="00F63897">
              <w:br/>
            </w:r>
            <w:r>
              <w:t>± 10.4</w:t>
            </w:r>
          </w:p>
        </w:tc>
        <w:tc>
          <w:tcPr>
            <w:tcW w:w="803" w:type="dxa"/>
            <w:vAlign w:val="center"/>
          </w:tcPr>
          <w:p w:rsidR="000C510D" w:rsidRDefault="000C510D" w:rsidP="000C510D">
            <w:pPr>
              <w:pStyle w:val="TableBodyText"/>
            </w:pPr>
            <w:r>
              <w:t xml:space="preserve">87.1 </w:t>
            </w:r>
            <w:r w:rsidR="00F63897">
              <w:br/>
            </w:r>
            <w:r>
              <w:t>± 10.7</w:t>
            </w:r>
          </w:p>
        </w:tc>
        <w:tc>
          <w:tcPr>
            <w:tcW w:w="803" w:type="dxa"/>
            <w:vAlign w:val="center"/>
          </w:tcPr>
          <w:p w:rsidR="000C510D" w:rsidRDefault="000C510D" w:rsidP="000C510D">
            <w:pPr>
              <w:pStyle w:val="TableBodyText"/>
            </w:pPr>
            <w:r>
              <w:t xml:space="preserve">85.8 </w:t>
            </w:r>
            <w:r w:rsidR="00F63897">
              <w:br/>
            </w:r>
            <w:r>
              <w:t>± 11.2</w:t>
            </w:r>
          </w:p>
        </w:tc>
        <w:tc>
          <w:tcPr>
            <w:tcW w:w="804" w:type="dxa"/>
            <w:vAlign w:val="center"/>
          </w:tcPr>
          <w:p w:rsidR="000C510D" w:rsidRDefault="000C510D" w:rsidP="000C510D">
            <w:pPr>
              <w:pStyle w:val="TableBodyText"/>
            </w:pPr>
            <w:r>
              <w:t xml:space="preserve">92.1 </w:t>
            </w:r>
            <w:r w:rsidR="00F63897">
              <w:br/>
            </w:r>
            <w:r>
              <w:t>± 8.3</w:t>
            </w:r>
          </w:p>
        </w:tc>
      </w:tr>
      <w:tr w:rsidR="000C510D" w:rsidRPr="00530424" w:rsidTr="00F63897">
        <w:tc>
          <w:tcPr>
            <w:tcW w:w="1560" w:type="dxa"/>
          </w:tcPr>
          <w:p w:rsidR="000C510D" w:rsidRPr="00D07F9F" w:rsidRDefault="000C510D" w:rsidP="005360D5">
            <w:pPr>
              <w:keepNext/>
              <w:keepLines/>
              <w:spacing w:line="220" w:lineRule="atLeast"/>
              <w:ind w:right="113"/>
              <w:rPr>
                <w:rFonts w:ascii="Arial" w:hAnsi="Arial"/>
                <w:sz w:val="20"/>
                <w:szCs w:val="20"/>
              </w:rPr>
            </w:pPr>
            <w:r w:rsidRPr="00D07F9F">
              <w:rPr>
                <w:rFonts w:ascii="Arial" w:hAnsi="Arial"/>
                <w:sz w:val="20"/>
                <w:szCs w:val="20"/>
              </w:rPr>
              <w:t>Gain 2010-2012</w:t>
            </w:r>
          </w:p>
        </w:tc>
        <w:tc>
          <w:tcPr>
            <w:tcW w:w="803" w:type="dxa"/>
            <w:vAlign w:val="center"/>
          </w:tcPr>
          <w:p w:rsidR="000C510D" w:rsidRDefault="000C510D" w:rsidP="005360D5">
            <w:pPr>
              <w:pStyle w:val="TableBodyText"/>
              <w:spacing w:after="0"/>
            </w:pPr>
            <w:r>
              <w:t xml:space="preserve">45.6 </w:t>
            </w:r>
            <w:r w:rsidR="00F63897">
              <w:br/>
            </w:r>
            <w:r>
              <w:t>± 7.2</w:t>
            </w:r>
          </w:p>
        </w:tc>
        <w:tc>
          <w:tcPr>
            <w:tcW w:w="803" w:type="dxa"/>
            <w:vAlign w:val="center"/>
          </w:tcPr>
          <w:p w:rsidR="000C510D" w:rsidRDefault="000C510D" w:rsidP="005360D5">
            <w:pPr>
              <w:pStyle w:val="TableBodyText"/>
              <w:spacing w:after="0"/>
            </w:pPr>
            <w:r>
              <w:t xml:space="preserve">42.1 </w:t>
            </w:r>
            <w:r w:rsidR="00F63897">
              <w:br/>
            </w:r>
            <w:r>
              <w:t>± 6.7</w:t>
            </w:r>
          </w:p>
        </w:tc>
        <w:tc>
          <w:tcPr>
            <w:tcW w:w="804" w:type="dxa"/>
            <w:vAlign w:val="center"/>
          </w:tcPr>
          <w:p w:rsidR="000C510D" w:rsidRDefault="000C510D" w:rsidP="005360D5">
            <w:pPr>
              <w:pStyle w:val="TableBodyText"/>
              <w:spacing w:after="0"/>
            </w:pPr>
            <w:r>
              <w:t xml:space="preserve">57.6 </w:t>
            </w:r>
            <w:r w:rsidR="00F63897">
              <w:br/>
            </w:r>
            <w:r>
              <w:t>± 6.3</w:t>
            </w:r>
          </w:p>
        </w:tc>
        <w:tc>
          <w:tcPr>
            <w:tcW w:w="803" w:type="dxa"/>
            <w:vAlign w:val="center"/>
          </w:tcPr>
          <w:p w:rsidR="000C510D" w:rsidRDefault="000C510D" w:rsidP="005360D5">
            <w:pPr>
              <w:pStyle w:val="TableBodyText"/>
              <w:spacing w:after="0"/>
            </w:pPr>
            <w:r>
              <w:t xml:space="preserve">57.3 </w:t>
            </w:r>
            <w:r w:rsidR="00F63897">
              <w:br/>
            </w:r>
            <w:r>
              <w:t>± 7.0</w:t>
            </w:r>
          </w:p>
        </w:tc>
        <w:tc>
          <w:tcPr>
            <w:tcW w:w="803" w:type="dxa"/>
            <w:vAlign w:val="center"/>
          </w:tcPr>
          <w:p w:rsidR="000C510D" w:rsidRDefault="000C510D" w:rsidP="005360D5">
            <w:pPr>
              <w:pStyle w:val="TableBodyText"/>
              <w:spacing w:after="0"/>
            </w:pPr>
            <w:r>
              <w:t xml:space="preserve">56.6 </w:t>
            </w:r>
            <w:r w:rsidR="00F63897">
              <w:br/>
            </w:r>
            <w:r>
              <w:t>± 7.1</w:t>
            </w:r>
          </w:p>
        </w:tc>
        <w:tc>
          <w:tcPr>
            <w:tcW w:w="804" w:type="dxa"/>
            <w:vAlign w:val="center"/>
          </w:tcPr>
          <w:p w:rsidR="000C510D" w:rsidRDefault="000C510D" w:rsidP="005360D5">
            <w:pPr>
              <w:pStyle w:val="TableBodyText"/>
              <w:spacing w:after="0"/>
            </w:pPr>
            <w:r>
              <w:t xml:space="preserve">45.8 </w:t>
            </w:r>
            <w:r w:rsidR="00F63897">
              <w:br/>
            </w:r>
            <w:r>
              <w:t>± 9.9</w:t>
            </w:r>
          </w:p>
        </w:tc>
        <w:tc>
          <w:tcPr>
            <w:tcW w:w="803" w:type="dxa"/>
            <w:vAlign w:val="center"/>
          </w:tcPr>
          <w:p w:rsidR="000C510D" w:rsidRDefault="000C510D" w:rsidP="005360D5">
            <w:pPr>
              <w:pStyle w:val="TableBodyText"/>
              <w:spacing w:after="0"/>
            </w:pPr>
            <w:r>
              <w:t xml:space="preserve">47.0 </w:t>
            </w:r>
            <w:r w:rsidR="00F63897">
              <w:br/>
            </w:r>
            <w:r>
              <w:t>± 12.3</w:t>
            </w:r>
          </w:p>
        </w:tc>
        <w:tc>
          <w:tcPr>
            <w:tcW w:w="803" w:type="dxa"/>
            <w:vAlign w:val="center"/>
          </w:tcPr>
          <w:p w:rsidR="000C510D" w:rsidRDefault="000C510D" w:rsidP="005360D5">
            <w:pPr>
              <w:pStyle w:val="TableBodyText"/>
              <w:spacing w:after="0"/>
            </w:pPr>
            <w:r>
              <w:t xml:space="preserve">50.0 </w:t>
            </w:r>
            <w:r w:rsidR="00F63897">
              <w:br/>
            </w:r>
            <w:r>
              <w:t>± 15.2</w:t>
            </w:r>
          </w:p>
        </w:tc>
        <w:tc>
          <w:tcPr>
            <w:tcW w:w="804" w:type="dxa"/>
            <w:vAlign w:val="center"/>
          </w:tcPr>
          <w:p w:rsidR="000C510D" w:rsidRDefault="000C510D" w:rsidP="005360D5">
            <w:pPr>
              <w:pStyle w:val="TableBodyText"/>
              <w:spacing w:after="0"/>
            </w:pPr>
            <w:r>
              <w:t xml:space="preserve">49.2 </w:t>
            </w:r>
            <w:r w:rsidR="00F63897">
              <w:br/>
            </w:r>
            <w:r>
              <w:t>± 6.0</w:t>
            </w:r>
          </w:p>
        </w:tc>
      </w:tr>
      <w:tr w:rsidR="000C510D" w:rsidRPr="00530424" w:rsidTr="00F63897">
        <w:tc>
          <w:tcPr>
            <w:tcW w:w="8790" w:type="dxa"/>
            <w:gridSpan w:val="10"/>
          </w:tcPr>
          <w:p w:rsidR="000C510D" w:rsidRPr="00D07F9F" w:rsidRDefault="000C510D" w:rsidP="005360D5">
            <w:pPr>
              <w:pStyle w:val="TableBodyText"/>
              <w:spacing w:before="80"/>
              <w:jc w:val="left"/>
              <w:rPr>
                <w:b/>
              </w:rPr>
            </w:pPr>
            <w:r w:rsidRPr="00D07F9F">
              <w:rPr>
                <w:b/>
              </w:rPr>
              <w:t>All students</w:t>
            </w:r>
          </w:p>
        </w:tc>
      </w:tr>
      <w:tr w:rsidR="000C510D" w:rsidRPr="00530424" w:rsidTr="00D40C7A">
        <w:tc>
          <w:tcPr>
            <w:tcW w:w="1560" w:type="dxa"/>
          </w:tcPr>
          <w:p w:rsidR="000C510D" w:rsidRPr="00530424" w:rsidRDefault="000C510D" w:rsidP="005F7911">
            <w:pPr>
              <w:keepNext/>
              <w:keepLines/>
              <w:spacing w:after="40" w:line="220" w:lineRule="atLeast"/>
              <w:ind w:left="6" w:right="113"/>
              <w:rPr>
                <w:rFonts w:ascii="Arial" w:hAnsi="Arial"/>
                <w:sz w:val="20"/>
                <w:szCs w:val="20"/>
              </w:rPr>
            </w:pPr>
            <w:r w:rsidRPr="00530424">
              <w:rPr>
                <w:rFonts w:ascii="Arial" w:hAnsi="Arial"/>
                <w:sz w:val="20"/>
                <w:szCs w:val="20"/>
              </w:rPr>
              <w:t>2008 Year 3</w:t>
            </w:r>
          </w:p>
        </w:tc>
        <w:tc>
          <w:tcPr>
            <w:tcW w:w="803" w:type="dxa"/>
            <w:vAlign w:val="center"/>
          </w:tcPr>
          <w:p w:rsidR="000C510D" w:rsidRDefault="000C510D" w:rsidP="000C510D">
            <w:pPr>
              <w:pStyle w:val="TableBodyText"/>
            </w:pPr>
            <w:r>
              <w:t xml:space="preserve">408.9 </w:t>
            </w:r>
            <w:r w:rsidR="00D40C7A">
              <w:br/>
            </w:r>
            <w:r>
              <w:t>± 1.6</w:t>
            </w:r>
          </w:p>
        </w:tc>
        <w:tc>
          <w:tcPr>
            <w:tcW w:w="803" w:type="dxa"/>
            <w:vAlign w:val="center"/>
          </w:tcPr>
          <w:p w:rsidR="000C510D" w:rsidRDefault="000C510D" w:rsidP="000C510D">
            <w:pPr>
              <w:pStyle w:val="TableBodyText"/>
            </w:pPr>
            <w:r>
              <w:t xml:space="preserve">416.9 </w:t>
            </w:r>
            <w:r w:rsidR="00D40C7A">
              <w:br/>
            </w:r>
            <w:r>
              <w:t>± 1.4</w:t>
            </w:r>
          </w:p>
        </w:tc>
        <w:tc>
          <w:tcPr>
            <w:tcW w:w="804" w:type="dxa"/>
            <w:vAlign w:val="center"/>
          </w:tcPr>
          <w:p w:rsidR="000C510D" w:rsidRDefault="000C510D" w:rsidP="000C510D">
            <w:pPr>
              <w:pStyle w:val="TableBodyText"/>
            </w:pPr>
            <w:r>
              <w:t xml:space="preserve">367.9 </w:t>
            </w:r>
            <w:r w:rsidR="00D40C7A">
              <w:br/>
            </w:r>
            <w:r>
              <w:t>± 2.2</w:t>
            </w:r>
          </w:p>
        </w:tc>
        <w:tc>
          <w:tcPr>
            <w:tcW w:w="803" w:type="dxa"/>
            <w:vAlign w:val="center"/>
          </w:tcPr>
          <w:p w:rsidR="000C510D" w:rsidRDefault="000C510D" w:rsidP="000C510D">
            <w:pPr>
              <w:pStyle w:val="TableBodyText"/>
            </w:pPr>
            <w:r>
              <w:t xml:space="preserve">381.9 </w:t>
            </w:r>
            <w:r w:rsidR="00D40C7A">
              <w:br/>
            </w:r>
            <w:r>
              <w:t>± 2.4</w:t>
            </w:r>
          </w:p>
        </w:tc>
        <w:tc>
          <w:tcPr>
            <w:tcW w:w="803" w:type="dxa"/>
            <w:vAlign w:val="center"/>
          </w:tcPr>
          <w:p w:rsidR="000C510D" w:rsidRDefault="000C510D" w:rsidP="000C510D">
            <w:pPr>
              <w:pStyle w:val="TableBodyText"/>
            </w:pPr>
            <w:r>
              <w:t xml:space="preserve">388.8 </w:t>
            </w:r>
            <w:r w:rsidR="00974AA3">
              <w:br/>
            </w:r>
            <w:r>
              <w:t>± 2.7</w:t>
            </w:r>
          </w:p>
        </w:tc>
        <w:tc>
          <w:tcPr>
            <w:tcW w:w="804" w:type="dxa"/>
            <w:vAlign w:val="center"/>
          </w:tcPr>
          <w:p w:rsidR="000C510D" w:rsidRDefault="000C510D" w:rsidP="000C510D">
            <w:pPr>
              <w:pStyle w:val="TableBodyText"/>
            </w:pPr>
            <w:r>
              <w:t xml:space="preserve">399.9 </w:t>
            </w:r>
            <w:r w:rsidR="00974AA3">
              <w:br/>
            </w:r>
            <w:r>
              <w:t>± 4.2</w:t>
            </w:r>
          </w:p>
        </w:tc>
        <w:tc>
          <w:tcPr>
            <w:tcW w:w="803" w:type="dxa"/>
            <w:vAlign w:val="center"/>
          </w:tcPr>
          <w:p w:rsidR="000C510D" w:rsidRDefault="000C510D" w:rsidP="000C510D">
            <w:pPr>
              <w:pStyle w:val="TableBodyText"/>
            </w:pPr>
            <w:r>
              <w:t xml:space="preserve">411.5 </w:t>
            </w:r>
            <w:r w:rsidR="00974AA3">
              <w:br/>
            </w:r>
            <w:r>
              <w:t>± 5.1</w:t>
            </w:r>
          </w:p>
        </w:tc>
        <w:tc>
          <w:tcPr>
            <w:tcW w:w="803" w:type="dxa"/>
            <w:vAlign w:val="center"/>
          </w:tcPr>
          <w:p w:rsidR="000C510D" w:rsidRDefault="000C510D" w:rsidP="000C510D">
            <w:pPr>
              <w:pStyle w:val="TableBodyText"/>
            </w:pPr>
            <w:r>
              <w:t xml:space="preserve">338.4 </w:t>
            </w:r>
            <w:r w:rsidR="00974AA3">
              <w:br/>
            </w:r>
            <w:r>
              <w:t>± 12.4</w:t>
            </w:r>
          </w:p>
        </w:tc>
        <w:tc>
          <w:tcPr>
            <w:tcW w:w="804" w:type="dxa"/>
            <w:vAlign w:val="center"/>
          </w:tcPr>
          <w:p w:rsidR="000C510D" w:rsidRDefault="000C510D" w:rsidP="000C510D">
            <w:pPr>
              <w:pStyle w:val="TableBodyText"/>
            </w:pPr>
            <w:r>
              <w:t xml:space="preserve">396.9 </w:t>
            </w:r>
            <w:r w:rsidR="00974AA3">
              <w:br/>
            </w:r>
            <w:r>
              <w:t>± 1.0</w:t>
            </w:r>
          </w:p>
        </w:tc>
      </w:tr>
      <w:tr w:rsidR="000C510D" w:rsidRPr="00530424" w:rsidTr="00D40C7A">
        <w:tc>
          <w:tcPr>
            <w:tcW w:w="1560" w:type="dxa"/>
            <w:shd w:val="clear" w:color="auto" w:fill="auto"/>
          </w:tcPr>
          <w:p w:rsidR="000C510D" w:rsidRPr="00530424" w:rsidRDefault="000C510D" w:rsidP="005F7911">
            <w:pPr>
              <w:keepNext/>
              <w:keepLines/>
              <w:spacing w:after="40" w:line="220" w:lineRule="atLeast"/>
              <w:ind w:right="113"/>
              <w:rPr>
                <w:rFonts w:ascii="Arial" w:hAnsi="Arial"/>
                <w:sz w:val="20"/>
                <w:szCs w:val="20"/>
              </w:rPr>
            </w:pPr>
            <w:r w:rsidRPr="00530424">
              <w:rPr>
                <w:rFonts w:ascii="Arial" w:hAnsi="Arial"/>
                <w:sz w:val="20"/>
                <w:szCs w:val="20"/>
              </w:rPr>
              <w:t>2010 Year 5</w:t>
            </w:r>
          </w:p>
        </w:tc>
        <w:tc>
          <w:tcPr>
            <w:tcW w:w="803" w:type="dxa"/>
            <w:shd w:val="clear" w:color="auto" w:fill="auto"/>
            <w:vAlign w:val="center"/>
          </w:tcPr>
          <w:p w:rsidR="000C510D" w:rsidRDefault="000C510D" w:rsidP="000C510D">
            <w:pPr>
              <w:pStyle w:val="TableBodyText"/>
            </w:pPr>
            <w:r>
              <w:t xml:space="preserve">498.4 </w:t>
            </w:r>
            <w:r w:rsidR="00D40C7A">
              <w:br/>
            </w:r>
            <w:r>
              <w:t>± 2.0</w:t>
            </w:r>
          </w:p>
        </w:tc>
        <w:tc>
          <w:tcPr>
            <w:tcW w:w="803" w:type="dxa"/>
            <w:shd w:val="clear" w:color="auto" w:fill="auto"/>
            <w:vAlign w:val="center"/>
          </w:tcPr>
          <w:p w:rsidR="000C510D" w:rsidRDefault="000C510D" w:rsidP="000C510D">
            <w:pPr>
              <w:pStyle w:val="TableBodyText"/>
            </w:pPr>
            <w:r>
              <w:t xml:space="preserve">502.7 </w:t>
            </w:r>
            <w:r w:rsidR="00D40C7A">
              <w:br/>
            </w:r>
            <w:r>
              <w:t>± 1.6</w:t>
            </w:r>
          </w:p>
        </w:tc>
        <w:tc>
          <w:tcPr>
            <w:tcW w:w="804" w:type="dxa"/>
            <w:shd w:val="clear" w:color="auto" w:fill="auto"/>
            <w:vAlign w:val="center"/>
          </w:tcPr>
          <w:p w:rsidR="000C510D" w:rsidRDefault="000C510D" w:rsidP="000C510D">
            <w:pPr>
              <w:pStyle w:val="TableBodyText"/>
            </w:pPr>
            <w:r>
              <w:t xml:space="preserve">474.1 </w:t>
            </w:r>
            <w:r w:rsidR="00D40C7A">
              <w:br/>
            </w:r>
            <w:r>
              <w:t>± 1.9</w:t>
            </w:r>
          </w:p>
        </w:tc>
        <w:tc>
          <w:tcPr>
            <w:tcW w:w="803" w:type="dxa"/>
            <w:shd w:val="clear" w:color="auto" w:fill="auto"/>
            <w:vAlign w:val="center"/>
          </w:tcPr>
          <w:p w:rsidR="000C510D" w:rsidRDefault="000C510D" w:rsidP="000C510D">
            <w:pPr>
              <w:pStyle w:val="TableBodyText"/>
            </w:pPr>
            <w:r>
              <w:t xml:space="preserve">476.8 </w:t>
            </w:r>
            <w:r w:rsidR="00D40C7A">
              <w:br/>
            </w:r>
            <w:r>
              <w:t>± 2.6</w:t>
            </w:r>
          </w:p>
        </w:tc>
        <w:tc>
          <w:tcPr>
            <w:tcW w:w="803" w:type="dxa"/>
            <w:shd w:val="clear" w:color="auto" w:fill="auto"/>
            <w:vAlign w:val="center"/>
          </w:tcPr>
          <w:p w:rsidR="000C510D" w:rsidRDefault="000C510D" w:rsidP="000C510D">
            <w:pPr>
              <w:pStyle w:val="TableBodyText"/>
            </w:pPr>
            <w:r>
              <w:t xml:space="preserve">472.6 </w:t>
            </w:r>
            <w:r w:rsidR="00974AA3">
              <w:br/>
            </w:r>
            <w:r>
              <w:t>± 2.8</w:t>
            </w:r>
          </w:p>
        </w:tc>
        <w:tc>
          <w:tcPr>
            <w:tcW w:w="804" w:type="dxa"/>
            <w:shd w:val="clear" w:color="auto" w:fill="auto"/>
            <w:vAlign w:val="center"/>
          </w:tcPr>
          <w:p w:rsidR="000C510D" w:rsidRDefault="000C510D" w:rsidP="000C510D">
            <w:pPr>
              <w:pStyle w:val="TableBodyText"/>
            </w:pPr>
            <w:r>
              <w:t xml:space="preserve">479.4 </w:t>
            </w:r>
            <w:r w:rsidR="00974AA3">
              <w:br/>
            </w:r>
            <w:r>
              <w:t>± 4.8</w:t>
            </w:r>
          </w:p>
        </w:tc>
        <w:tc>
          <w:tcPr>
            <w:tcW w:w="803" w:type="dxa"/>
            <w:shd w:val="clear" w:color="auto" w:fill="auto"/>
            <w:vAlign w:val="center"/>
          </w:tcPr>
          <w:p w:rsidR="000C510D" w:rsidRDefault="000C510D" w:rsidP="000C510D">
            <w:pPr>
              <w:pStyle w:val="TableBodyText"/>
            </w:pPr>
            <w:r>
              <w:t xml:space="preserve">498.7 </w:t>
            </w:r>
            <w:r w:rsidR="00974AA3">
              <w:br/>
            </w:r>
            <w:r>
              <w:t>± 5.1</w:t>
            </w:r>
          </w:p>
        </w:tc>
        <w:tc>
          <w:tcPr>
            <w:tcW w:w="803" w:type="dxa"/>
            <w:shd w:val="clear" w:color="auto" w:fill="auto"/>
            <w:vAlign w:val="center"/>
          </w:tcPr>
          <w:p w:rsidR="000C510D" w:rsidRDefault="000C510D" w:rsidP="000C510D">
            <w:pPr>
              <w:pStyle w:val="TableBodyText"/>
            </w:pPr>
            <w:r>
              <w:t xml:space="preserve">421.5 </w:t>
            </w:r>
            <w:r w:rsidR="00974AA3">
              <w:br/>
            </w:r>
            <w:r>
              <w:t>± 14.4</w:t>
            </w:r>
          </w:p>
        </w:tc>
        <w:tc>
          <w:tcPr>
            <w:tcW w:w="804" w:type="dxa"/>
            <w:shd w:val="clear" w:color="auto" w:fill="auto"/>
            <w:vAlign w:val="center"/>
          </w:tcPr>
          <w:p w:rsidR="000C510D" w:rsidRDefault="000C510D" w:rsidP="000C510D">
            <w:pPr>
              <w:pStyle w:val="TableBodyText"/>
            </w:pPr>
            <w:r>
              <w:t xml:space="preserve">488.8 </w:t>
            </w:r>
            <w:r w:rsidR="00974AA3">
              <w:br/>
            </w:r>
            <w:r>
              <w:t>± 1.0</w:t>
            </w:r>
          </w:p>
        </w:tc>
      </w:tr>
      <w:tr w:rsidR="000C510D" w:rsidRPr="00530424" w:rsidTr="00D40C7A">
        <w:tc>
          <w:tcPr>
            <w:tcW w:w="1560" w:type="dxa"/>
            <w:shd w:val="clear" w:color="auto" w:fill="auto"/>
          </w:tcPr>
          <w:p w:rsidR="000C510D" w:rsidRPr="00530424" w:rsidRDefault="000C510D" w:rsidP="005F7911">
            <w:pPr>
              <w:keepNext/>
              <w:keepLines/>
              <w:spacing w:after="40" w:line="220" w:lineRule="atLeast"/>
              <w:ind w:right="113"/>
              <w:rPr>
                <w:rFonts w:ascii="Arial" w:hAnsi="Arial"/>
                <w:sz w:val="20"/>
                <w:szCs w:val="20"/>
              </w:rPr>
            </w:pPr>
            <w:r w:rsidRPr="00530424">
              <w:rPr>
                <w:rFonts w:ascii="Arial" w:hAnsi="Arial"/>
                <w:sz w:val="20"/>
                <w:szCs w:val="20"/>
              </w:rPr>
              <w:t>2012 Year 7</w:t>
            </w:r>
          </w:p>
        </w:tc>
        <w:tc>
          <w:tcPr>
            <w:tcW w:w="803" w:type="dxa"/>
            <w:shd w:val="clear" w:color="auto" w:fill="auto"/>
            <w:vAlign w:val="center"/>
          </w:tcPr>
          <w:p w:rsidR="000C510D" w:rsidRDefault="000C510D" w:rsidP="000C510D">
            <w:pPr>
              <w:pStyle w:val="TableBodyText"/>
            </w:pPr>
            <w:r>
              <w:t xml:space="preserve">543.4 </w:t>
            </w:r>
            <w:r w:rsidR="00D40C7A">
              <w:br/>
            </w:r>
            <w:r>
              <w:t>± 3.8</w:t>
            </w:r>
          </w:p>
        </w:tc>
        <w:tc>
          <w:tcPr>
            <w:tcW w:w="803" w:type="dxa"/>
            <w:shd w:val="clear" w:color="auto" w:fill="auto"/>
            <w:vAlign w:val="center"/>
          </w:tcPr>
          <w:p w:rsidR="000C510D" w:rsidRDefault="000C510D" w:rsidP="000C510D">
            <w:pPr>
              <w:pStyle w:val="TableBodyText"/>
            </w:pPr>
            <w:r>
              <w:t xml:space="preserve">544.3 </w:t>
            </w:r>
            <w:r w:rsidR="00D40C7A">
              <w:br/>
            </w:r>
            <w:r>
              <w:t>± 3.1</w:t>
            </w:r>
          </w:p>
        </w:tc>
        <w:tc>
          <w:tcPr>
            <w:tcW w:w="804" w:type="dxa"/>
            <w:shd w:val="clear" w:color="auto" w:fill="auto"/>
            <w:vAlign w:val="center"/>
          </w:tcPr>
          <w:p w:rsidR="000C510D" w:rsidRDefault="000C510D" w:rsidP="000C510D">
            <w:pPr>
              <w:pStyle w:val="TableBodyText"/>
            </w:pPr>
            <w:r>
              <w:t xml:space="preserve">532.0 </w:t>
            </w:r>
            <w:r w:rsidR="00D40C7A">
              <w:br/>
            </w:r>
            <w:r>
              <w:t>± 2.1</w:t>
            </w:r>
          </w:p>
        </w:tc>
        <w:tc>
          <w:tcPr>
            <w:tcW w:w="803" w:type="dxa"/>
            <w:shd w:val="clear" w:color="auto" w:fill="auto"/>
            <w:vAlign w:val="center"/>
          </w:tcPr>
          <w:p w:rsidR="000C510D" w:rsidRDefault="000C510D" w:rsidP="000C510D">
            <w:pPr>
              <w:pStyle w:val="TableBodyText"/>
            </w:pPr>
            <w:r>
              <w:t xml:space="preserve">534.9 </w:t>
            </w:r>
            <w:r w:rsidR="00974AA3">
              <w:br/>
            </w:r>
            <w:r>
              <w:t>± 3.3</w:t>
            </w:r>
          </w:p>
        </w:tc>
        <w:tc>
          <w:tcPr>
            <w:tcW w:w="803" w:type="dxa"/>
            <w:shd w:val="clear" w:color="auto" w:fill="auto"/>
            <w:vAlign w:val="center"/>
          </w:tcPr>
          <w:p w:rsidR="000C510D" w:rsidRDefault="000C510D" w:rsidP="000C510D">
            <w:pPr>
              <w:pStyle w:val="TableBodyText"/>
            </w:pPr>
            <w:r>
              <w:t xml:space="preserve">529.1 </w:t>
            </w:r>
            <w:r w:rsidR="00974AA3">
              <w:br/>
            </w:r>
            <w:r>
              <w:t>± 3.1</w:t>
            </w:r>
          </w:p>
        </w:tc>
        <w:tc>
          <w:tcPr>
            <w:tcW w:w="804" w:type="dxa"/>
            <w:shd w:val="clear" w:color="auto" w:fill="auto"/>
            <w:vAlign w:val="center"/>
          </w:tcPr>
          <w:p w:rsidR="000C510D" w:rsidRDefault="000C510D" w:rsidP="000C510D">
            <w:pPr>
              <w:pStyle w:val="TableBodyText"/>
            </w:pPr>
            <w:r>
              <w:t xml:space="preserve">526.0 </w:t>
            </w:r>
            <w:r w:rsidR="00974AA3">
              <w:br/>
            </w:r>
            <w:r>
              <w:t>± 7.1</w:t>
            </w:r>
          </w:p>
        </w:tc>
        <w:tc>
          <w:tcPr>
            <w:tcW w:w="803" w:type="dxa"/>
            <w:shd w:val="clear" w:color="auto" w:fill="auto"/>
            <w:vAlign w:val="center"/>
          </w:tcPr>
          <w:p w:rsidR="000C510D" w:rsidRDefault="000C510D" w:rsidP="000C510D">
            <w:pPr>
              <w:pStyle w:val="TableBodyText"/>
            </w:pPr>
            <w:r>
              <w:t xml:space="preserve">545.9 </w:t>
            </w:r>
            <w:r w:rsidR="00974AA3">
              <w:br/>
            </w:r>
            <w:r>
              <w:t>± 9.7</w:t>
            </w:r>
          </w:p>
        </w:tc>
        <w:tc>
          <w:tcPr>
            <w:tcW w:w="803" w:type="dxa"/>
            <w:shd w:val="clear" w:color="auto" w:fill="auto"/>
            <w:vAlign w:val="center"/>
          </w:tcPr>
          <w:p w:rsidR="000C510D" w:rsidRDefault="000C510D" w:rsidP="000C510D">
            <w:pPr>
              <w:pStyle w:val="TableBodyText"/>
            </w:pPr>
            <w:r>
              <w:t xml:space="preserve">474.7 </w:t>
            </w:r>
            <w:r w:rsidR="00974AA3">
              <w:br/>
            </w:r>
            <w:r>
              <w:t>± 18.4</w:t>
            </w:r>
          </w:p>
        </w:tc>
        <w:tc>
          <w:tcPr>
            <w:tcW w:w="804" w:type="dxa"/>
            <w:shd w:val="clear" w:color="auto" w:fill="auto"/>
            <w:vAlign w:val="center"/>
          </w:tcPr>
          <w:p w:rsidR="000C510D" w:rsidRDefault="000C510D" w:rsidP="000C510D">
            <w:pPr>
              <w:pStyle w:val="TableBodyText"/>
            </w:pPr>
            <w:r>
              <w:t xml:space="preserve">538.1 </w:t>
            </w:r>
            <w:r w:rsidR="00974AA3">
              <w:br/>
            </w:r>
            <w:r>
              <w:t>± 1.6</w:t>
            </w:r>
          </w:p>
        </w:tc>
      </w:tr>
      <w:tr w:rsidR="000C510D" w:rsidRPr="00530424" w:rsidTr="00D40C7A">
        <w:tc>
          <w:tcPr>
            <w:tcW w:w="1560" w:type="dxa"/>
            <w:shd w:val="clear" w:color="auto" w:fill="auto"/>
          </w:tcPr>
          <w:p w:rsidR="000C510D" w:rsidRPr="00D07F9F" w:rsidRDefault="000C510D" w:rsidP="005F7911">
            <w:pPr>
              <w:keepNext/>
              <w:keepLines/>
              <w:spacing w:after="40" w:line="220" w:lineRule="atLeast"/>
              <w:ind w:right="113"/>
              <w:rPr>
                <w:rFonts w:ascii="Arial" w:hAnsi="Arial"/>
                <w:sz w:val="20"/>
                <w:szCs w:val="20"/>
              </w:rPr>
            </w:pPr>
            <w:r w:rsidRPr="00D07F9F">
              <w:rPr>
                <w:rFonts w:ascii="Arial" w:hAnsi="Arial"/>
                <w:sz w:val="20"/>
                <w:szCs w:val="20"/>
              </w:rPr>
              <w:t>Gain 2008-2010</w:t>
            </w:r>
          </w:p>
        </w:tc>
        <w:tc>
          <w:tcPr>
            <w:tcW w:w="803" w:type="dxa"/>
            <w:shd w:val="clear" w:color="auto" w:fill="auto"/>
            <w:vAlign w:val="center"/>
          </w:tcPr>
          <w:p w:rsidR="000C510D" w:rsidRDefault="000C510D" w:rsidP="000C510D">
            <w:pPr>
              <w:pStyle w:val="TableBodyText"/>
            </w:pPr>
            <w:r>
              <w:t xml:space="preserve">89.5 </w:t>
            </w:r>
            <w:r w:rsidR="00D40C7A">
              <w:br/>
            </w:r>
            <w:r>
              <w:t>± 8.5</w:t>
            </w:r>
          </w:p>
        </w:tc>
        <w:tc>
          <w:tcPr>
            <w:tcW w:w="803" w:type="dxa"/>
            <w:shd w:val="clear" w:color="auto" w:fill="auto"/>
            <w:vAlign w:val="center"/>
          </w:tcPr>
          <w:p w:rsidR="000C510D" w:rsidRDefault="000C510D" w:rsidP="000C510D">
            <w:pPr>
              <w:pStyle w:val="TableBodyText"/>
            </w:pPr>
            <w:r>
              <w:t xml:space="preserve">85.8 </w:t>
            </w:r>
            <w:r w:rsidR="00D40C7A">
              <w:br/>
            </w:r>
            <w:r>
              <w:t>± 8.4</w:t>
            </w:r>
          </w:p>
        </w:tc>
        <w:tc>
          <w:tcPr>
            <w:tcW w:w="804" w:type="dxa"/>
            <w:shd w:val="clear" w:color="auto" w:fill="auto"/>
            <w:vAlign w:val="center"/>
          </w:tcPr>
          <w:p w:rsidR="000C510D" w:rsidRDefault="000C510D" w:rsidP="000C510D">
            <w:pPr>
              <w:pStyle w:val="TableBodyText"/>
            </w:pPr>
            <w:r>
              <w:t xml:space="preserve">106.2 </w:t>
            </w:r>
            <w:r w:rsidR="00D40C7A">
              <w:br/>
            </w:r>
            <w:r>
              <w:t>± 8.6</w:t>
            </w:r>
          </w:p>
        </w:tc>
        <w:tc>
          <w:tcPr>
            <w:tcW w:w="803" w:type="dxa"/>
            <w:shd w:val="clear" w:color="auto" w:fill="auto"/>
            <w:vAlign w:val="center"/>
          </w:tcPr>
          <w:p w:rsidR="000C510D" w:rsidRDefault="000C510D" w:rsidP="000C510D">
            <w:pPr>
              <w:pStyle w:val="TableBodyText"/>
            </w:pPr>
            <w:r>
              <w:t xml:space="preserve">94.9 </w:t>
            </w:r>
            <w:r w:rsidR="00974AA3">
              <w:br/>
            </w:r>
            <w:r>
              <w:t>± 8.9</w:t>
            </w:r>
          </w:p>
        </w:tc>
        <w:tc>
          <w:tcPr>
            <w:tcW w:w="803" w:type="dxa"/>
            <w:shd w:val="clear" w:color="auto" w:fill="auto"/>
            <w:vAlign w:val="center"/>
          </w:tcPr>
          <w:p w:rsidR="000C510D" w:rsidRDefault="000C510D" w:rsidP="000C510D">
            <w:pPr>
              <w:pStyle w:val="TableBodyText"/>
            </w:pPr>
            <w:r>
              <w:t xml:space="preserve">83.8 </w:t>
            </w:r>
            <w:r w:rsidR="00974AA3">
              <w:br/>
            </w:r>
            <w:r>
              <w:t>± 9.0</w:t>
            </w:r>
          </w:p>
        </w:tc>
        <w:tc>
          <w:tcPr>
            <w:tcW w:w="804" w:type="dxa"/>
            <w:shd w:val="clear" w:color="auto" w:fill="auto"/>
            <w:vAlign w:val="center"/>
          </w:tcPr>
          <w:p w:rsidR="000C510D" w:rsidRDefault="000C510D" w:rsidP="000C510D">
            <w:pPr>
              <w:pStyle w:val="TableBodyText"/>
            </w:pPr>
            <w:r>
              <w:t xml:space="preserve">79.5 </w:t>
            </w:r>
            <w:r w:rsidR="00974AA3">
              <w:br/>
            </w:r>
            <w:r>
              <w:t>± 10.3</w:t>
            </w:r>
          </w:p>
        </w:tc>
        <w:tc>
          <w:tcPr>
            <w:tcW w:w="803" w:type="dxa"/>
            <w:shd w:val="clear" w:color="auto" w:fill="auto"/>
            <w:vAlign w:val="center"/>
          </w:tcPr>
          <w:p w:rsidR="000C510D" w:rsidRDefault="000C510D" w:rsidP="000C510D">
            <w:pPr>
              <w:pStyle w:val="TableBodyText"/>
            </w:pPr>
            <w:r>
              <w:t xml:space="preserve">87.2 </w:t>
            </w:r>
            <w:r w:rsidR="00974AA3">
              <w:br/>
            </w:r>
            <w:r>
              <w:t>± 10.8</w:t>
            </w:r>
          </w:p>
        </w:tc>
        <w:tc>
          <w:tcPr>
            <w:tcW w:w="803" w:type="dxa"/>
            <w:shd w:val="clear" w:color="auto" w:fill="auto"/>
            <w:vAlign w:val="center"/>
          </w:tcPr>
          <w:p w:rsidR="000C510D" w:rsidRDefault="000C510D" w:rsidP="000C510D">
            <w:pPr>
              <w:pStyle w:val="TableBodyText"/>
            </w:pPr>
            <w:r>
              <w:t xml:space="preserve">83.1 </w:t>
            </w:r>
            <w:r w:rsidR="00974AA3">
              <w:br/>
            </w:r>
            <w:r>
              <w:t>± 20.5</w:t>
            </w:r>
          </w:p>
        </w:tc>
        <w:tc>
          <w:tcPr>
            <w:tcW w:w="804" w:type="dxa"/>
            <w:shd w:val="clear" w:color="auto" w:fill="auto"/>
            <w:vAlign w:val="center"/>
          </w:tcPr>
          <w:p w:rsidR="000C510D" w:rsidRDefault="000C510D" w:rsidP="000C510D">
            <w:pPr>
              <w:pStyle w:val="TableBodyText"/>
            </w:pPr>
            <w:r>
              <w:t xml:space="preserve">91.9 </w:t>
            </w:r>
            <w:r w:rsidR="00974AA3">
              <w:br/>
            </w:r>
            <w:r>
              <w:t>± 8.3</w:t>
            </w:r>
          </w:p>
        </w:tc>
      </w:tr>
      <w:tr w:rsidR="000C510D" w:rsidRPr="00530424" w:rsidTr="00D40C7A">
        <w:tc>
          <w:tcPr>
            <w:tcW w:w="1560" w:type="dxa"/>
            <w:tcBorders>
              <w:bottom w:val="single" w:sz="6" w:space="0" w:color="auto"/>
            </w:tcBorders>
            <w:shd w:val="clear" w:color="auto" w:fill="auto"/>
          </w:tcPr>
          <w:p w:rsidR="000C510D" w:rsidRPr="00D07F9F" w:rsidRDefault="000C510D" w:rsidP="005360D5">
            <w:pPr>
              <w:keepNext/>
              <w:keepLines/>
              <w:spacing w:line="220" w:lineRule="atLeast"/>
              <w:ind w:right="113"/>
              <w:rPr>
                <w:rFonts w:ascii="Arial" w:hAnsi="Arial"/>
                <w:sz w:val="20"/>
                <w:szCs w:val="20"/>
              </w:rPr>
            </w:pPr>
            <w:r w:rsidRPr="00D07F9F">
              <w:rPr>
                <w:rFonts w:ascii="Arial" w:hAnsi="Arial"/>
                <w:sz w:val="20"/>
                <w:szCs w:val="20"/>
              </w:rPr>
              <w:t>Gain 2010-2012</w:t>
            </w:r>
          </w:p>
        </w:tc>
        <w:tc>
          <w:tcPr>
            <w:tcW w:w="803" w:type="dxa"/>
            <w:tcBorders>
              <w:bottom w:val="single" w:sz="6" w:space="0" w:color="auto"/>
            </w:tcBorders>
            <w:shd w:val="clear" w:color="auto" w:fill="auto"/>
            <w:vAlign w:val="center"/>
          </w:tcPr>
          <w:p w:rsidR="000C510D" w:rsidRDefault="000C510D" w:rsidP="005360D5">
            <w:pPr>
              <w:pStyle w:val="TableBodyText"/>
              <w:spacing w:after="0"/>
            </w:pPr>
            <w:r>
              <w:t xml:space="preserve">45.0 </w:t>
            </w:r>
            <w:r w:rsidR="00D40C7A">
              <w:br/>
            </w:r>
            <w:r>
              <w:t>± 7.2</w:t>
            </w:r>
          </w:p>
        </w:tc>
        <w:tc>
          <w:tcPr>
            <w:tcW w:w="803" w:type="dxa"/>
            <w:tcBorders>
              <w:bottom w:val="single" w:sz="6" w:space="0" w:color="auto"/>
            </w:tcBorders>
            <w:shd w:val="clear" w:color="auto" w:fill="auto"/>
            <w:vAlign w:val="center"/>
          </w:tcPr>
          <w:p w:rsidR="000C510D" w:rsidRDefault="000C510D" w:rsidP="005360D5">
            <w:pPr>
              <w:pStyle w:val="TableBodyText"/>
              <w:spacing w:after="0"/>
            </w:pPr>
            <w:r>
              <w:t xml:space="preserve">41.6 </w:t>
            </w:r>
            <w:r w:rsidR="00D40C7A">
              <w:br/>
            </w:r>
            <w:r>
              <w:t>± 6.7</w:t>
            </w:r>
          </w:p>
        </w:tc>
        <w:tc>
          <w:tcPr>
            <w:tcW w:w="804" w:type="dxa"/>
            <w:tcBorders>
              <w:bottom w:val="single" w:sz="6" w:space="0" w:color="auto"/>
            </w:tcBorders>
            <w:shd w:val="clear" w:color="auto" w:fill="auto"/>
            <w:vAlign w:val="center"/>
          </w:tcPr>
          <w:p w:rsidR="000C510D" w:rsidRDefault="000C510D" w:rsidP="005360D5">
            <w:pPr>
              <w:pStyle w:val="TableBodyText"/>
              <w:spacing w:after="0"/>
            </w:pPr>
            <w:r>
              <w:t xml:space="preserve">57.9 </w:t>
            </w:r>
            <w:r w:rsidR="00D40C7A">
              <w:br/>
            </w:r>
            <w:r>
              <w:t>± 6.4</w:t>
            </w:r>
          </w:p>
        </w:tc>
        <w:tc>
          <w:tcPr>
            <w:tcW w:w="803" w:type="dxa"/>
            <w:tcBorders>
              <w:bottom w:val="single" w:sz="6" w:space="0" w:color="auto"/>
            </w:tcBorders>
            <w:shd w:val="clear" w:color="auto" w:fill="auto"/>
            <w:vAlign w:val="center"/>
          </w:tcPr>
          <w:p w:rsidR="000C510D" w:rsidRDefault="000C510D" w:rsidP="005360D5">
            <w:pPr>
              <w:pStyle w:val="TableBodyText"/>
              <w:spacing w:after="0"/>
            </w:pPr>
            <w:r>
              <w:t xml:space="preserve">58.1 </w:t>
            </w:r>
            <w:r w:rsidR="00974AA3">
              <w:br/>
            </w:r>
            <w:r>
              <w:t>± 7.1</w:t>
            </w:r>
          </w:p>
        </w:tc>
        <w:tc>
          <w:tcPr>
            <w:tcW w:w="803" w:type="dxa"/>
            <w:tcBorders>
              <w:bottom w:val="single" w:sz="6" w:space="0" w:color="auto"/>
            </w:tcBorders>
            <w:shd w:val="clear" w:color="auto" w:fill="auto"/>
            <w:vAlign w:val="center"/>
          </w:tcPr>
          <w:p w:rsidR="000C510D" w:rsidRDefault="000C510D" w:rsidP="005360D5">
            <w:pPr>
              <w:pStyle w:val="TableBodyText"/>
              <w:spacing w:after="0"/>
            </w:pPr>
            <w:r>
              <w:t xml:space="preserve">56.5 </w:t>
            </w:r>
            <w:r w:rsidR="00974AA3">
              <w:br/>
            </w:r>
            <w:r>
              <w:t>± 7.1</w:t>
            </w:r>
          </w:p>
        </w:tc>
        <w:tc>
          <w:tcPr>
            <w:tcW w:w="804" w:type="dxa"/>
            <w:tcBorders>
              <w:bottom w:val="single" w:sz="6" w:space="0" w:color="auto"/>
            </w:tcBorders>
            <w:shd w:val="clear" w:color="auto" w:fill="auto"/>
            <w:vAlign w:val="center"/>
          </w:tcPr>
          <w:p w:rsidR="000C510D" w:rsidRDefault="000C510D" w:rsidP="005360D5">
            <w:pPr>
              <w:pStyle w:val="TableBodyText"/>
              <w:spacing w:after="0"/>
            </w:pPr>
            <w:r>
              <w:t xml:space="preserve">46.6 </w:t>
            </w:r>
            <w:r w:rsidR="00974AA3">
              <w:br/>
            </w:r>
            <w:r>
              <w:t>± 10.3</w:t>
            </w:r>
          </w:p>
        </w:tc>
        <w:tc>
          <w:tcPr>
            <w:tcW w:w="803" w:type="dxa"/>
            <w:tcBorders>
              <w:bottom w:val="single" w:sz="6" w:space="0" w:color="auto"/>
            </w:tcBorders>
            <w:shd w:val="clear" w:color="auto" w:fill="auto"/>
            <w:vAlign w:val="center"/>
          </w:tcPr>
          <w:p w:rsidR="000C510D" w:rsidRDefault="000C510D" w:rsidP="005360D5">
            <w:pPr>
              <w:pStyle w:val="TableBodyText"/>
              <w:spacing w:after="0"/>
            </w:pPr>
            <w:r>
              <w:t xml:space="preserve">47.2 </w:t>
            </w:r>
            <w:r w:rsidR="00974AA3">
              <w:br/>
            </w:r>
            <w:r>
              <w:t>± 12.4</w:t>
            </w:r>
          </w:p>
        </w:tc>
        <w:tc>
          <w:tcPr>
            <w:tcW w:w="803" w:type="dxa"/>
            <w:tcBorders>
              <w:bottom w:val="single" w:sz="6" w:space="0" w:color="auto"/>
            </w:tcBorders>
            <w:shd w:val="clear" w:color="auto" w:fill="auto"/>
            <w:vAlign w:val="center"/>
          </w:tcPr>
          <w:p w:rsidR="000C510D" w:rsidRDefault="000C510D" w:rsidP="005360D5">
            <w:pPr>
              <w:pStyle w:val="TableBodyText"/>
              <w:spacing w:after="0"/>
            </w:pPr>
            <w:r>
              <w:t xml:space="preserve">53.2 </w:t>
            </w:r>
            <w:r w:rsidR="00974AA3">
              <w:br/>
            </w:r>
            <w:r>
              <w:t>± 24.1</w:t>
            </w:r>
          </w:p>
        </w:tc>
        <w:tc>
          <w:tcPr>
            <w:tcW w:w="804" w:type="dxa"/>
            <w:tcBorders>
              <w:bottom w:val="single" w:sz="6" w:space="0" w:color="auto"/>
            </w:tcBorders>
            <w:shd w:val="clear" w:color="auto" w:fill="auto"/>
            <w:vAlign w:val="center"/>
          </w:tcPr>
          <w:p w:rsidR="000C510D" w:rsidRDefault="000C510D" w:rsidP="005360D5">
            <w:pPr>
              <w:pStyle w:val="TableBodyText"/>
              <w:spacing w:after="0"/>
            </w:pPr>
            <w:r>
              <w:t xml:space="preserve">49.3 </w:t>
            </w:r>
            <w:r w:rsidR="00974AA3">
              <w:br/>
            </w:r>
            <w:r>
              <w:t>± 6.0</w:t>
            </w:r>
          </w:p>
        </w:tc>
      </w:tr>
    </w:tbl>
    <w:p w:rsidR="000C510D" w:rsidRDefault="000C510D" w:rsidP="000C510D">
      <w:pPr>
        <w:keepLines/>
        <w:spacing w:before="80" w:line="220" w:lineRule="exact"/>
        <w:jc w:val="both"/>
        <w:rPr>
          <w:rFonts w:ascii="Arial" w:hAnsi="Arial"/>
          <w:sz w:val="18"/>
          <w:szCs w:val="20"/>
        </w:rPr>
      </w:pPr>
      <w:r w:rsidRPr="004708E3">
        <w:rPr>
          <w:rFonts w:ascii="Arial" w:hAnsi="Arial"/>
          <w:b/>
          <w:position w:val="6"/>
          <w:sz w:val="18"/>
          <w:szCs w:val="20"/>
        </w:rPr>
        <w:t>a</w:t>
      </w:r>
      <w:r w:rsidRPr="004708E3">
        <w:rPr>
          <w:rFonts w:ascii="Arial" w:hAnsi="Arial"/>
          <w:sz w:val="18"/>
          <w:szCs w:val="20"/>
        </w:rPr>
        <w:t xml:space="preserve"> The mean scale scores for </w:t>
      </w:r>
      <w:r>
        <w:rPr>
          <w:rFonts w:ascii="Arial" w:hAnsi="Arial"/>
          <w:sz w:val="18"/>
          <w:szCs w:val="20"/>
        </w:rPr>
        <w:t xml:space="preserve">2008, </w:t>
      </w:r>
      <w:r w:rsidRPr="004708E3">
        <w:rPr>
          <w:rFonts w:ascii="Arial" w:hAnsi="Arial"/>
          <w:sz w:val="18"/>
          <w:szCs w:val="20"/>
        </w:rPr>
        <w:t>20</w:t>
      </w:r>
      <w:r>
        <w:rPr>
          <w:rFonts w:ascii="Arial" w:hAnsi="Arial"/>
          <w:sz w:val="18"/>
          <w:szCs w:val="20"/>
        </w:rPr>
        <w:t>10</w:t>
      </w:r>
      <w:r w:rsidRPr="004708E3">
        <w:rPr>
          <w:rFonts w:ascii="Arial" w:hAnsi="Arial"/>
          <w:sz w:val="18"/>
          <w:szCs w:val="20"/>
        </w:rPr>
        <w:t xml:space="preserve"> and 201</w:t>
      </w:r>
      <w:r>
        <w:rPr>
          <w:rFonts w:ascii="Arial" w:hAnsi="Arial"/>
          <w:sz w:val="18"/>
          <w:szCs w:val="20"/>
        </w:rPr>
        <w:t xml:space="preserve">2 </w:t>
      </w:r>
      <w:r w:rsidRPr="004708E3">
        <w:rPr>
          <w:rFonts w:ascii="Arial" w:hAnsi="Arial"/>
          <w:sz w:val="18"/>
          <w:szCs w:val="20"/>
        </w:rPr>
        <w:t>reported in this table include 95 per cent confidence intervals (for example, a mean scale score of 400.0 ± 2.7, or a gain from 20</w:t>
      </w:r>
      <w:r>
        <w:rPr>
          <w:rFonts w:ascii="Arial" w:hAnsi="Arial"/>
          <w:sz w:val="18"/>
          <w:szCs w:val="20"/>
        </w:rPr>
        <w:t>10</w:t>
      </w:r>
      <w:r w:rsidRPr="004708E3">
        <w:rPr>
          <w:rFonts w:ascii="Arial" w:hAnsi="Arial"/>
          <w:sz w:val="18"/>
          <w:szCs w:val="20"/>
        </w:rPr>
        <w:t xml:space="preserve"> to 201</w:t>
      </w:r>
      <w:r>
        <w:rPr>
          <w:rFonts w:ascii="Arial" w:hAnsi="Arial"/>
          <w:sz w:val="18"/>
          <w:szCs w:val="20"/>
        </w:rPr>
        <w:t>2</w:t>
      </w:r>
      <w:r w:rsidRPr="004708E3">
        <w:rPr>
          <w:rFonts w:ascii="Arial" w:hAnsi="Arial"/>
          <w:sz w:val="18"/>
          <w:szCs w:val="20"/>
        </w:rPr>
        <w:t xml:space="preserve"> of 80.1 ± 2.7). Confidence intervals for the gain provide an indication of the level of uncertainty of the gain over the two year period.</w:t>
      </w:r>
      <w:r>
        <w:rPr>
          <w:rFonts w:ascii="Arial" w:hAnsi="Arial"/>
          <w:sz w:val="18"/>
          <w:szCs w:val="20"/>
        </w:rPr>
        <w:t xml:space="preserve"> </w:t>
      </w:r>
      <w:r w:rsidRPr="00A32BA6">
        <w:rPr>
          <w:rStyle w:val="NoteLabel"/>
        </w:rPr>
        <w:t>b</w:t>
      </w:r>
      <w:r w:rsidRPr="00A32BA6">
        <w:rPr>
          <w:rFonts w:ascii="Arial" w:hAnsi="Arial"/>
          <w:sz w:val="18"/>
          <w:szCs w:val="20"/>
        </w:rPr>
        <w:t xml:space="preserve"> The confidence interval provided is for the specific jurisdictional gain and should not be used for comparisons between jurisdictions</w:t>
      </w:r>
      <w:r>
        <w:rPr>
          <w:rFonts w:ascii="Arial" w:hAnsi="Arial"/>
          <w:sz w:val="18"/>
          <w:szCs w:val="20"/>
        </w:rPr>
        <w:t xml:space="preserve"> or between subgroups</w:t>
      </w:r>
      <w:r w:rsidRPr="00A32BA6">
        <w:rPr>
          <w:rFonts w:ascii="Arial" w:hAnsi="Arial"/>
          <w:sz w:val="18"/>
          <w:szCs w:val="20"/>
        </w:rPr>
        <w:t>.</w:t>
      </w:r>
    </w:p>
    <w:p w:rsidR="000C510D" w:rsidRPr="004708E3" w:rsidRDefault="000C510D" w:rsidP="000C510D">
      <w:pPr>
        <w:keepLines/>
        <w:spacing w:before="80" w:line="220" w:lineRule="exact"/>
        <w:jc w:val="both"/>
        <w:rPr>
          <w:rFonts w:ascii="Arial" w:hAnsi="Arial"/>
          <w:sz w:val="18"/>
          <w:szCs w:val="20"/>
        </w:rPr>
      </w:pPr>
      <w:r w:rsidRPr="004708E3">
        <w:rPr>
          <w:rFonts w:ascii="Arial" w:hAnsi="Arial"/>
          <w:i/>
          <w:sz w:val="18"/>
          <w:szCs w:val="20"/>
        </w:rPr>
        <w:t>Source</w:t>
      </w:r>
      <w:r w:rsidRPr="004708E3">
        <w:rPr>
          <w:rFonts w:ascii="Arial" w:hAnsi="Arial"/>
          <w:sz w:val="18"/>
          <w:szCs w:val="20"/>
        </w:rPr>
        <w:t>: ACARA (201</w:t>
      </w:r>
      <w:r>
        <w:rPr>
          <w:rFonts w:ascii="Arial" w:hAnsi="Arial"/>
          <w:sz w:val="18"/>
          <w:szCs w:val="20"/>
        </w:rPr>
        <w:t>2</w:t>
      </w:r>
      <w:r w:rsidRPr="004708E3">
        <w:rPr>
          <w:rFonts w:ascii="Arial" w:hAnsi="Arial"/>
          <w:sz w:val="18"/>
          <w:szCs w:val="20"/>
        </w:rPr>
        <w:t xml:space="preserve"> and unpublished) </w:t>
      </w:r>
      <w:r w:rsidRPr="004708E3">
        <w:rPr>
          <w:rFonts w:ascii="Arial" w:hAnsi="Arial"/>
          <w:i/>
          <w:sz w:val="18"/>
          <w:szCs w:val="20"/>
        </w:rPr>
        <w:t>201</w:t>
      </w:r>
      <w:r>
        <w:rPr>
          <w:rFonts w:ascii="Arial" w:hAnsi="Arial"/>
          <w:i/>
          <w:sz w:val="18"/>
          <w:szCs w:val="20"/>
        </w:rPr>
        <w:t>2</w:t>
      </w:r>
      <w:r w:rsidRPr="004708E3">
        <w:rPr>
          <w:rFonts w:ascii="Arial" w:hAnsi="Arial"/>
          <w:i/>
          <w:sz w:val="18"/>
          <w:szCs w:val="20"/>
        </w:rPr>
        <w:t xml:space="preserve"> National Assessment Program — Literacy and Numeracy: Achievement in Numeracy, Writing, Language Conventions and Numeracy</w:t>
      </w:r>
      <w:r w:rsidRPr="004708E3">
        <w:rPr>
          <w:rFonts w:ascii="Arial" w:hAnsi="Arial"/>
          <w:sz w:val="18"/>
          <w:szCs w:val="20"/>
        </w:rPr>
        <w:t>; table 4A.</w:t>
      </w:r>
      <w:r>
        <w:rPr>
          <w:rFonts w:ascii="Arial" w:hAnsi="Arial"/>
          <w:sz w:val="18"/>
          <w:szCs w:val="20"/>
        </w:rPr>
        <w:t>8</w:t>
      </w:r>
      <w:r w:rsidR="00E34421">
        <w:rPr>
          <w:rFonts w:ascii="Arial" w:hAnsi="Arial"/>
          <w:sz w:val="18"/>
          <w:szCs w:val="20"/>
        </w:rPr>
        <w:t>8</w:t>
      </w:r>
      <w:r w:rsidRPr="004708E3">
        <w:rPr>
          <w:rFonts w:ascii="Arial" w:hAnsi="Arial"/>
          <w:sz w:val="18"/>
          <w:szCs w:val="20"/>
        </w:rPr>
        <w:t>.</w:t>
      </w:r>
    </w:p>
    <w:p w:rsidR="00666ECE" w:rsidRPr="00666ECE" w:rsidRDefault="00666ECE" w:rsidP="00666ECE">
      <w:pPr>
        <w:keepNext/>
        <w:spacing w:before="480" w:line="320" w:lineRule="exact"/>
        <w:outlineLvl w:val="4"/>
        <w:rPr>
          <w:b/>
          <w:i/>
        </w:rPr>
      </w:pPr>
      <w:r w:rsidRPr="00666ECE">
        <w:rPr>
          <w:b/>
          <w:i/>
        </w:rPr>
        <w:t xml:space="preserve">NAPLAN </w:t>
      </w:r>
      <w:r w:rsidR="007425CD">
        <w:rPr>
          <w:b/>
          <w:i/>
        </w:rPr>
        <w:t xml:space="preserve">Persuasive </w:t>
      </w:r>
      <w:r w:rsidRPr="00666ECE">
        <w:rPr>
          <w:b/>
          <w:i/>
        </w:rPr>
        <w:t>Writing</w:t>
      </w:r>
    </w:p>
    <w:p w:rsidR="00953C11" w:rsidRDefault="00D62FAA" w:rsidP="00666ECE">
      <w:pPr>
        <w:spacing w:before="240" w:line="320" w:lineRule="atLeast"/>
        <w:jc w:val="both"/>
        <w:rPr>
          <w:szCs w:val="20"/>
        </w:rPr>
      </w:pPr>
      <w:r>
        <w:rPr>
          <w:szCs w:val="20"/>
        </w:rPr>
        <w:t>This section of the learning outcomes</w:t>
      </w:r>
      <w:r w:rsidR="00666ECE" w:rsidRPr="00666ECE">
        <w:rPr>
          <w:szCs w:val="20"/>
        </w:rPr>
        <w:t xml:space="preserve"> indicator provides key outcomes for NAPLAN testing (years 3, 5, 7 and 9) in the </w:t>
      </w:r>
      <w:r w:rsidR="00D948AA">
        <w:rPr>
          <w:szCs w:val="20"/>
        </w:rPr>
        <w:t xml:space="preserve">persuasive </w:t>
      </w:r>
      <w:r w:rsidR="00666ECE" w:rsidRPr="00666ECE">
        <w:rPr>
          <w:szCs w:val="20"/>
        </w:rPr>
        <w:t xml:space="preserve">writing domain. Indigenous outcomes are highlighted, but outcomes for a range of other equity groups including </w:t>
      </w:r>
      <w:r w:rsidR="00666ECE" w:rsidRPr="00666ECE">
        <w:rPr>
          <w:szCs w:val="20"/>
        </w:rPr>
        <w:lastRenderedPageBreak/>
        <w:t xml:space="preserve">male, female, LBOTE, geolocation and socio-economic status (parental education and parental occupation) </w:t>
      </w:r>
      <w:r w:rsidR="003E2CB5">
        <w:rPr>
          <w:szCs w:val="20"/>
        </w:rPr>
        <w:t>for 201</w:t>
      </w:r>
      <w:r w:rsidR="006135F8">
        <w:rPr>
          <w:szCs w:val="20"/>
        </w:rPr>
        <w:t>2</w:t>
      </w:r>
      <w:r w:rsidR="003E2CB5">
        <w:rPr>
          <w:szCs w:val="20"/>
        </w:rPr>
        <w:t xml:space="preserve"> </w:t>
      </w:r>
      <w:r w:rsidR="00666ECE" w:rsidRPr="00666ECE">
        <w:rPr>
          <w:szCs w:val="20"/>
        </w:rPr>
        <w:t>are included in</w:t>
      </w:r>
      <w:r w:rsidR="00746562">
        <w:rPr>
          <w:szCs w:val="20"/>
        </w:rPr>
        <w:t xml:space="preserve"> </w:t>
      </w:r>
      <w:r w:rsidR="00666ECE" w:rsidRPr="00666ECE">
        <w:rPr>
          <w:szCs w:val="20"/>
        </w:rPr>
        <w:t>tables</w:t>
      </w:r>
      <w:r w:rsidR="00746562">
        <w:rPr>
          <w:szCs w:val="20"/>
        </w:rPr>
        <w:t xml:space="preserve"> </w:t>
      </w:r>
      <w:r w:rsidR="00666ECE" w:rsidRPr="00666ECE">
        <w:rPr>
          <w:szCs w:val="20"/>
        </w:rPr>
        <w:t>4A.</w:t>
      </w:r>
      <w:r w:rsidR="005303EE">
        <w:rPr>
          <w:szCs w:val="20"/>
        </w:rPr>
        <w:t>5</w:t>
      </w:r>
      <w:r w:rsidR="00E34421">
        <w:rPr>
          <w:szCs w:val="20"/>
        </w:rPr>
        <w:t>4</w:t>
      </w:r>
      <w:r w:rsidR="00666ECE" w:rsidRPr="00666ECE">
        <w:rPr>
          <w:szCs w:val="20"/>
        </w:rPr>
        <w:t>–</w:t>
      </w:r>
      <w:r w:rsidR="00E34421">
        <w:rPr>
          <w:szCs w:val="20"/>
        </w:rPr>
        <w:t>70</w:t>
      </w:r>
      <w:r w:rsidR="00666ECE" w:rsidRPr="00666ECE">
        <w:rPr>
          <w:szCs w:val="20"/>
        </w:rPr>
        <w:t>.</w:t>
      </w:r>
      <w:r w:rsidR="003E2CB5">
        <w:rPr>
          <w:szCs w:val="20"/>
        </w:rPr>
        <w:t xml:space="preserve"> </w:t>
      </w:r>
    </w:p>
    <w:p w:rsidR="00666ECE" w:rsidRPr="00004B66" w:rsidRDefault="00666ECE" w:rsidP="00666ECE">
      <w:pPr>
        <w:spacing w:before="240" w:line="320" w:lineRule="atLeast"/>
        <w:jc w:val="both"/>
        <w:rPr>
          <w:szCs w:val="20"/>
        </w:rPr>
      </w:pPr>
      <w:r w:rsidRPr="00666ECE">
        <w:rPr>
          <w:szCs w:val="20"/>
        </w:rPr>
        <w:t xml:space="preserve">The proportion of year </w:t>
      </w:r>
      <w:r w:rsidR="00004B66">
        <w:rPr>
          <w:szCs w:val="20"/>
        </w:rPr>
        <w:t>3</w:t>
      </w:r>
      <w:r w:rsidRPr="00666ECE">
        <w:rPr>
          <w:szCs w:val="20"/>
        </w:rPr>
        <w:t xml:space="preserve"> students who achieved </w:t>
      </w:r>
      <w:r w:rsidRPr="00004B66">
        <w:rPr>
          <w:szCs w:val="20"/>
        </w:rPr>
        <w:t xml:space="preserve">at or above the </w:t>
      </w:r>
      <w:r w:rsidR="00FC486F" w:rsidRPr="00004B66">
        <w:rPr>
          <w:szCs w:val="20"/>
        </w:rPr>
        <w:t xml:space="preserve">persuasive </w:t>
      </w:r>
      <w:r w:rsidRPr="00004B66">
        <w:rPr>
          <w:szCs w:val="20"/>
        </w:rPr>
        <w:t>writing national minimum standard in 201</w:t>
      </w:r>
      <w:r w:rsidR="006135F8" w:rsidRPr="00004B66">
        <w:rPr>
          <w:szCs w:val="20"/>
        </w:rPr>
        <w:t>2</w:t>
      </w:r>
      <w:r w:rsidRPr="00004B66">
        <w:rPr>
          <w:szCs w:val="20"/>
        </w:rPr>
        <w:t xml:space="preserve"> was </w:t>
      </w:r>
      <w:r w:rsidR="007E6BD3" w:rsidRPr="00004B66">
        <w:rPr>
          <w:szCs w:val="20"/>
        </w:rPr>
        <w:t>95.1</w:t>
      </w:r>
      <w:r w:rsidRPr="00004B66">
        <w:rPr>
          <w:szCs w:val="20"/>
        </w:rPr>
        <w:t>–</w:t>
      </w:r>
      <w:r w:rsidR="007E6BD3" w:rsidRPr="00004B66">
        <w:rPr>
          <w:szCs w:val="20"/>
        </w:rPr>
        <w:t>95.5</w:t>
      </w:r>
      <w:r w:rsidRPr="00004B66">
        <w:rPr>
          <w:szCs w:val="20"/>
        </w:rPr>
        <w:t xml:space="preserve"> per cent nationally. The proportion of Indigenous students (</w:t>
      </w:r>
      <w:r w:rsidR="00004B66" w:rsidRPr="00004B66">
        <w:rPr>
          <w:szCs w:val="20"/>
        </w:rPr>
        <w:t>76.6</w:t>
      </w:r>
      <w:r w:rsidR="005303EE" w:rsidRPr="00004B66">
        <w:rPr>
          <w:szCs w:val="20"/>
        </w:rPr>
        <w:t>–</w:t>
      </w:r>
      <w:r w:rsidR="00004B66" w:rsidRPr="00004B66">
        <w:rPr>
          <w:szCs w:val="20"/>
        </w:rPr>
        <w:t>80.0</w:t>
      </w:r>
      <w:r w:rsidR="005303EE" w:rsidRPr="00004B66">
        <w:rPr>
          <w:szCs w:val="20"/>
        </w:rPr>
        <w:t xml:space="preserve"> </w:t>
      </w:r>
      <w:r w:rsidRPr="00004B66">
        <w:rPr>
          <w:szCs w:val="20"/>
        </w:rPr>
        <w:t>per cent) was significantly lower than for non</w:t>
      </w:r>
      <w:r w:rsidRPr="00004B66">
        <w:rPr>
          <w:szCs w:val="20"/>
        </w:rPr>
        <w:noBreakHyphen/>
        <w:t>Indigenous students (</w:t>
      </w:r>
      <w:r w:rsidR="007E6BD3" w:rsidRPr="00004B66">
        <w:rPr>
          <w:szCs w:val="20"/>
        </w:rPr>
        <w:t>96.</w:t>
      </w:r>
      <w:r w:rsidR="00004B66" w:rsidRPr="00004B66">
        <w:rPr>
          <w:szCs w:val="20"/>
        </w:rPr>
        <w:t>3</w:t>
      </w:r>
      <w:r w:rsidR="005303EE" w:rsidRPr="00004B66">
        <w:rPr>
          <w:szCs w:val="20"/>
        </w:rPr>
        <w:t>–</w:t>
      </w:r>
      <w:r w:rsidR="007E6BD3" w:rsidRPr="00004B66">
        <w:rPr>
          <w:szCs w:val="20"/>
        </w:rPr>
        <w:t>96.</w:t>
      </w:r>
      <w:r w:rsidR="00004B66" w:rsidRPr="00004B66">
        <w:rPr>
          <w:szCs w:val="20"/>
        </w:rPr>
        <w:t>5</w:t>
      </w:r>
      <w:r w:rsidR="007E6BD3" w:rsidRPr="00004B66">
        <w:rPr>
          <w:szCs w:val="20"/>
        </w:rPr>
        <w:t xml:space="preserve"> </w:t>
      </w:r>
      <w:r w:rsidRPr="00004B66">
        <w:rPr>
          <w:szCs w:val="20"/>
        </w:rPr>
        <w:t>per cent). These proportions varied across jurisdictions (figure 4.4</w:t>
      </w:r>
      <w:r w:rsidR="00535E89" w:rsidRPr="00004B66">
        <w:rPr>
          <w:szCs w:val="20"/>
        </w:rPr>
        <w:t>1</w:t>
      </w:r>
      <w:r w:rsidRPr="00004B66">
        <w:rPr>
          <w:szCs w:val="20"/>
        </w:rPr>
        <w:t>).</w:t>
      </w:r>
    </w:p>
    <w:p w:rsidR="00666ECE" w:rsidRPr="00666ECE" w:rsidRDefault="00666ECE" w:rsidP="006B35ED">
      <w:pPr>
        <w:pStyle w:val="FigureTitle"/>
        <w:rPr>
          <w:position w:val="6"/>
          <w:sz w:val="18"/>
        </w:rPr>
      </w:pPr>
      <w:r w:rsidRPr="00B64D68">
        <w:rPr>
          <w:b w:val="0"/>
        </w:rPr>
        <w:t xml:space="preserve">Figure </w:t>
      </w:r>
      <w:r w:rsidR="00EB256F" w:rsidRPr="00B64D68">
        <w:rPr>
          <w:b w:val="0"/>
        </w:rPr>
        <w:t>4.</w:t>
      </w:r>
      <w:r w:rsidR="00EC06F7" w:rsidRPr="00B64D68">
        <w:rPr>
          <w:b w:val="0"/>
          <w:noProof/>
        </w:rPr>
        <w:t>41</w:t>
      </w:r>
      <w:r w:rsidRPr="00CB2928">
        <w:tab/>
        <w:t xml:space="preserve">Proportion of year 3 students achieving at or above the </w:t>
      </w:r>
      <w:r w:rsidR="007425CD" w:rsidRPr="00CB2928">
        <w:t xml:space="preserve">persuasive </w:t>
      </w:r>
      <w:r w:rsidRPr="00CB2928">
        <w:t>writing national minimum standard, 201</w:t>
      </w:r>
      <w:r w:rsidR="006135F8" w:rsidRPr="00CB2928">
        <w:t>2</w:t>
      </w:r>
      <w:r w:rsidRPr="00CB292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42" name="Picture 42" descr="Figure 4.41 Proportion of year 3 students achieving at or above the persuasive writ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5303EE">
        <w:rPr>
          <w:rFonts w:ascii="Arial" w:hAnsi="Arial"/>
          <w:sz w:val="18"/>
          <w:szCs w:val="20"/>
        </w:rPr>
        <w:t>5</w:t>
      </w:r>
      <w:r w:rsidR="00E34421">
        <w:rPr>
          <w:rFonts w:ascii="Arial" w:hAnsi="Arial"/>
          <w:sz w:val="18"/>
          <w:szCs w:val="20"/>
        </w:rPr>
        <w:t>4</w:t>
      </w:r>
      <w:r w:rsidRPr="00666ECE">
        <w:rPr>
          <w:rFonts w:ascii="Arial" w:hAnsi="Arial"/>
          <w:sz w:val="18"/>
          <w:szCs w:val="20"/>
        </w:rPr>
        <w:t>.</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6135F8">
        <w:rPr>
          <w:rFonts w:ascii="Arial" w:hAnsi="Arial"/>
          <w:sz w:val="18"/>
          <w:szCs w:val="20"/>
        </w:rPr>
        <w:t>2</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sidR="006135F8">
        <w:rPr>
          <w:rFonts w:ascii="Arial" w:hAnsi="Arial"/>
          <w:i/>
          <w:sz w:val="18"/>
          <w:szCs w:val="20"/>
        </w:rPr>
        <w:t>2</w:t>
      </w:r>
      <w:r w:rsidRPr="00666ECE">
        <w:rPr>
          <w:rFonts w:ascii="Arial" w:hAnsi="Arial"/>
          <w:sz w:val="18"/>
          <w:szCs w:val="20"/>
        </w:rPr>
        <w:t>; table 4A.</w:t>
      </w:r>
      <w:r w:rsidR="005303EE">
        <w:rPr>
          <w:rFonts w:ascii="Arial" w:hAnsi="Arial"/>
          <w:sz w:val="18"/>
          <w:szCs w:val="20"/>
        </w:rPr>
        <w:t>5</w:t>
      </w:r>
      <w:r w:rsidR="00E34421">
        <w:rPr>
          <w:rFonts w:ascii="Arial" w:hAnsi="Arial"/>
          <w:sz w:val="18"/>
          <w:szCs w:val="20"/>
        </w:rPr>
        <w:t>4</w:t>
      </w:r>
      <w:r w:rsidRPr="00666ECE">
        <w:rPr>
          <w:rFonts w:ascii="Arial" w:hAnsi="Arial"/>
          <w:sz w:val="18"/>
          <w:szCs w:val="20"/>
        </w:rPr>
        <w:t>.</w:t>
      </w:r>
    </w:p>
    <w:p w:rsidR="00666ECE" w:rsidRPr="00004B66" w:rsidRDefault="00666ECE" w:rsidP="00666ECE">
      <w:pPr>
        <w:spacing w:before="240" w:line="320" w:lineRule="atLeast"/>
        <w:jc w:val="both"/>
        <w:rPr>
          <w:szCs w:val="20"/>
        </w:rPr>
      </w:pPr>
      <w:r w:rsidRPr="00666ECE">
        <w:rPr>
          <w:szCs w:val="20"/>
        </w:rPr>
        <w:t>Nationally</w:t>
      </w:r>
      <w:r w:rsidR="00535E89">
        <w:rPr>
          <w:szCs w:val="20"/>
        </w:rPr>
        <w:t xml:space="preserve"> in 201</w:t>
      </w:r>
      <w:r w:rsidR="006135F8">
        <w:rPr>
          <w:szCs w:val="20"/>
        </w:rPr>
        <w:t>2</w:t>
      </w:r>
      <w:r w:rsidRPr="00666ECE">
        <w:rPr>
          <w:szCs w:val="20"/>
        </w:rPr>
        <w:t xml:space="preserve">, the mean scale score for </w:t>
      </w:r>
      <w:r w:rsidRPr="00004B66">
        <w:rPr>
          <w:szCs w:val="20"/>
        </w:rPr>
        <w:t xml:space="preserve">year 3 </w:t>
      </w:r>
      <w:r w:rsidR="0016188E">
        <w:rPr>
          <w:szCs w:val="20"/>
        </w:rPr>
        <w:t xml:space="preserve">persuasive </w:t>
      </w:r>
      <w:r w:rsidRPr="00004B66">
        <w:rPr>
          <w:szCs w:val="20"/>
        </w:rPr>
        <w:t xml:space="preserve">writing for all students was </w:t>
      </w:r>
      <w:r w:rsidR="00004B66" w:rsidRPr="00004B66">
        <w:rPr>
          <w:szCs w:val="20"/>
        </w:rPr>
        <w:t>414.9–</w:t>
      </w:r>
      <w:r w:rsidR="00FD0D28" w:rsidRPr="00004B66">
        <w:rPr>
          <w:szCs w:val="20"/>
        </w:rPr>
        <w:t>416.</w:t>
      </w:r>
      <w:r w:rsidR="00004B66" w:rsidRPr="00004B66">
        <w:rPr>
          <w:szCs w:val="20"/>
        </w:rPr>
        <w:t>7</w:t>
      </w:r>
      <w:r w:rsidRPr="00004B66">
        <w:rPr>
          <w:szCs w:val="20"/>
        </w:rPr>
        <w:t xml:space="preserve">. The mean scale score for Indigenous students </w:t>
      </w:r>
      <w:r w:rsidR="005360D5">
        <w:rPr>
          <w:szCs w:val="20"/>
        </w:rPr>
        <w:br/>
      </w:r>
      <w:r w:rsidRPr="00004B66">
        <w:rPr>
          <w:szCs w:val="20"/>
        </w:rPr>
        <w:t>(</w:t>
      </w:r>
      <w:r w:rsidR="00004B66" w:rsidRPr="00004B66">
        <w:rPr>
          <w:szCs w:val="20"/>
        </w:rPr>
        <w:t>335.0</w:t>
      </w:r>
      <w:r w:rsidR="005303EE" w:rsidRPr="00004B66">
        <w:rPr>
          <w:szCs w:val="20"/>
        </w:rPr>
        <w:t>–</w:t>
      </w:r>
      <w:r w:rsidR="00004B66" w:rsidRPr="00004B66">
        <w:rPr>
          <w:szCs w:val="20"/>
        </w:rPr>
        <w:t>344.6</w:t>
      </w:r>
      <w:r w:rsidRPr="00004B66">
        <w:rPr>
          <w:szCs w:val="20"/>
        </w:rPr>
        <w:t xml:space="preserve">) was significantly lower than for non-Indigenous students </w:t>
      </w:r>
      <w:r w:rsidR="005360D5">
        <w:rPr>
          <w:szCs w:val="20"/>
        </w:rPr>
        <w:br/>
      </w:r>
      <w:r w:rsidRPr="00004B66">
        <w:rPr>
          <w:szCs w:val="20"/>
        </w:rPr>
        <w:t>(</w:t>
      </w:r>
      <w:r w:rsidR="00FD0D28" w:rsidRPr="00004B66">
        <w:rPr>
          <w:szCs w:val="20"/>
        </w:rPr>
        <w:t>419.3</w:t>
      </w:r>
      <w:r w:rsidR="005303EE" w:rsidRPr="00004B66">
        <w:rPr>
          <w:szCs w:val="20"/>
        </w:rPr>
        <w:t>–</w:t>
      </w:r>
      <w:r w:rsidR="00FD0D28" w:rsidRPr="00004B66">
        <w:rPr>
          <w:szCs w:val="20"/>
        </w:rPr>
        <w:t>420.9</w:t>
      </w:r>
      <w:r w:rsidRPr="00004B66">
        <w:rPr>
          <w:szCs w:val="20"/>
        </w:rPr>
        <w:t>). Mean scale scores varied across jurisdictions (figure 4.4</w:t>
      </w:r>
      <w:r w:rsidR="006E4E1C" w:rsidRPr="00004B66">
        <w:rPr>
          <w:szCs w:val="20"/>
        </w:rPr>
        <w:t>2</w:t>
      </w:r>
      <w:r w:rsidRPr="00004B66">
        <w:rPr>
          <w:szCs w:val="20"/>
        </w:rPr>
        <w:t>).</w:t>
      </w:r>
    </w:p>
    <w:p w:rsidR="00666ECE" w:rsidRPr="00666ECE" w:rsidRDefault="00666ECE" w:rsidP="006B35ED">
      <w:pPr>
        <w:pStyle w:val="FigureTitle"/>
      </w:pPr>
      <w:r w:rsidRPr="00B64D68">
        <w:rPr>
          <w:b w:val="0"/>
        </w:rPr>
        <w:lastRenderedPageBreak/>
        <w:t xml:space="preserve">Figure </w:t>
      </w:r>
      <w:r w:rsidR="00EB256F" w:rsidRPr="00B64D68">
        <w:rPr>
          <w:b w:val="0"/>
        </w:rPr>
        <w:t>4.</w:t>
      </w:r>
      <w:r w:rsidR="00EC06F7" w:rsidRPr="00B64D68">
        <w:rPr>
          <w:b w:val="0"/>
          <w:noProof/>
        </w:rPr>
        <w:t>42</w:t>
      </w:r>
      <w:r w:rsidRPr="00666ECE">
        <w:tab/>
      </w:r>
      <w:r w:rsidRPr="003E08B1">
        <w:t>Mean scale scores for year 3 students</w:t>
      </w:r>
      <w:r w:rsidR="000B7ACD" w:rsidRPr="003E08B1">
        <w:t>,</w:t>
      </w:r>
      <w:r w:rsidRPr="003E08B1">
        <w:t xml:space="preserve"> </w:t>
      </w:r>
      <w:r w:rsidR="007425CD" w:rsidRPr="003E08B1">
        <w:t xml:space="preserve">persuasive </w:t>
      </w:r>
      <w:r w:rsidRPr="003E08B1">
        <w:t>writing, 201</w:t>
      </w:r>
      <w:r w:rsidR="006135F8" w:rsidRPr="003E08B1">
        <w:t>2</w:t>
      </w:r>
      <w:r w:rsidRPr="003E08B1">
        <w:rPr>
          <w:position w:val="6"/>
          <w:sz w:val="18"/>
        </w:rPr>
        <w:t>a, b</w:t>
      </w:r>
      <w:r w:rsidRPr="003E08B1">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666ECE">
            <w:pPr>
              <w:keepNext/>
              <w:spacing w:before="120" w:after="120" w:line="240" w:lineRule="atLeast"/>
              <w:jc w:val="center"/>
              <w:rPr>
                <w:szCs w:val="20"/>
              </w:rPr>
            </w:pPr>
            <w:r>
              <w:rPr>
                <w:noProof/>
                <w:szCs w:val="20"/>
              </w:rPr>
              <w:drawing>
                <wp:inline distT="0" distB="0" distL="0" distR="0">
                  <wp:extent cx="5391150" cy="2695575"/>
                  <wp:effectExtent l="0" t="0" r="0" b="9525"/>
                  <wp:docPr id="43" name="Picture 43" descr="Figure 4.42 Mean scale scores for year 3 students, persuasive writ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66ECE" w:rsidRPr="00666ECE" w:rsidRDefault="00666ECE" w:rsidP="00666ECE">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sidR="005303EE">
        <w:rPr>
          <w:rFonts w:ascii="Arial" w:hAnsi="Arial"/>
          <w:sz w:val="18"/>
          <w:szCs w:val="20"/>
        </w:rPr>
        <w:t>5</w:t>
      </w:r>
      <w:r w:rsidR="00E34421">
        <w:rPr>
          <w:rFonts w:ascii="Arial" w:hAnsi="Arial"/>
          <w:sz w:val="18"/>
          <w:szCs w:val="20"/>
        </w:rPr>
        <w:t>7</w:t>
      </w:r>
      <w:r w:rsidRPr="00666ECE">
        <w:rPr>
          <w:rFonts w:ascii="Arial" w:hAnsi="Arial"/>
          <w:sz w:val="18"/>
          <w:szCs w:val="20"/>
        </w:rPr>
        <w:t>.</w:t>
      </w:r>
    </w:p>
    <w:p w:rsid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sidR="006135F8">
        <w:rPr>
          <w:rFonts w:ascii="Arial" w:hAnsi="Arial"/>
          <w:sz w:val="18"/>
          <w:szCs w:val="20"/>
        </w:rPr>
        <w:t>2</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sidR="006135F8">
        <w:rPr>
          <w:rFonts w:ascii="Arial" w:hAnsi="Arial"/>
          <w:i/>
          <w:sz w:val="18"/>
          <w:szCs w:val="20"/>
        </w:rPr>
        <w:t>2</w:t>
      </w:r>
      <w:r w:rsidRPr="00666ECE">
        <w:rPr>
          <w:rFonts w:ascii="Arial" w:hAnsi="Arial"/>
          <w:sz w:val="18"/>
          <w:szCs w:val="20"/>
        </w:rPr>
        <w:t>; table 4A.</w:t>
      </w:r>
      <w:r w:rsidR="005303EE">
        <w:rPr>
          <w:rFonts w:ascii="Arial" w:hAnsi="Arial"/>
          <w:sz w:val="18"/>
          <w:szCs w:val="20"/>
        </w:rPr>
        <w:t>5</w:t>
      </w:r>
      <w:r w:rsidR="00E34421">
        <w:rPr>
          <w:rFonts w:ascii="Arial" w:hAnsi="Arial"/>
          <w:sz w:val="18"/>
          <w:szCs w:val="20"/>
        </w:rPr>
        <w:t>7</w:t>
      </w:r>
      <w:r w:rsidRPr="00666ECE">
        <w:rPr>
          <w:rFonts w:ascii="Arial" w:hAnsi="Arial"/>
          <w:sz w:val="18"/>
          <w:szCs w:val="20"/>
        </w:rPr>
        <w:t>.</w:t>
      </w:r>
    </w:p>
    <w:p w:rsidR="009223BC" w:rsidRPr="00666ECE" w:rsidRDefault="009223BC" w:rsidP="00104AF2">
      <w:pPr>
        <w:shd w:val="clear" w:color="auto" w:fill="FFFFFF" w:themeFill="background1"/>
        <w:spacing w:before="240" w:line="320" w:lineRule="atLeast"/>
        <w:jc w:val="both"/>
        <w:rPr>
          <w:i/>
          <w:szCs w:val="20"/>
        </w:rPr>
      </w:pPr>
      <w:r w:rsidRPr="00666ECE">
        <w:rPr>
          <w:i/>
          <w:szCs w:val="20"/>
        </w:rPr>
        <w:t>Geolocation</w:t>
      </w:r>
    </w:p>
    <w:p w:rsidR="009223BC" w:rsidRPr="000A554E" w:rsidRDefault="009223BC" w:rsidP="00104AF2">
      <w:pPr>
        <w:shd w:val="clear" w:color="auto" w:fill="FFFFFF" w:themeFill="background1"/>
        <w:spacing w:before="240" w:line="320" w:lineRule="atLeast"/>
        <w:jc w:val="both"/>
        <w:rPr>
          <w:szCs w:val="20"/>
        </w:rPr>
      </w:pPr>
      <w:r w:rsidRPr="00666ECE">
        <w:rPr>
          <w:szCs w:val="20"/>
        </w:rPr>
        <w:t xml:space="preserve">Across all year levels, </w:t>
      </w:r>
      <w:r>
        <w:rPr>
          <w:szCs w:val="20"/>
        </w:rPr>
        <w:t>persuasive writing</w:t>
      </w:r>
      <w:r w:rsidRPr="00891EF6">
        <w:rPr>
          <w:szCs w:val="20"/>
        </w:rPr>
        <w:t xml:space="preserve"> outcomes tended to decline with remoteness. For year </w:t>
      </w:r>
      <w:r>
        <w:rPr>
          <w:szCs w:val="20"/>
        </w:rPr>
        <w:t>3</w:t>
      </w:r>
      <w:r w:rsidRPr="00891EF6">
        <w:rPr>
          <w:szCs w:val="20"/>
        </w:rPr>
        <w:t xml:space="preserve">, for </w:t>
      </w:r>
      <w:r w:rsidRPr="000A554E">
        <w:rPr>
          <w:szCs w:val="20"/>
        </w:rPr>
        <w:t xml:space="preserve">example, </w:t>
      </w:r>
      <w:r>
        <w:rPr>
          <w:szCs w:val="20"/>
        </w:rPr>
        <w:t>96.0</w:t>
      </w:r>
      <w:r w:rsidRPr="000A554E">
        <w:rPr>
          <w:szCs w:val="20"/>
        </w:rPr>
        <w:t>–</w:t>
      </w:r>
      <w:r>
        <w:rPr>
          <w:szCs w:val="20"/>
        </w:rPr>
        <w:t>96.4</w:t>
      </w:r>
      <w:r w:rsidRPr="000A554E">
        <w:rPr>
          <w:szCs w:val="20"/>
        </w:rPr>
        <w:t xml:space="preserve"> per cent of students in metropolitan areas achieved at or above the national minimum standard, higher than the proportion for provincial students </w:t>
      </w:r>
      <w:r w:rsidR="00E161F4">
        <w:rPr>
          <w:szCs w:val="20"/>
        </w:rPr>
        <w:t>(</w:t>
      </w:r>
      <w:r w:rsidRPr="000A554E">
        <w:rPr>
          <w:szCs w:val="20"/>
        </w:rPr>
        <w:t>9</w:t>
      </w:r>
      <w:r>
        <w:rPr>
          <w:szCs w:val="20"/>
        </w:rPr>
        <w:t>4</w:t>
      </w:r>
      <w:r w:rsidRPr="000A554E">
        <w:rPr>
          <w:szCs w:val="20"/>
        </w:rPr>
        <w:t>.</w:t>
      </w:r>
      <w:r>
        <w:rPr>
          <w:szCs w:val="20"/>
        </w:rPr>
        <w:t>3</w:t>
      </w:r>
      <w:r w:rsidRPr="000A554E">
        <w:rPr>
          <w:szCs w:val="20"/>
        </w:rPr>
        <w:t>–9</w:t>
      </w:r>
      <w:r>
        <w:rPr>
          <w:szCs w:val="20"/>
        </w:rPr>
        <w:t>4</w:t>
      </w:r>
      <w:r w:rsidRPr="000A554E">
        <w:rPr>
          <w:szCs w:val="20"/>
        </w:rPr>
        <w:t>.</w:t>
      </w:r>
      <w:r>
        <w:rPr>
          <w:szCs w:val="20"/>
        </w:rPr>
        <w:t>9</w:t>
      </w:r>
      <w:r w:rsidRPr="000A554E">
        <w:rPr>
          <w:szCs w:val="20"/>
        </w:rPr>
        <w:t xml:space="preserve"> per cent), remote students </w:t>
      </w:r>
      <w:r w:rsidR="00945F46">
        <w:rPr>
          <w:szCs w:val="20"/>
        </w:rPr>
        <w:br/>
      </w:r>
      <w:r w:rsidRPr="000A554E">
        <w:rPr>
          <w:szCs w:val="20"/>
        </w:rPr>
        <w:t>(</w:t>
      </w:r>
      <w:r>
        <w:rPr>
          <w:szCs w:val="20"/>
        </w:rPr>
        <w:t>85.2</w:t>
      </w:r>
      <w:r w:rsidRPr="000A554E">
        <w:rPr>
          <w:szCs w:val="20"/>
        </w:rPr>
        <w:t>–</w:t>
      </w:r>
      <w:r>
        <w:rPr>
          <w:szCs w:val="20"/>
        </w:rPr>
        <w:t>90</w:t>
      </w:r>
      <w:r w:rsidRPr="000A554E">
        <w:rPr>
          <w:szCs w:val="20"/>
        </w:rPr>
        <w:t>.2</w:t>
      </w:r>
      <w:r>
        <w:rPr>
          <w:szCs w:val="20"/>
        </w:rPr>
        <w:t> </w:t>
      </w:r>
      <w:r w:rsidRPr="000A554E">
        <w:rPr>
          <w:szCs w:val="20"/>
        </w:rPr>
        <w:t>per cent) and very remote students (</w:t>
      </w:r>
      <w:r>
        <w:rPr>
          <w:szCs w:val="20"/>
        </w:rPr>
        <w:t>52.8</w:t>
      </w:r>
      <w:r w:rsidRPr="000A554E">
        <w:rPr>
          <w:szCs w:val="20"/>
        </w:rPr>
        <w:t>–</w:t>
      </w:r>
      <w:r>
        <w:rPr>
          <w:szCs w:val="20"/>
        </w:rPr>
        <w:t>65.6</w:t>
      </w:r>
      <w:r w:rsidRPr="000A554E">
        <w:rPr>
          <w:szCs w:val="20"/>
        </w:rPr>
        <w:t xml:space="preserve"> per cent) (</w:t>
      </w:r>
      <w:r w:rsidRPr="00945F46">
        <w:rPr>
          <w:szCs w:val="20"/>
        </w:rPr>
        <w:t>figure 4.4</w:t>
      </w:r>
      <w:r w:rsidR="00945F46" w:rsidRPr="00945F46">
        <w:rPr>
          <w:szCs w:val="20"/>
        </w:rPr>
        <w:t>3</w:t>
      </w:r>
      <w:r w:rsidRPr="000A554E">
        <w:rPr>
          <w:szCs w:val="20"/>
        </w:rPr>
        <w:t>).</w:t>
      </w:r>
    </w:p>
    <w:p w:rsidR="009223BC" w:rsidRPr="00666ECE" w:rsidRDefault="009223BC" w:rsidP="00104AF2">
      <w:pPr>
        <w:shd w:val="clear" w:color="auto" w:fill="FFFFFF" w:themeFill="background1"/>
        <w:spacing w:before="240" w:line="320" w:lineRule="atLeast"/>
        <w:jc w:val="both"/>
        <w:rPr>
          <w:szCs w:val="20"/>
        </w:rPr>
      </w:pPr>
      <w:r w:rsidRPr="00666ECE">
        <w:rPr>
          <w:szCs w:val="20"/>
        </w:rPr>
        <w:t xml:space="preserve">For all geolocation categories across years 3, 5, 7 and 9, the </w:t>
      </w:r>
      <w:r w:rsidR="00945F46">
        <w:rPr>
          <w:szCs w:val="20"/>
        </w:rPr>
        <w:t>persuasive writing</w:t>
      </w:r>
      <w:r w:rsidRPr="00666ECE">
        <w:rPr>
          <w:szCs w:val="20"/>
        </w:rPr>
        <w:t xml:space="preserve"> outcomes nationally for Indigenous students were lower than those for non</w:t>
      </w:r>
      <w:r w:rsidR="00E161F4">
        <w:rPr>
          <w:szCs w:val="20"/>
        </w:rPr>
        <w:noBreakHyphen/>
      </w:r>
      <w:r w:rsidRPr="00666ECE">
        <w:rPr>
          <w:szCs w:val="20"/>
        </w:rPr>
        <w:t xml:space="preserve">Indigenous students. Nationally, outcomes for Indigenous students generally declined as remoteness increased, and </w:t>
      </w:r>
      <w:r w:rsidRPr="00666ECE">
        <w:rPr>
          <w:szCs w:val="26"/>
        </w:rPr>
        <w:t>the gap in learning outcomes between Indigenous studen</w:t>
      </w:r>
      <w:r>
        <w:rPr>
          <w:szCs w:val="26"/>
        </w:rPr>
        <w:t xml:space="preserve">ts and non-Indigenous students </w:t>
      </w:r>
      <w:r w:rsidRPr="00666ECE">
        <w:rPr>
          <w:szCs w:val="26"/>
        </w:rPr>
        <w:t>was generally greater in remote and very remote areas than in metropolitan and provincial areas.</w:t>
      </w:r>
    </w:p>
    <w:p w:rsidR="009223BC" w:rsidRPr="00666ECE" w:rsidRDefault="009223BC" w:rsidP="00104AF2">
      <w:pPr>
        <w:shd w:val="clear" w:color="auto" w:fill="FFFFFF" w:themeFill="background1"/>
        <w:spacing w:before="240" w:line="320" w:lineRule="atLeast"/>
        <w:jc w:val="both"/>
        <w:rPr>
          <w:szCs w:val="20"/>
        </w:rPr>
      </w:pPr>
      <w:r w:rsidRPr="00666ECE">
        <w:rPr>
          <w:szCs w:val="20"/>
        </w:rPr>
        <w:t xml:space="preserve">State and Territory results by Indigenous status and geolocation for years 3, 5, 7 </w:t>
      </w:r>
      <w:r w:rsidR="00E161F4">
        <w:rPr>
          <w:szCs w:val="20"/>
        </w:rPr>
        <w:br/>
      </w:r>
      <w:r w:rsidRPr="00666ECE">
        <w:rPr>
          <w:szCs w:val="20"/>
        </w:rPr>
        <w:t xml:space="preserve">and 9 </w:t>
      </w:r>
      <w:r w:rsidR="00241EB3">
        <w:rPr>
          <w:szCs w:val="20"/>
        </w:rPr>
        <w:t>persuasive writing</w:t>
      </w:r>
      <w:r w:rsidRPr="00666ECE">
        <w:rPr>
          <w:szCs w:val="20"/>
        </w:rPr>
        <w:t xml:space="preserve"> are in table 4A.</w:t>
      </w:r>
      <w:r>
        <w:rPr>
          <w:szCs w:val="20"/>
        </w:rPr>
        <w:t>55</w:t>
      </w:r>
      <w:r w:rsidRPr="00666ECE">
        <w:rPr>
          <w:szCs w:val="20"/>
        </w:rPr>
        <w:t>.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w:t>
      </w:r>
      <w:r w:rsidR="00E161F4">
        <w:rPr>
          <w:szCs w:val="20"/>
        </w:rPr>
        <w:t> </w:t>
      </w:r>
      <w:r w:rsidRPr="00666ECE">
        <w:rPr>
          <w:szCs w:val="20"/>
        </w:rPr>
        <w:t>4A.</w:t>
      </w:r>
      <w:r>
        <w:rPr>
          <w:szCs w:val="20"/>
        </w:rPr>
        <w:t>58</w:t>
      </w:r>
      <w:r w:rsidRPr="00666ECE">
        <w:rPr>
          <w:szCs w:val="20"/>
        </w:rPr>
        <w:t>.</w:t>
      </w:r>
    </w:p>
    <w:p w:rsidR="009223BC" w:rsidRDefault="009223BC" w:rsidP="00104AF2">
      <w:pPr>
        <w:pStyle w:val="FigureTitle"/>
        <w:shd w:val="clear" w:color="auto" w:fill="FFFFFF" w:themeFill="background1"/>
      </w:pPr>
      <w:r w:rsidRPr="00B64D68">
        <w:rPr>
          <w:b w:val="0"/>
        </w:rPr>
        <w:lastRenderedPageBreak/>
        <w:t>Figure 4.</w:t>
      </w:r>
      <w:r w:rsidR="00EC06F7" w:rsidRPr="00B64D68">
        <w:rPr>
          <w:b w:val="0"/>
        </w:rPr>
        <w:t>43</w:t>
      </w:r>
      <w:r w:rsidRPr="006B35ED">
        <w:tab/>
        <w:t xml:space="preserve">National proportion of year 3 students achieving at or above the </w:t>
      </w:r>
      <w:r w:rsidR="00B64D68" w:rsidRPr="00CB2928">
        <w:t>persuasive writing</w:t>
      </w:r>
      <w:r w:rsidRPr="006B35ED">
        <w:t xml:space="preserve"> national minimum standard, by Indigenous status and geolocation, 2012</w:t>
      </w:r>
      <w:r w:rsidRPr="009223BC">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223BC">
        <w:tc>
          <w:tcPr>
            <w:tcW w:w="8777" w:type="dxa"/>
          </w:tcPr>
          <w:p w:rsidR="009223BC" w:rsidRDefault="008B34BD" w:rsidP="00104AF2">
            <w:pPr>
              <w:pStyle w:val="Figure"/>
              <w:shd w:val="clear" w:color="auto" w:fill="FFFFFF" w:themeFill="background1"/>
            </w:pPr>
            <w:r>
              <w:rPr>
                <w:noProof/>
              </w:rPr>
              <w:drawing>
                <wp:inline distT="0" distB="0" distL="0" distR="0">
                  <wp:extent cx="5391150" cy="2695575"/>
                  <wp:effectExtent l="0" t="0" r="0" b="9525"/>
                  <wp:docPr id="44" name="Picture 44" descr="Figure 4.43 National proportion of year 3 students achieving at or above the persuasive writing national minimum standard, by Indigenous status and geolocation, 2012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223BC" w:rsidRPr="00666ECE" w:rsidRDefault="009223BC" w:rsidP="00104AF2">
      <w:pPr>
        <w:keepLines/>
        <w:shd w:val="clear" w:color="auto" w:fill="FFFFFF" w:themeFill="background1"/>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xml:space="preserve"> Data for year </w:t>
      </w:r>
      <w:r>
        <w:rPr>
          <w:rFonts w:ascii="Arial" w:hAnsi="Arial"/>
          <w:sz w:val="18"/>
          <w:szCs w:val="20"/>
        </w:rPr>
        <w:t>3</w:t>
      </w:r>
      <w:r w:rsidRPr="00666ECE">
        <w:rPr>
          <w:rFonts w:ascii="Arial" w:hAnsi="Arial"/>
          <w:sz w:val="18"/>
          <w:szCs w:val="20"/>
        </w:rPr>
        <w:t xml:space="preserve"> students are shown and may not be representative of students in years </w:t>
      </w:r>
      <w:r>
        <w:rPr>
          <w:rFonts w:ascii="Arial" w:hAnsi="Arial"/>
          <w:sz w:val="18"/>
          <w:szCs w:val="20"/>
        </w:rPr>
        <w:t>5</w:t>
      </w:r>
      <w:r w:rsidRPr="00666ECE">
        <w:rPr>
          <w:rFonts w:ascii="Arial" w:hAnsi="Arial"/>
          <w:sz w:val="18"/>
          <w:szCs w:val="20"/>
        </w:rPr>
        <w:t>, 7 and 9 which are detailed in table 4A.</w:t>
      </w:r>
      <w:r>
        <w:rPr>
          <w:rFonts w:ascii="Arial" w:hAnsi="Arial"/>
          <w:sz w:val="18"/>
          <w:szCs w:val="20"/>
        </w:rPr>
        <w:t>55</w:t>
      </w:r>
      <w:r w:rsidRPr="00666ECE">
        <w:rPr>
          <w:rFonts w:ascii="Arial" w:hAnsi="Arial"/>
          <w:sz w:val="18"/>
          <w:szCs w:val="20"/>
        </w:rPr>
        <w:t xml:space="preserve">. </w:t>
      </w:r>
    </w:p>
    <w:p w:rsidR="009223BC" w:rsidRPr="00666ECE" w:rsidRDefault="009223BC" w:rsidP="00104AF2">
      <w:pPr>
        <w:keepLines/>
        <w:shd w:val="clear" w:color="auto" w:fill="FFFFFF" w:themeFill="background1"/>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w:t>
      </w:r>
      <w:r>
        <w:rPr>
          <w:rFonts w:ascii="Arial" w:hAnsi="Arial"/>
          <w:sz w:val="18"/>
          <w:szCs w:val="20"/>
        </w:rPr>
        <w:t>2012</w:t>
      </w:r>
      <w:r w:rsidRPr="00666ECE">
        <w:rPr>
          <w:rFonts w:ascii="Arial" w:hAnsi="Arial"/>
          <w:sz w:val="18"/>
          <w:szCs w:val="20"/>
        </w:rPr>
        <w:t xml:space="preserve"> and unpublished) </w:t>
      </w:r>
      <w:r w:rsidRPr="00666ECE">
        <w:rPr>
          <w:rFonts w:ascii="Arial" w:hAnsi="Arial"/>
          <w:i/>
          <w:sz w:val="18"/>
          <w:szCs w:val="20"/>
        </w:rPr>
        <w:t xml:space="preserve">NAPLAN Achievement in Reading, Writing, Language Conventions and Numeracy: National Report for </w:t>
      </w:r>
      <w:r>
        <w:rPr>
          <w:rFonts w:ascii="Arial" w:hAnsi="Arial"/>
          <w:i/>
          <w:sz w:val="18"/>
          <w:szCs w:val="20"/>
        </w:rPr>
        <w:t>2012</w:t>
      </w:r>
      <w:r w:rsidRPr="00666ECE">
        <w:rPr>
          <w:rFonts w:ascii="Arial" w:hAnsi="Arial"/>
          <w:sz w:val="18"/>
          <w:szCs w:val="20"/>
        </w:rPr>
        <w:t>; table 4A.</w:t>
      </w:r>
      <w:r>
        <w:rPr>
          <w:rFonts w:ascii="Arial" w:hAnsi="Arial"/>
          <w:sz w:val="18"/>
          <w:szCs w:val="20"/>
        </w:rPr>
        <w:t>55</w:t>
      </w:r>
      <w:r w:rsidRPr="00666ECE">
        <w:rPr>
          <w:rFonts w:ascii="Arial" w:hAnsi="Arial"/>
          <w:sz w:val="18"/>
          <w:szCs w:val="20"/>
        </w:rPr>
        <w:t>.</w:t>
      </w:r>
    </w:p>
    <w:p w:rsidR="00D948AA" w:rsidRDefault="00D948AA" w:rsidP="00D948AA">
      <w:pPr>
        <w:pStyle w:val="BodyText"/>
      </w:pPr>
      <w:r>
        <w:t>Data for years 5, 7 and 9, and outcomes by equity group, parental education and parental occupation</w:t>
      </w:r>
      <w:r w:rsidR="00004B66">
        <w:t xml:space="preserve"> for 2012</w:t>
      </w:r>
      <w:r>
        <w:t xml:space="preserve"> are in tables 4A.5</w:t>
      </w:r>
      <w:r w:rsidR="00E34421">
        <w:t>4</w:t>
      </w:r>
      <w:r w:rsidR="008A0EEB">
        <w:t>–</w:t>
      </w:r>
      <w:r>
        <w:t>5</w:t>
      </w:r>
      <w:r w:rsidR="00E34421">
        <w:t>9</w:t>
      </w:r>
      <w:r>
        <w:t>.</w:t>
      </w:r>
    </w:p>
    <w:p w:rsidR="00004B66" w:rsidRDefault="00004B66" w:rsidP="00004B66">
      <w:pPr>
        <w:spacing w:before="240" w:line="320" w:lineRule="atLeast"/>
        <w:jc w:val="both"/>
        <w:rPr>
          <w:szCs w:val="20"/>
          <w:shd w:val="clear" w:color="auto" w:fill="FFFFFF" w:themeFill="background1"/>
        </w:rPr>
      </w:pPr>
      <w:r>
        <w:t xml:space="preserve">Statistical significance of differences </w:t>
      </w:r>
      <w:r w:rsidR="00CC62BF">
        <w:t xml:space="preserve">for persuasive writing </w:t>
      </w:r>
      <w:r>
        <w:t xml:space="preserve">between 2011 and 2012 </w:t>
      </w:r>
      <w:r w:rsidRPr="00277216">
        <w:rPr>
          <w:szCs w:val="20"/>
        </w:rPr>
        <w:t xml:space="preserve">for years 3, </w:t>
      </w:r>
      <w:r>
        <w:rPr>
          <w:szCs w:val="20"/>
        </w:rPr>
        <w:t xml:space="preserve">5, </w:t>
      </w:r>
      <w:r w:rsidRPr="00277216">
        <w:rPr>
          <w:szCs w:val="20"/>
        </w:rPr>
        <w:t xml:space="preserve">7 and 9 </w:t>
      </w:r>
      <w:r>
        <w:rPr>
          <w:szCs w:val="20"/>
        </w:rPr>
        <w:t>for mean scale scores and proportions at and above national minimum standard are</w:t>
      </w:r>
      <w:r w:rsidR="00CC62BF" w:rsidRPr="00277216">
        <w:rPr>
          <w:szCs w:val="20"/>
        </w:rPr>
        <w:t xml:space="preserve"> included separately for each state and </w:t>
      </w:r>
      <w:r w:rsidR="00CC62BF" w:rsidRPr="00277216">
        <w:rPr>
          <w:szCs w:val="20"/>
          <w:shd w:val="clear" w:color="auto" w:fill="FFFFFF" w:themeFill="background1"/>
        </w:rPr>
        <w:t>territory and nationally in tables</w:t>
      </w:r>
      <w:r>
        <w:rPr>
          <w:szCs w:val="20"/>
        </w:rPr>
        <w:t xml:space="preserve"> 4A.</w:t>
      </w:r>
      <w:r w:rsidR="00E34421">
        <w:rPr>
          <w:szCs w:val="20"/>
        </w:rPr>
        <w:t>62</w:t>
      </w:r>
      <w:r>
        <w:rPr>
          <w:szCs w:val="20"/>
        </w:rPr>
        <w:t>–</w:t>
      </w:r>
      <w:r w:rsidR="00E34421">
        <w:rPr>
          <w:szCs w:val="20"/>
        </w:rPr>
        <w:t>7</w:t>
      </w:r>
      <w:r w:rsidR="00C43453">
        <w:rPr>
          <w:szCs w:val="20"/>
        </w:rPr>
        <w:t>0</w:t>
      </w:r>
      <w:r>
        <w:rPr>
          <w:szCs w:val="20"/>
        </w:rPr>
        <w:t xml:space="preserve">. These tables also include </w:t>
      </w:r>
      <w:r w:rsidRPr="00277216">
        <w:rPr>
          <w:szCs w:val="20"/>
        </w:rPr>
        <w:t>proportions at or above national minimum standar</w:t>
      </w:r>
      <w:r w:rsidR="00CC62BF">
        <w:rPr>
          <w:szCs w:val="20"/>
        </w:rPr>
        <w:t>d for LBOTE students and by sex</w:t>
      </w:r>
      <w:r w:rsidRPr="00277216">
        <w:rPr>
          <w:szCs w:val="20"/>
          <w:shd w:val="clear" w:color="auto" w:fill="FFFFFF" w:themeFill="background1"/>
        </w:rPr>
        <w:t>.</w:t>
      </w:r>
      <w:r w:rsidRPr="007B32D4">
        <w:rPr>
          <w:szCs w:val="20"/>
          <w:shd w:val="clear" w:color="auto" w:fill="FFFFFF" w:themeFill="background1"/>
        </w:rPr>
        <w:t xml:space="preserve"> </w:t>
      </w:r>
    </w:p>
    <w:p w:rsidR="00666ECE" w:rsidRPr="00666ECE" w:rsidRDefault="00666ECE" w:rsidP="00666ECE">
      <w:pPr>
        <w:keepNext/>
        <w:spacing w:before="480" w:line="320" w:lineRule="exact"/>
        <w:outlineLvl w:val="4"/>
        <w:rPr>
          <w:i/>
        </w:rPr>
      </w:pPr>
      <w:r w:rsidRPr="00666ECE">
        <w:rPr>
          <w:b/>
          <w:i/>
        </w:rPr>
        <w:t>National Assessment Program</w:t>
      </w:r>
      <w:r w:rsidRPr="00666ECE">
        <w:rPr>
          <w:i/>
        </w:rPr>
        <w:t xml:space="preserve"> </w:t>
      </w:r>
    </w:p>
    <w:p w:rsidR="000B654D" w:rsidRPr="00C73899" w:rsidRDefault="0012436B" w:rsidP="005C0A8A">
      <w:pPr>
        <w:keepNext/>
        <w:shd w:val="clear" w:color="auto" w:fill="FFFFFF" w:themeFill="background1"/>
        <w:spacing w:before="480" w:line="320" w:lineRule="exact"/>
        <w:outlineLvl w:val="4"/>
        <w:rPr>
          <w:b/>
          <w:sz w:val="24"/>
          <w:u w:val="dotted"/>
        </w:rPr>
      </w:pPr>
      <w:r w:rsidRPr="0012436B">
        <w:rPr>
          <w:i/>
          <w:szCs w:val="20"/>
        </w:rPr>
        <w:t xml:space="preserve">National Assessment Program </w:t>
      </w:r>
      <w:r w:rsidR="00C35FD6">
        <w:rPr>
          <w:i/>
          <w:szCs w:val="20"/>
        </w:rPr>
        <w:t>—</w:t>
      </w:r>
      <w:r w:rsidRPr="0012436B">
        <w:rPr>
          <w:i/>
          <w:szCs w:val="20"/>
        </w:rPr>
        <w:t xml:space="preserve"> </w:t>
      </w:r>
      <w:r w:rsidR="00DA1812">
        <w:rPr>
          <w:i/>
          <w:szCs w:val="20"/>
        </w:rPr>
        <w:t xml:space="preserve">Science </w:t>
      </w:r>
      <w:r w:rsidR="00DA1812" w:rsidRPr="00C73899">
        <w:rPr>
          <w:i/>
          <w:szCs w:val="20"/>
        </w:rPr>
        <w:t>literacy</w:t>
      </w:r>
    </w:p>
    <w:p w:rsidR="0012436B" w:rsidRPr="00660DFA" w:rsidRDefault="0012436B" w:rsidP="006A7764">
      <w:pPr>
        <w:pStyle w:val="BodyText"/>
      </w:pPr>
      <w:r w:rsidRPr="00660DFA">
        <w:t xml:space="preserve">The National Year 6 </w:t>
      </w:r>
      <w:r w:rsidR="00DA1812">
        <w:t>Science literacy</w:t>
      </w:r>
      <w:r w:rsidRPr="00660DFA">
        <w:t xml:space="preserve"> assessment was conducted for the first time in 200</w:t>
      </w:r>
      <w:r w:rsidR="0022542B">
        <w:t>3</w:t>
      </w:r>
      <w:r w:rsidR="00535E89">
        <w:t xml:space="preserve"> and </w:t>
      </w:r>
      <w:r w:rsidR="0022542B">
        <w:t xml:space="preserve">is </w:t>
      </w:r>
      <w:r w:rsidR="00535E89">
        <w:t xml:space="preserve">repeated </w:t>
      </w:r>
      <w:r w:rsidR="0022542B">
        <w:t>triennially</w:t>
      </w:r>
      <w:r w:rsidRPr="00660DFA">
        <w:t>. In 201</w:t>
      </w:r>
      <w:r w:rsidR="00DA1812">
        <w:t>2</w:t>
      </w:r>
      <w:r w:rsidRPr="00660DFA">
        <w:t xml:space="preserve">, </w:t>
      </w:r>
      <w:r w:rsidR="00B40709" w:rsidRPr="00104AF2">
        <w:rPr>
          <w:shd w:val="clear" w:color="auto" w:fill="FFFFFF" w:themeFill="background1"/>
        </w:rPr>
        <w:t>13</w:t>
      </w:r>
      <w:r w:rsidR="00104AF2" w:rsidRPr="00104AF2">
        <w:rPr>
          <w:shd w:val="clear" w:color="auto" w:fill="FFFFFF" w:themeFill="background1"/>
        </w:rPr>
        <w:t> </w:t>
      </w:r>
      <w:r w:rsidR="00B40709" w:rsidRPr="00104AF2">
        <w:rPr>
          <w:shd w:val="clear" w:color="auto" w:fill="FFFFFF" w:themeFill="background1"/>
        </w:rPr>
        <w:t>236</w:t>
      </w:r>
      <w:r w:rsidRPr="00104AF2">
        <w:rPr>
          <w:shd w:val="clear" w:color="auto" w:fill="FFFFFF" w:themeFill="background1"/>
        </w:rPr>
        <w:t xml:space="preserve"> </w:t>
      </w:r>
      <w:r w:rsidRPr="00B40709">
        <w:t>year</w:t>
      </w:r>
      <w:r w:rsidR="003B4524" w:rsidRPr="00B40709">
        <w:t xml:space="preserve"> </w:t>
      </w:r>
      <w:r w:rsidRPr="00B40709">
        <w:t xml:space="preserve">6 students from </w:t>
      </w:r>
      <w:r w:rsidR="00B40709" w:rsidRPr="00104AF2">
        <w:rPr>
          <w:shd w:val="clear" w:color="auto" w:fill="FFFFFF" w:themeFill="background1"/>
        </w:rPr>
        <w:t>617</w:t>
      </w:r>
      <w:r w:rsidR="005C0A8A">
        <w:t> </w:t>
      </w:r>
      <w:r w:rsidRPr="00660DFA">
        <w:t>government and non</w:t>
      </w:r>
      <w:r w:rsidRPr="00660DFA">
        <w:noBreakHyphen/>
        <w:t xml:space="preserve">government schools from all states and territories participated in the </w:t>
      </w:r>
      <w:r w:rsidR="00D948AA">
        <w:t>assessment (</w:t>
      </w:r>
      <w:r w:rsidR="00D948AA" w:rsidRPr="0083461E">
        <w:t>ACARA 201</w:t>
      </w:r>
      <w:r w:rsidR="00DA1812" w:rsidRPr="0083461E">
        <w:t>3</w:t>
      </w:r>
      <w:r w:rsidR="000A399C" w:rsidRPr="0083461E">
        <w:t>a</w:t>
      </w:r>
      <w:r w:rsidRPr="0083461E">
        <w:t xml:space="preserve">). </w:t>
      </w:r>
    </w:p>
    <w:p w:rsidR="0012436B" w:rsidRDefault="0012436B" w:rsidP="0012436B">
      <w:pPr>
        <w:spacing w:before="240" w:line="320" w:lineRule="atLeast"/>
        <w:jc w:val="both"/>
        <w:rPr>
          <w:szCs w:val="20"/>
        </w:rPr>
      </w:pPr>
      <w:r w:rsidRPr="00660DFA">
        <w:rPr>
          <w:szCs w:val="20"/>
        </w:rPr>
        <w:lastRenderedPageBreak/>
        <w:t>Nationally</w:t>
      </w:r>
      <w:r w:rsidR="00535E89">
        <w:rPr>
          <w:szCs w:val="20"/>
        </w:rPr>
        <w:t xml:space="preserve"> in 201</w:t>
      </w:r>
      <w:r w:rsidR="00DA1812">
        <w:rPr>
          <w:szCs w:val="20"/>
        </w:rPr>
        <w:t>2</w:t>
      </w:r>
      <w:r w:rsidRPr="00660DFA">
        <w:rPr>
          <w:szCs w:val="20"/>
        </w:rPr>
        <w:t xml:space="preserve">, the proportion of participating </w:t>
      </w:r>
      <w:r w:rsidR="00DA1812">
        <w:rPr>
          <w:szCs w:val="20"/>
        </w:rPr>
        <w:t xml:space="preserve">year 6 </w:t>
      </w:r>
      <w:r w:rsidRPr="00660DFA">
        <w:rPr>
          <w:szCs w:val="20"/>
        </w:rPr>
        <w:t xml:space="preserve">students who achieved at </w:t>
      </w:r>
      <w:r w:rsidR="000B7ACD">
        <w:rPr>
          <w:szCs w:val="20"/>
        </w:rPr>
        <w:t xml:space="preserve">or above </w:t>
      </w:r>
      <w:r w:rsidRPr="00660DFA">
        <w:rPr>
          <w:szCs w:val="20"/>
        </w:rPr>
        <w:t xml:space="preserve">the proficient standard in </w:t>
      </w:r>
      <w:r w:rsidR="00DA1812">
        <w:rPr>
          <w:szCs w:val="20"/>
        </w:rPr>
        <w:t>science literacy</w:t>
      </w:r>
      <w:r w:rsidRPr="00660DFA">
        <w:rPr>
          <w:szCs w:val="20"/>
        </w:rPr>
        <w:t xml:space="preserve"> performance was </w:t>
      </w:r>
      <w:r w:rsidR="00B40709">
        <w:rPr>
          <w:szCs w:val="20"/>
        </w:rPr>
        <w:br/>
      </w:r>
      <w:r w:rsidR="00B40709" w:rsidRPr="00104AF2">
        <w:rPr>
          <w:szCs w:val="20"/>
          <w:shd w:val="clear" w:color="auto" w:fill="FFFFFF" w:themeFill="background1"/>
        </w:rPr>
        <w:t>49.4</w:t>
      </w:r>
      <w:r w:rsidR="00700F6C" w:rsidRPr="00104AF2">
        <w:rPr>
          <w:szCs w:val="20"/>
          <w:shd w:val="clear" w:color="auto" w:fill="FFFFFF" w:themeFill="background1"/>
        </w:rPr>
        <w:t>–</w:t>
      </w:r>
      <w:r w:rsidR="00B40709" w:rsidRPr="00104AF2">
        <w:rPr>
          <w:szCs w:val="20"/>
          <w:shd w:val="clear" w:color="auto" w:fill="FFFFFF" w:themeFill="background1"/>
        </w:rPr>
        <w:t>53.4 </w:t>
      </w:r>
      <w:r w:rsidRPr="00104AF2">
        <w:rPr>
          <w:szCs w:val="20"/>
          <w:shd w:val="clear" w:color="auto" w:fill="FFFFFF" w:themeFill="background1"/>
        </w:rPr>
        <w:t>per</w:t>
      </w:r>
      <w:r w:rsidR="00B40709" w:rsidRPr="00104AF2">
        <w:rPr>
          <w:szCs w:val="20"/>
          <w:shd w:val="clear" w:color="auto" w:fill="FFFFFF" w:themeFill="background1"/>
        </w:rPr>
        <w:t> </w:t>
      </w:r>
      <w:r w:rsidRPr="00104AF2">
        <w:rPr>
          <w:szCs w:val="20"/>
          <w:shd w:val="clear" w:color="auto" w:fill="FFFFFF" w:themeFill="background1"/>
        </w:rPr>
        <w:t>cent</w:t>
      </w:r>
      <w:r w:rsidR="006A7764" w:rsidRPr="00104AF2">
        <w:rPr>
          <w:szCs w:val="20"/>
          <w:shd w:val="clear" w:color="auto" w:fill="FFFFFF" w:themeFill="background1"/>
        </w:rPr>
        <w:t>, not a statistically significant difference from 2006 or 2009</w:t>
      </w:r>
      <w:r w:rsidRPr="00104AF2">
        <w:rPr>
          <w:szCs w:val="20"/>
          <w:shd w:val="clear" w:color="auto" w:fill="FFFFFF" w:themeFill="background1"/>
        </w:rPr>
        <w:t>.</w:t>
      </w:r>
      <w:r w:rsidRPr="00660DFA">
        <w:rPr>
          <w:szCs w:val="20"/>
        </w:rPr>
        <w:t xml:space="preserve"> These proportions vari</w:t>
      </w:r>
      <w:r w:rsidR="00F54DD0">
        <w:rPr>
          <w:szCs w:val="20"/>
        </w:rPr>
        <w:t>ed across jurisdictions (figure</w:t>
      </w:r>
      <w:r w:rsidRPr="00660DFA">
        <w:rPr>
          <w:szCs w:val="20"/>
        </w:rPr>
        <w:t xml:space="preserve"> 4.</w:t>
      </w:r>
      <w:r w:rsidR="003B4524" w:rsidRPr="00660DFA">
        <w:rPr>
          <w:szCs w:val="20"/>
        </w:rPr>
        <w:t>4</w:t>
      </w:r>
      <w:r w:rsidR="00F230E8">
        <w:rPr>
          <w:szCs w:val="20"/>
        </w:rPr>
        <w:t>4</w:t>
      </w:r>
      <w:r w:rsidRPr="00660DFA">
        <w:rPr>
          <w:szCs w:val="20"/>
        </w:rPr>
        <w:t xml:space="preserve">). </w:t>
      </w:r>
    </w:p>
    <w:p w:rsidR="002B51C1" w:rsidRPr="000B654D" w:rsidRDefault="002B51C1" w:rsidP="00104AF2">
      <w:pPr>
        <w:pStyle w:val="FigureTitle"/>
        <w:rPr>
          <w:rStyle w:val="DraftingNote"/>
          <w:rFonts w:ascii="Times New Roman" w:hAnsi="Times New Roman"/>
          <w:b/>
          <w:color w:val="auto"/>
        </w:rPr>
      </w:pPr>
      <w:r>
        <w:rPr>
          <w:b w:val="0"/>
        </w:rPr>
        <w:t xml:space="preserve">Figure </w:t>
      </w:r>
      <w:r w:rsidR="00EB256F">
        <w:rPr>
          <w:b w:val="0"/>
        </w:rPr>
        <w:t>4.</w:t>
      </w:r>
      <w:r w:rsidR="00EC06F7">
        <w:rPr>
          <w:b w:val="0"/>
          <w:noProof/>
        </w:rPr>
        <w:t>44</w:t>
      </w:r>
      <w:r>
        <w:tab/>
      </w:r>
      <w:r w:rsidRPr="000B654D">
        <w:t xml:space="preserve">Proportion of year 6 students achieving at </w:t>
      </w:r>
      <w:r w:rsidR="000B7ACD" w:rsidRPr="000B654D">
        <w:t xml:space="preserve">or above </w:t>
      </w:r>
      <w:r w:rsidRPr="000B654D">
        <w:t xml:space="preserve">the proficient standard, </w:t>
      </w:r>
      <w:r w:rsidR="00DA1812" w:rsidRPr="000B654D">
        <w:t>science literacy</w:t>
      </w:r>
      <w:r w:rsidRPr="000B654D">
        <w:t xml:space="preserve"> performance </w:t>
      </w:r>
      <w:r w:rsidRPr="000B654D">
        <w:rPr>
          <w:rStyle w:val="NoteLabel"/>
          <w:b/>
        </w:rPr>
        <w:t>a, b</w:t>
      </w:r>
      <w:r w:rsidR="002362DE" w:rsidRPr="000B654D">
        <w:rPr>
          <w:rStyle w:val="NoteLabel"/>
          <w:b/>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B51C1">
        <w:tc>
          <w:tcPr>
            <w:tcW w:w="8777" w:type="dxa"/>
          </w:tcPr>
          <w:p w:rsidR="002B51C1" w:rsidRDefault="008B34BD" w:rsidP="00104AF2">
            <w:pPr>
              <w:pStyle w:val="Figure"/>
            </w:pPr>
            <w:r>
              <w:rPr>
                <w:noProof/>
              </w:rPr>
              <w:drawing>
                <wp:inline distT="0" distB="0" distL="0" distR="0">
                  <wp:extent cx="5391150" cy="2686050"/>
                  <wp:effectExtent l="0" t="0" r="0" b="0"/>
                  <wp:docPr id="45" name="Picture 45" descr="Figure 4.44 Proportion of year 6 students achieving at or above the proficient standard, science literacy performance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72057" w:rsidRDefault="00D72057" w:rsidP="00104AF2">
      <w:pPr>
        <w:keepLines/>
        <w:spacing w:before="80" w:line="220" w:lineRule="exact"/>
        <w:jc w:val="both"/>
        <w:rPr>
          <w:rFonts w:ascii="Arial" w:hAnsi="Arial"/>
          <w:sz w:val="18"/>
          <w:szCs w:val="20"/>
        </w:rPr>
      </w:pPr>
      <w:r w:rsidRPr="0012436B">
        <w:rPr>
          <w:rFonts w:ascii="Arial" w:hAnsi="Arial"/>
          <w:b/>
          <w:position w:val="6"/>
          <w:sz w:val="18"/>
          <w:szCs w:val="20"/>
        </w:rPr>
        <w:t>a </w:t>
      </w:r>
      <w:r w:rsidRPr="0012436B">
        <w:rPr>
          <w:rFonts w:ascii="Arial" w:hAnsi="Arial"/>
          <w:sz w:val="18"/>
          <w:szCs w:val="20"/>
        </w:rPr>
        <w:t xml:space="preserve">Error bars represent the 95 per cent confidence intervals associated with each point estimate. </w:t>
      </w:r>
      <w:r w:rsidRPr="0012436B">
        <w:rPr>
          <w:rFonts w:ascii="Arial" w:hAnsi="Arial"/>
          <w:b/>
          <w:position w:val="6"/>
          <w:sz w:val="18"/>
          <w:szCs w:val="20"/>
        </w:rPr>
        <w:t>b </w:t>
      </w:r>
      <w:r w:rsidRPr="0012436B">
        <w:rPr>
          <w:rFonts w:ascii="Arial" w:hAnsi="Arial"/>
          <w:sz w:val="18"/>
          <w:szCs w:val="20"/>
        </w:rPr>
        <w:t xml:space="preserve">National minimum standards such as those set in literacy and numeracy have not been set for </w:t>
      </w:r>
      <w:r w:rsidR="00F26D58">
        <w:rPr>
          <w:rFonts w:ascii="Arial" w:hAnsi="Arial"/>
          <w:sz w:val="18"/>
          <w:szCs w:val="20"/>
        </w:rPr>
        <w:t>science literacy</w:t>
      </w:r>
      <w:r w:rsidRPr="0012436B">
        <w:rPr>
          <w:rFonts w:ascii="Arial" w:hAnsi="Arial"/>
          <w:sz w:val="18"/>
          <w:szCs w:val="20"/>
        </w:rPr>
        <w:t xml:space="preserve"> performance. The proficient standard for </w:t>
      </w:r>
      <w:r w:rsidR="00F26D58">
        <w:rPr>
          <w:rFonts w:ascii="Arial" w:hAnsi="Arial"/>
          <w:sz w:val="18"/>
          <w:szCs w:val="20"/>
        </w:rPr>
        <w:t>year 6 science literacy</w:t>
      </w:r>
      <w:r w:rsidRPr="0012436B">
        <w:rPr>
          <w:rFonts w:ascii="Arial" w:hAnsi="Arial"/>
          <w:sz w:val="18"/>
          <w:szCs w:val="20"/>
        </w:rPr>
        <w:t xml:space="preserve"> performance is set at proficiency level </w:t>
      </w:r>
      <w:r>
        <w:rPr>
          <w:rFonts w:ascii="Arial" w:hAnsi="Arial"/>
          <w:sz w:val="18"/>
          <w:szCs w:val="20"/>
        </w:rPr>
        <w:t>3</w:t>
      </w:r>
      <w:r w:rsidR="006C1AC6">
        <w:rPr>
          <w:rFonts w:ascii="Arial" w:hAnsi="Arial"/>
          <w:sz w:val="18"/>
          <w:szCs w:val="20"/>
        </w:rPr>
        <w:t>.2</w:t>
      </w:r>
      <w:r w:rsidRPr="0012436B">
        <w:rPr>
          <w:rFonts w:ascii="Arial" w:hAnsi="Arial"/>
          <w:sz w:val="18"/>
          <w:szCs w:val="20"/>
        </w:rPr>
        <w:t>, a challenging but reasonable level of performance, with students needing to demonstrate more than minimal or elementary skills expected at that year level to be regarded as reaching it. Data represent the proportion of students at or above the proficient standard.</w:t>
      </w:r>
    </w:p>
    <w:p w:rsidR="00D72057" w:rsidRPr="006C1AC6" w:rsidRDefault="00D72057" w:rsidP="00D72057">
      <w:pPr>
        <w:pStyle w:val="Source"/>
      </w:pPr>
      <w:r>
        <w:rPr>
          <w:i/>
        </w:rPr>
        <w:t>Source</w:t>
      </w:r>
      <w:r w:rsidRPr="00167F06">
        <w:t xml:space="preserve">: </w:t>
      </w:r>
      <w:r w:rsidRPr="0041457D">
        <w:t>ACARA (201</w:t>
      </w:r>
      <w:r w:rsidR="00DA1812">
        <w:t>3</w:t>
      </w:r>
      <w:r w:rsidRPr="0041457D">
        <w:t xml:space="preserve">), </w:t>
      </w:r>
      <w:r w:rsidRPr="0041457D">
        <w:rPr>
          <w:i/>
          <w:iCs/>
        </w:rPr>
        <w:t xml:space="preserve">National Assessment Program </w:t>
      </w:r>
      <w:r w:rsidR="00DA1812">
        <w:rPr>
          <w:i/>
          <w:iCs/>
        </w:rPr>
        <w:t xml:space="preserve">Science </w:t>
      </w:r>
      <w:r w:rsidR="00F26D58">
        <w:rPr>
          <w:i/>
          <w:iCs/>
        </w:rPr>
        <w:t>L</w:t>
      </w:r>
      <w:r w:rsidR="00DA1812">
        <w:rPr>
          <w:i/>
          <w:iCs/>
        </w:rPr>
        <w:t>iteracy</w:t>
      </w:r>
      <w:r w:rsidR="00F26D58">
        <w:rPr>
          <w:i/>
          <w:iCs/>
        </w:rPr>
        <w:t xml:space="preserve"> Year</w:t>
      </w:r>
      <w:r w:rsidRPr="0041457D">
        <w:rPr>
          <w:i/>
          <w:iCs/>
        </w:rPr>
        <w:t xml:space="preserve"> 6 Report 201</w:t>
      </w:r>
      <w:r w:rsidR="00DA1812">
        <w:rPr>
          <w:i/>
          <w:iCs/>
        </w:rPr>
        <w:t>2</w:t>
      </w:r>
      <w:r w:rsidRPr="0041457D">
        <w:rPr>
          <w:i/>
          <w:iCs/>
        </w:rPr>
        <w:t>,</w:t>
      </w:r>
      <w:r w:rsidRPr="0041457D">
        <w:t xml:space="preserve"> Sydney</w:t>
      </w:r>
      <w:r>
        <w:t>; table</w:t>
      </w:r>
      <w:r w:rsidR="006A7764">
        <w:t> </w:t>
      </w:r>
      <w:r w:rsidRPr="006C1AC6">
        <w:t>4A.</w:t>
      </w:r>
      <w:r w:rsidR="00E34421">
        <w:t>89</w:t>
      </w:r>
      <w:r w:rsidRPr="006C1AC6">
        <w:t>.</w:t>
      </w:r>
    </w:p>
    <w:p w:rsidR="0012436B" w:rsidRPr="006C1AC6" w:rsidRDefault="0012436B" w:rsidP="00DA1812">
      <w:pPr>
        <w:spacing w:before="240" w:line="320" w:lineRule="atLeast"/>
        <w:jc w:val="both"/>
      </w:pPr>
      <w:r w:rsidRPr="002B51C1">
        <w:rPr>
          <w:szCs w:val="20"/>
        </w:rPr>
        <w:t xml:space="preserve">Nationally in </w:t>
      </w:r>
      <w:r w:rsidRPr="00104AF2">
        <w:rPr>
          <w:szCs w:val="20"/>
        </w:rPr>
        <w:t>201</w:t>
      </w:r>
      <w:r w:rsidR="00DA1812" w:rsidRPr="00104AF2">
        <w:rPr>
          <w:szCs w:val="20"/>
        </w:rPr>
        <w:t>2</w:t>
      </w:r>
      <w:r w:rsidR="0022542B" w:rsidRPr="00104AF2">
        <w:rPr>
          <w:szCs w:val="20"/>
        </w:rPr>
        <w:t>,</w:t>
      </w:r>
      <w:r w:rsidR="00DA1812" w:rsidRPr="00104AF2">
        <w:rPr>
          <w:szCs w:val="20"/>
        </w:rPr>
        <w:t xml:space="preserve"> </w:t>
      </w:r>
      <w:r w:rsidR="006A7764" w:rsidRPr="00104AF2">
        <w:t>14.3</w:t>
      </w:r>
      <w:r w:rsidRPr="00104AF2">
        <w:t>–</w:t>
      </w:r>
      <w:r w:rsidR="006A7764" w:rsidRPr="00104AF2">
        <w:t>25.9</w:t>
      </w:r>
      <w:r w:rsidRPr="00104AF2">
        <w:t xml:space="preserve"> per cent of Indigenous year 6 students achieved at the proficient standard or above in </w:t>
      </w:r>
      <w:r w:rsidR="00DA1812" w:rsidRPr="00104AF2">
        <w:t>science literacy</w:t>
      </w:r>
      <w:r w:rsidRPr="00104AF2">
        <w:t xml:space="preserve"> performance, significantly lower than the proportion for non</w:t>
      </w:r>
      <w:r w:rsidRPr="00104AF2">
        <w:noBreakHyphen/>
        <w:t>Indigenous students (</w:t>
      </w:r>
      <w:r w:rsidR="006A7764" w:rsidRPr="00104AF2">
        <w:t>50.8</w:t>
      </w:r>
      <w:r w:rsidR="002362DE" w:rsidRPr="00104AF2">
        <w:t>–</w:t>
      </w:r>
      <w:r w:rsidR="006A7764" w:rsidRPr="00104AF2">
        <w:t>54.8</w:t>
      </w:r>
      <w:r w:rsidR="002362DE" w:rsidRPr="00104AF2">
        <w:t xml:space="preserve"> </w:t>
      </w:r>
      <w:r w:rsidRPr="00104AF2">
        <w:t>per</w:t>
      </w:r>
      <w:r w:rsidRPr="006A7764">
        <w:t xml:space="preserve"> </w:t>
      </w:r>
      <w:r w:rsidRPr="002B51C1">
        <w:t xml:space="preserve">cent) </w:t>
      </w:r>
      <w:r w:rsidRPr="006C1AC6">
        <w:t>(table 4A.</w:t>
      </w:r>
      <w:r w:rsidR="00E34421">
        <w:t>91</w:t>
      </w:r>
      <w:r w:rsidR="00700F6C" w:rsidRPr="006C1AC6">
        <w:t>)</w:t>
      </w:r>
    </w:p>
    <w:p w:rsidR="0012436B" w:rsidRPr="002B51C1" w:rsidRDefault="006C1AC6" w:rsidP="0012436B">
      <w:pPr>
        <w:spacing w:before="240" w:line="320" w:lineRule="atLeast"/>
        <w:jc w:val="both"/>
        <w:rPr>
          <w:szCs w:val="20"/>
        </w:rPr>
      </w:pPr>
      <w:r w:rsidRPr="006C1AC6">
        <w:rPr>
          <w:szCs w:val="20"/>
        </w:rPr>
        <w:t>Science literacy</w:t>
      </w:r>
      <w:r w:rsidR="0012436B" w:rsidRPr="006C1AC6">
        <w:rPr>
          <w:szCs w:val="20"/>
        </w:rPr>
        <w:t xml:space="preserve"> performance by geolocation and sex are summarised in table</w:t>
      </w:r>
      <w:r w:rsidR="002362DE">
        <w:rPr>
          <w:szCs w:val="20"/>
        </w:rPr>
        <w:t>s</w:t>
      </w:r>
      <w:r w:rsidR="00E161F4">
        <w:rPr>
          <w:szCs w:val="20"/>
        </w:rPr>
        <w:t> </w:t>
      </w:r>
      <w:r w:rsidR="0012436B" w:rsidRPr="006C1AC6">
        <w:rPr>
          <w:szCs w:val="20"/>
        </w:rPr>
        <w:t>4A.</w:t>
      </w:r>
      <w:r w:rsidR="00E34421">
        <w:rPr>
          <w:szCs w:val="20"/>
        </w:rPr>
        <w:t>90</w:t>
      </w:r>
      <w:r w:rsidRPr="006C1AC6">
        <w:rPr>
          <w:szCs w:val="20"/>
        </w:rPr>
        <w:t>–</w:t>
      </w:r>
      <w:r w:rsidR="00E34421">
        <w:rPr>
          <w:szCs w:val="20"/>
        </w:rPr>
        <w:t>91</w:t>
      </w:r>
      <w:r w:rsidR="00700F6C" w:rsidRPr="006C1AC6">
        <w:rPr>
          <w:szCs w:val="20"/>
        </w:rPr>
        <w:t>.</w:t>
      </w:r>
      <w:r w:rsidR="0012436B" w:rsidRPr="006C1AC6">
        <w:rPr>
          <w:szCs w:val="20"/>
        </w:rPr>
        <w:t xml:space="preserve"> Further details, including </w:t>
      </w:r>
      <w:r w:rsidR="00700F6C" w:rsidRPr="006C1AC6">
        <w:rPr>
          <w:szCs w:val="20"/>
        </w:rPr>
        <w:t xml:space="preserve">data by country of birth, and mean </w:t>
      </w:r>
      <w:r w:rsidR="00700F6C" w:rsidRPr="002B51C1">
        <w:rPr>
          <w:szCs w:val="20"/>
        </w:rPr>
        <w:t xml:space="preserve">scores for all categories </w:t>
      </w:r>
      <w:r w:rsidR="00BA40CA">
        <w:rPr>
          <w:szCs w:val="20"/>
        </w:rPr>
        <w:t>are reported in ACARA </w:t>
      </w:r>
      <w:r w:rsidR="00BA40CA" w:rsidRPr="0083461E">
        <w:rPr>
          <w:szCs w:val="20"/>
        </w:rPr>
        <w:t>(201</w:t>
      </w:r>
      <w:r w:rsidR="00DA1812" w:rsidRPr="0083461E">
        <w:rPr>
          <w:szCs w:val="20"/>
        </w:rPr>
        <w:t>3</w:t>
      </w:r>
      <w:r w:rsidR="00B507D4" w:rsidRPr="0083461E">
        <w:rPr>
          <w:szCs w:val="20"/>
        </w:rPr>
        <w:t>a</w:t>
      </w:r>
      <w:r w:rsidR="0012436B" w:rsidRPr="0083461E">
        <w:rPr>
          <w:szCs w:val="20"/>
        </w:rPr>
        <w:t>).</w:t>
      </w:r>
    </w:p>
    <w:p w:rsidR="00666ECE" w:rsidRPr="00666ECE" w:rsidRDefault="00666ECE" w:rsidP="00666ECE">
      <w:pPr>
        <w:keepNext/>
        <w:spacing w:before="480" w:line="320" w:lineRule="exact"/>
        <w:outlineLvl w:val="4"/>
        <w:rPr>
          <w:i/>
        </w:rPr>
      </w:pPr>
      <w:r w:rsidRPr="00666ECE">
        <w:rPr>
          <w:i/>
        </w:rPr>
        <w:t xml:space="preserve">National Assessment Program </w:t>
      </w:r>
      <w:r w:rsidR="00C35FD6">
        <w:rPr>
          <w:i/>
        </w:rPr>
        <w:t>—</w:t>
      </w:r>
      <w:r w:rsidRPr="00666ECE">
        <w:rPr>
          <w:i/>
        </w:rPr>
        <w:t xml:space="preserve"> </w:t>
      </w:r>
      <w:r w:rsidR="00DA1812">
        <w:rPr>
          <w:i/>
        </w:rPr>
        <w:t>ICT</w:t>
      </w:r>
      <w:r w:rsidRPr="00666ECE">
        <w:rPr>
          <w:i/>
        </w:rPr>
        <w:t xml:space="preserve"> performance</w:t>
      </w:r>
    </w:p>
    <w:p w:rsidR="00DA1812" w:rsidRPr="00F62857" w:rsidRDefault="00DA1812" w:rsidP="00DA1812">
      <w:pPr>
        <w:spacing w:before="240" w:line="320" w:lineRule="atLeast"/>
        <w:jc w:val="both"/>
        <w:rPr>
          <w:szCs w:val="20"/>
        </w:rPr>
      </w:pPr>
      <w:r w:rsidRPr="00F62857">
        <w:rPr>
          <w:szCs w:val="20"/>
        </w:rPr>
        <w:t xml:space="preserve">The National Years 6 and 10 </w:t>
      </w:r>
      <w:r>
        <w:t>ICT</w:t>
      </w:r>
      <w:r w:rsidRPr="00F62857">
        <w:t xml:space="preserve"> performance</w:t>
      </w:r>
      <w:r w:rsidRPr="00F62857">
        <w:rPr>
          <w:szCs w:val="20"/>
        </w:rPr>
        <w:t xml:space="preserve"> assessment was conducted for the </w:t>
      </w:r>
      <w:r w:rsidRPr="0022542B">
        <w:rPr>
          <w:szCs w:val="20"/>
        </w:rPr>
        <w:t>first time in 200</w:t>
      </w:r>
      <w:r w:rsidR="0022542B" w:rsidRPr="0022542B">
        <w:rPr>
          <w:szCs w:val="20"/>
        </w:rPr>
        <w:t>5</w:t>
      </w:r>
      <w:r w:rsidRPr="0022542B">
        <w:rPr>
          <w:szCs w:val="20"/>
        </w:rPr>
        <w:t xml:space="preserve">, and </w:t>
      </w:r>
      <w:r w:rsidR="0022542B" w:rsidRPr="0022542B">
        <w:rPr>
          <w:szCs w:val="20"/>
        </w:rPr>
        <w:t>repeated in 2008 and 2011</w:t>
      </w:r>
      <w:r w:rsidRPr="0022542B">
        <w:rPr>
          <w:szCs w:val="20"/>
        </w:rPr>
        <w:t xml:space="preserve">. Nationally, in 2011, </w:t>
      </w:r>
      <w:r w:rsidR="0022542B" w:rsidRPr="0022542B">
        <w:rPr>
          <w:szCs w:val="20"/>
        </w:rPr>
        <w:br/>
        <w:t>60.0–64.0 </w:t>
      </w:r>
      <w:r w:rsidRPr="0022542B">
        <w:rPr>
          <w:szCs w:val="20"/>
        </w:rPr>
        <w:t xml:space="preserve">per cent of year 6 students achieved at the proficient standard or above, a </w:t>
      </w:r>
      <w:r w:rsidRPr="0022542B">
        <w:rPr>
          <w:szCs w:val="20"/>
        </w:rPr>
        <w:lastRenderedPageBreak/>
        <w:t xml:space="preserve">statistically significant increase from </w:t>
      </w:r>
      <w:r w:rsidR="0022542B" w:rsidRPr="0022542B">
        <w:rPr>
          <w:szCs w:val="20"/>
        </w:rPr>
        <w:t>54.2–59.8</w:t>
      </w:r>
      <w:r w:rsidRPr="0022542B">
        <w:rPr>
          <w:szCs w:val="20"/>
        </w:rPr>
        <w:t xml:space="preserve"> per cent in 2008. </w:t>
      </w:r>
      <w:r w:rsidRPr="00F62857">
        <w:rPr>
          <w:szCs w:val="20"/>
        </w:rPr>
        <w:t>Nationally, in 201</w:t>
      </w:r>
      <w:r>
        <w:rPr>
          <w:szCs w:val="20"/>
        </w:rPr>
        <w:t>1</w:t>
      </w:r>
      <w:r w:rsidRPr="0022542B">
        <w:rPr>
          <w:szCs w:val="20"/>
        </w:rPr>
        <w:t xml:space="preserve">, </w:t>
      </w:r>
      <w:r w:rsidR="0022542B" w:rsidRPr="0022542B">
        <w:rPr>
          <w:szCs w:val="20"/>
        </w:rPr>
        <w:t>62.7–67.3</w:t>
      </w:r>
      <w:r w:rsidRPr="0022542B">
        <w:rPr>
          <w:szCs w:val="20"/>
        </w:rPr>
        <w:t xml:space="preserve"> per cent of year 10 students achieved at the proficient standard or above, </w:t>
      </w:r>
      <w:r w:rsidR="0022542B" w:rsidRPr="0022542B">
        <w:rPr>
          <w:szCs w:val="20"/>
        </w:rPr>
        <w:t xml:space="preserve">not </w:t>
      </w:r>
      <w:r w:rsidRPr="0022542B">
        <w:rPr>
          <w:szCs w:val="20"/>
        </w:rPr>
        <w:t xml:space="preserve">a statistically significant </w:t>
      </w:r>
      <w:r w:rsidR="0022542B">
        <w:rPr>
          <w:szCs w:val="20"/>
        </w:rPr>
        <w:t>difference</w:t>
      </w:r>
      <w:r w:rsidRPr="0022542B">
        <w:rPr>
          <w:szCs w:val="20"/>
        </w:rPr>
        <w:t xml:space="preserve"> from 2008 (</w:t>
      </w:r>
      <w:r w:rsidR="0022542B" w:rsidRPr="0022542B">
        <w:rPr>
          <w:szCs w:val="20"/>
        </w:rPr>
        <w:t>63.0–69.0</w:t>
      </w:r>
      <w:r w:rsidRPr="0022542B">
        <w:rPr>
          <w:szCs w:val="20"/>
        </w:rPr>
        <w:t xml:space="preserve"> per cent). </w:t>
      </w:r>
      <w:r w:rsidRPr="00F62857">
        <w:rPr>
          <w:szCs w:val="20"/>
        </w:rPr>
        <w:t>Detailed outcomes of the 201</w:t>
      </w:r>
      <w:r>
        <w:rPr>
          <w:szCs w:val="20"/>
        </w:rPr>
        <w:t>1</w:t>
      </w:r>
      <w:r w:rsidRPr="00F62857">
        <w:rPr>
          <w:szCs w:val="20"/>
        </w:rPr>
        <w:t xml:space="preserve"> assessment were included in the 201</w:t>
      </w:r>
      <w:r>
        <w:rPr>
          <w:szCs w:val="20"/>
        </w:rPr>
        <w:t>3</w:t>
      </w:r>
      <w:r w:rsidRPr="00F62857">
        <w:rPr>
          <w:szCs w:val="20"/>
        </w:rPr>
        <w:t xml:space="preserve"> Report. Relev</w:t>
      </w:r>
      <w:r>
        <w:rPr>
          <w:szCs w:val="20"/>
        </w:rPr>
        <w:t xml:space="preserve">ant data are reported in tables </w:t>
      </w:r>
      <w:r w:rsidRPr="006C1AC6">
        <w:rPr>
          <w:szCs w:val="20"/>
        </w:rPr>
        <w:t>4A.</w:t>
      </w:r>
      <w:r w:rsidR="006C1AC6" w:rsidRPr="006C1AC6">
        <w:rPr>
          <w:szCs w:val="20"/>
        </w:rPr>
        <w:t>9</w:t>
      </w:r>
      <w:r w:rsidR="00E34421">
        <w:rPr>
          <w:szCs w:val="20"/>
        </w:rPr>
        <w:t>5</w:t>
      </w:r>
      <w:r w:rsidR="006C1AC6" w:rsidRPr="006C1AC6">
        <w:rPr>
          <w:szCs w:val="20"/>
        </w:rPr>
        <w:t>–9</w:t>
      </w:r>
      <w:r w:rsidR="00E34421">
        <w:rPr>
          <w:szCs w:val="20"/>
        </w:rPr>
        <w:t>6</w:t>
      </w:r>
      <w:r w:rsidRPr="006C1AC6">
        <w:rPr>
          <w:szCs w:val="20"/>
        </w:rPr>
        <w:t>.</w:t>
      </w:r>
    </w:p>
    <w:p w:rsidR="00666ECE" w:rsidRPr="00666ECE" w:rsidRDefault="00666ECE" w:rsidP="00666ECE">
      <w:pPr>
        <w:keepNext/>
        <w:spacing w:before="480" w:line="320" w:lineRule="exact"/>
        <w:outlineLvl w:val="4"/>
        <w:rPr>
          <w:i/>
        </w:rPr>
      </w:pPr>
      <w:r w:rsidRPr="00666ECE">
        <w:rPr>
          <w:i/>
        </w:rPr>
        <w:t xml:space="preserve">National Assessment Program – </w:t>
      </w:r>
      <w:r w:rsidR="003E2CB5" w:rsidRPr="00666ECE">
        <w:rPr>
          <w:i/>
        </w:rPr>
        <w:t>Civics and citizenship performance</w:t>
      </w:r>
    </w:p>
    <w:p w:rsidR="00666ECE" w:rsidRDefault="00666ECE" w:rsidP="00666ECE">
      <w:pPr>
        <w:spacing w:before="240" w:line="320" w:lineRule="atLeast"/>
        <w:jc w:val="both"/>
        <w:rPr>
          <w:szCs w:val="20"/>
        </w:rPr>
      </w:pPr>
      <w:r w:rsidRPr="00F62857">
        <w:rPr>
          <w:szCs w:val="20"/>
        </w:rPr>
        <w:t xml:space="preserve">The National Years 6 and 10 </w:t>
      </w:r>
      <w:r w:rsidR="00E51DB5" w:rsidRPr="00F62857">
        <w:t>Civics and citizenship performance</w:t>
      </w:r>
      <w:r w:rsidR="00E51DB5" w:rsidRPr="00F62857">
        <w:rPr>
          <w:szCs w:val="20"/>
        </w:rPr>
        <w:t xml:space="preserve"> </w:t>
      </w:r>
      <w:r w:rsidRPr="00F62857">
        <w:rPr>
          <w:szCs w:val="20"/>
        </w:rPr>
        <w:t>assessment was conducted for the first time in 200</w:t>
      </w:r>
      <w:r w:rsidR="00E51DB5" w:rsidRPr="00F62857">
        <w:rPr>
          <w:szCs w:val="20"/>
        </w:rPr>
        <w:t>4</w:t>
      </w:r>
      <w:r w:rsidRPr="00F62857">
        <w:rPr>
          <w:szCs w:val="20"/>
        </w:rPr>
        <w:t xml:space="preserve">, and </w:t>
      </w:r>
      <w:r w:rsidR="001A1596">
        <w:rPr>
          <w:szCs w:val="20"/>
        </w:rPr>
        <w:t>was repeated in 2007 and 2010</w:t>
      </w:r>
      <w:r w:rsidRPr="00F62857">
        <w:rPr>
          <w:szCs w:val="20"/>
        </w:rPr>
        <w:t>. Nationally, in 20</w:t>
      </w:r>
      <w:r w:rsidR="00E51DB5" w:rsidRPr="00F62857">
        <w:rPr>
          <w:szCs w:val="20"/>
        </w:rPr>
        <w:t>10</w:t>
      </w:r>
      <w:r w:rsidRPr="00F62857">
        <w:rPr>
          <w:szCs w:val="20"/>
        </w:rPr>
        <w:t xml:space="preserve">, </w:t>
      </w:r>
      <w:r w:rsidR="00F62857" w:rsidRPr="00F62857">
        <w:rPr>
          <w:szCs w:val="20"/>
        </w:rPr>
        <w:t>49.6–54.4</w:t>
      </w:r>
      <w:r w:rsidRPr="00F62857">
        <w:rPr>
          <w:szCs w:val="20"/>
        </w:rPr>
        <w:t xml:space="preserve"> per cent of year 6 students achieved at the proficient standard or above, </w:t>
      </w:r>
      <w:r w:rsidR="00F62857" w:rsidRPr="00F62857">
        <w:rPr>
          <w:szCs w:val="20"/>
        </w:rPr>
        <w:t xml:space="preserve">not </w:t>
      </w:r>
      <w:r w:rsidRPr="00F62857">
        <w:rPr>
          <w:szCs w:val="20"/>
        </w:rPr>
        <w:t xml:space="preserve">a statistically significant </w:t>
      </w:r>
      <w:r w:rsidR="0022542B">
        <w:rPr>
          <w:szCs w:val="20"/>
        </w:rPr>
        <w:t>difference</w:t>
      </w:r>
      <w:r w:rsidRPr="00F62857">
        <w:rPr>
          <w:szCs w:val="20"/>
        </w:rPr>
        <w:t xml:space="preserve"> from </w:t>
      </w:r>
      <w:r w:rsidR="00F62857" w:rsidRPr="00F62857">
        <w:rPr>
          <w:szCs w:val="20"/>
        </w:rPr>
        <w:t>50.6</w:t>
      </w:r>
      <w:r w:rsidRPr="00F62857">
        <w:rPr>
          <w:szCs w:val="20"/>
        </w:rPr>
        <w:t>–</w:t>
      </w:r>
      <w:r w:rsidR="00F62857" w:rsidRPr="00F62857">
        <w:rPr>
          <w:szCs w:val="20"/>
        </w:rPr>
        <w:t>56.2</w:t>
      </w:r>
      <w:r w:rsidRPr="00F62857">
        <w:rPr>
          <w:szCs w:val="20"/>
        </w:rPr>
        <w:t xml:space="preserve"> per cent in 200</w:t>
      </w:r>
      <w:r w:rsidR="00E51DB5" w:rsidRPr="00F62857">
        <w:rPr>
          <w:szCs w:val="20"/>
        </w:rPr>
        <w:t>7</w:t>
      </w:r>
      <w:r w:rsidRPr="00F62857">
        <w:rPr>
          <w:szCs w:val="20"/>
        </w:rPr>
        <w:t>. Nationally, in 20</w:t>
      </w:r>
      <w:r w:rsidR="00F62857" w:rsidRPr="00F62857">
        <w:rPr>
          <w:szCs w:val="20"/>
        </w:rPr>
        <w:t>10</w:t>
      </w:r>
      <w:r w:rsidRPr="00F62857">
        <w:rPr>
          <w:szCs w:val="20"/>
        </w:rPr>
        <w:t xml:space="preserve">, </w:t>
      </w:r>
      <w:r w:rsidR="00F62857" w:rsidRPr="00F62857">
        <w:rPr>
          <w:szCs w:val="20"/>
        </w:rPr>
        <w:t>45.3–52.7</w:t>
      </w:r>
      <w:r w:rsidR="00F62857">
        <w:rPr>
          <w:szCs w:val="20"/>
        </w:rPr>
        <w:t xml:space="preserve"> </w:t>
      </w:r>
      <w:r w:rsidRPr="00F62857">
        <w:rPr>
          <w:szCs w:val="20"/>
        </w:rPr>
        <w:t xml:space="preserve">per cent of year 10 students achieved at the proficient standard or above, a statistically significant </w:t>
      </w:r>
      <w:r w:rsidR="001A1596">
        <w:rPr>
          <w:szCs w:val="20"/>
        </w:rPr>
        <w:t>increase</w:t>
      </w:r>
      <w:r w:rsidRPr="00F62857">
        <w:rPr>
          <w:szCs w:val="20"/>
        </w:rPr>
        <w:t xml:space="preserve"> from 200</w:t>
      </w:r>
      <w:r w:rsidR="00F62857" w:rsidRPr="00F62857">
        <w:rPr>
          <w:szCs w:val="20"/>
        </w:rPr>
        <w:t>7</w:t>
      </w:r>
      <w:r w:rsidRPr="00F62857">
        <w:rPr>
          <w:szCs w:val="20"/>
        </w:rPr>
        <w:t xml:space="preserve"> (</w:t>
      </w:r>
      <w:r w:rsidR="005E4316">
        <w:rPr>
          <w:szCs w:val="20"/>
        </w:rPr>
        <w:t>38.</w:t>
      </w:r>
      <w:r w:rsidR="000666F6">
        <w:rPr>
          <w:szCs w:val="20"/>
        </w:rPr>
        <w:t>9</w:t>
      </w:r>
      <w:r w:rsidRPr="00F62857">
        <w:rPr>
          <w:szCs w:val="20"/>
        </w:rPr>
        <w:t>–</w:t>
      </w:r>
      <w:r w:rsidR="005E4316">
        <w:rPr>
          <w:szCs w:val="20"/>
        </w:rPr>
        <w:t>44.1</w:t>
      </w:r>
      <w:r w:rsidRPr="00F62857">
        <w:rPr>
          <w:szCs w:val="20"/>
        </w:rPr>
        <w:t xml:space="preserve"> per cent). Detailed outcomes of the 20</w:t>
      </w:r>
      <w:r w:rsidR="00F62857" w:rsidRPr="00F62857">
        <w:rPr>
          <w:szCs w:val="20"/>
        </w:rPr>
        <w:t>10</w:t>
      </w:r>
      <w:r w:rsidRPr="00F62857">
        <w:rPr>
          <w:szCs w:val="20"/>
        </w:rPr>
        <w:t xml:space="preserve"> assessment were included in the 201</w:t>
      </w:r>
      <w:r w:rsidR="00F62857" w:rsidRPr="00F62857">
        <w:rPr>
          <w:szCs w:val="20"/>
        </w:rPr>
        <w:t>2</w:t>
      </w:r>
      <w:r w:rsidRPr="00F62857">
        <w:rPr>
          <w:szCs w:val="20"/>
        </w:rPr>
        <w:t xml:space="preserve"> Report. Relev</w:t>
      </w:r>
      <w:r w:rsidR="003B4524">
        <w:rPr>
          <w:szCs w:val="20"/>
        </w:rPr>
        <w:t xml:space="preserve">ant data are reported in </w:t>
      </w:r>
      <w:r w:rsidR="003B4524" w:rsidRPr="00686637">
        <w:rPr>
          <w:szCs w:val="20"/>
        </w:rPr>
        <w:t xml:space="preserve">tables </w:t>
      </w:r>
      <w:r w:rsidRPr="00686637">
        <w:rPr>
          <w:szCs w:val="20"/>
        </w:rPr>
        <w:t>4A.</w:t>
      </w:r>
      <w:r w:rsidR="00E34421">
        <w:rPr>
          <w:szCs w:val="20"/>
        </w:rPr>
        <w:t>92</w:t>
      </w:r>
      <w:r w:rsidR="00F62857" w:rsidRPr="00686637">
        <w:rPr>
          <w:szCs w:val="20"/>
        </w:rPr>
        <w:t>–</w:t>
      </w:r>
      <w:r w:rsidR="00686637" w:rsidRPr="00686637">
        <w:rPr>
          <w:szCs w:val="20"/>
        </w:rPr>
        <w:t>9</w:t>
      </w:r>
      <w:r w:rsidR="00E34421">
        <w:rPr>
          <w:szCs w:val="20"/>
        </w:rPr>
        <w:t>4</w:t>
      </w:r>
      <w:r w:rsidRPr="00686637">
        <w:rPr>
          <w:szCs w:val="20"/>
        </w:rPr>
        <w:t>.</w:t>
      </w:r>
    </w:p>
    <w:p w:rsidR="00F64D20" w:rsidRDefault="00F64D20" w:rsidP="00F64D20">
      <w:pPr>
        <w:keepNext/>
        <w:spacing w:before="480" w:line="320" w:lineRule="exact"/>
        <w:outlineLvl w:val="4"/>
        <w:rPr>
          <w:b/>
          <w:i/>
        </w:rPr>
      </w:pPr>
      <w:r w:rsidRPr="003B4371">
        <w:rPr>
          <w:b/>
          <w:i/>
        </w:rPr>
        <w:t>PI</w:t>
      </w:r>
      <w:r w:rsidR="00414312">
        <w:rPr>
          <w:b/>
          <w:i/>
        </w:rPr>
        <w:t>SA</w:t>
      </w:r>
      <w:r w:rsidRPr="003B4371">
        <w:rPr>
          <w:b/>
          <w:i/>
        </w:rPr>
        <w:t xml:space="preserve"> assessment</w:t>
      </w:r>
    </w:p>
    <w:p w:rsidR="00414312" w:rsidRPr="00241EB3" w:rsidRDefault="00414312" w:rsidP="00414312">
      <w:pPr>
        <w:pStyle w:val="BodyText"/>
        <w:rPr>
          <w:rStyle w:val="DraftingNote"/>
          <w:color w:val="auto"/>
        </w:rPr>
      </w:pPr>
      <w:r w:rsidRPr="00414312">
        <w:t>The Programme for International Student Assessment (PI</w:t>
      </w:r>
      <w:r>
        <w:t>SA</w:t>
      </w:r>
      <w:r w:rsidRPr="00414312">
        <w:t xml:space="preserve">) </w:t>
      </w:r>
      <w:r w:rsidR="00CE740B" w:rsidRPr="00EC06F7">
        <w:rPr>
          <w:shd w:val="clear" w:color="auto" w:fill="FFFFFF" w:themeFill="background1"/>
        </w:rPr>
        <w:t xml:space="preserve">is a sample assessment </w:t>
      </w:r>
      <w:r w:rsidRPr="00EC06F7">
        <w:rPr>
          <w:shd w:val="clear" w:color="auto" w:fill="FFFFFF" w:themeFill="background1"/>
        </w:rPr>
        <w:t>undertaken e</w:t>
      </w:r>
      <w:r w:rsidR="00CE740B" w:rsidRPr="00EC06F7">
        <w:rPr>
          <w:shd w:val="clear" w:color="auto" w:fill="FFFFFF" w:themeFill="background1"/>
        </w:rPr>
        <w:t>very</w:t>
      </w:r>
      <w:r w:rsidRPr="00EC06F7">
        <w:rPr>
          <w:shd w:val="clear" w:color="auto" w:fill="FFFFFF" w:themeFill="background1"/>
        </w:rPr>
        <w:t xml:space="preserve"> </w:t>
      </w:r>
      <w:r>
        <w:t>three</w:t>
      </w:r>
      <w:r w:rsidRPr="00414312">
        <w:t xml:space="preserve"> years (box 4.1</w:t>
      </w:r>
      <w:r w:rsidR="002B248C">
        <w:t>0</w:t>
      </w:r>
      <w:r w:rsidRPr="00414312">
        <w:t xml:space="preserve">). Data from </w:t>
      </w:r>
      <w:r>
        <w:t>PISA</w:t>
      </w:r>
      <w:r w:rsidRPr="00414312">
        <w:t xml:space="preserve"> </w:t>
      </w:r>
      <w:r w:rsidR="00CE740B" w:rsidRPr="00414312">
        <w:t>201</w:t>
      </w:r>
      <w:r w:rsidR="00CE740B">
        <w:t xml:space="preserve">2 </w:t>
      </w:r>
      <w:r w:rsidRPr="00414312">
        <w:t xml:space="preserve">are included for the first time in this </w:t>
      </w:r>
      <w:r w:rsidRPr="00241EB3">
        <w:t>Report.</w:t>
      </w:r>
      <w:r w:rsidR="0066655C" w:rsidRPr="00241EB3">
        <w:t xml:space="preserve"> </w:t>
      </w:r>
    </w:p>
    <w:p w:rsidR="00770948" w:rsidRPr="00EA078D" w:rsidRDefault="00770948" w:rsidP="00770948">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70948" w:rsidRPr="00EA078D" w:rsidTr="00A60072">
        <w:tc>
          <w:tcPr>
            <w:tcW w:w="8771" w:type="dxa"/>
            <w:tcBorders>
              <w:top w:val="single" w:sz="6" w:space="0" w:color="auto"/>
              <w:bottom w:val="nil"/>
            </w:tcBorders>
          </w:tcPr>
          <w:p w:rsidR="00770948" w:rsidRPr="00EA078D" w:rsidRDefault="00770948" w:rsidP="006B35ED">
            <w:pPr>
              <w:pStyle w:val="BoxTitle"/>
            </w:pPr>
            <w:r w:rsidRPr="00B64D68">
              <w:rPr>
                <w:b w:val="0"/>
              </w:rPr>
              <w:t>Box 4.1</w:t>
            </w:r>
            <w:r w:rsidR="00414312" w:rsidRPr="00B64D68">
              <w:rPr>
                <w:b w:val="0"/>
              </w:rPr>
              <w:t>0</w:t>
            </w:r>
            <w:r w:rsidRPr="00B64D68">
              <w:rPr>
                <w:b w:val="0"/>
              </w:rPr>
              <w:tab/>
            </w:r>
            <w:r w:rsidRPr="00EA078D">
              <w:t>Programme for International Student Assessment</w:t>
            </w:r>
          </w:p>
        </w:tc>
      </w:tr>
      <w:tr w:rsidR="00770948" w:rsidRPr="00EA078D" w:rsidTr="00A60072">
        <w:trPr>
          <w:cantSplit/>
        </w:trPr>
        <w:tc>
          <w:tcPr>
            <w:tcW w:w="8771" w:type="dxa"/>
            <w:tcBorders>
              <w:top w:val="nil"/>
              <w:left w:val="single" w:sz="6" w:space="0" w:color="auto"/>
              <w:bottom w:val="nil"/>
              <w:right w:val="single" w:sz="6" w:space="0" w:color="auto"/>
            </w:tcBorders>
          </w:tcPr>
          <w:p w:rsidR="00770948" w:rsidRPr="00EA078D" w:rsidRDefault="00770948" w:rsidP="00A60072">
            <w:pPr>
              <w:keepNext/>
              <w:spacing w:before="120" w:line="280" w:lineRule="atLeast"/>
              <w:jc w:val="both"/>
              <w:rPr>
                <w:rFonts w:ascii="Arial" w:hAnsi="Arial"/>
                <w:sz w:val="22"/>
                <w:szCs w:val="20"/>
              </w:rPr>
            </w:pPr>
            <w:r w:rsidRPr="00EA078D">
              <w:rPr>
                <w:rFonts w:ascii="Arial" w:hAnsi="Arial"/>
                <w:sz w:val="22"/>
                <w:szCs w:val="20"/>
              </w:rPr>
              <w:t xml:space="preserve">PISA </w:t>
            </w:r>
            <w:r w:rsidRPr="00057744">
              <w:rPr>
                <w:rFonts w:ascii="Arial" w:hAnsi="Arial"/>
                <w:sz w:val="22"/>
                <w:szCs w:val="20"/>
              </w:rPr>
              <w:t>provides learning outcomes data for 15 year olds in three core assessment domains: reading literacy, mathematical literacy and scientific literacy. In 20</w:t>
            </w:r>
            <w:r w:rsidR="00360D26" w:rsidRPr="00057744">
              <w:rPr>
                <w:rFonts w:ascii="Arial" w:hAnsi="Arial"/>
                <w:sz w:val="22"/>
                <w:szCs w:val="20"/>
              </w:rPr>
              <w:t>12</w:t>
            </w:r>
            <w:r w:rsidRPr="00057744">
              <w:rPr>
                <w:rFonts w:ascii="Arial" w:hAnsi="Arial"/>
                <w:sz w:val="22"/>
                <w:szCs w:val="20"/>
              </w:rPr>
              <w:t xml:space="preserve">, </w:t>
            </w:r>
            <w:r w:rsidR="00057744" w:rsidRPr="00057744">
              <w:rPr>
                <w:rFonts w:ascii="Arial" w:hAnsi="Arial"/>
                <w:sz w:val="22"/>
                <w:szCs w:val="20"/>
              </w:rPr>
              <w:t>around</w:t>
            </w:r>
            <w:r w:rsidRPr="00057744">
              <w:rPr>
                <w:rFonts w:ascii="Arial" w:hAnsi="Arial"/>
                <w:sz w:val="22"/>
                <w:szCs w:val="20"/>
              </w:rPr>
              <w:t xml:space="preserve"> </w:t>
            </w:r>
            <w:r w:rsidR="00057744" w:rsidRPr="00C61349">
              <w:rPr>
                <w:rFonts w:ascii="Arial" w:hAnsi="Arial"/>
                <w:sz w:val="22"/>
                <w:szCs w:val="20"/>
                <w:shd w:val="clear" w:color="auto" w:fill="FFFFFF" w:themeFill="background1"/>
              </w:rPr>
              <w:t>510</w:t>
            </w:r>
            <w:r w:rsidRPr="00C61349">
              <w:rPr>
                <w:rFonts w:ascii="Arial" w:hAnsi="Arial"/>
                <w:sz w:val="22"/>
                <w:szCs w:val="20"/>
                <w:shd w:val="clear" w:color="auto" w:fill="FFFFFF" w:themeFill="background1"/>
              </w:rPr>
              <w:t xml:space="preserve"> 000 students from </w:t>
            </w:r>
            <w:r w:rsidR="00057744" w:rsidRPr="00C61349">
              <w:rPr>
                <w:rFonts w:ascii="Arial" w:hAnsi="Arial"/>
                <w:sz w:val="22"/>
                <w:szCs w:val="20"/>
                <w:shd w:val="clear" w:color="auto" w:fill="FFFFFF" w:themeFill="background1"/>
              </w:rPr>
              <w:t>65</w:t>
            </w:r>
            <w:r w:rsidRPr="00C61349">
              <w:rPr>
                <w:rFonts w:ascii="Arial" w:hAnsi="Arial"/>
                <w:sz w:val="22"/>
                <w:szCs w:val="20"/>
                <w:shd w:val="clear" w:color="auto" w:fill="FFFFFF" w:themeFill="background1"/>
              </w:rPr>
              <w:t xml:space="preserve"> countries and economies participated in the PISA assessment. From Australia, this included </w:t>
            </w:r>
            <w:r w:rsidR="00057744" w:rsidRPr="00C61349">
              <w:rPr>
                <w:rFonts w:ascii="Arial" w:hAnsi="Arial"/>
                <w:sz w:val="22"/>
                <w:szCs w:val="20"/>
                <w:shd w:val="clear" w:color="auto" w:fill="FFFFFF" w:themeFill="background1"/>
              </w:rPr>
              <w:t>14</w:t>
            </w:r>
            <w:r w:rsidR="00063FE8" w:rsidRPr="00C61349">
              <w:rPr>
                <w:rFonts w:ascii="Arial" w:hAnsi="Arial"/>
                <w:sz w:val="22"/>
                <w:szCs w:val="20"/>
                <w:shd w:val="clear" w:color="auto" w:fill="FFFFFF" w:themeFill="background1"/>
              </w:rPr>
              <w:t> </w:t>
            </w:r>
            <w:r w:rsidR="00057744" w:rsidRPr="00C61349">
              <w:rPr>
                <w:rFonts w:ascii="Arial" w:hAnsi="Arial"/>
                <w:sz w:val="22"/>
                <w:szCs w:val="20"/>
                <w:shd w:val="clear" w:color="auto" w:fill="FFFFFF" w:themeFill="background1"/>
              </w:rPr>
              <w:t>481</w:t>
            </w:r>
            <w:r w:rsidRPr="00C61349">
              <w:rPr>
                <w:rFonts w:ascii="Arial" w:hAnsi="Arial"/>
                <w:sz w:val="22"/>
                <w:szCs w:val="20"/>
                <w:shd w:val="clear" w:color="auto" w:fill="FFFFFF" w:themeFill="background1"/>
              </w:rPr>
              <w:t xml:space="preserve"> students from </w:t>
            </w:r>
            <w:r w:rsidR="00057744" w:rsidRPr="00C61349">
              <w:rPr>
                <w:rFonts w:ascii="Arial" w:hAnsi="Arial"/>
                <w:sz w:val="22"/>
                <w:szCs w:val="20"/>
                <w:shd w:val="clear" w:color="auto" w:fill="FFFFFF" w:themeFill="background1"/>
              </w:rPr>
              <w:t xml:space="preserve">775 </w:t>
            </w:r>
            <w:r w:rsidRPr="00C61349">
              <w:rPr>
                <w:rFonts w:ascii="Arial" w:hAnsi="Arial"/>
                <w:sz w:val="22"/>
                <w:szCs w:val="20"/>
                <w:shd w:val="clear" w:color="auto" w:fill="FFFFFF" w:themeFill="background1"/>
              </w:rPr>
              <w:t xml:space="preserve">schools. </w:t>
            </w:r>
            <w:r w:rsidR="005B3E40" w:rsidRPr="00C61349">
              <w:rPr>
                <w:rFonts w:ascii="Arial" w:hAnsi="Arial"/>
                <w:sz w:val="22"/>
                <w:szCs w:val="20"/>
                <w:shd w:val="clear" w:color="auto" w:fill="FFFFFF" w:themeFill="background1"/>
              </w:rPr>
              <w:t>Mathematical</w:t>
            </w:r>
            <w:r w:rsidRPr="00C61349">
              <w:rPr>
                <w:rFonts w:ascii="Arial" w:hAnsi="Arial"/>
                <w:sz w:val="22"/>
                <w:szCs w:val="20"/>
                <w:shd w:val="clear" w:color="auto" w:fill="FFFFFF" w:themeFill="background1"/>
              </w:rPr>
              <w:t xml:space="preserve"> literacy was</w:t>
            </w:r>
            <w:r w:rsidRPr="00057744">
              <w:rPr>
                <w:rFonts w:ascii="Arial" w:hAnsi="Arial"/>
                <w:sz w:val="22"/>
                <w:szCs w:val="20"/>
              </w:rPr>
              <w:t xml:space="preserve"> the major domain tested in PISA 20</w:t>
            </w:r>
            <w:r w:rsidR="00BB496A" w:rsidRPr="00057744">
              <w:rPr>
                <w:rFonts w:ascii="Arial" w:hAnsi="Arial"/>
                <w:sz w:val="22"/>
                <w:szCs w:val="20"/>
              </w:rPr>
              <w:t>12</w:t>
            </w:r>
            <w:r w:rsidRPr="00EA078D">
              <w:rPr>
                <w:rFonts w:ascii="Arial" w:hAnsi="Arial"/>
                <w:sz w:val="22"/>
                <w:szCs w:val="20"/>
              </w:rPr>
              <w:t xml:space="preserve">. </w:t>
            </w:r>
          </w:p>
          <w:p w:rsidR="00770948" w:rsidRDefault="00770948" w:rsidP="00A60072">
            <w:pPr>
              <w:keepNext/>
              <w:spacing w:before="120" w:line="280" w:lineRule="atLeast"/>
              <w:jc w:val="both"/>
              <w:rPr>
                <w:rFonts w:ascii="Arial" w:hAnsi="Arial"/>
                <w:sz w:val="22"/>
                <w:szCs w:val="20"/>
              </w:rPr>
            </w:pPr>
            <w:r w:rsidRPr="00EA078D">
              <w:rPr>
                <w:rFonts w:ascii="Arial" w:hAnsi="Arial"/>
                <w:sz w:val="22"/>
                <w:szCs w:val="20"/>
              </w:rPr>
              <w:t xml:space="preserve">Time series comparisons can only be made across PISA data once a subject has been a major assessment domain. All domains have now been the subject of a major assessment, but in different </w:t>
            </w:r>
            <w:r w:rsidR="00CE740B" w:rsidRPr="00C61349">
              <w:rPr>
                <w:rFonts w:ascii="Arial" w:hAnsi="Arial"/>
                <w:sz w:val="22"/>
                <w:szCs w:val="20"/>
                <w:shd w:val="clear" w:color="auto" w:fill="FFFFFF" w:themeFill="background1"/>
              </w:rPr>
              <w:t>cycle</w:t>
            </w:r>
            <w:r w:rsidRPr="00C61349">
              <w:rPr>
                <w:rFonts w:ascii="Arial" w:hAnsi="Arial"/>
                <w:sz w:val="22"/>
                <w:szCs w:val="20"/>
                <w:shd w:val="clear" w:color="auto" w:fill="FFFFFF" w:themeFill="background1"/>
              </w:rPr>
              <w:t>s.</w:t>
            </w:r>
          </w:p>
          <w:p w:rsidR="00A60C5F" w:rsidRPr="00EA078D" w:rsidRDefault="00A60C5F" w:rsidP="00D3193D">
            <w:pPr>
              <w:keepNext/>
              <w:shd w:val="clear" w:color="auto" w:fill="FFFFFF" w:themeFill="background1"/>
              <w:spacing w:before="120" w:line="280" w:lineRule="atLeast"/>
              <w:jc w:val="both"/>
              <w:rPr>
                <w:rFonts w:ascii="Arial" w:hAnsi="Arial"/>
                <w:sz w:val="22"/>
                <w:szCs w:val="20"/>
              </w:rPr>
            </w:pPr>
            <w:r w:rsidRPr="00D3193D">
              <w:rPr>
                <w:rFonts w:ascii="Arial" w:hAnsi="Arial"/>
                <w:sz w:val="22"/>
                <w:szCs w:val="20"/>
                <w:shd w:val="clear" w:color="auto" w:fill="FFFFFF" w:themeFill="background1"/>
              </w:rPr>
              <w:t xml:space="preserve">The national proficient standard </w:t>
            </w:r>
            <w:r w:rsidRPr="00C61349">
              <w:rPr>
                <w:rFonts w:ascii="Arial" w:hAnsi="Arial"/>
                <w:sz w:val="22"/>
                <w:szCs w:val="20"/>
                <w:shd w:val="clear" w:color="auto" w:fill="FFFFFF" w:themeFill="background1"/>
              </w:rPr>
              <w:t xml:space="preserve">is set at </w:t>
            </w:r>
            <w:r w:rsidR="00CE740B" w:rsidRPr="00C61349">
              <w:rPr>
                <w:rFonts w:ascii="Arial" w:hAnsi="Arial"/>
                <w:sz w:val="22"/>
                <w:szCs w:val="20"/>
                <w:shd w:val="clear" w:color="auto" w:fill="FFFFFF" w:themeFill="background1"/>
              </w:rPr>
              <w:t>Proficiency level 3</w:t>
            </w:r>
            <w:r w:rsidRPr="00C61349">
              <w:rPr>
                <w:rFonts w:ascii="Arial" w:hAnsi="Arial"/>
                <w:sz w:val="22"/>
                <w:szCs w:val="20"/>
                <w:shd w:val="clear" w:color="auto" w:fill="FFFFFF" w:themeFill="background1"/>
              </w:rPr>
              <w:t>.</w:t>
            </w:r>
          </w:p>
          <w:p w:rsidR="00770948" w:rsidRPr="00EA078D" w:rsidRDefault="00770948" w:rsidP="00A60072">
            <w:pPr>
              <w:keepNext/>
              <w:spacing w:before="120" w:line="280" w:lineRule="atLeast"/>
              <w:jc w:val="both"/>
              <w:rPr>
                <w:rFonts w:ascii="Arial" w:hAnsi="Arial"/>
                <w:sz w:val="22"/>
                <w:szCs w:val="20"/>
              </w:rPr>
            </w:pPr>
            <w:r w:rsidRPr="00EA078D">
              <w:rPr>
                <w:rFonts w:ascii="Arial" w:hAnsi="Arial"/>
                <w:sz w:val="22"/>
                <w:szCs w:val="20"/>
              </w:rPr>
              <w:t>Further information on PISA is available at the PISA website: www.acer.edu.au/ozpisa/reports.</w:t>
            </w:r>
          </w:p>
        </w:tc>
      </w:tr>
      <w:tr w:rsidR="00770948" w:rsidRPr="00EA078D" w:rsidTr="00A60072">
        <w:trPr>
          <w:cantSplit/>
        </w:trPr>
        <w:tc>
          <w:tcPr>
            <w:tcW w:w="8771" w:type="dxa"/>
            <w:tcBorders>
              <w:top w:val="nil"/>
              <w:left w:val="single" w:sz="6" w:space="0" w:color="auto"/>
              <w:bottom w:val="nil"/>
              <w:right w:val="single" w:sz="6" w:space="0" w:color="auto"/>
            </w:tcBorders>
          </w:tcPr>
          <w:p w:rsidR="00770948" w:rsidRPr="00EA078D" w:rsidRDefault="00770948" w:rsidP="00360D26">
            <w:pPr>
              <w:keepLines/>
              <w:spacing w:before="180" w:line="220" w:lineRule="exact"/>
              <w:jc w:val="both"/>
              <w:rPr>
                <w:rFonts w:ascii="Arial" w:hAnsi="Arial"/>
                <w:sz w:val="18"/>
                <w:szCs w:val="20"/>
              </w:rPr>
            </w:pPr>
            <w:r w:rsidRPr="00EA078D">
              <w:rPr>
                <w:rFonts w:ascii="Arial" w:hAnsi="Arial"/>
                <w:i/>
                <w:sz w:val="18"/>
                <w:szCs w:val="20"/>
              </w:rPr>
              <w:t>Source</w:t>
            </w:r>
            <w:r w:rsidRPr="00EA078D">
              <w:rPr>
                <w:rFonts w:ascii="Arial" w:hAnsi="Arial"/>
                <w:sz w:val="18"/>
                <w:szCs w:val="20"/>
              </w:rPr>
              <w:t>: Australian Council for Educational Research (ACER) (201</w:t>
            </w:r>
            <w:r w:rsidR="00360D26" w:rsidRPr="00EA078D">
              <w:rPr>
                <w:rFonts w:ascii="Arial" w:hAnsi="Arial"/>
                <w:sz w:val="18"/>
                <w:szCs w:val="20"/>
              </w:rPr>
              <w:t>3</w:t>
            </w:r>
            <w:r w:rsidRPr="00EA078D">
              <w:rPr>
                <w:rFonts w:ascii="Arial" w:hAnsi="Arial"/>
                <w:sz w:val="18"/>
                <w:szCs w:val="20"/>
              </w:rPr>
              <w:t>)</w:t>
            </w:r>
            <w:r w:rsidR="001A1596">
              <w:rPr>
                <w:rFonts w:ascii="Arial" w:hAnsi="Arial"/>
                <w:sz w:val="18"/>
                <w:szCs w:val="20"/>
              </w:rPr>
              <w:t>.</w:t>
            </w:r>
          </w:p>
        </w:tc>
      </w:tr>
      <w:tr w:rsidR="00770948" w:rsidRPr="00EA078D" w:rsidTr="00A60072">
        <w:trPr>
          <w:cantSplit/>
        </w:trPr>
        <w:tc>
          <w:tcPr>
            <w:tcW w:w="8771" w:type="dxa"/>
            <w:tcBorders>
              <w:top w:val="nil"/>
              <w:left w:val="single" w:sz="6" w:space="0" w:color="auto"/>
              <w:bottom w:val="single" w:sz="6" w:space="0" w:color="auto"/>
              <w:right w:val="single" w:sz="6" w:space="0" w:color="auto"/>
            </w:tcBorders>
          </w:tcPr>
          <w:p w:rsidR="00770948" w:rsidRPr="00EA078D" w:rsidRDefault="00770948" w:rsidP="00A60072">
            <w:pPr>
              <w:keepNext/>
              <w:spacing w:line="120" w:lineRule="exact"/>
              <w:jc w:val="both"/>
              <w:rPr>
                <w:rFonts w:ascii="Arial" w:hAnsi="Arial"/>
                <w:sz w:val="22"/>
                <w:szCs w:val="20"/>
              </w:rPr>
            </w:pPr>
          </w:p>
        </w:tc>
      </w:tr>
      <w:tr w:rsidR="00770948" w:rsidRPr="00DA1812" w:rsidTr="00A60072">
        <w:tc>
          <w:tcPr>
            <w:tcW w:w="8771" w:type="dxa"/>
            <w:tcBorders>
              <w:top w:val="nil"/>
              <w:left w:val="nil"/>
              <w:bottom w:val="nil"/>
              <w:right w:val="nil"/>
            </w:tcBorders>
          </w:tcPr>
          <w:p w:rsidR="00770948" w:rsidRPr="00DA1812" w:rsidRDefault="00770948" w:rsidP="00A60072">
            <w:pPr>
              <w:spacing w:before="60" w:after="60" w:line="80" w:lineRule="exact"/>
              <w:jc w:val="both"/>
              <w:rPr>
                <w:rFonts w:ascii="Arial" w:hAnsi="Arial"/>
                <w:b/>
                <w:color w:val="FF0000"/>
                <w:sz w:val="14"/>
                <w:szCs w:val="20"/>
              </w:rPr>
            </w:pPr>
          </w:p>
        </w:tc>
      </w:tr>
    </w:tbl>
    <w:p w:rsidR="00360D26" w:rsidRDefault="00360D26" w:rsidP="00360D26">
      <w:pPr>
        <w:pStyle w:val="Heading5"/>
      </w:pPr>
      <w:r>
        <w:lastRenderedPageBreak/>
        <w:t>PISA reading literacy</w:t>
      </w:r>
    </w:p>
    <w:p w:rsidR="00564940" w:rsidRPr="000C7D44" w:rsidRDefault="00770948" w:rsidP="00770948">
      <w:pPr>
        <w:spacing w:before="240" w:line="320" w:lineRule="atLeast"/>
        <w:jc w:val="both"/>
        <w:rPr>
          <w:szCs w:val="20"/>
        </w:rPr>
      </w:pPr>
      <w:r w:rsidRPr="00770948">
        <w:rPr>
          <w:szCs w:val="20"/>
        </w:rPr>
        <w:t xml:space="preserve">Reading literacy was the major domain tested in the PISA 2000 and 2009 </w:t>
      </w:r>
      <w:r w:rsidR="00476217">
        <w:rPr>
          <w:szCs w:val="20"/>
        </w:rPr>
        <w:t>cycle</w:t>
      </w:r>
      <w:r w:rsidRPr="00770948">
        <w:rPr>
          <w:szCs w:val="20"/>
        </w:rPr>
        <w:t xml:space="preserve">s. </w:t>
      </w:r>
      <w:r w:rsidR="00476217" w:rsidRPr="00476217">
        <w:rPr>
          <w:szCs w:val="20"/>
        </w:rPr>
        <w:t>Reading literacy results from subsequent cycles may be compared with the 2000 cycle</w:t>
      </w:r>
      <w:r w:rsidRPr="00770948">
        <w:rPr>
          <w:szCs w:val="20"/>
        </w:rPr>
        <w:t>. In PISA 20</w:t>
      </w:r>
      <w:r w:rsidR="00360D26">
        <w:rPr>
          <w:szCs w:val="20"/>
        </w:rPr>
        <w:t>12</w:t>
      </w:r>
      <w:r w:rsidRPr="00770948">
        <w:rPr>
          <w:szCs w:val="20"/>
        </w:rPr>
        <w:t xml:space="preserve"> the proportion of Australian 15 year old students who achieved at </w:t>
      </w:r>
      <w:r w:rsidR="00476217">
        <w:rPr>
          <w:szCs w:val="20"/>
        </w:rPr>
        <w:t xml:space="preserve">or above </w:t>
      </w:r>
      <w:r w:rsidR="00482113" w:rsidRPr="00D3193D">
        <w:rPr>
          <w:szCs w:val="20"/>
          <w:shd w:val="clear" w:color="auto" w:fill="FFFFFF" w:themeFill="background1"/>
        </w:rPr>
        <w:t>the national proficient standard of</w:t>
      </w:r>
      <w:r w:rsidR="00482113">
        <w:rPr>
          <w:szCs w:val="20"/>
        </w:rPr>
        <w:t xml:space="preserve"> </w:t>
      </w:r>
      <w:r w:rsidRPr="00770948">
        <w:rPr>
          <w:szCs w:val="20"/>
        </w:rPr>
        <w:t xml:space="preserve">level 3 in reading literacy nationally was </w:t>
      </w:r>
      <w:r w:rsidR="00EB0185" w:rsidRPr="00D3193D">
        <w:rPr>
          <w:shd w:val="clear" w:color="auto" w:fill="FFFFFF" w:themeFill="background1"/>
        </w:rPr>
        <w:t>62.9</w:t>
      </w:r>
      <w:r w:rsidR="002362DE" w:rsidRPr="00D3193D">
        <w:rPr>
          <w:shd w:val="clear" w:color="auto" w:fill="FFFFFF" w:themeFill="background1"/>
        </w:rPr>
        <w:t>–</w:t>
      </w:r>
      <w:r w:rsidR="00EB0185" w:rsidRPr="00D3193D">
        <w:rPr>
          <w:shd w:val="clear" w:color="auto" w:fill="FFFFFF" w:themeFill="background1"/>
        </w:rPr>
        <w:t>65.5</w:t>
      </w:r>
      <w:r w:rsidR="00E161F4" w:rsidRPr="00D3193D">
        <w:rPr>
          <w:shd w:val="clear" w:color="auto" w:fill="FFFFFF" w:themeFill="background1"/>
        </w:rPr>
        <w:t> </w:t>
      </w:r>
      <w:r w:rsidRPr="00D3193D">
        <w:rPr>
          <w:szCs w:val="20"/>
          <w:shd w:val="clear" w:color="auto" w:fill="FFFFFF" w:themeFill="background1"/>
        </w:rPr>
        <w:t>per</w:t>
      </w:r>
      <w:r w:rsidR="00E161F4" w:rsidRPr="00D3193D">
        <w:rPr>
          <w:szCs w:val="20"/>
          <w:shd w:val="clear" w:color="auto" w:fill="FFFFFF" w:themeFill="background1"/>
        </w:rPr>
        <w:t> </w:t>
      </w:r>
      <w:r w:rsidRPr="00D3193D">
        <w:rPr>
          <w:szCs w:val="20"/>
          <w:shd w:val="clear" w:color="auto" w:fill="FFFFFF" w:themeFill="background1"/>
        </w:rPr>
        <w:t>cent</w:t>
      </w:r>
      <w:r w:rsidR="00564940" w:rsidRPr="00D3193D">
        <w:rPr>
          <w:color w:val="FF0000"/>
          <w:szCs w:val="20"/>
          <w:shd w:val="clear" w:color="auto" w:fill="FFFFFF" w:themeFill="background1"/>
        </w:rPr>
        <w:t xml:space="preserve">. </w:t>
      </w:r>
      <w:r w:rsidR="00564940" w:rsidRPr="00D3193D">
        <w:rPr>
          <w:szCs w:val="20"/>
          <w:shd w:val="clear" w:color="auto" w:fill="FFFFFF" w:themeFill="background1"/>
        </w:rPr>
        <w:t xml:space="preserve">The proportion of students achieving at level 5 and 6 (the highest levels) was </w:t>
      </w:r>
      <w:r w:rsidR="00EB0185" w:rsidRPr="00D3193D">
        <w:rPr>
          <w:szCs w:val="20"/>
          <w:shd w:val="clear" w:color="auto" w:fill="FFFFFF" w:themeFill="background1"/>
        </w:rPr>
        <w:t>10.7–12.7</w:t>
      </w:r>
      <w:r w:rsidR="00564940" w:rsidRPr="00D3193D">
        <w:rPr>
          <w:szCs w:val="20"/>
          <w:shd w:val="clear" w:color="auto" w:fill="FFFFFF" w:themeFill="background1"/>
        </w:rPr>
        <w:t xml:space="preserve"> per cent and the proportion of students achieving at level 1 and below was</w:t>
      </w:r>
      <w:r w:rsidR="00564940" w:rsidRPr="00D3193D">
        <w:rPr>
          <w:color w:val="FF0000"/>
          <w:szCs w:val="20"/>
          <w:shd w:val="clear" w:color="auto" w:fill="FFFFFF" w:themeFill="background1"/>
        </w:rPr>
        <w:t xml:space="preserve"> </w:t>
      </w:r>
      <w:r w:rsidR="00EB0185" w:rsidRPr="00D3193D">
        <w:rPr>
          <w:szCs w:val="20"/>
          <w:shd w:val="clear" w:color="auto" w:fill="FFFFFF" w:themeFill="background1"/>
        </w:rPr>
        <w:t>13.3–15.1</w:t>
      </w:r>
      <w:r w:rsidR="00564940" w:rsidRPr="00EB0185">
        <w:rPr>
          <w:szCs w:val="20"/>
        </w:rPr>
        <w:t xml:space="preserve"> </w:t>
      </w:r>
      <w:r w:rsidR="00564940" w:rsidRPr="000C7D44">
        <w:rPr>
          <w:szCs w:val="20"/>
        </w:rPr>
        <w:t>per cent (figure 4.4</w:t>
      </w:r>
      <w:r w:rsidR="00F230E8">
        <w:rPr>
          <w:szCs w:val="20"/>
        </w:rPr>
        <w:t>5</w:t>
      </w:r>
      <w:r w:rsidR="00564940" w:rsidRPr="000C7D44">
        <w:rPr>
          <w:szCs w:val="20"/>
        </w:rPr>
        <w:t xml:space="preserve">). </w:t>
      </w:r>
    </w:p>
    <w:p w:rsidR="00100308" w:rsidRPr="008753B7" w:rsidRDefault="00564940" w:rsidP="006B35ED">
      <w:pPr>
        <w:pStyle w:val="FigureTitle"/>
        <w:rPr>
          <w:rStyle w:val="DraftingNote"/>
          <w:rFonts w:ascii="Times New Roman" w:hAnsi="Times New Roman"/>
          <w:b/>
          <w:color w:val="auto"/>
        </w:rPr>
      </w:pPr>
      <w:r w:rsidRPr="00B64D68">
        <w:rPr>
          <w:b w:val="0"/>
        </w:rPr>
        <w:t>Figure 4.</w:t>
      </w:r>
      <w:r w:rsidR="00EC06F7" w:rsidRPr="00B64D68">
        <w:rPr>
          <w:b w:val="0"/>
          <w:noProof/>
        </w:rPr>
        <w:t>45</w:t>
      </w:r>
      <w:r>
        <w:tab/>
      </w:r>
      <w:r w:rsidR="00B02190" w:rsidRPr="008753B7">
        <w:t xml:space="preserve">Proportion of 15 year old students achieving at </w:t>
      </w:r>
      <w:r w:rsidR="003E5D52">
        <w:t xml:space="preserve">or below </w:t>
      </w:r>
      <w:r w:rsidR="00B02190" w:rsidRPr="008753B7">
        <w:t xml:space="preserve">level 1, </w:t>
      </w:r>
      <w:r w:rsidR="003E5D52">
        <w:t xml:space="preserve">at or above </w:t>
      </w:r>
      <w:r w:rsidR="00B02190" w:rsidRPr="008753B7">
        <w:t xml:space="preserve">level 3, and level 5 </w:t>
      </w:r>
      <w:r w:rsidR="003E5D52">
        <w:t>or level</w:t>
      </w:r>
      <w:r w:rsidR="00B02190" w:rsidRPr="008753B7">
        <w:t xml:space="preserve"> 6 on the overall reading literacy scale, </w:t>
      </w:r>
      <w:r w:rsidR="003E5D52">
        <w:t xml:space="preserve">PISA </w:t>
      </w:r>
      <w:r w:rsidR="00B02190" w:rsidRPr="008753B7">
        <w:t>2012</w:t>
      </w:r>
      <w:r w:rsidR="00482113" w:rsidRPr="008753B7">
        <w:rPr>
          <w:rStyle w:val="NoteLabel"/>
          <w:b/>
        </w:rPr>
        <w:t>a, b</w:t>
      </w:r>
      <w:r w:rsidR="000C7D44" w:rsidRPr="008753B7">
        <w:rPr>
          <w:rStyle w:val="DraftingNote"/>
          <w:color w:val="auto"/>
        </w:rPr>
        <w:t xml:space="preserve"> </w:t>
      </w:r>
    </w:p>
    <w:tbl>
      <w:tblPr>
        <w:tblW w:w="0" w:type="auto"/>
        <w:tblInd w:w="11" w:type="dxa"/>
        <w:tblBorders>
          <w:top w:val="single" w:sz="6" w:space="0" w:color="auto"/>
          <w:bottom w:val="single" w:sz="6"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8777"/>
      </w:tblGrid>
      <w:tr w:rsidR="00564940" w:rsidTr="00D3193D">
        <w:tc>
          <w:tcPr>
            <w:tcW w:w="8777" w:type="dxa"/>
            <w:shd w:val="clear" w:color="auto" w:fill="FFFFFF" w:themeFill="background1"/>
          </w:tcPr>
          <w:p w:rsidR="00564940" w:rsidRDefault="008B34BD" w:rsidP="008753B7">
            <w:pPr>
              <w:pStyle w:val="Figure"/>
              <w:shd w:val="clear" w:color="auto" w:fill="FFFFFF" w:themeFill="background1"/>
            </w:pPr>
            <w:r>
              <w:rPr>
                <w:noProof/>
              </w:rPr>
              <w:drawing>
                <wp:inline distT="0" distB="0" distL="0" distR="0">
                  <wp:extent cx="5391150" cy="2876550"/>
                  <wp:effectExtent l="0" t="0" r="0" b="0"/>
                  <wp:docPr id="46" name="Picture 46" descr="Figure 4.45 Proportion of 15 year old students achieving at or below level 1, at or above level 3, and level 5 or level 6 on the overall reading literacy scale, PISA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EF4AA1" w:rsidRPr="00770948" w:rsidRDefault="00EF4AA1" w:rsidP="00EF4AA1">
      <w:pPr>
        <w:keepLines/>
        <w:spacing w:before="80" w:line="220" w:lineRule="exact"/>
        <w:jc w:val="both"/>
        <w:rPr>
          <w:rFonts w:ascii="Arial" w:hAnsi="Arial"/>
          <w:sz w:val="18"/>
          <w:szCs w:val="20"/>
        </w:rPr>
      </w:pPr>
      <w:r w:rsidRPr="00770948">
        <w:rPr>
          <w:rFonts w:ascii="Arial" w:hAnsi="Arial"/>
          <w:b/>
          <w:position w:val="6"/>
          <w:sz w:val="18"/>
          <w:szCs w:val="20"/>
        </w:rPr>
        <w:t>a</w:t>
      </w:r>
      <w:r w:rsidRPr="00770948">
        <w:rPr>
          <w:rFonts w:ascii="Arial" w:hAnsi="Arial"/>
          <w:sz w:val="18"/>
          <w:szCs w:val="20"/>
        </w:rPr>
        <w:t xml:space="preserve"> Error bars represent the 95 per cent confidence intervals associated with each point estimate. </w:t>
      </w:r>
      <w:r w:rsidRPr="00770948">
        <w:rPr>
          <w:rFonts w:ascii="Arial" w:hAnsi="Arial"/>
          <w:b/>
          <w:position w:val="6"/>
          <w:sz w:val="18"/>
          <w:szCs w:val="20"/>
        </w:rPr>
        <w:t>b</w:t>
      </w:r>
      <w:r w:rsidRPr="00770948">
        <w:rPr>
          <w:rFonts w:ascii="Arial" w:hAnsi="Arial"/>
          <w:sz w:val="18"/>
          <w:szCs w:val="20"/>
        </w:rPr>
        <w:t> </w:t>
      </w:r>
      <w:r w:rsidR="00482113" w:rsidRPr="00770948">
        <w:rPr>
          <w:rFonts w:ascii="Arial" w:hAnsi="Arial"/>
          <w:sz w:val="18"/>
          <w:szCs w:val="20"/>
        </w:rPr>
        <w:t xml:space="preserve">Level 3 or above </w:t>
      </w:r>
      <w:r w:rsidR="00482113">
        <w:rPr>
          <w:rFonts w:ascii="Arial" w:hAnsi="Arial"/>
          <w:sz w:val="18"/>
          <w:szCs w:val="20"/>
        </w:rPr>
        <w:t>(</w:t>
      </w:r>
      <w:r w:rsidR="00482113" w:rsidRPr="00D3193D">
        <w:rPr>
          <w:rFonts w:ascii="Arial" w:hAnsi="Arial"/>
          <w:sz w:val="18"/>
          <w:szCs w:val="20"/>
          <w:shd w:val="clear" w:color="auto" w:fill="FFFFFF" w:themeFill="background1"/>
        </w:rPr>
        <w:t>which is the national proficient standard) can</w:t>
      </w:r>
      <w:r w:rsidR="00482113" w:rsidRPr="00770948">
        <w:rPr>
          <w:rFonts w:ascii="Arial" w:hAnsi="Arial"/>
          <w:sz w:val="18"/>
          <w:szCs w:val="20"/>
        </w:rPr>
        <w:t xml:space="preserve"> be described as a level of achievement that is reasonably challenging and which requires students to demonstrate more than minimal or elementary skills to be regarded as reaching it.</w:t>
      </w:r>
      <w:r w:rsidRPr="00EF4AA1">
        <w:rPr>
          <w:rFonts w:ascii="Arial" w:hAnsi="Arial"/>
          <w:sz w:val="18"/>
          <w:szCs w:val="20"/>
        </w:rPr>
        <w:t xml:space="preserve"> Level 6 is the highest attainable level and </w:t>
      </w:r>
      <w:r w:rsidR="003E5D52" w:rsidRPr="003E5D52">
        <w:rPr>
          <w:rFonts w:ascii="Arial" w:hAnsi="Arial"/>
          <w:sz w:val="18"/>
          <w:szCs w:val="20"/>
        </w:rPr>
        <w:t>Level 1 is the lowest proficiency level.  Students who fail to reach the lowest proficiency level are ref</w:t>
      </w:r>
      <w:r w:rsidR="003E5D52">
        <w:rPr>
          <w:rFonts w:ascii="Arial" w:hAnsi="Arial"/>
          <w:sz w:val="18"/>
          <w:szCs w:val="20"/>
        </w:rPr>
        <w:t>erred to as being below Level 1</w:t>
      </w:r>
      <w:r w:rsidRPr="00EF4AA1">
        <w:rPr>
          <w:rFonts w:ascii="Arial" w:hAnsi="Arial"/>
          <w:sz w:val="18"/>
          <w:szCs w:val="20"/>
        </w:rPr>
        <w:t>.</w:t>
      </w:r>
      <w:r w:rsidRPr="00770948">
        <w:rPr>
          <w:rFonts w:ascii="Arial" w:hAnsi="Arial"/>
          <w:sz w:val="18"/>
          <w:szCs w:val="20"/>
        </w:rPr>
        <w:t xml:space="preserve"> </w:t>
      </w:r>
    </w:p>
    <w:p w:rsidR="00EF4AA1" w:rsidRPr="009C663F" w:rsidRDefault="00EF4AA1" w:rsidP="00EF4AA1">
      <w:pPr>
        <w:keepLines/>
        <w:spacing w:before="80" w:after="120" w:line="220" w:lineRule="exact"/>
        <w:jc w:val="both"/>
        <w:rPr>
          <w:rFonts w:ascii="Arial" w:hAnsi="Arial"/>
          <w:sz w:val="18"/>
          <w:szCs w:val="20"/>
        </w:rPr>
      </w:pPr>
      <w:r w:rsidRPr="009C663F">
        <w:rPr>
          <w:rFonts w:ascii="Arial" w:hAnsi="Arial"/>
          <w:i/>
          <w:sz w:val="18"/>
          <w:szCs w:val="20"/>
        </w:rPr>
        <w:t>Source</w:t>
      </w:r>
      <w:r w:rsidRPr="009C663F">
        <w:rPr>
          <w:rFonts w:ascii="Arial" w:hAnsi="Arial"/>
          <w:sz w:val="18"/>
          <w:szCs w:val="20"/>
        </w:rPr>
        <w:t>: ACER (unpublished); table 4A.</w:t>
      </w:r>
      <w:r w:rsidR="00E34421">
        <w:rPr>
          <w:rFonts w:ascii="Arial" w:hAnsi="Arial"/>
          <w:sz w:val="18"/>
          <w:szCs w:val="20"/>
        </w:rPr>
        <w:t>100</w:t>
      </w:r>
      <w:r w:rsidRPr="009C663F">
        <w:rPr>
          <w:rFonts w:ascii="Arial" w:hAnsi="Arial"/>
          <w:sz w:val="18"/>
          <w:szCs w:val="20"/>
        </w:rPr>
        <w:t>.</w:t>
      </w:r>
    </w:p>
    <w:p w:rsidR="00770948" w:rsidRPr="000C7D44" w:rsidRDefault="00B02190" w:rsidP="00770948">
      <w:pPr>
        <w:spacing w:before="240" w:line="320" w:lineRule="atLeast"/>
        <w:jc w:val="both"/>
        <w:rPr>
          <w:szCs w:val="20"/>
        </w:rPr>
      </w:pPr>
      <w:r w:rsidRPr="000C7D44">
        <w:rPr>
          <w:szCs w:val="20"/>
        </w:rPr>
        <w:t xml:space="preserve">The proportion of students achieving at level 3 and above in the overall reading literacy scale for 2012 can be compared to outcomes for earlier years — </w:t>
      </w:r>
      <w:r w:rsidRPr="000C7D44">
        <w:rPr>
          <w:szCs w:val="20"/>
        </w:rPr>
        <w:br/>
      </w:r>
      <w:r w:rsidR="00A014FB" w:rsidRPr="000C7D44">
        <w:t>66.6–71.4 per cent in PISA 2000, 68.0–71.8 per cent in PISA 2003,</w:t>
      </w:r>
      <w:r w:rsidRPr="000C7D44">
        <w:br/>
      </w:r>
      <w:r w:rsidR="00A014FB" w:rsidRPr="000C7D44">
        <w:t>63.8–67.4</w:t>
      </w:r>
      <w:r w:rsidRPr="000C7D44">
        <w:t> </w:t>
      </w:r>
      <w:r w:rsidR="00A014FB" w:rsidRPr="000C7D44">
        <w:t>per</w:t>
      </w:r>
      <w:r w:rsidRPr="000C7D44">
        <w:t> </w:t>
      </w:r>
      <w:r w:rsidR="00A014FB" w:rsidRPr="000C7D44">
        <w:t xml:space="preserve">cent in PISA 2006 and 63.5–67.1 per cent </w:t>
      </w:r>
      <w:r w:rsidR="00770948" w:rsidRPr="000C7D44">
        <w:rPr>
          <w:szCs w:val="20"/>
        </w:rPr>
        <w:t>in PISA 200</w:t>
      </w:r>
      <w:r w:rsidR="00A014FB" w:rsidRPr="000C7D44">
        <w:rPr>
          <w:szCs w:val="20"/>
        </w:rPr>
        <w:t>9</w:t>
      </w:r>
      <w:r w:rsidR="002362DE" w:rsidRPr="000C7D44">
        <w:rPr>
          <w:szCs w:val="20"/>
        </w:rPr>
        <w:t xml:space="preserve"> </w:t>
      </w:r>
      <w:r w:rsidR="00770948" w:rsidRPr="000C7D44">
        <w:rPr>
          <w:szCs w:val="20"/>
        </w:rPr>
        <w:t>(figure 4.4</w:t>
      </w:r>
      <w:r w:rsidR="00F230E8">
        <w:rPr>
          <w:szCs w:val="20"/>
        </w:rPr>
        <w:t>6</w:t>
      </w:r>
      <w:r w:rsidR="00770948" w:rsidRPr="000C7D44">
        <w:rPr>
          <w:szCs w:val="20"/>
        </w:rPr>
        <w:t>).</w:t>
      </w:r>
    </w:p>
    <w:p w:rsidR="002362DE" w:rsidRPr="008753B7" w:rsidRDefault="00770948" w:rsidP="006B35ED">
      <w:pPr>
        <w:pStyle w:val="FigureTitle"/>
        <w:rPr>
          <w:rStyle w:val="DraftingNote"/>
          <w:rFonts w:ascii="Times New Roman" w:hAnsi="Times New Roman"/>
          <w:b/>
          <w:color w:val="auto"/>
        </w:rPr>
      </w:pPr>
      <w:r w:rsidRPr="00B64D68">
        <w:rPr>
          <w:b w:val="0"/>
        </w:rPr>
        <w:lastRenderedPageBreak/>
        <w:t>Figure 4.</w:t>
      </w:r>
      <w:r w:rsidR="00EC06F7" w:rsidRPr="00B64D68">
        <w:rPr>
          <w:b w:val="0"/>
          <w:noProof/>
        </w:rPr>
        <w:t>46</w:t>
      </w:r>
      <w:r w:rsidRPr="00770948">
        <w:tab/>
      </w:r>
      <w:r w:rsidRPr="008753B7">
        <w:t xml:space="preserve">Proportion of 15 year old students achieving level 3 or above, overall </w:t>
      </w:r>
      <w:r w:rsidR="005F4AEF">
        <w:t xml:space="preserve">PISA </w:t>
      </w:r>
      <w:r w:rsidRPr="008753B7">
        <w:t>reading literacy scale</w:t>
      </w:r>
      <w:r w:rsidRPr="008753B7">
        <w:rPr>
          <w:position w:val="6"/>
          <w:sz w:val="18"/>
        </w:rPr>
        <w:t xml:space="preserve">a, b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70948" w:rsidRPr="00770948" w:rsidTr="00A60072">
        <w:tc>
          <w:tcPr>
            <w:tcW w:w="8777" w:type="dxa"/>
          </w:tcPr>
          <w:p w:rsidR="00770948" w:rsidRPr="00770948" w:rsidRDefault="008B34BD" w:rsidP="008753B7">
            <w:pPr>
              <w:keepNext/>
              <w:shd w:val="clear" w:color="auto" w:fill="FFFFFF" w:themeFill="background1"/>
              <w:spacing w:before="120" w:after="120" w:line="240" w:lineRule="atLeast"/>
              <w:jc w:val="center"/>
              <w:rPr>
                <w:szCs w:val="20"/>
              </w:rPr>
            </w:pPr>
            <w:r>
              <w:rPr>
                <w:noProof/>
                <w:szCs w:val="20"/>
              </w:rPr>
              <w:drawing>
                <wp:inline distT="0" distB="0" distL="0" distR="0">
                  <wp:extent cx="5391150" cy="2876550"/>
                  <wp:effectExtent l="0" t="0" r="0" b="0"/>
                  <wp:docPr id="47" name="Picture 47" descr="Figure 4.46 Proportion of 15 year old students achieving level 3 or above, overall PISA reading literacy scale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770948" w:rsidRPr="00770948" w:rsidRDefault="00770948" w:rsidP="00D3193D">
      <w:pPr>
        <w:keepLines/>
        <w:shd w:val="clear" w:color="auto" w:fill="FFFFFF" w:themeFill="background1"/>
        <w:spacing w:before="80" w:line="220" w:lineRule="exact"/>
        <w:jc w:val="both"/>
        <w:rPr>
          <w:rFonts w:ascii="Arial" w:hAnsi="Arial"/>
          <w:sz w:val="18"/>
          <w:szCs w:val="20"/>
        </w:rPr>
      </w:pPr>
      <w:r w:rsidRPr="00770948">
        <w:rPr>
          <w:rFonts w:ascii="Arial" w:hAnsi="Arial"/>
          <w:b/>
          <w:position w:val="6"/>
          <w:sz w:val="18"/>
          <w:szCs w:val="20"/>
        </w:rPr>
        <w:t>a</w:t>
      </w:r>
      <w:r w:rsidRPr="00770948">
        <w:rPr>
          <w:rFonts w:ascii="Arial" w:hAnsi="Arial"/>
          <w:sz w:val="18"/>
          <w:szCs w:val="20"/>
        </w:rPr>
        <w:t xml:space="preserve"> Error bars represent the 95 per cent confidence intervals associated with each point estimate. </w:t>
      </w:r>
      <w:r w:rsidRPr="00770948">
        <w:rPr>
          <w:rFonts w:ascii="Arial" w:hAnsi="Arial"/>
          <w:b/>
          <w:position w:val="6"/>
          <w:sz w:val="18"/>
          <w:szCs w:val="20"/>
        </w:rPr>
        <w:t>b</w:t>
      </w:r>
      <w:r w:rsidRPr="00770948">
        <w:rPr>
          <w:rFonts w:ascii="Arial" w:hAnsi="Arial"/>
          <w:sz w:val="18"/>
          <w:szCs w:val="20"/>
        </w:rPr>
        <w:t> For PISA 2000, PISA 2003 and PISA 2006, the PISA overall reading literacy scale has six defined proficiency levels, from level 6 (the highest) to level 1 (the lowest) with an additional level referred to as ‘Below level 1’ which covers those students who are unable to reach even the first threshold of the skills that PISA seeks to measure. For PISA 2009</w:t>
      </w:r>
      <w:r w:rsidR="002362DE">
        <w:rPr>
          <w:rFonts w:ascii="Arial" w:hAnsi="Arial"/>
          <w:sz w:val="18"/>
          <w:szCs w:val="20"/>
        </w:rPr>
        <w:t xml:space="preserve"> and PISA 2012</w:t>
      </w:r>
      <w:r w:rsidRPr="00770948">
        <w:rPr>
          <w:rFonts w:ascii="Arial" w:hAnsi="Arial"/>
          <w:sz w:val="18"/>
          <w:szCs w:val="20"/>
        </w:rPr>
        <w:t xml:space="preserve">, level 1 is reported as level 1a and level 1b (the lowest) with an additional level referred to as ‘Below level 1b’. Level 3 or above </w:t>
      </w:r>
      <w:r w:rsidR="00871957">
        <w:rPr>
          <w:rFonts w:ascii="Arial" w:hAnsi="Arial"/>
          <w:sz w:val="18"/>
          <w:szCs w:val="20"/>
        </w:rPr>
        <w:t>(</w:t>
      </w:r>
      <w:r w:rsidR="00871957" w:rsidRPr="00D3193D">
        <w:rPr>
          <w:rFonts w:ascii="Arial" w:hAnsi="Arial"/>
          <w:sz w:val="18"/>
          <w:szCs w:val="20"/>
          <w:shd w:val="clear" w:color="auto" w:fill="FFFFFF" w:themeFill="background1"/>
        </w:rPr>
        <w:t xml:space="preserve">which is the national proficient standard) </w:t>
      </w:r>
      <w:r w:rsidRPr="00770948">
        <w:rPr>
          <w:rFonts w:ascii="Arial" w:hAnsi="Arial"/>
          <w:sz w:val="18"/>
          <w:szCs w:val="20"/>
        </w:rPr>
        <w:t>can be described as a level of achievement that is reasonably challenging and which requires students to demonstrate more than minimal or elementary skills to be regarded as reaching it.</w:t>
      </w:r>
    </w:p>
    <w:p w:rsidR="00770948" w:rsidRPr="00262F21" w:rsidRDefault="00770948" w:rsidP="00D3193D">
      <w:pPr>
        <w:keepLines/>
        <w:shd w:val="clear" w:color="auto" w:fill="FFFFFF" w:themeFill="background1"/>
        <w:spacing w:before="80" w:after="120" w:line="220" w:lineRule="exact"/>
        <w:jc w:val="both"/>
        <w:rPr>
          <w:rFonts w:ascii="Arial" w:hAnsi="Arial"/>
          <w:sz w:val="18"/>
          <w:szCs w:val="20"/>
        </w:rPr>
      </w:pPr>
      <w:r w:rsidRPr="00262F21">
        <w:rPr>
          <w:rFonts w:ascii="Arial" w:hAnsi="Arial"/>
          <w:i/>
          <w:sz w:val="18"/>
          <w:szCs w:val="20"/>
        </w:rPr>
        <w:t>Source</w:t>
      </w:r>
      <w:r w:rsidRPr="00262F21">
        <w:rPr>
          <w:rFonts w:ascii="Arial" w:hAnsi="Arial"/>
          <w:sz w:val="18"/>
          <w:szCs w:val="20"/>
        </w:rPr>
        <w:t>: ACER (unpublished); table 4A.</w:t>
      </w:r>
      <w:r w:rsidR="00262F21">
        <w:rPr>
          <w:rFonts w:ascii="Arial" w:hAnsi="Arial"/>
          <w:sz w:val="18"/>
          <w:szCs w:val="20"/>
        </w:rPr>
        <w:t>9</w:t>
      </w:r>
      <w:r w:rsidR="00E34421">
        <w:rPr>
          <w:rFonts w:ascii="Arial" w:hAnsi="Arial"/>
          <w:sz w:val="18"/>
          <w:szCs w:val="20"/>
        </w:rPr>
        <w:t>7</w:t>
      </w:r>
      <w:r w:rsidRPr="00262F21">
        <w:rPr>
          <w:rFonts w:ascii="Arial" w:hAnsi="Arial"/>
          <w:sz w:val="18"/>
          <w:szCs w:val="20"/>
        </w:rPr>
        <w:t>.</w:t>
      </w:r>
    </w:p>
    <w:p w:rsidR="002B248C" w:rsidRPr="00770948" w:rsidRDefault="002B248C" w:rsidP="00D3193D">
      <w:pPr>
        <w:shd w:val="clear" w:color="auto" w:fill="FFFFFF" w:themeFill="background1"/>
        <w:spacing w:before="240" w:line="320" w:lineRule="atLeast"/>
        <w:jc w:val="both"/>
        <w:rPr>
          <w:szCs w:val="20"/>
        </w:rPr>
      </w:pPr>
      <w:r w:rsidRPr="00770948">
        <w:rPr>
          <w:szCs w:val="20"/>
        </w:rPr>
        <w:t>The proportion by equity group who achieved level 3 or above for reading literacy in 20</w:t>
      </w:r>
      <w:r>
        <w:rPr>
          <w:szCs w:val="20"/>
        </w:rPr>
        <w:t>12</w:t>
      </w:r>
      <w:r w:rsidRPr="00770948">
        <w:rPr>
          <w:szCs w:val="20"/>
        </w:rPr>
        <w:t xml:space="preserve"> was:</w:t>
      </w:r>
    </w:p>
    <w:p w:rsidR="002B248C" w:rsidRPr="00770948" w:rsidRDefault="00EB0185" w:rsidP="00D3193D">
      <w:pPr>
        <w:pStyle w:val="ListBullet"/>
        <w:shd w:val="clear" w:color="auto" w:fill="FFFFFF" w:themeFill="background1"/>
      </w:pPr>
      <w:r w:rsidRPr="00D3193D">
        <w:rPr>
          <w:shd w:val="clear" w:color="auto" w:fill="FFFFFF" w:themeFill="background1"/>
        </w:rPr>
        <w:t>55.6</w:t>
      </w:r>
      <w:r w:rsidR="002B248C" w:rsidRPr="00D3193D">
        <w:rPr>
          <w:shd w:val="clear" w:color="auto" w:fill="FFFFFF" w:themeFill="background1"/>
        </w:rPr>
        <w:t>–</w:t>
      </w:r>
      <w:r w:rsidRPr="00D3193D">
        <w:rPr>
          <w:shd w:val="clear" w:color="auto" w:fill="FFFFFF" w:themeFill="background1"/>
        </w:rPr>
        <w:t>59.2</w:t>
      </w:r>
      <w:r w:rsidR="002B248C" w:rsidRPr="00D3193D">
        <w:rPr>
          <w:shd w:val="clear" w:color="auto" w:fill="FFFFFF" w:themeFill="background1"/>
        </w:rPr>
        <w:t xml:space="preserve"> per cent for male students, lower than for female students </w:t>
      </w:r>
      <w:r w:rsidR="002B248C" w:rsidRPr="00D3193D">
        <w:rPr>
          <w:shd w:val="clear" w:color="auto" w:fill="FFFFFF" w:themeFill="background1"/>
        </w:rPr>
        <w:br/>
        <w:t>(</w:t>
      </w:r>
      <w:r w:rsidRPr="00D3193D">
        <w:rPr>
          <w:shd w:val="clear" w:color="auto" w:fill="FFFFFF" w:themeFill="background1"/>
        </w:rPr>
        <w:t>69.7</w:t>
      </w:r>
      <w:r w:rsidR="002B248C" w:rsidRPr="00D3193D">
        <w:rPr>
          <w:shd w:val="clear" w:color="auto" w:fill="FFFFFF" w:themeFill="background1"/>
        </w:rPr>
        <w:t>–</w:t>
      </w:r>
      <w:r w:rsidRPr="00D3193D">
        <w:rPr>
          <w:shd w:val="clear" w:color="auto" w:fill="FFFFFF" w:themeFill="background1"/>
        </w:rPr>
        <w:t>73.1</w:t>
      </w:r>
      <w:r w:rsidR="002B248C" w:rsidRPr="00D3193D">
        <w:rPr>
          <w:shd w:val="clear" w:color="auto" w:fill="FFFFFF" w:themeFill="background1"/>
        </w:rPr>
        <w:t> per</w:t>
      </w:r>
      <w:r w:rsidR="002B248C" w:rsidRPr="00770948">
        <w:t> cent)</w:t>
      </w:r>
    </w:p>
    <w:p w:rsidR="002B248C" w:rsidRPr="00770948" w:rsidRDefault="00EB0185" w:rsidP="00D3193D">
      <w:pPr>
        <w:pStyle w:val="ListBullet"/>
        <w:shd w:val="clear" w:color="auto" w:fill="FFFFFF" w:themeFill="background1"/>
      </w:pPr>
      <w:r w:rsidRPr="00D3193D">
        <w:rPr>
          <w:shd w:val="clear" w:color="auto" w:fill="FFFFFF" w:themeFill="background1"/>
        </w:rPr>
        <w:t>27.3</w:t>
      </w:r>
      <w:r w:rsidR="002B248C" w:rsidRPr="00D3193D">
        <w:rPr>
          <w:shd w:val="clear" w:color="auto" w:fill="FFFFFF" w:themeFill="background1"/>
        </w:rPr>
        <w:t>–</w:t>
      </w:r>
      <w:r w:rsidRPr="00D3193D">
        <w:rPr>
          <w:shd w:val="clear" w:color="auto" w:fill="FFFFFF" w:themeFill="background1"/>
        </w:rPr>
        <w:t>33.9</w:t>
      </w:r>
      <w:r w:rsidR="002B248C" w:rsidRPr="00D3193D">
        <w:rPr>
          <w:shd w:val="clear" w:color="auto" w:fill="FFFFFF" w:themeFill="background1"/>
        </w:rPr>
        <w:t xml:space="preserve"> per cent for Indigenous students, compared with </w:t>
      </w:r>
      <w:r w:rsidRPr="00D3193D">
        <w:rPr>
          <w:shd w:val="clear" w:color="auto" w:fill="FFFFFF" w:themeFill="background1"/>
        </w:rPr>
        <w:t>64.1–66.7</w:t>
      </w:r>
      <w:r w:rsidR="002B248C" w:rsidRPr="00D3193D">
        <w:rPr>
          <w:shd w:val="clear" w:color="auto" w:fill="FFFFFF" w:themeFill="background1"/>
        </w:rPr>
        <w:t xml:space="preserve"> per cent for non-Indigenous</w:t>
      </w:r>
      <w:r w:rsidR="002B248C" w:rsidRPr="00770948">
        <w:t xml:space="preserve"> students</w:t>
      </w:r>
    </w:p>
    <w:p w:rsidR="002B248C" w:rsidRPr="00770948" w:rsidRDefault="00EB0185" w:rsidP="00D3193D">
      <w:pPr>
        <w:pStyle w:val="ListBullet"/>
        <w:shd w:val="clear" w:color="auto" w:fill="FFFFFF" w:themeFill="background1"/>
      </w:pPr>
      <w:r w:rsidRPr="00D3193D">
        <w:rPr>
          <w:shd w:val="clear" w:color="auto" w:fill="FFFFFF" w:themeFill="background1"/>
        </w:rPr>
        <w:t>31.0</w:t>
      </w:r>
      <w:r w:rsidR="002B248C" w:rsidRPr="00D3193D">
        <w:rPr>
          <w:shd w:val="clear" w:color="auto" w:fill="FFFFFF" w:themeFill="background1"/>
        </w:rPr>
        <w:t>–</w:t>
      </w:r>
      <w:r w:rsidRPr="00D3193D">
        <w:rPr>
          <w:shd w:val="clear" w:color="auto" w:fill="FFFFFF" w:themeFill="background1"/>
        </w:rPr>
        <w:t>55.2</w:t>
      </w:r>
      <w:r w:rsidR="002B248C" w:rsidRPr="00D3193D">
        <w:rPr>
          <w:shd w:val="clear" w:color="auto" w:fill="FFFFFF" w:themeFill="background1"/>
        </w:rPr>
        <w:t xml:space="preserve"> per</w:t>
      </w:r>
      <w:r w:rsidR="002B248C" w:rsidRPr="00770948">
        <w:t xml:space="preserve"> cent for geographically remote students </w:t>
      </w:r>
    </w:p>
    <w:p w:rsidR="002B248C" w:rsidRPr="00262F21" w:rsidRDefault="00EB0185" w:rsidP="00D3193D">
      <w:pPr>
        <w:pStyle w:val="ListBullet"/>
        <w:shd w:val="clear" w:color="auto" w:fill="FFFFFF" w:themeFill="background1"/>
      </w:pPr>
      <w:r w:rsidRPr="00D3193D">
        <w:rPr>
          <w:shd w:val="clear" w:color="auto" w:fill="FFFFFF" w:themeFill="background1"/>
        </w:rPr>
        <w:t>43.9</w:t>
      </w:r>
      <w:r w:rsidR="002B248C" w:rsidRPr="00D3193D">
        <w:rPr>
          <w:shd w:val="clear" w:color="auto" w:fill="FFFFFF" w:themeFill="background1"/>
        </w:rPr>
        <w:t>–</w:t>
      </w:r>
      <w:r w:rsidRPr="00D3193D">
        <w:rPr>
          <w:shd w:val="clear" w:color="auto" w:fill="FFFFFF" w:themeFill="background1"/>
        </w:rPr>
        <w:t>48.9 </w:t>
      </w:r>
      <w:r w:rsidR="002B248C" w:rsidRPr="00770948">
        <w:t>per cent for students from low socio</w:t>
      </w:r>
      <w:r w:rsidR="009131A4">
        <w:t>-</w:t>
      </w:r>
      <w:r w:rsidR="002B248C" w:rsidRPr="00770948">
        <w:t xml:space="preserve">economic status families </w:t>
      </w:r>
      <w:r w:rsidR="002B248C" w:rsidRPr="00262F21">
        <w:t>(table 4A.</w:t>
      </w:r>
      <w:r w:rsidR="00262F21" w:rsidRPr="00262F21">
        <w:t>9</w:t>
      </w:r>
      <w:r w:rsidR="00E34421">
        <w:t>8</w:t>
      </w:r>
      <w:r w:rsidR="002B248C" w:rsidRPr="00262F21">
        <w:t xml:space="preserve">). </w:t>
      </w:r>
    </w:p>
    <w:p w:rsidR="002B248C" w:rsidRPr="00262F21" w:rsidRDefault="002B248C" w:rsidP="00D3193D">
      <w:pPr>
        <w:shd w:val="clear" w:color="auto" w:fill="FFFFFF" w:themeFill="background1"/>
        <w:spacing w:before="240" w:line="320" w:lineRule="atLeast"/>
        <w:jc w:val="both"/>
        <w:rPr>
          <w:szCs w:val="20"/>
        </w:rPr>
      </w:pPr>
      <w:r w:rsidRPr="00770948">
        <w:rPr>
          <w:szCs w:val="20"/>
        </w:rPr>
        <w:t>These outcomes varied across jurisdictions. Data relating to outcomes for the PISA 2006</w:t>
      </w:r>
      <w:r>
        <w:rPr>
          <w:szCs w:val="20"/>
        </w:rPr>
        <w:t xml:space="preserve">, 2009 and 2012 </w:t>
      </w:r>
      <w:r w:rsidRPr="00770948">
        <w:rPr>
          <w:szCs w:val="20"/>
        </w:rPr>
        <w:t xml:space="preserve">reading surveys by socio-economic status are in </w:t>
      </w:r>
      <w:r w:rsidRPr="00262F21">
        <w:rPr>
          <w:szCs w:val="20"/>
        </w:rPr>
        <w:t>table 4A.</w:t>
      </w:r>
      <w:r w:rsidR="00262F21" w:rsidRPr="00262F21">
        <w:rPr>
          <w:szCs w:val="20"/>
        </w:rPr>
        <w:t>9</w:t>
      </w:r>
      <w:r w:rsidR="00E34421">
        <w:rPr>
          <w:szCs w:val="20"/>
        </w:rPr>
        <w:t>9</w:t>
      </w:r>
      <w:r w:rsidRPr="00262F21">
        <w:rPr>
          <w:szCs w:val="20"/>
        </w:rPr>
        <w:t xml:space="preserve"> and for each achievement level for PISA </w:t>
      </w:r>
      <w:r w:rsidRPr="00D3193D">
        <w:rPr>
          <w:szCs w:val="20"/>
          <w:shd w:val="clear" w:color="auto" w:fill="FFFFFF" w:themeFill="background1"/>
        </w:rPr>
        <w:t>2012</w:t>
      </w:r>
      <w:r w:rsidR="006F04A3" w:rsidRPr="00D3193D">
        <w:rPr>
          <w:szCs w:val="20"/>
          <w:shd w:val="clear" w:color="auto" w:fill="FFFFFF" w:themeFill="background1"/>
        </w:rPr>
        <w:t>, including statistical significance of differences in mean scores</w:t>
      </w:r>
      <w:r w:rsidRPr="00D3193D">
        <w:rPr>
          <w:szCs w:val="20"/>
          <w:shd w:val="clear" w:color="auto" w:fill="FFFFFF" w:themeFill="background1"/>
        </w:rPr>
        <w:t xml:space="preserve"> are in table 4A.</w:t>
      </w:r>
      <w:r w:rsidR="00E34421" w:rsidRPr="00D3193D">
        <w:rPr>
          <w:szCs w:val="20"/>
          <w:shd w:val="clear" w:color="auto" w:fill="FFFFFF" w:themeFill="background1"/>
        </w:rPr>
        <w:t>1</w:t>
      </w:r>
      <w:r w:rsidR="00E34421">
        <w:rPr>
          <w:szCs w:val="20"/>
        </w:rPr>
        <w:t>00</w:t>
      </w:r>
      <w:r w:rsidRPr="00262F21">
        <w:rPr>
          <w:szCs w:val="20"/>
        </w:rPr>
        <w:t xml:space="preserve">. Data comparing outcomes for PISA surveys for the reading domain in 2000, 2003, 2006, 2009 and 2012 are in </w:t>
      </w:r>
      <w:r w:rsidRPr="00262F21">
        <w:rPr>
          <w:szCs w:val="20"/>
        </w:rPr>
        <w:lastRenderedPageBreak/>
        <w:t>table</w:t>
      </w:r>
      <w:r w:rsidR="00D3193D">
        <w:rPr>
          <w:szCs w:val="20"/>
        </w:rPr>
        <w:t> </w:t>
      </w:r>
      <w:r w:rsidRPr="00262F21">
        <w:rPr>
          <w:szCs w:val="20"/>
        </w:rPr>
        <w:t>4A.</w:t>
      </w:r>
      <w:r w:rsidR="00262F21" w:rsidRPr="00262F21">
        <w:rPr>
          <w:szCs w:val="20"/>
        </w:rPr>
        <w:t>9</w:t>
      </w:r>
      <w:r w:rsidR="00E34421">
        <w:rPr>
          <w:szCs w:val="20"/>
        </w:rPr>
        <w:t>7</w:t>
      </w:r>
      <w:r w:rsidR="001A1596">
        <w:rPr>
          <w:szCs w:val="20"/>
        </w:rPr>
        <w:t xml:space="preserve"> and table 4A.</w:t>
      </w:r>
      <w:r w:rsidR="00262F21" w:rsidRPr="00D3193D">
        <w:rPr>
          <w:szCs w:val="20"/>
          <w:shd w:val="clear" w:color="auto" w:fill="FFFFFF" w:themeFill="background1"/>
        </w:rPr>
        <w:t>9</w:t>
      </w:r>
      <w:r w:rsidR="00EC06F7">
        <w:rPr>
          <w:szCs w:val="20"/>
          <w:shd w:val="clear" w:color="auto" w:fill="FFFFFF" w:themeFill="background1"/>
        </w:rPr>
        <w:t>8</w:t>
      </w:r>
      <w:r w:rsidR="006F04A3" w:rsidRPr="00D3193D">
        <w:rPr>
          <w:szCs w:val="20"/>
          <w:shd w:val="clear" w:color="auto" w:fill="FFFFFF" w:themeFill="background1"/>
        </w:rPr>
        <w:t xml:space="preserve"> and significance of differences in mean scores between PISA 2000 and PISA 2012 are in table 4A.109.</w:t>
      </w:r>
    </w:p>
    <w:p w:rsidR="00872F89" w:rsidRPr="00727C58" w:rsidRDefault="00872F89" w:rsidP="00872F89">
      <w:pPr>
        <w:pStyle w:val="BodyText"/>
        <w:shd w:val="clear" w:color="auto" w:fill="FFFFFF" w:themeFill="background1"/>
      </w:pPr>
      <w:r w:rsidRPr="00727C58">
        <w:t xml:space="preserve">Results of the PISA 2009 Digital Reading Literacy Assessment were released in 2012. Students in every </w:t>
      </w:r>
      <w:r w:rsidR="001A1596">
        <w:t>S</w:t>
      </w:r>
      <w:r w:rsidRPr="00727C58">
        <w:t xml:space="preserve">tate and </w:t>
      </w:r>
      <w:r w:rsidR="001A1596">
        <w:t>T</w:t>
      </w:r>
      <w:r w:rsidRPr="00727C58">
        <w:t>erritory performed significantly higher in digital than print reading literacy (ACER 2012</w:t>
      </w:r>
      <w:r w:rsidR="00241EB3">
        <w:t>a</w:t>
      </w:r>
      <w:r w:rsidRPr="00727C58">
        <w:t>).</w:t>
      </w:r>
    </w:p>
    <w:p w:rsidR="00360D26" w:rsidRDefault="00360D26" w:rsidP="00360D26">
      <w:pPr>
        <w:pStyle w:val="Heading5"/>
      </w:pPr>
      <w:r>
        <w:t>PISA mathematical literacy</w:t>
      </w:r>
    </w:p>
    <w:p w:rsidR="00B02190" w:rsidRDefault="00360D26" w:rsidP="00360D26">
      <w:pPr>
        <w:spacing w:before="240" w:line="320" w:lineRule="atLeast"/>
        <w:jc w:val="both"/>
        <w:rPr>
          <w:szCs w:val="20"/>
        </w:rPr>
      </w:pPr>
      <w:r w:rsidRPr="00360D26">
        <w:rPr>
          <w:szCs w:val="20"/>
        </w:rPr>
        <w:t xml:space="preserve">Mathematical literacy was the major domain tested in the PISA 2003 </w:t>
      </w:r>
      <w:r>
        <w:rPr>
          <w:szCs w:val="20"/>
        </w:rPr>
        <w:t xml:space="preserve">and 2012 </w:t>
      </w:r>
      <w:r w:rsidRPr="00360D26">
        <w:rPr>
          <w:szCs w:val="20"/>
        </w:rPr>
        <w:t>survey</w:t>
      </w:r>
      <w:r>
        <w:rPr>
          <w:szCs w:val="20"/>
        </w:rPr>
        <w:t>s</w:t>
      </w:r>
      <w:r w:rsidRPr="00EC06F7">
        <w:rPr>
          <w:szCs w:val="20"/>
          <w:shd w:val="clear" w:color="auto" w:fill="FFFFFF" w:themeFill="background1"/>
        </w:rPr>
        <w:t xml:space="preserve">. </w:t>
      </w:r>
      <w:r w:rsidR="00DA4B0D" w:rsidRPr="00EC06F7">
        <w:rPr>
          <w:szCs w:val="20"/>
          <w:shd w:val="clear" w:color="auto" w:fill="FFFFFF" w:themeFill="background1"/>
        </w:rPr>
        <w:t>Mathematical literacy results from subsequent cycles may be compared with the 2003 cycle</w:t>
      </w:r>
      <w:r w:rsidRPr="00EC06F7">
        <w:rPr>
          <w:szCs w:val="20"/>
          <w:shd w:val="clear" w:color="auto" w:fill="FFFFFF" w:themeFill="background1"/>
        </w:rPr>
        <w:t>.</w:t>
      </w:r>
      <w:r w:rsidRPr="00360D26">
        <w:rPr>
          <w:szCs w:val="20"/>
        </w:rPr>
        <w:t xml:space="preserve"> In PISA 20</w:t>
      </w:r>
      <w:r>
        <w:rPr>
          <w:szCs w:val="20"/>
        </w:rPr>
        <w:t>12</w:t>
      </w:r>
      <w:r w:rsidRPr="00360D26">
        <w:rPr>
          <w:szCs w:val="20"/>
        </w:rPr>
        <w:t xml:space="preserve"> the proportion of Australian 15 year old students who achieved</w:t>
      </w:r>
      <w:r w:rsidR="00DA4B0D" w:rsidRPr="00DA4B0D">
        <w:rPr>
          <w:szCs w:val="20"/>
        </w:rPr>
        <w:t xml:space="preserve"> at or above the national proficient standard </w:t>
      </w:r>
      <w:r w:rsidR="00482113" w:rsidRPr="00D3193D">
        <w:rPr>
          <w:szCs w:val="20"/>
          <w:shd w:val="clear" w:color="auto" w:fill="FFFFFF" w:themeFill="background1"/>
        </w:rPr>
        <w:t xml:space="preserve">of </w:t>
      </w:r>
      <w:r w:rsidRPr="00D3193D">
        <w:rPr>
          <w:szCs w:val="20"/>
          <w:shd w:val="clear" w:color="auto" w:fill="FFFFFF" w:themeFill="background1"/>
        </w:rPr>
        <w:t xml:space="preserve">level 3 in mathematical literacy was </w:t>
      </w:r>
      <w:r w:rsidR="00582527" w:rsidRPr="00D3193D">
        <w:rPr>
          <w:szCs w:val="20"/>
          <w:shd w:val="clear" w:color="auto" w:fill="FFFFFF" w:themeFill="background1"/>
        </w:rPr>
        <w:t>56.9–59.9</w:t>
      </w:r>
      <w:r w:rsidRPr="00D3193D">
        <w:rPr>
          <w:szCs w:val="20"/>
          <w:shd w:val="clear" w:color="auto" w:fill="FFFFFF" w:themeFill="background1"/>
        </w:rPr>
        <w:t xml:space="preserve"> </w:t>
      </w:r>
      <w:r w:rsidR="00B02190" w:rsidRPr="00D3193D">
        <w:rPr>
          <w:szCs w:val="20"/>
          <w:shd w:val="clear" w:color="auto" w:fill="FFFFFF" w:themeFill="background1"/>
        </w:rPr>
        <w:t>per cent.</w:t>
      </w:r>
      <w:r w:rsidR="00B02190" w:rsidRPr="00D3193D">
        <w:rPr>
          <w:color w:val="FF0000"/>
          <w:szCs w:val="20"/>
          <w:shd w:val="clear" w:color="auto" w:fill="FFFFFF" w:themeFill="background1"/>
        </w:rPr>
        <w:t xml:space="preserve"> </w:t>
      </w:r>
      <w:r w:rsidR="00B02190" w:rsidRPr="00D3193D">
        <w:rPr>
          <w:szCs w:val="20"/>
          <w:shd w:val="clear" w:color="auto" w:fill="FFFFFF" w:themeFill="background1"/>
        </w:rPr>
        <w:t xml:space="preserve">The proportion of students achieving at level 5 and 6 (the highest levels) was </w:t>
      </w:r>
      <w:r w:rsidR="00582527" w:rsidRPr="00D3193D">
        <w:rPr>
          <w:szCs w:val="20"/>
          <w:shd w:val="clear" w:color="auto" w:fill="FFFFFF" w:themeFill="background1"/>
        </w:rPr>
        <w:t>13.5–16.1</w:t>
      </w:r>
      <w:r w:rsidR="00B02190" w:rsidRPr="00D3193D">
        <w:rPr>
          <w:szCs w:val="20"/>
          <w:shd w:val="clear" w:color="auto" w:fill="FFFFFF" w:themeFill="background1"/>
        </w:rPr>
        <w:t xml:space="preserve"> per cent and the proportion of students achieving at level 1 and below was </w:t>
      </w:r>
      <w:r w:rsidR="00582527" w:rsidRPr="00D3193D">
        <w:rPr>
          <w:szCs w:val="20"/>
          <w:shd w:val="clear" w:color="auto" w:fill="FFFFFF" w:themeFill="background1"/>
        </w:rPr>
        <w:t>18.5–20.9</w:t>
      </w:r>
      <w:r w:rsidR="00B02190" w:rsidRPr="00D3193D">
        <w:rPr>
          <w:szCs w:val="20"/>
          <w:shd w:val="clear" w:color="auto" w:fill="FFFFFF" w:themeFill="background1"/>
        </w:rPr>
        <w:t xml:space="preserve"> per c</w:t>
      </w:r>
      <w:r w:rsidR="00B02190" w:rsidRPr="000C7D44">
        <w:rPr>
          <w:szCs w:val="20"/>
        </w:rPr>
        <w:t xml:space="preserve">ent </w:t>
      </w:r>
      <w:r w:rsidR="00B02190">
        <w:rPr>
          <w:szCs w:val="20"/>
        </w:rPr>
        <w:t>(figure 4.4</w:t>
      </w:r>
      <w:r w:rsidR="00F230E8">
        <w:rPr>
          <w:szCs w:val="20"/>
        </w:rPr>
        <w:t>7</w:t>
      </w:r>
      <w:r w:rsidR="00B02190">
        <w:rPr>
          <w:szCs w:val="20"/>
        </w:rPr>
        <w:t>)</w:t>
      </w:r>
      <w:r w:rsidR="00241EB3">
        <w:rPr>
          <w:szCs w:val="20"/>
        </w:rPr>
        <w:t>.</w:t>
      </w:r>
    </w:p>
    <w:p w:rsidR="00100308" w:rsidRPr="00CA3C60" w:rsidRDefault="00B02190" w:rsidP="006B35ED">
      <w:pPr>
        <w:pStyle w:val="FigureTitle"/>
        <w:rPr>
          <w:rStyle w:val="NoteLabel"/>
          <w:b/>
        </w:rPr>
      </w:pPr>
      <w:r w:rsidRPr="00B64D68">
        <w:rPr>
          <w:b w:val="0"/>
        </w:rPr>
        <w:t>Figure 4.</w:t>
      </w:r>
      <w:r w:rsidR="00EC06F7" w:rsidRPr="00B64D68">
        <w:rPr>
          <w:b w:val="0"/>
          <w:noProof/>
        </w:rPr>
        <w:t>47</w:t>
      </w:r>
      <w:r>
        <w:tab/>
      </w:r>
      <w:r w:rsidRPr="00CA3C60">
        <w:t xml:space="preserve">Proportion of 15 year old students achieving </w:t>
      </w:r>
      <w:r w:rsidR="00BD787D" w:rsidRPr="008753B7">
        <w:t xml:space="preserve">at </w:t>
      </w:r>
      <w:r w:rsidR="00BD787D">
        <w:t xml:space="preserve">or below </w:t>
      </w:r>
      <w:r w:rsidR="00BD787D" w:rsidRPr="008753B7">
        <w:t xml:space="preserve">level 1, </w:t>
      </w:r>
      <w:r w:rsidR="00BD787D">
        <w:t xml:space="preserve">at or above </w:t>
      </w:r>
      <w:r w:rsidR="00BD787D" w:rsidRPr="008753B7">
        <w:t xml:space="preserve">level 3, and level 5 </w:t>
      </w:r>
      <w:r w:rsidR="00BD787D">
        <w:t>or level</w:t>
      </w:r>
      <w:r w:rsidR="00BD787D" w:rsidRPr="008753B7">
        <w:t xml:space="preserve"> 6 </w:t>
      </w:r>
      <w:r w:rsidRPr="00CA3C60">
        <w:t xml:space="preserve">on the overall mathematical literacy scale, </w:t>
      </w:r>
      <w:r w:rsidR="005F4AEF">
        <w:t xml:space="preserve">PISA </w:t>
      </w:r>
      <w:r w:rsidRPr="00CA3C60">
        <w:t>2012</w:t>
      </w:r>
      <w:r w:rsidR="00CA3C60" w:rsidRPr="00CA3C60">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02190">
        <w:tc>
          <w:tcPr>
            <w:tcW w:w="8777" w:type="dxa"/>
          </w:tcPr>
          <w:p w:rsidR="00B02190" w:rsidRDefault="008B34BD" w:rsidP="00CA3C60">
            <w:pPr>
              <w:pStyle w:val="Figure"/>
            </w:pPr>
            <w:r>
              <w:rPr>
                <w:noProof/>
              </w:rPr>
              <w:drawing>
                <wp:inline distT="0" distB="0" distL="0" distR="0">
                  <wp:extent cx="5391150" cy="2876550"/>
                  <wp:effectExtent l="0" t="0" r="0" b="0"/>
                  <wp:docPr id="48" name="Picture 48" descr="Figure 4.47 Proportion of 15 year old students achieving at or below level 1, at or above level 3, and level 5 or level 6 on the overall mathematical literacy scale, PISA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482113" w:rsidRPr="00770948" w:rsidRDefault="00482113" w:rsidP="00482113">
      <w:pPr>
        <w:keepLines/>
        <w:spacing w:before="80" w:line="220" w:lineRule="exact"/>
        <w:jc w:val="both"/>
        <w:rPr>
          <w:rFonts w:ascii="Arial" w:hAnsi="Arial"/>
          <w:sz w:val="18"/>
          <w:szCs w:val="20"/>
        </w:rPr>
      </w:pPr>
      <w:r w:rsidRPr="00770948">
        <w:rPr>
          <w:rFonts w:ascii="Arial" w:hAnsi="Arial"/>
          <w:b/>
          <w:position w:val="6"/>
          <w:sz w:val="18"/>
          <w:szCs w:val="20"/>
        </w:rPr>
        <w:t>a</w:t>
      </w:r>
      <w:r w:rsidRPr="00770948">
        <w:rPr>
          <w:rFonts w:ascii="Arial" w:hAnsi="Arial"/>
          <w:sz w:val="18"/>
          <w:szCs w:val="20"/>
        </w:rPr>
        <w:t xml:space="preserve"> Error bars represent the 95 per cent confidence intervals associated with each point estimate. </w:t>
      </w:r>
      <w:r w:rsidRPr="00770948">
        <w:rPr>
          <w:rFonts w:ascii="Arial" w:hAnsi="Arial"/>
          <w:b/>
          <w:position w:val="6"/>
          <w:sz w:val="18"/>
          <w:szCs w:val="20"/>
        </w:rPr>
        <w:t>b</w:t>
      </w:r>
      <w:r w:rsidRPr="00770948">
        <w:rPr>
          <w:rFonts w:ascii="Arial" w:hAnsi="Arial"/>
          <w:sz w:val="18"/>
          <w:szCs w:val="20"/>
        </w:rPr>
        <w:t xml:space="preserve"> Level 3 or </w:t>
      </w:r>
      <w:r w:rsidRPr="00D3193D">
        <w:rPr>
          <w:rFonts w:ascii="Arial" w:hAnsi="Arial"/>
          <w:sz w:val="18"/>
          <w:szCs w:val="20"/>
          <w:shd w:val="clear" w:color="auto" w:fill="FFFFFF" w:themeFill="background1"/>
        </w:rPr>
        <w:t>above (which is the national proficient standard) can</w:t>
      </w:r>
      <w:r w:rsidRPr="00770948">
        <w:rPr>
          <w:rFonts w:ascii="Arial" w:hAnsi="Arial"/>
          <w:sz w:val="18"/>
          <w:szCs w:val="20"/>
        </w:rPr>
        <w:t xml:space="preserve"> be described as a level of achievement that is reasonably challenging and which requires students to demonstrate more than minimal or elementary skills to be regarded as reaching it.</w:t>
      </w:r>
      <w:r w:rsidRPr="00EF4AA1">
        <w:rPr>
          <w:rFonts w:ascii="Arial" w:hAnsi="Arial"/>
          <w:sz w:val="18"/>
          <w:szCs w:val="20"/>
        </w:rPr>
        <w:t xml:space="preserve"> </w:t>
      </w:r>
      <w:r w:rsidR="00BD787D" w:rsidRPr="00BD787D">
        <w:rPr>
          <w:rFonts w:ascii="Arial" w:hAnsi="Arial"/>
          <w:sz w:val="18"/>
          <w:szCs w:val="20"/>
        </w:rPr>
        <w:t>Level 6 is the highest attainable proficiency level and Level 1 i</w:t>
      </w:r>
      <w:r w:rsidR="00BD787D">
        <w:rPr>
          <w:rFonts w:ascii="Arial" w:hAnsi="Arial"/>
          <w:sz w:val="18"/>
          <w:szCs w:val="20"/>
        </w:rPr>
        <w:t>s the lowest proficiency level.</w:t>
      </w:r>
      <w:r w:rsidR="00BD787D" w:rsidRPr="00BD787D">
        <w:rPr>
          <w:rFonts w:ascii="Arial" w:hAnsi="Arial"/>
          <w:sz w:val="18"/>
          <w:szCs w:val="20"/>
        </w:rPr>
        <w:t xml:space="preserve"> Students who fail to reach the lowest proficiency level are referred to as being below Level 1.</w:t>
      </w:r>
    </w:p>
    <w:p w:rsidR="00EF4AA1" w:rsidRPr="009C663F" w:rsidRDefault="00EF4AA1" w:rsidP="00EF4AA1">
      <w:pPr>
        <w:keepLines/>
        <w:spacing w:before="80" w:after="120" w:line="220" w:lineRule="exact"/>
        <w:jc w:val="both"/>
        <w:rPr>
          <w:rFonts w:ascii="Arial" w:hAnsi="Arial"/>
          <w:sz w:val="18"/>
          <w:szCs w:val="20"/>
        </w:rPr>
      </w:pPr>
      <w:r w:rsidRPr="00262F21">
        <w:rPr>
          <w:rFonts w:ascii="Arial" w:hAnsi="Arial"/>
          <w:i/>
          <w:sz w:val="18"/>
          <w:szCs w:val="20"/>
        </w:rPr>
        <w:t>Source</w:t>
      </w:r>
      <w:r w:rsidRPr="00262F21">
        <w:rPr>
          <w:rFonts w:ascii="Arial" w:hAnsi="Arial"/>
          <w:sz w:val="18"/>
          <w:szCs w:val="20"/>
        </w:rPr>
        <w:t>: ACER (</w:t>
      </w:r>
      <w:r w:rsidRPr="009C663F">
        <w:rPr>
          <w:rFonts w:ascii="Arial" w:hAnsi="Arial"/>
          <w:sz w:val="18"/>
          <w:szCs w:val="20"/>
        </w:rPr>
        <w:t>unpublished); table 4A.</w:t>
      </w:r>
      <w:r w:rsidR="009C663F" w:rsidRPr="009C663F">
        <w:rPr>
          <w:rFonts w:ascii="Arial" w:hAnsi="Arial"/>
          <w:sz w:val="18"/>
          <w:szCs w:val="20"/>
        </w:rPr>
        <w:t>10</w:t>
      </w:r>
      <w:r w:rsidR="00E34421">
        <w:rPr>
          <w:rFonts w:ascii="Arial" w:hAnsi="Arial"/>
          <w:sz w:val="18"/>
          <w:szCs w:val="20"/>
        </w:rPr>
        <w:t>4</w:t>
      </w:r>
      <w:r w:rsidRPr="009C663F">
        <w:rPr>
          <w:rFonts w:ascii="Arial" w:hAnsi="Arial"/>
          <w:sz w:val="18"/>
          <w:szCs w:val="20"/>
        </w:rPr>
        <w:t>.</w:t>
      </w:r>
    </w:p>
    <w:p w:rsidR="00360D26" w:rsidRPr="00360D26" w:rsidRDefault="00B02190" w:rsidP="00360D26">
      <w:pPr>
        <w:spacing w:before="240" w:line="320" w:lineRule="atLeast"/>
        <w:jc w:val="both"/>
        <w:rPr>
          <w:szCs w:val="20"/>
        </w:rPr>
      </w:pPr>
      <w:r w:rsidRPr="000C7D44">
        <w:rPr>
          <w:szCs w:val="20"/>
        </w:rPr>
        <w:lastRenderedPageBreak/>
        <w:t xml:space="preserve">The proportion of students achieving at level 3 and above in the overall mathematical literacy scale for 2012 can be compared to outcomes for earlier </w:t>
      </w:r>
      <w:r w:rsidR="00EC06F7">
        <w:rPr>
          <w:szCs w:val="20"/>
        </w:rPr>
        <w:br/>
      </w:r>
      <w:r w:rsidRPr="000C7D44">
        <w:rPr>
          <w:szCs w:val="20"/>
        </w:rPr>
        <w:t xml:space="preserve">years — </w:t>
      </w:r>
      <w:r w:rsidR="00360D26" w:rsidRPr="000C7D44">
        <w:rPr>
          <w:szCs w:val="20"/>
        </w:rPr>
        <w:t xml:space="preserve">65.3–68.9 per cent </w:t>
      </w:r>
      <w:r w:rsidR="00360D26" w:rsidRPr="00A014FB">
        <w:rPr>
          <w:szCs w:val="20"/>
        </w:rPr>
        <w:t>in PISA 2003</w:t>
      </w:r>
      <w:r w:rsidR="002362DE" w:rsidRPr="00A014FB">
        <w:rPr>
          <w:szCs w:val="20"/>
        </w:rPr>
        <w:t>,</w:t>
      </w:r>
      <w:r w:rsidR="00360D26" w:rsidRPr="00A014FB">
        <w:rPr>
          <w:szCs w:val="20"/>
        </w:rPr>
        <w:t xml:space="preserve"> 64.7–68.3 per cent in PISA 2006 </w:t>
      </w:r>
      <w:r w:rsidR="002362DE" w:rsidRPr="00A014FB">
        <w:rPr>
          <w:szCs w:val="20"/>
        </w:rPr>
        <w:t xml:space="preserve">and </w:t>
      </w:r>
      <w:r w:rsidR="00E55771">
        <w:rPr>
          <w:szCs w:val="20"/>
        </w:rPr>
        <w:t>61.9</w:t>
      </w:r>
      <w:r w:rsidR="002362DE" w:rsidRPr="00A014FB">
        <w:rPr>
          <w:szCs w:val="20"/>
        </w:rPr>
        <w:t>–</w:t>
      </w:r>
      <w:r w:rsidR="00E55771">
        <w:rPr>
          <w:szCs w:val="20"/>
        </w:rPr>
        <w:t>65.9</w:t>
      </w:r>
      <w:r w:rsidR="002362DE" w:rsidRPr="00A014FB">
        <w:rPr>
          <w:szCs w:val="20"/>
        </w:rPr>
        <w:t xml:space="preserve"> per cent in PISA 200</w:t>
      </w:r>
      <w:r w:rsidR="00A014FB" w:rsidRPr="00A014FB">
        <w:rPr>
          <w:szCs w:val="20"/>
        </w:rPr>
        <w:t>9</w:t>
      </w:r>
      <w:r w:rsidR="002362DE" w:rsidRPr="00A014FB">
        <w:rPr>
          <w:szCs w:val="20"/>
        </w:rPr>
        <w:t xml:space="preserve"> </w:t>
      </w:r>
      <w:r w:rsidR="00360D26" w:rsidRPr="00360D26">
        <w:rPr>
          <w:szCs w:val="20"/>
        </w:rPr>
        <w:t>(figure 4.</w:t>
      </w:r>
      <w:r w:rsidR="00262F21">
        <w:rPr>
          <w:szCs w:val="20"/>
        </w:rPr>
        <w:t>4</w:t>
      </w:r>
      <w:r w:rsidR="00F230E8">
        <w:rPr>
          <w:szCs w:val="20"/>
        </w:rPr>
        <w:t>8</w:t>
      </w:r>
      <w:r w:rsidR="00360D26" w:rsidRPr="00360D26">
        <w:rPr>
          <w:szCs w:val="20"/>
        </w:rPr>
        <w:t>).</w:t>
      </w:r>
    </w:p>
    <w:p w:rsidR="00360D26" w:rsidRPr="00CA3C60" w:rsidRDefault="00360D26" w:rsidP="006B35ED">
      <w:pPr>
        <w:pStyle w:val="FigureTitle"/>
        <w:rPr>
          <w:u w:val="dotted"/>
        </w:rPr>
      </w:pPr>
      <w:r w:rsidRPr="00B64D68">
        <w:rPr>
          <w:b w:val="0"/>
        </w:rPr>
        <w:t>Figure 4.</w:t>
      </w:r>
      <w:r w:rsidR="00EC06F7" w:rsidRPr="00B64D68">
        <w:rPr>
          <w:b w:val="0"/>
          <w:noProof/>
        </w:rPr>
        <w:t>48</w:t>
      </w:r>
      <w:r w:rsidRPr="00360D26">
        <w:tab/>
      </w:r>
      <w:r w:rsidRPr="00CA3C60">
        <w:t xml:space="preserve">Proportion of 15 year old students achieving level 3 or above, overall </w:t>
      </w:r>
      <w:r w:rsidR="005F4AEF">
        <w:t xml:space="preserve">PISA </w:t>
      </w:r>
      <w:r w:rsidRPr="00CA3C60">
        <w:t>mathematical literacy scale</w:t>
      </w:r>
      <w:r w:rsidRPr="00CA3C60">
        <w:rPr>
          <w:position w:val="6"/>
          <w:sz w:val="18"/>
        </w:rPr>
        <w:t xml:space="preserve">a, b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60D26" w:rsidRPr="00360D26" w:rsidTr="00A60072">
        <w:tc>
          <w:tcPr>
            <w:tcW w:w="8777" w:type="dxa"/>
          </w:tcPr>
          <w:p w:rsidR="00360D26" w:rsidRPr="00360D26" w:rsidRDefault="008B34BD" w:rsidP="00CA3C60">
            <w:pPr>
              <w:keepNext/>
              <w:shd w:val="clear" w:color="auto" w:fill="FFFFFF" w:themeFill="background1"/>
              <w:spacing w:before="120" w:after="120" w:line="240" w:lineRule="atLeast"/>
              <w:jc w:val="center"/>
              <w:rPr>
                <w:szCs w:val="20"/>
              </w:rPr>
            </w:pPr>
            <w:r>
              <w:rPr>
                <w:noProof/>
                <w:szCs w:val="20"/>
              </w:rPr>
              <w:drawing>
                <wp:inline distT="0" distB="0" distL="0" distR="0">
                  <wp:extent cx="5391150" cy="2876550"/>
                  <wp:effectExtent l="0" t="0" r="0" b="0"/>
                  <wp:docPr id="49" name="Picture 49" descr="Figure 4.48 Proportion of 15 year old students achieving level 3 or above, overall PISA mathematical literacy sca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360D26" w:rsidRPr="00360D26" w:rsidRDefault="00360D26" w:rsidP="00360D26">
      <w:pPr>
        <w:keepLines/>
        <w:spacing w:before="80" w:line="220" w:lineRule="exact"/>
        <w:jc w:val="both"/>
        <w:rPr>
          <w:rFonts w:ascii="Arial" w:hAnsi="Arial"/>
          <w:sz w:val="18"/>
          <w:szCs w:val="20"/>
        </w:rPr>
      </w:pPr>
      <w:r w:rsidRPr="00360D26">
        <w:rPr>
          <w:rFonts w:ascii="Arial" w:hAnsi="Arial"/>
          <w:b/>
          <w:position w:val="6"/>
          <w:sz w:val="18"/>
          <w:szCs w:val="20"/>
        </w:rPr>
        <w:t>a</w:t>
      </w:r>
      <w:r w:rsidRPr="00360D26">
        <w:rPr>
          <w:rFonts w:ascii="Arial" w:hAnsi="Arial"/>
          <w:sz w:val="18"/>
          <w:szCs w:val="20"/>
        </w:rPr>
        <w:t xml:space="preserve"> Error bars represent the 95 per cent confidence intervals associated with each point estimate. </w:t>
      </w:r>
      <w:r w:rsidRPr="00360D26">
        <w:rPr>
          <w:rFonts w:ascii="Arial" w:hAnsi="Arial"/>
          <w:b/>
          <w:position w:val="6"/>
          <w:sz w:val="18"/>
          <w:szCs w:val="20"/>
        </w:rPr>
        <w:t>b</w:t>
      </w:r>
      <w:r w:rsidRPr="00360D26">
        <w:rPr>
          <w:rFonts w:ascii="Arial" w:hAnsi="Arial"/>
          <w:sz w:val="18"/>
          <w:szCs w:val="20"/>
        </w:rPr>
        <w:t xml:space="preserve"> For PISA 2003 and PISA 2006, the PISA overall mathematical literacy scale has six defined proficiency levels, from level 6 (the highest) to level 1 (the lowest) with an additional level referred to as ‘Below level 1’ which covers those </w:t>
      </w:r>
      <w:r w:rsidRPr="00D3193D">
        <w:rPr>
          <w:rFonts w:ascii="Arial" w:hAnsi="Arial"/>
          <w:sz w:val="18"/>
          <w:szCs w:val="20"/>
          <w:shd w:val="clear" w:color="auto" w:fill="FFFFFF" w:themeFill="background1"/>
        </w:rPr>
        <w:t>students who are unable to reach even the first threshold of the skills that PISA seeks to measure. For PISA 2009</w:t>
      </w:r>
      <w:r w:rsidR="00482113" w:rsidRPr="00D3193D">
        <w:rPr>
          <w:rFonts w:ascii="Arial" w:hAnsi="Arial"/>
          <w:sz w:val="18"/>
          <w:szCs w:val="20"/>
          <w:shd w:val="clear" w:color="auto" w:fill="FFFFFF" w:themeFill="background1"/>
        </w:rPr>
        <w:t xml:space="preserve"> and PISA 2012</w:t>
      </w:r>
      <w:r w:rsidRPr="00D3193D">
        <w:rPr>
          <w:rFonts w:ascii="Arial" w:hAnsi="Arial"/>
          <w:sz w:val="18"/>
          <w:szCs w:val="20"/>
          <w:shd w:val="clear" w:color="auto" w:fill="FFFFFF" w:themeFill="background1"/>
        </w:rPr>
        <w:t xml:space="preserve">, level 1 is reported as level 1a and level 1b (the lowest) with an additional level referred to as ‘Below level 1b’. Level 3 or above </w:t>
      </w:r>
      <w:r w:rsidR="00871957" w:rsidRPr="00D3193D">
        <w:rPr>
          <w:rFonts w:ascii="Arial" w:hAnsi="Arial"/>
          <w:sz w:val="18"/>
          <w:szCs w:val="20"/>
          <w:shd w:val="clear" w:color="auto" w:fill="FFFFFF" w:themeFill="background1"/>
        </w:rPr>
        <w:t xml:space="preserve">(which is the national proficient standard) </w:t>
      </w:r>
      <w:r w:rsidRPr="00D3193D">
        <w:rPr>
          <w:rFonts w:ascii="Arial" w:hAnsi="Arial"/>
          <w:sz w:val="18"/>
          <w:szCs w:val="20"/>
          <w:shd w:val="clear" w:color="auto" w:fill="FFFFFF" w:themeFill="background1"/>
        </w:rPr>
        <w:t>can be described as a level of achievement that is reasonably challenging and which requires students to demonstrate</w:t>
      </w:r>
      <w:r w:rsidRPr="00360D26">
        <w:rPr>
          <w:rFonts w:ascii="Arial" w:hAnsi="Arial"/>
          <w:sz w:val="18"/>
          <w:szCs w:val="20"/>
        </w:rPr>
        <w:t xml:space="preserve"> more than minimal or elementary skills to be regarded as reaching it.</w:t>
      </w:r>
    </w:p>
    <w:p w:rsidR="00360D26" w:rsidRPr="00262F21" w:rsidRDefault="00360D26" w:rsidP="00360D26">
      <w:pPr>
        <w:keepLines/>
        <w:spacing w:before="80" w:after="120" w:line="220" w:lineRule="exact"/>
        <w:jc w:val="both"/>
        <w:rPr>
          <w:rFonts w:ascii="Arial" w:hAnsi="Arial"/>
          <w:sz w:val="18"/>
          <w:szCs w:val="20"/>
        </w:rPr>
      </w:pPr>
      <w:r w:rsidRPr="00262F21">
        <w:rPr>
          <w:rFonts w:ascii="Arial" w:hAnsi="Arial"/>
          <w:i/>
          <w:sz w:val="18"/>
          <w:szCs w:val="20"/>
        </w:rPr>
        <w:t>Source</w:t>
      </w:r>
      <w:r w:rsidRPr="00262F21">
        <w:rPr>
          <w:rFonts w:ascii="Arial" w:hAnsi="Arial"/>
          <w:sz w:val="18"/>
          <w:szCs w:val="20"/>
        </w:rPr>
        <w:t>: ACER (unpublished); table 4A.</w:t>
      </w:r>
      <w:r w:rsidR="00E34421">
        <w:rPr>
          <w:rFonts w:ascii="Arial" w:hAnsi="Arial"/>
          <w:sz w:val="18"/>
          <w:szCs w:val="20"/>
        </w:rPr>
        <w:t>101</w:t>
      </w:r>
      <w:r w:rsidRPr="00262F21">
        <w:rPr>
          <w:rFonts w:ascii="Arial" w:hAnsi="Arial"/>
          <w:sz w:val="18"/>
          <w:szCs w:val="20"/>
        </w:rPr>
        <w:t>.</w:t>
      </w:r>
    </w:p>
    <w:p w:rsidR="00872F89" w:rsidRPr="00360D26" w:rsidRDefault="00872F89" w:rsidP="00872F89">
      <w:pPr>
        <w:spacing w:before="240" w:line="320" w:lineRule="atLeast"/>
        <w:jc w:val="both"/>
        <w:rPr>
          <w:szCs w:val="20"/>
        </w:rPr>
      </w:pPr>
      <w:r w:rsidRPr="00360D26">
        <w:rPr>
          <w:szCs w:val="20"/>
        </w:rPr>
        <w:t>The proportion by equity group who achieved level 3 or above for mathematical literacy in PISA 20</w:t>
      </w:r>
      <w:r>
        <w:rPr>
          <w:szCs w:val="20"/>
        </w:rPr>
        <w:t>12</w:t>
      </w:r>
      <w:r w:rsidRPr="00360D26">
        <w:rPr>
          <w:szCs w:val="20"/>
        </w:rPr>
        <w:t xml:space="preserve"> was:</w:t>
      </w:r>
    </w:p>
    <w:p w:rsidR="00872F89" w:rsidRPr="00360D26" w:rsidRDefault="00582527" w:rsidP="00872F89">
      <w:pPr>
        <w:numPr>
          <w:ilvl w:val="0"/>
          <w:numId w:val="3"/>
        </w:numPr>
        <w:spacing w:before="120" w:line="320" w:lineRule="atLeast"/>
        <w:jc w:val="both"/>
        <w:rPr>
          <w:szCs w:val="20"/>
        </w:rPr>
      </w:pPr>
      <w:r w:rsidRPr="00D3193D">
        <w:rPr>
          <w:szCs w:val="20"/>
          <w:shd w:val="clear" w:color="auto" w:fill="FFFFFF" w:themeFill="background1"/>
        </w:rPr>
        <w:t>58.1–62.3</w:t>
      </w:r>
      <w:r w:rsidR="00872F89" w:rsidRPr="00D3193D">
        <w:rPr>
          <w:szCs w:val="20"/>
          <w:shd w:val="clear" w:color="auto" w:fill="FFFFFF" w:themeFill="background1"/>
        </w:rPr>
        <w:t xml:space="preserve"> per cent for male </w:t>
      </w:r>
      <w:r w:rsidR="00872F89" w:rsidRPr="00CA3C60">
        <w:rPr>
          <w:szCs w:val="20"/>
          <w:shd w:val="clear" w:color="auto" w:fill="FFFFFF" w:themeFill="background1"/>
        </w:rPr>
        <w:t>students, no</w:t>
      </w:r>
      <w:r w:rsidRPr="00CA3C60">
        <w:rPr>
          <w:szCs w:val="20"/>
          <w:shd w:val="clear" w:color="auto" w:fill="FFFFFF" w:themeFill="background1"/>
        </w:rPr>
        <w:t>t significantly different t</w:t>
      </w:r>
      <w:r w:rsidR="00872F89" w:rsidRPr="00CA3C60">
        <w:rPr>
          <w:szCs w:val="20"/>
          <w:shd w:val="clear" w:color="auto" w:fill="FFFFFF" w:themeFill="background1"/>
        </w:rPr>
        <w:t xml:space="preserve">o </w:t>
      </w:r>
      <w:r w:rsidRPr="00CA3C60">
        <w:rPr>
          <w:szCs w:val="20"/>
          <w:shd w:val="clear" w:color="auto" w:fill="FFFFFF" w:themeFill="background1"/>
        </w:rPr>
        <w:t>54</w:t>
      </w:r>
      <w:r w:rsidRPr="00D3193D">
        <w:rPr>
          <w:szCs w:val="20"/>
          <w:shd w:val="clear" w:color="auto" w:fill="FFFFFF" w:themeFill="background1"/>
        </w:rPr>
        <w:t>.5–58.5</w:t>
      </w:r>
      <w:r w:rsidR="00872F89" w:rsidRPr="00D3193D">
        <w:rPr>
          <w:szCs w:val="20"/>
          <w:shd w:val="clear" w:color="auto" w:fill="FFFFFF" w:themeFill="background1"/>
        </w:rPr>
        <w:t xml:space="preserve"> per cent for</w:t>
      </w:r>
      <w:r w:rsidR="00872F89" w:rsidRPr="00360D26">
        <w:rPr>
          <w:szCs w:val="20"/>
        </w:rPr>
        <w:t xml:space="preserve"> female students</w:t>
      </w:r>
    </w:p>
    <w:p w:rsidR="00872F89" w:rsidRPr="00360D26" w:rsidRDefault="00582527" w:rsidP="00872F89">
      <w:pPr>
        <w:numPr>
          <w:ilvl w:val="0"/>
          <w:numId w:val="3"/>
        </w:numPr>
        <w:spacing w:before="120" w:line="320" w:lineRule="atLeast"/>
        <w:jc w:val="both"/>
        <w:rPr>
          <w:szCs w:val="20"/>
        </w:rPr>
      </w:pPr>
      <w:r w:rsidRPr="00D3193D">
        <w:rPr>
          <w:szCs w:val="20"/>
          <w:shd w:val="clear" w:color="auto" w:fill="FFFFFF" w:themeFill="background1"/>
        </w:rPr>
        <w:t>20.1–26.3</w:t>
      </w:r>
      <w:r w:rsidR="00872F89" w:rsidRPr="00D3193D">
        <w:rPr>
          <w:szCs w:val="20"/>
          <w:shd w:val="clear" w:color="auto" w:fill="FFFFFF" w:themeFill="background1"/>
        </w:rPr>
        <w:t xml:space="preserve"> per cent for Indigenous students, compared </w:t>
      </w:r>
      <w:r w:rsidRPr="00D3193D">
        <w:rPr>
          <w:szCs w:val="20"/>
          <w:shd w:val="clear" w:color="auto" w:fill="FFFFFF" w:themeFill="background1"/>
        </w:rPr>
        <w:t>to</w:t>
      </w:r>
      <w:r w:rsidR="00872F89" w:rsidRPr="00D3193D">
        <w:rPr>
          <w:szCs w:val="20"/>
          <w:shd w:val="clear" w:color="auto" w:fill="FFFFFF" w:themeFill="background1"/>
        </w:rPr>
        <w:t xml:space="preserve"> </w:t>
      </w:r>
      <w:r w:rsidRPr="00D3193D">
        <w:rPr>
          <w:szCs w:val="20"/>
          <w:shd w:val="clear" w:color="auto" w:fill="FFFFFF" w:themeFill="background1"/>
        </w:rPr>
        <w:t>58.2–61.2</w:t>
      </w:r>
      <w:r w:rsidR="00872F89" w:rsidRPr="00D3193D">
        <w:rPr>
          <w:szCs w:val="20"/>
          <w:shd w:val="clear" w:color="auto" w:fill="FFFFFF" w:themeFill="background1"/>
        </w:rPr>
        <w:t xml:space="preserve"> per cent for non-Indigenous</w:t>
      </w:r>
      <w:r w:rsidR="00872F89" w:rsidRPr="00360D26">
        <w:rPr>
          <w:szCs w:val="20"/>
        </w:rPr>
        <w:t xml:space="preserve"> students</w:t>
      </w:r>
    </w:p>
    <w:p w:rsidR="00872F89" w:rsidRPr="00360D26" w:rsidRDefault="00582527" w:rsidP="00872F89">
      <w:pPr>
        <w:numPr>
          <w:ilvl w:val="0"/>
          <w:numId w:val="3"/>
        </w:numPr>
        <w:spacing w:before="120" w:line="320" w:lineRule="atLeast"/>
        <w:jc w:val="both"/>
        <w:rPr>
          <w:szCs w:val="20"/>
        </w:rPr>
      </w:pPr>
      <w:r w:rsidRPr="00D3193D">
        <w:rPr>
          <w:szCs w:val="20"/>
          <w:shd w:val="clear" w:color="auto" w:fill="FFFFFF" w:themeFill="background1"/>
        </w:rPr>
        <w:t>23.4–51.6</w:t>
      </w:r>
      <w:r w:rsidR="00872F89" w:rsidRPr="00D3193D">
        <w:rPr>
          <w:szCs w:val="20"/>
          <w:shd w:val="clear" w:color="auto" w:fill="FFFFFF" w:themeFill="background1"/>
        </w:rPr>
        <w:t xml:space="preserve"> per cent for</w:t>
      </w:r>
      <w:r w:rsidR="00872F89" w:rsidRPr="00360D26">
        <w:rPr>
          <w:szCs w:val="20"/>
        </w:rPr>
        <w:t xml:space="preserve"> geographically remote students </w:t>
      </w:r>
    </w:p>
    <w:p w:rsidR="00872F89" w:rsidRPr="00262F21" w:rsidRDefault="00582527" w:rsidP="00872F89">
      <w:pPr>
        <w:numPr>
          <w:ilvl w:val="0"/>
          <w:numId w:val="3"/>
        </w:numPr>
        <w:spacing w:before="120" w:line="320" w:lineRule="atLeast"/>
        <w:jc w:val="both"/>
        <w:rPr>
          <w:szCs w:val="20"/>
        </w:rPr>
      </w:pPr>
      <w:r w:rsidRPr="00D3193D">
        <w:rPr>
          <w:szCs w:val="20"/>
          <w:shd w:val="clear" w:color="auto" w:fill="FFFFFF" w:themeFill="background1"/>
        </w:rPr>
        <w:t>59.6–63.0</w:t>
      </w:r>
      <w:r w:rsidR="00872F89" w:rsidRPr="00D3193D">
        <w:rPr>
          <w:szCs w:val="20"/>
          <w:shd w:val="clear" w:color="auto" w:fill="FFFFFF" w:themeFill="background1"/>
        </w:rPr>
        <w:t xml:space="preserve"> per cent for students from low socio</w:t>
      </w:r>
      <w:r w:rsidR="009131A4">
        <w:rPr>
          <w:szCs w:val="20"/>
          <w:shd w:val="clear" w:color="auto" w:fill="FFFFFF" w:themeFill="background1"/>
        </w:rPr>
        <w:t>-</w:t>
      </w:r>
      <w:r w:rsidR="00872F89" w:rsidRPr="00D3193D">
        <w:rPr>
          <w:szCs w:val="20"/>
          <w:shd w:val="clear" w:color="auto" w:fill="FFFFFF" w:themeFill="background1"/>
        </w:rPr>
        <w:t>economic status families (t</w:t>
      </w:r>
      <w:r w:rsidR="00872F89" w:rsidRPr="00262F21">
        <w:rPr>
          <w:szCs w:val="20"/>
        </w:rPr>
        <w:t>able 4A.</w:t>
      </w:r>
      <w:r w:rsidR="00E34421">
        <w:rPr>
          <w:szCs w:val="20"/>
        </w:rPr>
        <w:t>102</w:t>
      </w:r>
      <w:r w:rsidR="00872F89" w:rsidRPr="00262F21">
        <w:rPr>
          <w:szCs w:val="20"/>
        </w:rPr>
        <w:t>).</w:t>
      </w:r>
    </w:p>
    <w:p w:rsidR="00872F89" w:rsidRPr="00262F21" w:rsidRDefault="00872F89" w:rsidP="00872F89">
      <w:pPr>
        <w:spacing w:before="240" w:line="320" w:lineRule="atLeast"/>
        <w:jc w:val="both"/>
        <w:rPr>
          <w:szCs w:val="20"/>
        </w:rPr>
      </w:pPr>
      <w:r w:rsidRPr="00262F21">
        <w:rPr>
          <w:szCs w:val="20"/>
        </w:rPr>
        <w:lastRenderedPageBreak/>
        <w:t>These outcomes varied across jurisdictions. Data relating to outcomes for the 2006, 2009 and 2012 PISA mathematical literacy survey by socio-economic status are in table 4A.</w:t>
      </w:r>
      <w:r w:rsidR="00E34421">
        <w:rPr>
          <w:szCs w:val="20"/>
        </w:rPr>
        <w:t>103</w:t>
      </w:r>
      <w:r w:rsidR="006F04A3" w:rsidRPr="006F04A3">
        <w:rPr>
          <w:szCs w:val="20"/>
        </w:rPr>
        <w:t xml:space="preserve"> </w:t>
      </w:r>
      <w:r w:rsidR="006F04A3" w:rsidRPr="00262F21">
        <w:rPr>
          <w:szCs w:val="20"/>
        </w:rPr>
        <w:t>and for each achievement level for PISA 2012</w:t>
      </w:r>
      <w:r w:rsidR="006F04A3" w:rsidRPr="00D3193D">
        <w:rPr>
          <w:szCs w:val="20"/>
          <w:shd w:val="clear" w:color="auto" w:fill="FFFFFF" w:themeFill="background1"/>
        </w:rPr>
        <w:t>, including statistical significance of differences in mean scores are in table 4A.104</w:t>
      </w:r>
      <w:r w:rsidRPr="00D3193D">
        <w:rPr>
          <w:szCs w:val="20"/>
          <w:shd w:val="clear" w:color="auto" w:fill="FFFFFF" w:themeFill="background1"/>
        </w:rPr>
        <w:t>. Data comparing outcomes for PISA surveys for the mathematical literacy domain in 2003, 2006, 2009 and 2012 are in tables 4A.</w:t>
      </w:r>
      <w:r w:rsidR="00E34421" w:rsidRPr="00D3193D">
        <w:rPr>
          <w:szCs w:val="20"/>
          <w:shd w:val="clear" w:color="auto" w:fill="FFFFFF" w:themeFill="background1"/>
        </w:rPr>
        <w:t>101</w:t>
      </w:r>
      <w:r w:rsidRPr="00D3193D">
        <w:rPr>
          <w:szCs w:val="20"/>
          <w:shd w:val="clear" w:color="auto" w:fill="FFFFFF" w:themeFill="background1"/>
        </w:rPr>
        <w:t>–</w:t>
      </w:r>
      <w:r w:rsidR="00E34421" w:rsidRPr="00D3193D">
        <w:rPr>
          <w:szCs w:val="20"/>
          <w:shd w:val="clear" w:color="auto" w:fill="FFFFFF" w:themeFill="background1"/>
        </w:rPr>
        <w:t>102</w:t>
      </w:r>
      <w:r w:rsidR="006F04A3" w:rsidRPr="00D3193D">
        <w:rPr>
          <w:szCs w:val="20"/>
          <w:shd w:val="clear" w:color="auto" w:fill="FFFFFF" w:themeFill="background1"/>
        </w:rPr>
        <w:t xml:space="preserve"> and significance of differences in mean scores between PISA 2003 and PISA 2012 are in table 4A.109.</w:t>
      </w:r>
    </w:p>
    <w:p w:rsidR="00360D26" w:rsidRDefault="00360D26" w:rsidP="00360D26">
      <w:pPr>
        <w:pStyle w:val="Heading5"/>
      </w:pPr>
      <w:r>
        <w:t xml:space="preserve">PISA </w:t>
      </w:r>
      <w:r w:rsidR="0096612F">
        <w:t>scientific</w:t>
      </w:r>
      <w:r>
        <w:t xml:space="preserve"> literacy</w:t>
      </w:r>
    </w:p>
    <w:p w:rsidR="00B02190" w:rsidRDefault="00BD787D" w:rsidP="00CA3C60">
      <w:pPr>
        <w:shd w:val="clear" w:color="auto" w:fill="FFFFFF" w:themeFill="background1"/>
        <w:spacing w:before="240" w:line="320" w:lineRule="atLeast"/>
        <w:jc w:val="both"/>
        <w:rPr>
          <w:szCs w:val="20"/>
        </w:rPr>
      </w:pPr>
      <w:r w:rsidRPr="00BD787D">
        <w:rPr>
          <w:szCs w:val="20"/>
        </w:rPr>
        <w:t>Scientific literacy was the major domain</w:t>
      </w:r>
      <w:r w:rsidR="0002178B">
        <w:rPr>
          <w:szCs w:val="20"/>
        </w:rPr>
        <w:t xml:space="preserve"> tested in the PISA 2006 cycle.</w:t>
      </w:r>
      <w:r w:rsidRPr="00BD787D">
        <w:rPr>
          <w:szCs w:val="20"/>
        </w:rPr>
        <w:t xml:space="preserve"> Scientific literacy results from subsequent cycles may be</w:t>
      </w:r>
      <w:r>
        <w:rPr>
          <w:szCs w:val="20"/>
        </w:rPr>
        <w:t xml:space="preserve"> compared with the 2006 cycle. </w:t>
      </w:r>
      <w:r w:rsidRPr="00BD787D">
        <w:rPr>
          <w:szCs w:val="20"/>
        </w:rPr>
        <w:t>In PISA 2012, the proportion of Australian 15 year old students who achieved at or above the national proficient standard of Level 3 in scientific literacy nationally was</w:t>
      </w:r>
      <w:r>
        <w:rPr>
          <w:szCs w:val="20"/>
        </w:rPr>
        <w:t xml:space="preserve"> </w:t>
      </w:r>
      <w:r w:rsidR="00582527" w:rsidRPr="00D3193D">
        <w:rPr>
          <w:szCs w:val="20"/>
          <w:shd w:val="clear" w:color="auto" w:fill="FFFFFF" w:themeFill="background1"/>
        </w:rPr>
        <w:t>63.5–66.3</w:t>
      </w:r>
      <w:r w:rsidR="00A014FB" w:rsidRPr="00D3193D">
        <w:rPr>
          <w:szCs w:val="20"/>
          <w:shd w:val="clear" w:color="auto" w:fill="FFFFFF" w:themeFill="background1"/>
        </w:rPr>
        <w:t xml:space="preserve"> </w:t>
      </w:r>
      <w:r w:rsidR="00360D26" w:rsidRPr="00D3193D">
        <w:rPr>
          <w:szCs w:val="20"/>
          <w:shd w:val="clear" w:color="auto" w:fill="FFFFFF" w:themeFill="background1"/>
        </w:rPr>
        <w:t>per cent</w:t>
      </w:r>
      <w:r w:rsidR="00B02190" w:rsidRPr="00D3193D">
        <w:rPr>
          <w:szCs w:val="20"/>
          <w:shd w:val="clear" w:color="auto" w:fill="FFFFFF" w:themeFill="background1"/>
        </w:rPr>
        <w:t xml:space="preserve">. The proportion of students achieving at level 5 and 6 (the highest levels) </w:t>
      </w:r>
      <w:r w:rsidR="00B02190" w:rsidRPr="00FA202A">
        <w:rPr>
          <w:szCs w:val="20"/>
          <w:shd w:val="clear" w:color="auto" w:fill="FFFFFF" w:themeFill="background1"/>
        </w:rPr>
        <w:t xml:space="preserve">was </w:t>
      </w:r>
      <w:r w:rsidR="00EC06F7" w:rsidRPr="00FA202A">
        <w:rPr>
          <w:szCs w:val="20"/>
          <w:shd w:val="clear" w:color="auto" w:fill="FFFFFF" w:themeFill="background1"/>
        </w:rPr>
        <w:t xml:space="preserve">12.5–14.7 </w:t>
      </w:r>
      <w:r w:rsidR="00B02190" w:rsidRPr="00FA202A">
        <w:rPr>
          <w:szCs w:val="20"/>
          <w:shd w:val="clear" w:color="auto" w:fill="FFFFFF" w:themeFill="background1"/>
        </w:rPr>
        <w:t>per cent and the proportion of students achieving at level 1 and below was</w:t>
      </w:r>
      <w:r w:rsidR="000C7D44" w:rsidRPr="00FA202A">
        <w:rPr>
          <w:szCs w:val="20"/>
          <w:shd w:val="clear" w:color="auto" w:fill="FFFFFF" w:themeFill="background1"/>
        </w:rPr>
        <w:t xml:space="preserve"> </w:t>
      </w:r>
      <w:r w:rsidR="00EC06F7" w:rsidRPr="00FA202A">
        <w:rPr>
          <w:szCs w:val="20"/>
          <w:shd w:val="clear" w:color="auto" w:fill="FFFFFF" w:themeFill="background1"/>
        </w:rPr>
        <w:t xml:space="preserve">13.0–14.2 </w:t>
      </w:r>
      <w:r w:rsidR="00B02190" w:rsidRPr="00FA202A">
        <w:rPr>
          <w:szCs w:val="20"/>
          <w:shd w:val="clear" w:color="auto" w:fill="FFFFFF" w:themeFill="background1"/>
        </w:rPr>
        <w:t>per</w:t>
      </w:r>
      <w:r w:rsidR="00B02190" w:rsidRPr="000C7D44">
        <w:rPr>
          <w:szCs w:val="20"/>
        </w:rPr>
        <w:t xml:space="preserve"> cent </w:t>
      </w:r>
      <w:r w:rsidR="00B02190">
        <w:rPr>
          <w:szCs w:val="20"/>
        </w:rPr>
        <w:t>(figure 4.4</w:t>
      </w:r>
      <w:r w:rsidR="00F230E8">
        <w:rPr>
          <w:szCs w:val="20"/>
        </w:rPr>
        <w:t>9</w:t>
      </w:r>
      <w:r w:rsidR="00B02190">
        <w:rPr>
          <w:szCs w:val="20"/>
        </w:rPr>
        <w:t>)</w:t>
      </w:r>
      <w:r w:rsidR="00241EB3">
        <w:rPr>
          <w:szCs w:val="20"/>
        </w:rPr>
        <w:t>.</w:t>
      </w:r>
    </w:p>
    <w:p w:rsidR="00100308" w:rsidRPr="00CA3C60" w:rsidRDefault="00B02190" w:rsidP="006B35ED">
      <w:pPr>
        <w:pStyle w:val="FigureTitle"/>
        <w:rPr>
          <w:rStyle w:val="DraftingNote"/>
          <w:rFonts w:ascii="Times New Roman" w:hAnsi="Times New Roman"/>
          <w:b/>
          <w:color w:val="auto"/>
        </w:rPr>
      </w:pPr>
      <w:r w:rsidRPr="00B64D68">
        <w:rPr>
          <w:b w:val="0"/>
        </w:rPr>
        <w:t>Figure 4.</w:t>
      </w:r>
      <w:r w:rsidR="00EC06F7" w:rsidRPr="00B64D68">
        <w:rPr>
          <w:b w:val="0"/>
          <w:noProof/>
        </w:rPr>
        <w:t>49</w:t>
      </w:r>
      <w:r>
        <w:tab/>
      </w:r>
      <w:r w:rsidRPr="00CA3C60">
        <w:t xml:space="preserve">Proportion of 15 year old students achieving </w:t>
      </w:r>
      <w:r w:rsidR="00BD787D" w:rsidRPr="00BD787D">
        <w:t>at or below Level 1, at or above Level 3, and at Level 5 or Level 6 on the overall scientific literacy scale, PISA 2012</w:t>
      </w:r>
      <w:r w:rsidR="00CA3C60" w:rsidRPr="00BD787D">
        <w:rPr>
          <w:rStyle w:val="NoteLabel"/>
          <w:b/>
        </w:rPr>
        <w:t>a</w:t>
      </w:r>
      <w:r w:rsidR="00CA3C60" w:rsidRPr="00CA3C60">
        <w:rPr>
          <w:rStyle w:val="NoteLabel"/>
          <w:b/>
        </w:rPr>
        <w:t>, b</w:t>
      </w:r>
      <w:r w:rsidR="00CA3C60" w:rsidRPr="00CA3C60">
        <w:rPr>
          <w:rStyle w:val="DraftingNote"/>
          <w:rFonts w:ascii="Times New Roman" w:hAnsi="Times New Roman"/>
          <w:b/>
          <w:color w:val="auto"/>
        </w:rPr>
        <w:t xml:space="preserve"> </w:t>
      </w:r>
    </w:p>
    <w:tbl>
      <w:tblPr>
        <w:tblW w:w="0" w:type="auto"/>
        <w:tblInd w:w="11" w:type="dxa"/>
        <w:tblBorders>
          <w:top w:val="single" w:sz="6" w:space="0" w:color="auto"/>
          <w:bottom w:val="single" w:sz="6"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8777"/>
      </w:tblGrid>
      <w:tr w:rsidR="00B02190" w:rsidTr="00CA3C60">
        <w:tc>
          <w:tcPr>
            <w:tcW w:w="8777" w:type="dxa"/>
            <w:shd w:val="clear" w:color="auto" w:fill="FFFFFF" w:themeFill="background1"/>
          </w:tcPr>
          <w:p w:rsidR="00B02190" w:rsidRDefault="008B34BD" w:rsidP="00CA3C60">
            <w:pPr>
              <w:pStyle w:val="Figure"/>
              <w:shd w:val="clear" w:color="auto" w:fill="FFFFFF" w:themeFill="background1"/>
            </w:pPr>
            <w:r>
              <w:rPr>
                <w:noProof/>
              </w:rPr>
              <w:drawing>
                <wp:inline distT="0" distB="0" distL="0" distR="0">
                  <wp:extent cx="5391150" cy="2876550"/>
                  <wp:effectExtent l="0" t="0" r="0" b="0"/>
                  <wp:docPr id="50" name="Picture 50" descr="Figure 4.49 Proportion of 15 year old students achieving at or below Level 1, at or above Level 3, and at Level 5 or Level 6 on the overall scientific literacy scale, PISA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482113" w:rsidRPr="00770948" w:rsidRDefault="00482113" w:rsidP="00CA3C60">
      <w:pPr>
        <w:keepLines/>
        <w:shd w:val="clear" w:color="auto" w:fill="FFFFFF" w:themeFill="background1"/>
        <w:spacing w:before="80" w:line="220" w:lineRule="exact"/>
        <w:jc w:val="both"/>
        <w:rPr>
          <w:rFonts w:ascii="Arial" w:hAnsi="Arial"/>
          <w:sz w:val="18"/>
          <w:szCs w:val="20"/>
        </w:rPr>
      </w:pPr>
      <w:r w:rsidRPr="00770948">
        <w:rPr>
          <w:rFonts w:ascii="Arial" w:hAnsi="Arial"/>
          <w:b/>
          <w:position w:val="6"/>
          <w:sz w:val="18"/>
          <w:szCs w:val="20"/>
        </w:rPr>
        <w:t>a</w:t>
      </w:r>
      <w:r w:rsidRPr="00770948">
        <w:rPr>
          <w:rFonts w:ascii="Arial" w:hAnsi="Arial"/>
          <w:sz w:val="18"/>
          <w:szCs w:val="20"/>
        </w:rPr>
        <w:t xml:space="preserve"> Error bars represent the 95 per cent confidence intervals associated with each point estimate. </w:t>
      </w:r>
      <w:r w:rsidRPr="00770948">
        <w:rPr>
          <w:rFonts w:ascii="Arial" w:hAnsi="Arial"/>
          <w:b/>
          <w:position w:val="6"/>
          <w:sz w:val="18"/>
          <w:szCs w:val="20"/>
        </w:rPr>
        <w:t>b</w:t>
      </w:r>
      <w:r w:rsidRPr="00770948">
        <w:rPr>
          <w:rFonts w:ascii="Arial" w:hAnsi="Arial"/>
          <w:sz w:val="18"/>
          <w:szCs w:val="20"/>
        </w:rPr>
        <w:t xml:space="preserve"> Level 3 or </w:t>
      </w:r>
      <w:r w:rsidRPr="00D3193D">
        <w:rPr>
          <w:rFonts w:ascii="Arial" w:hAnsi="Arial"/>
          <w:sz w:val="18"/>
          <w:szCs w:val="20"/>
          <w:shd w:val="clear" w:color="auto" w:fill="FFFFFF" w:themeFill="background1"/>
        </w:rPr>
        <w:t>above (which is the national proficient standard) can be described as a level of achievement that is reasonably challenging and which requires students to demonstrate</w:t>
      </w:r>
      <w:r w:rsidRPr="00770948">
        <w:rPr>
          <w:rFonts w:ascii="Arial" w:hAnsi="Arial"/>
          <w:sz w:val="18"/>
          <w:szCs w:val="20"/>
        </w:rPr>
        <w:t xml:space="preserve"> more than minimal or elementary skills to be regarded as reaching it.</w:t>
      </w:r>
      <w:r w:rsidRPr="00EF4AA1">
        <w:rPr>
          <w:rFonts w:ascii="Arial" w:hAnsi="Arial"/>
          <w:sz w:val="18"/>
          <w:szCs w:val="20"/>
        </w:rPr>
        <w:t xml:space="preserve"> </w:t>
      </w:r>
      <w:r w:rsidR="005F4AEF" w:rsidRPr="005F4AEF">
        <w:rPr>
          <w:rFonts w:ascii="Arial" w:hAnsi="Arial"/>
          <w:sz w:val="18"/>
          <w:szCs w:val="20"/>
        </w:rPr>
        <w:t>Level 6 is the highest attainable proficiency level and Level 1 is</w:t>
      </w:r>
      <w:r w:rsidR="005F4AEF">
        <w:rPr>
          <w:rFonts w:ascii="Arial" w:hAnsi="Arial"/>
          <w:sz w:val="18"/>
          <w:szCs w:val="20"/>
        </w:rPr>
        <w:t xml:space="preserve"> the lowest proficiency level. </w:t>
      </w:r>
      <w:r w:rsidR="005F4AEF" w:rsidRPr="005F4AEF">
        <w:rPr>
          <w:rFonts w:ascii="Arial" w:hAnsi="Arial"/>
          <w:sz w:val="18"/>
          <w:szCs w:val="20"/>
        </w:rPr>
        <w:t>Students who fail to reach the lowest proficiency level are referred to as being below Level 1.</w:t>
      </w:r>
    </w:p>
    <w:p w:rsidR="00EF4AA1" w:rsidRPr="009C663F" w:rsidRDefault="00EF4AA1" w:rsidP="00EF4AA1">
      <w:pPr>
        <w:keepLines/>
        <w:spacing w:before="80" w:after="120" w:line="220" w:lineRule="exact"/>
        <w:jc w:val="both"/>
        <w:rPr>
          <w:rFonts w:ascii="Arial" w:hAnsi="Arial"/>
          <w:sz w:val="18"/>
          <w:szCs w:val="20"/>
        </w:rPr>
      </w:pPr>
      <w:r w:rsidRPr="00262F21">
        <w:rPr>
          <w:rFonts w:ascii="Arial" w:hAnsi="Arial"/>
          <w:i/>
          <w:sz w:val="18"/>
          <w:szCs w:val="20"/>
        </w:rPr>
        <w:t>Source</w:t>
      </w:r>
      <w:r w:rsidRPr="00262F21">
        <w:rPr>
          <w:rFonts w:ascii="Arial" w:hAnsi="Arial"/>
          <w:sz w:val="18"/>
          <w:szCs w:val="20"/>
        </w:rPr>
        <w:t>: ACER (unpublished</w:t>
      </w:r>
      <w:r w:rsidRPr="009C663F">
        <w:rPr>
          <w:rFonts w:ascii="Arial" w:hAnsi="Arial"/>
          <w:sz w:val="18"/>
          <w:szCs w:val="20"/>
        </w:rPr>
        <w:t>); table 4A.</w:t>
      </w:r>
      <w:r w:rsidR="009C663F" w:rsidRPr="009C663F">
        <w:rPr>
          <w:rFonts w:ascii="Arial" w:hAnsi="Arial"/>
          <w:sz w:val="18"/>
          <w:szCs w:val="20"/>
        </w:rPr>
        <w:t>10</w:t>
      </w:r>
      <w:r w:rsidR="00E34421">
        <w:rPr>
          <w:rFonts w:ascii="Arial" w:hAnsi="Arial"/>
          <w:sz w:val="18"/>
          <w:szCs w:val="20"/>
        </w:rPr>
        <w:t>8</w:t>
      </w:r>
      <w:r w:rsidRPr="009C663F">
        <w:rPr>
          <w:rFonts w:ascii="Arial" w:hAnsi="Arial"/>
          <w:sz w:val="18"/>
          <w:szCs w:val="20"/>
        </w:rPr>
        <w:t>.</w:t>
      </w:r>
    </w:p>
    <w:p w:rsidR="00360D26" w:rsidRPr="00360D26" w:rsidRDefault="00B02190" w:rsidP="00360D26">
      <w:pPr>
        <w:spacing w:before="240" w:line="320" w:lineRule="atLeast"/>
        <w:jc w:val="both"/>
        <w:rPr>
          <w:szCs w:val="20"/>
        </w:rPr>
      </w:pPr>
      <w:r w:rsidRPr="000C7D44">
        <w:rPr>
          <w:szCs w:val="20"/>
        </w:rPr>
        <w:lastRenderedPageBreak/>
        <w:t>The proportion of students achieving at level 3 and above in the overall scientific literacy scale for 2012 can be compared to outcomes for earlier years —</w:t>
      </w:r>
      <w:r w:rsidR="00360D26" w:rsidRPr="000C7D44">
        <w:rPr>
          <w:szCs w:val="20"/>
        </w:rPr>
        <w:t xml:space="preserve"> 65.3–68.7 </w:t>
      </w:r>
      <w:r w:rsidR="00360D26" w:rsidRPr="00360D26">
        <w:rPr>
          <w:szCs w:val="20"/>
        </w:rPr>
        <w:t>per cent in PISA 2006</w:t>
      </w:r>
      <w:r w:rsidR="00A014FB">
        <w:rPr>
          <w:szCs w:val="20"/>
        </w:rPr>
        <w:t xml:space="preserve"> and </w:t>
      </w:r>
      <w:r w:rsidR="00A014FB" w:rsidRPr="00360D26">
        <w:rPr>
          <w:szCs w:val="20"/>
        </w:rPr>
        <w:t>65.8–69.2 per cent</w:t>
      </w:r>
      <w:r w:rsidR="00A014FB">
        <w:rPr>
          <w:szCs w:val="20"/>
        </w:rPr>
        <w:t xml:space="preserve"> in PISA 2009</w:t>
      </w:r>
      <w:r w:rsidR="00360D26" w:rsidRPr="00360D26">
        <w:rPr>
          <w:szCs w:val="20"/>
        </w:rPr>
        <w:t xml:space="preserve"> (figure</w:t>
      </w:r>
      <w:r w:rsidR="00A014FB">
        <w:rPr>
          <w:szCs w:val="20"/>
        </w:rPr>
        <w:t> </w:t>
      </w:r>
      <w:r w:rsidR="00360D26" w:rsidRPr="00360D26">
        <w:rPr>
          <w:szCs w:val="20"/>
        </w:rPr>
        <w:t>4.</w:t>
      </w:r>
      <w:r w:rsidR="00F230E8">
        <w:rPr>
          <w:szCs w:val="20"/>
        </w:rPr>
        <w:t>50</w:t>
      </w:r>
      <w:r w:rsidR="00360D26" w:rsidRPr="00360D26">
        <w:rPr>
          <w:szCs w:val="20"/>
        </w:rPr>
        <w:t>).</w:t>
      </w:r>
    </w:p>
    <w:p w:rsidR="00100308" w:rsidRPr="00CA3C60" w:rsidRDefault="00360D26" w:rsidP="006B35ED">
      <w:pPr>
        <w:pStyle w:val="FigureTitle"/>
        <w:rPr>
          <w:rStyle w:val="DraftingNote"/>
          <w:rFonts w:ascii="Times New Roman" w:hAnsi="Times New Roman"/>
          <w:b/>
          <w:color w:val="auto"/>
        </w:rPr>
      </w:pPr>
      <w:r w:rsidRPr="00B64D68">
        <w:rPr>
          <w:b w:val="0"/>
        </w:rPr>
        <w:t>Figure 4.</w:t>
      </w:r>
      <w:r w:rsidR="00EC06F7" w:rsidRPr="00B64D68">
        <w:rPr>
          <w:b w:val="0"/>
          <w:noProof/>
        </w:rPr>
        <w:t>50</w:t>
      </w:r>
      <w:r w:rsidRPr="00B64D68">
        <w:rPr>
          <w:b w:val="0"/>
        </w:rPr>
        <w:tab/>
      </w:r>
      <w:r w:rsidRPr="00CA3C60">
        <w:t xml:space="preserve">Proportion of 15 year old students achieving level 3 or above, overall </w:t>
      </w:r>
      <w:r w:rsidR="005F4AEF">
        <w:t xml:space="preserve">PISA </w:t>
      </w:r>
      <w:r w:rsidRPr="00CA3C60">
        <w:t>scientific literacy scale</w:t>
      </w:r>
      <w:r w:rsidRPr="00CA3C60">
        <w:rPr>
          <w:position w:val="6"/>
          <w:sz w:val="18"/>
        </w:rPr>
        <w:t xml:space="preserve">a, b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60D26" w:rsidRPr="00360D26" w:rsidTr="005713CC">
        <w:trPr>
          <w:trHeight w:val="4618"/>
        </w:trPr>
        <w:tc>
          <w:tcPr>
            <w:tcW w:w="8777" w:type="dxa"/>
          </w:tcPr>
          <w:p w:rsidR="00360D26" w:rsidRPr="00360D26" w:rsidRDefault="008B34BD" w:rsidP="00CA3C60">
            <w:pPr>
              <w:keepNext/>
              <w:shd w:val="clear" w:color="auto" w:fill="FFFFFF" w:themeFill="background1"/>
              <w:spacing w:before="120" w:after="120" w:line="240" w:lineRule="atLeast"/>
              <w:jc w:val="center"/>
              <w:rPr>
                <w:szCs w:val="20"/>
              </w:rPr>
            </w:pPr>
            <w:r>
              <w:rPr>
                <w:noProof/>
                <w:szCs w:val="20"/>
              </w:rPr>
              <w:drawing>
                <wp:inline distT="0" distB="0" distL="0" distR="0">
                  <wp:extent cx="5391150" cy="2876550"/>
                  <wp:effectExtent l="0" t="0" r="0" b="0"/>
                  <wp:docPr id="51" name="Picture 51" descr="Figure 4.50 Proportion of 15 year old students achieving level 3 or above, overall PISA scientific literacy sca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360D26" w:rsidRPr="00360D26" w:rsidRDefault="00360D26" w:rsidP="005713CC">
      <w:pPr>
        <w:pStyle w:val="Note"/>
      </w:pPr>
      <w:r w:rsidRPr="00360D26">
        <w:rPr>
          <w:b/>
          <w:position w:val="6"/>
        </w:rPr>
        <w:t>a</w:t>
      </w:r>
      <w:r w:rsidRPr="00360D26">
        <w:t xml:space="preserve"> Error bars represent the 95 per cent confidence intervals associated with each point estimate. </w:t>
      </w:r>
      <w:r w:rsidRPr="00360D26">
        <w:rPr>
          <w:b/>
          <w:position w:val="6"/>
        </w:rPr>
        <w:t>b</w:t>
      </w:r>
      <w:r w:rsidRPr="00360D26">
        <w:t> For PISA 2006, the PISA overall scientific literacy scale has six defined proficiency levels, from level 6 (the highest) to level 1 (the lowest) with an additional level referred to as ‘Below level 1’ which covers those students who are unable to reach even the first threshold of the skills that PISA seeks to measure. For PISA 2009</w:t>
      </w:r>
      <w:r w:rsidR="0066655C">
        <w:t xml:space="preserve"> and PISA 2012</w:t>
      </w:r>
      <w:r w:rsidRPr="00360D26">
        <w:t xml:space="preserve">, level 1 is reported </w:t>
      </w:r>
      <w:r w:rsidRPr="00D3193D">
        <w:rPr>
          <w:shd w:val="clear" w:color="auto" w:fill="FFFFFF" w:themeFill="background1"/>
        </w:rPr>
        <w:t xml:space="preserve">as level 1a and level 1b (the lowest) with an additional level referred to as ‘Below level 1b’. Level 3 or above </w:t>
      </w:r>
      <w:r w:rsidR="00871957" w:rsidRPr="00D3193D">
        <w:rPr>
          <w:shd w:val="clear" w:color="auto" w:fill="FFFFFF" w:themeFill="background1"/>
        </w:rPr>
        <w:t xml:space="preserve">(which is the national proficient standard) </w:t>
      </w:r>
      <w:r w:rsidRPr="00D3193D">
        <w:rPr>
          <w:shd w:val="clear" w:color="auto" w:fill="FFFFFF" w:themeFill="background1"/>
        </w:rPr>
        <w:t>can be described</w:t>
      </w:r>
      <w:r w:rsidRPr="00360D26">
        <w:t xml:space="preserve"> as a level of achievement that is reasonably challenging and which requires students to demonstrate more than minimal or elementary skills to be regarded as reaching it.</w:t>
      </w:r>
    </w:p>
    <w:p w:rsidR="00360D26" w:rsidRPr="00360D26" w:rsidRDefault="00360D26" w:rsidP="005713CC">
      <w:pPr>
        <w:pStyle w:val="Source"/>
      </w:pPr>
      <w:r w:rsidRPr="00360D26">
        <w:rPr>
          <w:i/>
        </w:rPr>
        <w:t>Source</w:t>
      </w:r>
      <w:r w:rsidRPr="00360D26">
        <w:t>: ACER (unpublished); table 4A.1</w:t>
      </w:r>
      <w:r w:rsidR="00872F89">
        <w:t>0</w:t>
      </w:r>
      <w:r w:rsidR="00E34421">
        <w:t>5</w:t>
      </w:r>
      <w:r w:rsidRPr="00360D26">
        <w:t>.</w:t>
      </w:r>
    </w:p>
    <w:p w:rsidR="00872F89" w:rsidRPr="00360D26" w:rsidRDefault="00872F89" w:rsidP="00872F89">
      <w:pPr>
        <w:spacing w:before="240" w:line="320" w:lineRule="atLeast"/>
        <w:jc w:val="both"/>
        <w:rPr>
          <w:szCs w:val="20"/>
        </w:rPr>
      </w:pPr>
      <w:r w:rsidRPr="00360D26">
        <w:rPr>
          <w:szCs w:val="20"/>
        </w:rPr>
        <w:t xml:space="preserve">The proportion by equity group who achieved level 3 or above for </w:t>
      </w:r>
      <w:r>
        <w:rPr>
          <w:szCs w:val="20"/>
        </w:rPr>
        <w:t>scientific</w:t>
      </w:r>
      <w:r w:rsidRPr="00360D26">
        <w:rPr>
          <w:szCs w:val="20"/>
        </w:rPr>
        <w:t xml:space="preserve"> literacy in PISA 20</w:t>
      </w:r>
      <w:r>
        <w:rPr>
          <w:szCs w:val="20"/>
        </w:rPr>
        <w:t>12</w:t>
      </w:r>
      <w:r w:rsidRPr="00360D26">
        <w:rPr>
          <w:szCs w:val="20"/>
        </w:rPr>
        <w:t xml:space="preserve"> was:</w:t>
      </w:r>
    </w:p>
    <w:p w:rsidR="00872F89" w:rsidRPr="00360D26" w:rsidRDefault="00582527" w:rsidP="00872F89">
      <w:pPr>
        <w:numPr>
          <w:ilvl w:val="0"/>
          <w:numId w:val="3"/>
        </w:numPr>
        <w:spacing w:before="120" w:line="320" w:lineRule="atLeast"/>
        <w:jc w:val="both"/>
        <w:rPr>
          <w:szCs w:val="20"/>
        </w:rPr>
      </w:pPr>
      <w:r w:rsidRPr="00D3193D">
        <w:rPr>
          <w:szCs w:val="20"/>
          <w:shd w:val="clear" w:color="auto" w:fill="FFFFFF" w:themeFill="background1"/>
        </w:rPr>
        <w:t>63.4–67.0</w:t>
      </w:r>
      <w:r w:rsidR="00872F89" w:rsidRPr="00D3193D">
        <w:rPr>
          <w:szCs w:val="20"/>
          <w:shd w:val="clear" w:color="auto" w:fill="FFFFFF" w:themeFill="background1"/>
        </w:rPr>
        <w:t xml:space="preserve"> per cent for male students, </w:t>
      </w:r>
      <w:r w:rsidRPr="00CA3C60">
        <w:rPr>
          <w:szCs w:val="20"/>
          <w:shd w:val="clear" w:color="auto" w:fill="FFFFFF" w:themeFill="background1"/>
        </w:rPr>
        <w:t>not significantly different to</w:t>
      </w:r>
      <w:r w:rsidRPr="00D3193D">
        <w:rPr>
          <w:szCs w:val="20"/>
          <w:shd w:val="clear" w:color="auto" w:fill="FFFFFF" w:themeFill="background1"/>
        </w:rPr>
        <w:t xml:space="preserve"> 62.7–66.3</w:t>
      </w:r>
      <w:r w:rsidR="00872F89" w:rsidRPr="00D3193D">
        <w:rPr>
          <w:szCs w:val="20"/>
          <w:shd w:val="clear" w:color="auto" w:fill="FFFFFF" w:themeFill="background1"/>
        </w:rPr>
        <w:t xml:space="preserve"> per cent for female</w:t>
      </w:r>
      <w:r w:rsidR="00872F89" w:rsidRPr="00360D26">
        <w:rPr>
          <w:szCs w:val="20"/>
        </w:rPr>
        <w:t xml:space="preserve"> students</w:t>
      </w:r>
    </w:p>
    <w:p w:rsidR="00872F89" w:rsidRPr="00360D26" w:rsidRDefault="00582527" w:rsidP="00872F89">
      <w:pPr>
        <w:numPr>
          <w:ilvl w:val="0"/>
          <w:numId w:val="3"/>
        </w:numPr>
        <w:spacing w:before="120" w:line="320" w:lineRule="atLeast"/>
        <w:jc w:val="both"/>
        <w:rPr>
          <w:szCs w:val="20"/>
        </w:rPr>
      </w:pPr>
      <w:r w:rsidRPr="00FA202A">
        <w:rPr>
          <w:szCs w:val="20"/>
          <w:shd w:val="clear" w:color="auto" w:fill="FFFFFF" w:themeFill="background1"/>
        </w:rPr>
        <w:t>29.6–3</w:t>
      </w:r>
      <w:r w:rsidR="00EC06F7" w:rsidRPr="00FA202A">
        <w:rPr>
          <w:szCs w:val="20"/>
          <w:shd w:val="clear" w:color="auto" w:fill="FFFFFF" w:themeFill="background1"/>
        </w:rPr>
        <w:t>6</w:t>
      </w:r>
      <w:r w:rsidRPr="00FA202A">
        <w:rPr>
          <w:szCs w:val="20"/>
          <w:shd w:val="clear" w:color="auto" w:fill="FFFFFF" w:themeFill="background1"/>
        </w:rPr>
        <w:t>.4</w:t>
      </w:r>
      <w:r w:rsidR="00872F89" w:rsidRPr="00FA202A">
        <w:rPr>
          <w:szCs w:val="20"/>
          <w:shd w:val="clear" w:color="auto" w:fill="FFFFFF" w:themeFill="background1"/>
        </w:rPr>
        <w:t xml:space="preserve"> per</w:t>
      </w:r>
      <w:r w:rsidR="00872F89" w:rsidRPr="00D3193D">
        <w:rPr>
          <w:szCs w:val="20"/>
          <w:shd w:val="clear" w:color="auto" w:fill="FFFFFF" w:themeFill="background1"/>
        </w:rPr>
        <w:t xml:space="preserve"> cent for Indigenous students, compared </w:t>
      </w:r>
      <w:r w:rsidRPr="00D3193D">
        <w:rPr>
          <w:szCs w:val="20"/>
          <w:shd w:val="clear" w:color="auto" w:fill="FFFFFF" w:themeFill="background1"/>
        </w:rPr>
        <w:t>to</w:t>
      </w:r>
      <w:r w:rsidR="00872F89" w:rsidRPr="00D3193D">
        <w:rPr>
          <w:szCs w:val="20"/>
          <w:shd w:val="clear" w:color="auto" w:fill="FFFFFF" w:themeFill="background1"/>
        </w:rPr>
        <w:t xml:space="preserve"> </w:t>
      </w:r>
      <w:r w:rsidRPr="00D3193D">
        <w:rPr>
          <w:szCs w:val="20"/>
          <w:shd w:val="clear" w:color="auto" w:fill="FFFFFF" w:themeFill="background1"/>
        </w:rPr>
        <w:t>64.6–67.4</w:t>
      </w:r>
      <w:r w:rsidR="00872F89" w:rsidRPr="00D3193D">
        <w:rPr>
          <w:szCs w:val="20"/>
          <w:shd w:val="clear" w:color="auto" w:fill="FFFFFF" w:themeFill="background1"/>
        </w:rPr>
        <w:t xml:space="preserve"> per cent for non-Indigenous</w:t>
      </w:r>
      <w:r w:rsidR="00872F89" w:rsidRPr="00360D26">
        <w:rPr>
          <w:szCs w:val="20"/>
        </w:rPr>
        <w:t xml:space="preserve"> students</w:t>
      </w:r>
    </w:p>
    <w:p w:rsidR="00872F89" w:rsidRPr="00360D26" w:rsidRDefault="00582527" w:rsidP="00872F89">
      <w:pPr>
        <w:numPr>
          <w:ilvl w:val="0"/>
          <w:numId w:val="3"/>
        </w:numPr>
        <w:spacing w:before="120" w:line="320" w:lineRule="atLeast"/>
        <w:jc w:val="both"/>
        <w:rPr>
          <w:szCs w:val="20"/>
        </w:rPr>
      </w:pPr>
      <w:r w:rsidRPr="00D3193D">
        <w:rPr>
          <w:szCs w:val="20"/>
          <w:shd w:val="clear" w:color="auto" w:fill="FFFFFF" w:themeFill="background1"/>
        </w:rPr>
        <w:t>32.7–63.5</w:t>
      </w:r>
      <w:r w:rsidR="00872F89" w:rsidRPr="00D3193D">
        <w:rPr>
          <w:szCs w:val="20"/>
          <w:shd w:val="clear" w:color="auto" w:fill="FFFFFF" w:themeFill="background1"/>
        </w:rPr>
        <w:t xml:space="preserve"> per cent</w:t>
      </w:r>
      <w:r w:rsidR="00872F89" w:rsidRPr="00360D26">
        <w:rPr>
          <w:szCs w:val="20"/>
        </w:rPr>
        <w:t xml:space="preserve"> for geographically remote students </w:t>
      </w:r>
    </w:p>
    <w:p w:rsidR="00872F89" w:rsidRPr="00360D26" w:rsidRDefault="00582527" w:rsidP="00872F89">
      <w:pPr>
        <w:numPr>
          <w:ilvl w:val="0"/>
          <w:numId w:val="3"/>
        </w:numPr>
        <w:spacing w:before="120" w:line="320" w:lineRule="atLeast"/>
        <w:jc w:val="both"/>
        <w:rPr>
          <w:szCs w:val="20"/>
        </w:rPr>
      </w:pPr>
      <w:r w:rsidRPr="00D3193D">
        <w:rPr>
          <w:szCs w:val="20"/>
          <w:shd w:val="clear" w:color="auto" w:fill="FFFFFF" w:themeFill="background1"/>
        </w:rPr>
        <w:t>45.0–49.6</w:t>
      </w:r>
      <w:r w:rsidR="00872F89" w:rsidRPr="00D3193D">
        <w:rPr>
          <w:szCs w:val="20"/>
          <w:shd w:val="clear" w:color="auto" w:fill="FFFFFF" w:themeFill="background1"/>
        </w:rPr>
        <w:t xml:space="preserve"> per</w:t>
      </w:r>
      <w:r w:rsidR="00872F89" w:rsidRPr="00360D26">
        <w:rPr>
          <w:szCs w:val="20"/>
        </w:rPr>
        <w:t xml:space="preserve"> cent for students from low socio</w:t>
      </w:r>
      <w:r w:rsidR="009131A4">
        <w:rPr>
          <w:szCs w:val="20"/>
        </w:rPr>
        <w:t>-</w:t>
      </w:r>
      <w:r w:rsidR="00872F89" w:rsidRPr="00360D26">
        <w:rPr>
          <w:szCs w:val="20"/>
        </w:rPr>
        <w:t>economic status families (table 4A.1</w:t>
      </w:r>
      <w:r w:rsidR="00872F89">
        <w:rPr>
          <w:szCs w:val="20"/>
        </w:rPr>
        <w:t>0</w:t>
      </w:r>
      <w:r w:rsidR="00E34421">
        <w:rPr>
          <w:szCs w:val="20"/>
        </w:rPr>
        <w:t>6</w:t>
      </w:r>
      <w:r w:rsidR="00872F89" w:rsidRPr="00360D26">
        <w:rPr>
          <w:szCs w:val="20"/>
        </w:rPr>
        <w:t>).</w:t>
      </w:r>
    </w:p>
    <w:p w:rsidR="00872F89" w:rsidRPr="00872F89" w:rsidRDefault="00872F89" w:rsidP="00872F89">
      <w:pPr>
        <w:spacing w:before="240" w:line="320" w:lineRule="atLeast"/>
        <w:jc w:val="both"/>
        <w:rPr>
          <w:szCs w:val="20"/>
        </w:rPr>
      </w:pPr>
      <w:r w:rsidRPr="00360D26">
        <w:rPr>
          <w:szCs w:val="20"/>
        </w:rPr>
        <w:lastRenderedPageBreak/>
        <w:t>These outcomes varied across jurisdictions. Data relating to outcomes for the 2006</w:t>
      </w:r>
      <w:r>
        <w:rPr>
          <w:szCs w:val="20"/>
        </w:rPr>
        <w:t>, 2009 and 2012</w:t>
      </w:r>
      <w:r w:rsidRPr="00360D26">
        <w:rPr>
          <w:szCs w:val="20"/>
        </w:rPr>
        <w:t xml:space="preserve"> PISA scien</w:t>
      </w:r>
      <w:r>
        <w:rPr>
          <w:szCs w:val="20"/>
        </w:rPr>
        <w:t>tific</w:t>
      </w:r>
      <w:r w:rsidRPr="00360D26">
        <w:rPr>
          <w:szCs w:val="20"/>
        </w:rPr>
        <w:t xml:space="preserve"> literacy survey by socio-economic status </w:t>
      </w:r>
      <w:r>
        <w:rPr>
          <w:szCs w:val="20"/>
        </w:rPr>
        <w:t>are in table</w:t>
      </w:r>
      <w:r w:rsidR="00241EB3">
        <w:rPr>
          <w:szCs w:val="20"/>
        </w:rPr>
        <w:t> </w:t>
      </w:r>
      <w:r>
        <w:rPr>
          <w:szCs w:val="20"/>
        </w:rPr>
        <w:t>4A.10</w:t>
      </w:r>
      <w:r w:rsidR="00E34421">
        <w:rPr>
          <w:szCs w:val="20"/>
        </w:rPr>
        <w:t>7</w:t>
      </w:r>
      <w:r w:rsidR="006F04A3">
        <w:rPr>
          <w:szCs w:val="20"/>
        </w:rPr>
        <w:t xml:space="preserve"> </w:t>
      </w:r>
      <w:r w:rsidR="006F04A3" w:rsidRPr="00262F21">
        <w:rPr>
          <w:szCs w:val="20"/>
        </w:rPr>
        <w:t xml:space="preserve">and for each achievement level for </w:t>
      </w:r>
      <w:r w:rsidR="006F04A3" w:rsidRPr="00D3193D">
        <w:rPr>
          <w:szCs w:val="20"/>
          <w:shd w:val="clear" w:color="auto" w:fill="FFFFFF" w:themeFill="background1"/>
        </w:rPr>
        <w:t>PISA 2012, including statistical significance of differences in mean scores are in ta</w:t>
      </w:r>
      <w:r w:rsidR="006F04A3" w:rsidRPr="00262F21">
        <w:rPr>
          <w:szCs w:val="20"/>
        </w:rPr>
        <w:t>ble 4A.</w:t>
      </w:r>
      <w:r w:rsidR="006F04A3">
        <w:rPr>
          <w:szCs w:val="20"/>
        </w:rPr>
        <w:t>108</w:t>
      </w:r>
      <w:r w:rsidRPr="00262F21">
        <w:rPr>
          <w:szCs w:val="20"/>
        </w:rPr>
        <w:t xml:space="preserve">. </w:t>
      </w:r>
      <w:r>
        <w:rPr>
          <w:szCs w:val="20"/>
        </w:rPr>
        <w:t>D</w:t>
      </w:r>
      <w:r w:rsidRPr="00360D26">
        <w:rPr>
          <w:szCs w:val="20"/>
        </w:rPr>
        <w:t xml:space="preserve">ata comparing outcomes </w:t>
      </w:r>
      <w:r w:rsidR="006F04A3" w:rsidRPr="00262F21">
        <w:rPr>
          <w:szCs w:val="20"/>
        </w:rPr>
        <w:t xml:space="preserve">for PISA surveys in 2006, 2009 and 2012 </w:t>
      </w:r>
      <w:r w:rsidRPr="00360D26">
        <w:rPr>
          <w:szCs w:val="20"/>
        </w:rPr>
        <w:t>for the scien</w:t>
      </w:r>
      <w:r>
        <w:rPr>
          <w:szCs w:val="20"/>
        </w:rPr>
        <w:t>tific</w:t>
      </w:r>
      <w:r w:rsidRPr="00360D26">
        <w:rPr>
          <w:szCs w:val="20"/>
        </w:rPr>
        <w:t xml:space="preserve"> literacy </w:t>
      </w:r>
      <w:r w:rsidRPr="00872F89">
        <w:rPr>
          <w:szCs w:val="20"/>
        </w:rPr>
        <w:t>domain are in tables 4A.10</w:t>
      </w:r>
      <w:r w:rsidR="00E34421">
        <w:rPr>
          <w:szCs w:val="20"/>
        </w:rPr>
        <w:t>5</w:t>
      </w:r>
      <w:r w:rsidRPr="00872F89">
        <w:rPr>
          <w:szCs w:val="20"/>
        </w:rPr>
        <w:t>–</w:t>
      </w:r>
      <w:r w:rsidRPr="00D3193D">
        <w:rPr>
          <w:szCs w:val="20"/>
          <w:shd w:val="clear" w:color="auto" w:fill="FFFFFF" w:themeFill="background1"/>
        </w:rPr>
        <w:t>10</w:t>
      </w:r>
      <w:r w:rsidR="00E34421" w:rsidRPr="00D3193D">
        <w:rPr>
          <w:szCs w:val="20"/>
          <w:shd w:val="clear" w:color="auto" w:fill="FFFFFF" w:themeFill="background1"/>
        </w:rPr>
        <w:t>7</w:t>
      </w:r>
      <w:r w:rsidR="006F04A3" w:rsidRPr="00D3193D">
        <w:rPr>
          <w:szCs w:val="20"/>
          <w:shd w:val="clear" w:color="auto" w:fill="FFFFFF" w:themeFill="background1"/>
        </w:rPr>
        <w:t xml:space="preserve"> and significance of differences in mean scores between PISA 2006 and PISA 2012 are in table 4A.109</w:t>
      </w:r>
      <w:r w:rsidRPr="00D3193D">
        <w:rPr>
          <w:szCs w:val="20"/>
          <w:shd w:val="clear" w:color="auto" w:fill="FFFFFF" w:themeFill="background1"/>
        </w:rPr>
        <w:t>.</w:t>
      </w:r>
    </w:p>
    <w:p w:rsidR="00A06D34" w:rsidRPr="003B4371" w:rsidRDefault="00A06D34" w:rsidP="00A06D34">
      <w:pPr>
        <w:keepNext/>
        <w:spacing w:before="480" w:line="320" w:lineRule="exact"/>
        <w:outlineLvl w:val="4"/>
        <w:rPr>
          <w:b/>
          <w:i/>
        </w:rPr>
      </w:pPr>
      <w:r w:rsidRPr="003B4371">
        <w:rPr>
          <w:b/>
          <w:i/>
        </w:rPr>
        <w:t>PIRLS assessment</w:t>
      </w:r>
    </w:p>
    <w:p w:rsidR="00A06D34" w:rsidRPr="003B4371" w:rsidRDefault="00A06D34" w:rsidP="00A06D34">
      <w:pPr>
        <w:shd w:val="clear" w:color="auto" w:fill="FFFFFF" w:themeFill="background1"/>
        <w:spacing w:before="240" w:line="320" w:lineRule="atLeast"/>
        <w:jc w:val="both"/>
        <w:rPr>
          <w:szCs w:val="20"/>
        </w:rPr>
      </w:pPr>
      <w:r w:rsidRPr="003B4371">
        <w:rPr>
          <w:szCs w:val="20"/>
        </w:rPr>
        <w:t>The Progress in International Reading Literacy Study (PIRLS) assessments are undertaken e</w:t>
      </w:r>
      <w:r w:rsidR="00B503CF">
        <w:rPr>
          <w:szCs w:val="20"/>
        </w:rPr>
        <w:t>very</w:t>
      </w:r>
      <w:r w:rsidRPr="003B4371">
        <w:rPr>
          <w:szCs w:val="20"/>
        </w:rPr>
        <w:t xml:space="preserve"> five years (box 4.</w:t>
      </w:r>
      <w:r w:rsidR="00CD37BC" w:rsidRPr="003B4371">
        <w:rPr>
          <w:szCs w:val="20"/>
        </w:rPr>
        <w:t>11</w:t>
      </w:r>
      <w:r w:rsidRPr="003B4371">
        <w:rPr>
          <w:szCs w:val="20"/>
        </w:rPr>
        <w:t xml:space="preserve">). </w:t>
      </w:r>
    </w:p>
    <w:p w:rsidR="00A06D34" w:rsidRPr="003B4371" w:rsidRDefault="00A06D34" w:rsidP="00A06D34">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B4371" w:rsidRPr="003B4371" w:rsidTr="00A06D34">
        <w:tc>
          <w:tcPr>
            <w:tcW w:w="8771" w:type="dxa"/>
            <w:tcBorders>
              <w:top w:val="single" w:sz="6" w:space="0" w:color="auto"/>
              <w:bottom w:val="nil"/>
            </w:tcBorders>
          </w:tcPr>
          <w:p w:rsidR="00A06D34" w:rsidRPr="003B4371" w:rsidRDefault="00A06D34" w:rsidP="006B35ED">
            <w:pPr>
              <w:pStyle w:val="BoxTitle"/>
            </w:pPr>
            <w:r w:rsidRPr="00B64D68">
              <w:rPr>
                <w:b w:val="0"/>
              </w:rPr>
              <w:t>Box 4.11</w:t>
            </w:r>
            <w:r w:rsidRPr="003B4371">
              <w:tab/>
              <w:t>Progress in International Reading Literacy Study</w:t>
            </w:r>
          </w:p>
        </w:tc>
      </w:tr>
      <w:tr w:rsidR="003B4371" w:rsidRPr="003B4371" w:rsidTr="00A06D34">
        <w:trPr>
          <w:cantSplit/>
        </w:trPr>
        <w:tc>
          <w:tcPr>
            <w:tcW w:w="8771" w:type="dxa"/>
            <w:tcBorders>
              <w:top w:val="nil"/>
              <w:left w:val="single" w:sz="6" w:space="0" w:color="auto"/>
              <w:bottom w:val="nil"/>
              <w:right w:val="single" w:sz="6" w:space="0" w:color="auto"/>
            </w:tcBorders>
          </w:tcPr>
          <w:p w:rsidR="00A06D34" w:rsidRPr="003B4371" w:rsidRDefault="00A06D34" w:rsidP="00A06D34">
            <w:pPr>
              <w:keepNext/>
              <w:spacing w:before="120" w:line="280" w:lineRule="atLeast"/>
              <w:jc w:val="both"/>
              <w:rPr>
                <w:rFonts w:ascii="Arial" w:hAnsi="Arial"/>
                <w:sz w:val="22"/>
                <w:szCs w:val="20"/>
              </w:rPr>
            </w:pPr>
            <w:r w:rsidRPr="003B4371">
              <w:rPr>
                <w:rFonts w:ascii="Arial" w:hAnsi="Arial"/>
                <w:sz w:val="22"/>
                <w:szCs w:val="20"/>
              </w:rPr>
              <w:t xml:space="preserve">PIRLS provides learning outcomes data for year 4 students in </w:t>
            </w:r>
            <w:r w:rsidRPr="00D3193D">
              <w:rPr>
                <w:rFonts w:ascii="Arial" w:hAnsi="Arial"/>
                <w:sz w:val="22"/>
                <w:szCs w:val="20"/>
                <w:shd w:val="clear" w:color="auto" w:fill="FFFFFF" w:themeFill="background1"/>
              </w:rPr>
              <w:t>reading</w:t>
            </w:r>
            <w:r w:rsidR="00B503CF" w:rsidRPr="00D3193D">
              <w:rPr>
                <w:rFonts w:ascii="Arial" w:hAnsi="Arial"/>
                <w:sz w:val="22"/>
                <w:szCs w:val="20"/>
                <w:shd w:val="clear" w:color="auto" w:fill="FFFFFF" w:themeFill="background1"/>
              </w:rPr>
              <w:t xml:space="preserve"> literacy</w:t>
            </w:r>
            <w:r w:rsidR="00D55908" w:rsidRPr="00D3193D">
              <w:rPr>
                <w:rFonts w:ascii="Arial" w:hAnsi="Arial"/>
                <w:sz w:val="22"/>
                <w:szCs w:val="20"/>
                <w:shd w:val="clear" w:color="auto" w:fill="FFFFFF" w:themeFill="background1"/>
              </w:rPr>
              <w:t xml:space="preserve"> performance</w:t>
            </w:r>
            <w:r w:rsidRPr="00D3193D">
              <w:rPr>
                <w:rFonts w:ascii="Arial" w:hAnsi="Arial"/>
                <w:sz w:val="22"/>
                <w:szCs w:val="20"/>
                <w:shd w:val="clear" w:color="auto" w:fill="FFFFFF" w:themeFill="background1"/>
              </w:rPr>
              <w:t>. This international test is conducted e</w:t>
            </w:r>
            <w:r w:rsidR="00B503CF" w:rsidRPr="00D3193D">
              <w:rPr>
                <w:rFonts w:ascii="Arial" w:hAnsi="Arial"/>
                <w:sz w:val="22"/>
                <w:szCs w:val="20"/>
                <w:shd w:val="clear" w:color="auto" w:fill="FFFFFF" w:themeFill="background1"/>
              </w:rPr>
              <w:t>very</w:t>
            </w:r>
            <w:r w:rsidRPr="00D3193D">
              <w:rPr>
                <w:rFonts w:ascii="Arial" w:hAnsi="Arial"/>
                <w:sz w:val="22"/>
                <w:szCs w:val="20"/>
                <w:shd w:val="clear" w:color="auto" w:fill="FFFFFF" w:themeFill="background1"/>
              </w:rPr>
              <w:t xml:space="preserve"> five year</w:t>
            </w:r>
            <w:r w:rsidRPr="003B4371">
              <w:rPr>
                <w:rFonts w:ascii="Arial" w:hAnsi="Arial"/>
                <w:sz w:val="22"/>
                <w:szCs w:val="20"/>
              </w:rPr>
              <w:t>s but was first undertaken by students in Australian schools in 2011</w:t>
            </w:r>
            <w:r w:rsidR="003B4371">
              <w:rPr>
                <w:rFonts w:ascii="Arial" w:hAnsi="Arial"/>
                <w:sz w:val="22"/>
                <w:szCs w:val="20"/>
              </w:rPr>
              <w:t>.</w:t>
            </w:r>
            <w:r w:rsidR="00B74245" w:rsidRPr="003B4371">
              <w:rPr>
                <w:rFonts w:ascii="Arial" w:hAnsi="Arial"/>
                <w:sz w:val="22"/>
                <w:szCs w:val="20"/>
              </w:rPr>
              <w:t xml:space="preserve"> S</w:t>
            </w:r>
            <w:r w:rsidRPr="003B4371">
              <w:rPr>
                <w:rFonts w:ascii="Arial" w:hAnsi="Arial"/>
                <w:sz w:val="22"/>
                <w:szCs w:val="20"/>
              </w:rPr>
              <w:t xml:space="preserve">tudents from </w:t>
            </w:r>
            <w:r w:rsidR="00702F3D" w:rsidRPr="003B4371">
              <w:rPr>
                <w:rFonts w:ascii="Arial" w:hAnsi="Arial"/>
                <w:sz w:val="22"/>
                <w:szCs w:val="20"/>
              </w:rPr>
              <w:t>45 countries or economies</w:t>
            </w:r>
            <w:r w:rsidRPr="003B4371">
              <w:rPr>
                <w:rFonts w:ascii="Arial" w:hAnsi="Arial"/>
                <w:sz w:val="22"/>
                <w:szCs w:val="20"/>
              </w:rPr>
              <w:t xml:space="preserve"> participated in the </w:t>
            </w:r>
            <w:r w:rsidR="00B74245" w:rsidRPr="003B4371">
              <w:rPr>
                <w:rFonts w:ascii="Arial" w:hAnsi="Arial"/>
                <w:sz w:val="22"/>
                <w:szCs w:val="20"/>
              </w:rPr>
              <w:t xml:space="preserve">2011 </w:t>
            </w:r>
            <w:r w:rsidRPr="003B4371">
              <w:rPr>
                <w:rFonts w:ascii="Arial" w:hAnsi="Arial"/>
                <w:sz w:val="22"/>
                <w:szCs w:val="20"/>
              </w:rPr>
              <w:t>PIRLS</w:t>
            </w:r>
            <w:r w:rsidR="003B4371">
              <w:rPr>
                <w:rFonts w:ascii="Arial" w:hAnsi="Arial"/>
                <w:sz w:val="22"/>
                <w:szCs w:val="20"/>
              </w:rPr>
              <w:t xml:space="preserve"> assessment, including over</w:t>
            </w:r>
            <w:r w:rsidRPr="003B4371">
              <w:rPr>
                <w:rFonts w:ascii="Arial" w:hAnsi="Arial"/>
                <w:sz w:val="22"/>
                <w:szCs w:val="20"/>
              </w:rPr>
              <w:t xml:space="preserve"> 6</w:t>
            </w:r>
            <w:r w:rsidR="00B74245" w:rsidRPr="003B4371">
              <w:rPr>
                <w:rFonts w:ascii="Arial" w:hAnsi="Arial"/>
                <w:sz w:val="22"/>
                <w:szCs w:val="20"/>
              </w:rPr>
              <w:t>000</w:t>
            </w:r>
            <w:r w:rsidRPr="003B4371">
              <w:rPr>
                <w:rFonts w:ascii="Arial" w:hAnsi="Arial"/>
                <w:sz w:val="22"/>
                <w:szCs w:val="20"/>
              </w:rPr>
              <w:t xml:space="preserve"> </w:t>
            </w:r>
            <w:r w:rsidR="00053132" w:rsidRPr="003B4371">
              <w:rPr>
                <w:rFonts w:ascii="Arial" w:hAnsi="Arial"/>
                <w:sz w:val="22"/>
                <w:szCs w:val="20"/>
              </w:rPr>
              <w:t xml:space="preserve">Australian </w:t>
            </w:r>
            <w:r w:rsidRPr="003B4371">
              <w:rPr>
                <w:rFonts w:ascii="Arial" w:hAnsi="Arial"/>
                <w:sz w:val="22"/>
                <w:szCs w:val="20"/>
              </w:rPr>
              <w:t>students from 280</w:t>
            </w:r>
            <w:r w:rsidR="00C35FD6">
              <w:rPr>
                <w:rFonts w:ascii="Arial" w:hAnsi="Arial"/>
                <w:sz w:val="22"/>
                <w:szCs w:val="20"/>
              </w:rPr>
              <w:t> </w:t>
            </w:r>
            <w:r w:rsidRPr="003B4371">
              <w:rPr>
                <w:rFonts w:ascii="Arial" w:hAnsi="Arial"/>
                <w:sz w:val="22"/>
                <w:szCs w:val="20"/>
              </w:rPr>
              <w:t xml:space="preserve">schools. </w:t>
            </w:r>
          </w:p>
          <w:p w:rsidR="00B74245" w:rsidRPr="003B4371" w:rsidRDefault="00B74245" w:rsidP="00B74245">
            <w:pPr>
              <w:keepNext/>
              <w:spacing w:before="120" w:line="280" w:lineRule="atLeast"/>
              <w:jc w:val="both"/>
              <w:rPr>
                <w:rFonts w:ascii="Arial" w:hAnsi="Arial"/>
                <w:sz w:val="22"/>
                <w:szCs w:val="20"/>
              </w:rPr>
            </w:pPr>
            <w:r w:rsidRPr="003B4371">
              <w:rPr>
                <w:rFonts w:ascii="Arial" w:hAnsi="Arial"/>
                <w:sz w:val="22"/>
                <w:szCs w:val="20"/>
              </w:rPr>
              <w:t xml:space="preserve">PIRLS uses two organising dimensions for the assessment, referred to as the </w:t>
            </w:r>
            <w:r w:rsidRPr="003B4371">
              <w:rPr>
                <w:rFonts w:ascii="Arial" w:hAnsi="Arial"/>
                <w:i/>
                <w:iCs/>
                <w:sz w:val="22"/>
                <w:szCs w:val="20"/>
              </w:rPr>
              <w:t xml:space="preserve">purposes for reading </w:t>
            </w:r>
            <w:r w:rsidRPr="003B4371">
              <w:rPr>
                <w:rFonts w:ascii="Arial" w:hAnsi="Arial"/>
                <w:sz w:val="22"/>
                <w:szCs w:val="20"/>
              </w:rPr>
              <w:t xml:space="preserve">and the </w:t>
            </w:r>
            <w:r w:rsidRPr="003B4371">
              <w:rPr>
                <w:rFonts w:ascii="Arial" w:hAnsi="Arial"/>
                <w:i/>
                <w:iCs/>
                <w:sz w:val="22"/>
                <w:szCs w:val="20"/>
              </w:rPr>
              <w:t xml:space="preserve">reading processes. </w:t>
            </w:r>
            <w:r w:rsidRPr="003B4371">
              <w:rPr>
                <w:rFonts w:ascii="Arial" w:hAnsi="Arial"/>
                <w:sz w:val="22"/>
                <w:szCs w:val="20"/>
              </w:rPr>
              <w:t xml:space="preserve">Each of the reading processes </w:t>
            </w:r>
            <w:r w:rsidR="00C35FD6">
              <w:rPr>
                <w:rFonts w:ascii="Arial" w:hAnsi="Arial"/>
                <w:sz w:val="22"/>
                <w:szCs w:val="20"/>
              </w:rPr>
              <w:t>—</w:t>
            </w:r>
            <w:r w:rsidRPr="003B4371">
              <w:rPr>
                <w:rFonts w:ascii="Arial" w:hAnsi="Arial"/>
                <w:sz w:val="22"/>
                <w:szCs w:val="20"/>
              </w:rPr>
              <w:t xml:space="preserve"> focus on and retrieve explicitly stated information, make straightforward inferences, interpret and integrate ideas and information and examine and evaluate content, language and textual elements </w:t>
            </w:r>
            <w:r w:rsidR="00C35FD6">
              <w:rPr>
                <w:rFonts w:ascii="Arial" w:hAnsi="Arial"/>
                <w:sz w:val="22"/>
                <w:szCs w:val="20"/>
              </w:rPr>
              <w:t>—</w:t>
            </w:r>
            <w:r w:rsidRPr="003B4371">
              <w:rPr>
                <w:rFonts w:ascii="Arial" w:hAnsi="Arial"/>
                <w:sz w:val="22"/>
                <w:szCs w:val="20"/>
              </w:rPr>
              <w:t xml:space="preserve"> is assessed within each purpose for reading (reading for literacy experience and reading to gain information). The PIRLS 2011 assessment was based on 10 different texts, five for the literary purpose and five for the informational purpose.</w:t>
            </w:r>
          </w:p>
          <w:p w:rsidR="00A06D34" w:rsidRPr="003B4371" w:rsidRDefault="00B74245" w:rsidP="00702F3D">
            <w:pPr>
              <w:keepNext/>
              <w:spacing w:before="120" w:line="280" w:lineRule="atLeast"/>
              <w:jc w:val="both"/>
              <w:rPr>
                <w:rFonts w:ascii="Arial" w:hAnsi="Arial"/>
                <w:sz w:val="22"/>
                <w:szCs w:val="20"/>
              </w:rPr>
            </w:pPr>
            <w:r w:rsidRPr="003B4371">
              <w:rPr>
                <w:rFonts w:ascii="Arial" w:hAnsi="Arial"/>
                <w:sz w:val="22"/>
                <w:szCs w:val="20"/>
              </w:rPr>
              <w:t xml:space="preserve">PIRLS is assessed on a different basis to NAPLAN testing and its results are not comparable to NAPLAN results. </w:t>
            </w:r>
            <w:r w:rsidRPr="003B4371">
              <w:rPr>
                <w:rStyle w:val="BoxChar"/>
              </w:rPr>
              <w:t xml:space="preserve">Whereas NAPLAN measures against a national minimum standard, PIRLS measures against a series of achievement levels. PIRLS may provide additional information on reading that is </w:t>
            </w:r>
            <w:r w:rsidRPr="003B4371">
              <w:rPr>
                <w:rFonts w:ascii="Arial" w:hAnsi="Arial"/>
                <w:sz w:val="22"/>
                <w:szCs w:val="20"/>
              </w:rPr>
              <w:t>not available in NA</w:t>
            </w:r>
            <w:r w:rsidR="00E55771">
              <w:rPr>
                <w:rFonts w:ascii="Arial" w:hAnsi="Arial"/>
                <w:sz w:val="22"/>
                <w:szCs w:val="20"/>
              </w:rPr>
              <w:t>PLAN.</w:t>
            </w:r>
          </w:p>
        </w:tc>
      </w:tr>
      <w:tr w:rsidR="003B4371" w:rsidRPr="003B4371" w:rsidTr="00A06D34">
        <w:trPr>
          <w:cantSplit/>
        </w:trPr>
        <w:tc>
          <w:tcPr>
            <w:tcW w:w="8771" w:type="dxa"/>
            <w:tcBorders>
              <w:top w:val="nil"/>
              <w:left w:val="single" w:sz="6" w:space="0" w:color="auto"/>
              <w:bottom w:val="nil"/>
              <w:right w:val="single" w:sz="6" w:space="0" w:color="auto"/>
            </w:tcBorders>
          </w:tcPr>
          <w:p w:rsidR="00A06D34" w:rsidRPr="003B4371" w:rsidRDefault="00A06D34" w:rsidP="00EC06F7">
            <w:pPr>
              <w:keepLines/>
              <w:spacing w:before="180" w:line="220" w:lineRule="exact"/>
              <w:jc w:val="both"/>
              <w:rPr>
                <w:rFonts w:ascii="Arial" w:hAnsi="Arial"/>
                <w:sz w:val="18"/>
                <w:szCs w:val="20"/>
              </w:rPr>
            </w:pPr>
            <w:r w:rsidRPr="003B4371">
              <w:rPr>
                <w:rFonts w:ascii="Arial" w:hAnsi="Arial"/>
                <w:i/>
                <w:sz w:val="18"/>
                <w:szCs w:val="20"/>
              </w:rPr>
              <w:t>Source</w:t>
            </w:r>
            <w:r w:rsidRPr="003B4371">
              <w:rPr>
                <w:rFonts w:ascii="Arial" w:hAnsi="Arial"/>
                <w:sz w:val="18"/>
                <w:szCs w:val="20"/>
              </w:rPr>
              <w:t>: Australian Council for Educational Research (ACER) (201</w:t>
            </w:r>
            <w:r w:rsidR="00CD37BC" w:rsidRPr="003B4371">
              <w:rPr>
                <w:rFonts w:ascii="Arial" w:hAnsi="Arial"/>
                <w:sz w:val="18"/>
                <w:szCs w:val="20"/>
              </w:rPr>
              <w:t>2</w:t>
            </w:r>
            <w:r w:rsidR="00EC06F7">
              <w:rPr>
                <w:rFonts w:ascii="Arial" w:hAnsi="Arial"/>
                <w:sz w:val="18"/>
                <w:szCs w:val="20"/>
              </w:rPr>
              <w:t>b</w:t>
            </w:r>
            <w:r w:rsidRPr="003B4371">
              <w:rPr>
                <w:rFonts w:ascii="Arial" w:hAnsi="Arial"/>
                <w:sz w:val="18"/>
                <w:szCs w:val="20"/>
              </w:rPr>
              <w:t>)</w:t>
            </w:r>
          </w:p>
        </w:tc>
      </w:tr>
      <w:tr w:rsidR="003B4371" w:rsidRPr="003B4371" w:rsidTr="00A06D34">
        <w:trPr>
          <w:cantSplit/>
        </w:trPr>
        <w:tc>
          <w:tcPr>
            <w:tcW w:w="8771" w:type="dxa"/>
            <w:tcBorders>
              <w:top w:val="nil"/>
              <w:left w:val="single" w:sz="6" w:space="0" w:color="auto"/>
              <w:bottom w:val="single" w:sz="6" w:space="0" w:color="auto"/>
              <w:right w:val="single" w:sz="6" w:space="0" w:color="auto"/>
            </w:tcBorders>
          </w:tcPr>
          <w:p w:rsidR="00A06D34" w:rsidRPr="003B4371" w:rsidRDefault="00A06D34" w:rsidP="00A06D34">
            <w:pPr>
              <w:keepNext/>
              <w:spacing w:line="120" w:lineRule="exact"/>
              <w:jc w:val="both"/>
              <w:rPr>
                <w:rFonts w:ascii="Arial" w:hAnsi="Arial"/>
                <w:sz w:val="22"/>
                <w:szCs w:val="20"/>
              </w:rPr>
            </w:pPr>
          </w:p>
        </w:tc>
      </w:tr>
      <w:tr w:rsidR="003B4371" w:rsidRPr="003B4371" w:rsidTr="00A06D34">
        <w:tc>
          <w:tcPr>
            <w:tcW w:w="8771" w:type="dxa"/>
            <w:tcBorders>
              <w:top w:val="nil"/>
              <w:left w:val="nil"/>
              <w:bottom w:val="nil"/>
              <w:right w:val="nil"/>
            </w:tcBorders>
          </w:tcPr>
          <w:p w:rsidR="00A06D34" w:rsidRPr="003B4371" w:rsidRDefault="00A06D34" w:rsidP="00A06D34">
            <w:pPr>
              <w:spacing w:before="60" w:after="60" w:line="80" w:lineRule="exact"/>
              <w:jc w:val="both"/>
              <w:rPr>
                <w:rFonts w:ascii="Arial" w:hAnsi="Arial"/>
                <w:b/>
                <w:sz w:val="14"/>
                <w:szCs w:val="20"/>
              </w:rPr>
            </w:pPr>
          </w:p>
        </w:tc>
      </w:tr>
    </w:tbl>
    <w:p w:rsidR="00702F3D" w:rsidRDefault="00053132" w:rsidP="00702F3D">
      <w:pPr>
        <w:shd w:val="clear" w:color="auto" w:fill="FFFFFF" w:themeFill="background1"/>
        <w:spacing w:before="240" w:line="320" w:lineRule="atLeast"/>
        <w:jc w:val="both"/>
        <w:rPr>
          <w:szCs w:val="20"/>
        </w:rPr>
      </w:pPr>
      <w:r w:rsidRPr="003B4371">
        <w:rPr>
          <w:szCs w:val="20"/>
        </w:rPr>
        <w:t xml:space="preserve">In PIRLS 2011 the proportion of tested Australian year </w:t>
      </w:r>
      <w:r w:rsidR="00360D26">
        <w:rPr>
          <w:szCs w:val="20"/>
        </w:rPr>
        <w:t>4</w:t>
      </w:r>
      <w:r w:rsidRPr="003B4371">
        <w:rPr>
          <w:szCs w:val="20"/>
        </w:rPr>
        <w:t xml:space="preserve"> students who achieved at or above the intermediate international benchmark (a score of 475) was </w:t>
      </w:r>
      <w:r w:rsidR="00CE1968">
        <w:rPr>
          <w:szCs w:val="20"/>
        </w:rPr>
        <w:br/>
        <w:t xml:space="preserve">73.6–77.6 </w:t>
      </w:r>
      <w:r w:rsidRPr="003B4371">
        <w:rPr>
          <w:szCs w:val="20"/>
        </w:rPr>
        <w:t>per cent</w:t>
      </w:r>
      <w:r w:rsidR="00CD37BC" w:rsidRPr="003B4371">
        <w:rPr>
          <w:szCs w:val="20"/>
        </w:rPr>
        <w:t xml:space="preserve"> (figure 4.</w:t>
      </w:r>
      <w:r w:rsidR="000C7D44">
        <w:rPr>
          <w:szCs w:val="20"/>
        </w:rPr>
        <w:t>5</w:t>
      </w:r>
      <w:r w:rsidR="00F230E8">
        <w:rPr>
          <w:szCs w:val="20"/>
        </w:rPr>
        <w:t>1</w:t>
      </w:r>
      <w:r w:rsidR="00CD37BC" w:rsidRPr="003B4371">
        <w:rPr>
          <w:szCs w:val="20"/>
        </w:rPr>
        <w:t>)</w:t>
      </w:r>
      <w:r w:rsidR="00702F3D" w:rsidRPr="003B4371">
        <w:rPr>
          <w:szCs w:val="20"/>
        </w:rPr>
        <w:t xml:space="preserve">. This was a lower proportion than 26 other participating countries or economies. </w:t>
      </w:r>
      <w:r w:rsidR="00727C58">
        <w:rPr>
          <w:szCs w:val="20"/>
        </w:rPr>
        <w:t xml:space="preserve">Australian students achieved </w:t>
      </w:r>
      <w:r w:rsidR="00702F3D" w:rsidRPr="003B4371">
        <w:rPr>
          <w:szCs w:val="20"/>
        </w:rPr>
        <w:t>a</w:t>
      </w:r>
      <w:r w:rsidR="00E55771">
        <w:rPr>
          <w:szCs w:val="20"/>
        </w:rPr>
        <w:t>n a</w:t>
      </w:r>
      <w:r w:rsidR="00702F3D" w:rsidRPr="003B4371">
        <w:rPr>
          <w:szCs w:val="20"/>
        </w:rPr>
        <w:t>verage reading score of 527 points</w:t>
      </w:r>
      <w:r w:rsidR="00727C58">
        <w:rPr>
          <w:szCs w:val="20"/>
        </w:rPr>
        <w:t xml:space="preserve"> (table 4A.1</w:t>
      </w:r>
      <w:r w:rsidR="00262F21">
        <w:rPr>
          <w:szCs w:val="20"/>
        </w:rPr>
        <w:t>1</w:t>
      </w:r>
      <w:r w:rsidR="00EC1488">
        <w:rPr>
          <w:szCs w:val="20"/>
        </w:rPr>
        <w:t>6</w:t>
      </w:r>
      <w:r w:rsidR="00727C58">
        <w:rPr>
          <w:szCs w:val="20"/>
        </w:rPr>
        <w:t>), which was</w:t>
      </w:r>
      <w:r w:rsidR="00702F3D" w:rsidRPr="003B4371">
        <w:rPr>
          <w:szCs w:val="20"/>
        </w:rPr>
        <w:t xml:space="preserve"> lower than </w:t>
      </w:r>
      <w:r w:rsidR="00727C58">
        <w:rPr>
          <w:szCs w:val="20"/>
        </w:rPr>
        <w:t xml:space="preserve">the average reading score of </w:t>
      </w:r>
      <w:r w:rsidR="00702F3D" w:rsidRPr="003B4371">
        <w:rPr>
          <w:szCs w:val="20"/>
        </w:rPr>
        <w:t>21 other participating countries or economies.</w:t>
      </w:r>
    </w:p>
    <w:p w:rsidR="00556909" w:rsidRPr="003B4371" w:rsidRDefault="00556909" w:rsidP="00702F3D">
      <w:pPr>
        <w:shd w:val="clear" w:color="auto" w:fill="FFFFFF" w:themeFill="background1"/>
        <w:spacing w:before="240" w:line="320" w:lineRule="atLeast"/>
        <w:jc w:val="both"/>
        <w:rPr>
          <w:szCs w:val="20"/>
        </w:rPr>
      </w:pPr>
      <w:r>
        <w:rPr>
          <w:szCs w:val="20"/>
        </w:rPr>
        <w:lastRenderedPageBreak/>
        <w:t xml:space="preserve">National proportions of year </w:t>
      </w:r>
      <w:r w:rsidR="00360D26">
        <w:rPr>
          <w:szCs w:val="20"/>
        </w:rPr>
        <w:t>4</w:t>
      </w:r>
      <w:r>
        <w:rPr>
          <w:szCs w:val="20"/>
        </w:rPr>
        <w:t xml:space="preserve"> students achieving at or above the intermediate international benchmark by equity group, and the mean scores for these equity groups, are included in table 4A.1</w:t>
      </w:r>
      <w:r w:rsidR="00262F21">
        <w:rPr>
          <w:szCs w:val="20"/>
        </w:rPr>
        <w:t>1</w:t>
      </w:r>
      <w:r w:rsidR="00EC1488">
        <w:rPr>
          <w:szCs w:val="20"/>
        </w:rPr>
        <w:t>7</w:t>
      </w:r>
      <w:r>
        <w:rPr>
          <w:szCs w:val="20"/>
        </w:rPr>
        <w:t>.</w:t>
      </w:r>
    </w:p>
    <w:p w:rsidR="002B248C" w:rsidRDefault="002B248C">
      <w:pPr>
        <w:pStyle w:val="FigureTitle"/>
      </w:pPr>
      <w:r w:rsidRPr="00B64D68">
        <w:rPr>
          <w:b w:val="0"/>
        </w:rPr>
        <w:t>Figure 4.</w:t>
      </w:r>
      <w:r w:rsidR="00EC06F7" w:rsidRPr="00B64D68">
        <w:rPr>
          <w:b w:val="0"/>
        </w:rPr>
        <w:t>51</w:t>
      </w:r>
      <w:r w:rsidRPr="006B35ED">
        <w:tab/>
      </w:r>
      <w:r w:rsidR="00262F21" w:rsidRPr="006B35ED">
        <w:t>Proportion of year 4 students at or above the intermediate international benchmark in reading, PIRLS, 2011</w:t>
      </w:r>
      <w:r w:rsidR="00262F21" w:rsidRPr="0083461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B248C">
        <w:tc>
          <w:tcPr>
            <w:tcW w:w="8777" w:type="dxa"/>
          </w:tcPr>
          <w:p w:rsidR="002B248C" w:rsidRDefault="008B34BD">
            <w:pPr>
              <w:pStyle w:val="Figure"/>
            </w:pPr>
            <w:r>
              <w:rPr>
                <w:noProof/>
              </w:rPr>
              <w:drawing>
                <wp:inline distT="0" distB="0" distL="0" distR="0">
                  <wp:extent cx="5391150" cy="2686050"/>
                  <wp:effectExtent l="0" t="0" r="0" b="0"/>
                  <wp:docPr id="52" name="Picture 52" descr="Figure 4.51 Proportion of year 4 students at or above the intermediate international benchmark in reading, PIRLS,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262F21" w:rsidRPr="003B4371" w:rsidRDefault="00262F21" w:rsidP="00262F21">
      <w:pPr>
        <w:pStyle w:val="Note"/>
      </w:pPr>
      <w:r w:rsidRPr="003B4371">
        <w:rPr>
          <w:rStyle w:val="NoteLabel"/>
        </w:rPr>
        <w:t>a</w:t>
      </w:r>
      <w:r w:rsidRPr="003B4371">
        <w:t xml:space="preserve"> </w:t>
      </w:r>
      <w:r>
        <w:t xml:space="preserve">The intermediate international benchmark is set at a score of 475 points. </w:t>
      </w:r>
    </w:p>
    <w:p w:rsidR="00262F21" w:rsidRPr="003B4371" w:rsidRDefault="00262F21" w:rsidP="00262F21">
      <w:pPr>
        <w:pStyle w:val="Source"/>
      </w:pPr>
      <w:r w:rsidRPr="003B4371">
        <w:rPr>
          <w:i/>
        </w:rPr>
        <w:t>Source</w:t>
      </w:r>
      <w:r w:rsidRPr="003B4371">
        <w:t xml:space="preserve">: </w:t>
      </w:r>
      <w:r w:rsidRPr="00CE1968">
        <w:t>ACER (unpublished) Progress in International</w:t>
      </w:r>
      <w:r>
        <w:t xml:space="preserve"> Reading Literacy Study (PIRLS); table 4A.1</w:t>
      </w:r>
      <w:r w:rsidR="00E55771">
        <w:t>1</w:t>
      </w:r>
      <w:r w:rsidR="00EC1488">
        <w:t>6</w:t>
      </w:r>
      <w:r>
        <w:t>.</w:t>
      </w:r>
    </w:p>
    <w:p w:rsidR="00360D26" w:rsidRPr="005A122F" w:rsidRDefault="00360D26" w:rsidP="00360D26">
      <w:pPr>
        <w:keepNext/>
        <w:shd w:val="clear" w:color="auto" w:fill="FFFFFF" w:themeFill="background1"/>
        <w:spacing w:before="480" w:line="320" w:lineRule="exact"/>
        <w:outlineLvl w:val="4"/>
        <w:rPr>
          <w:b/>
          <w:i/>
        </w:rPr>
      </w:pPr>
      <w:r w:rsidRPr="005A122F">
        <w:rPr>
          <w:b/>
          <w:i/>
        </w:rPr>
        <w:t>TIMSS assessment</w:t>
      </w:r>
    </w:p>
    <w:p w:rsidR="00360D26" w:rsidRPr="00644F57" w:rsidRDefault="00360D26" w:rsidP="00644F57">
      <w:pPr>
        <w:pStyle w:val="BodyText"/>
      </w:pPr>
      <w:r w:rsidRPr="00644F57">
        <w:t>The Trends in International Mathematics and Science Study (TIMSS) assessments are conducted each four years and provide learning outcomes data for students in year 4 and year 8 in the assessment domains of mathematics achievement and science achievement. Data from the 2011 TIMSS were included in the 2013</w:t>
      </w:r>
      <w:r w:rsidR="00727C58" w:rsidRPr="00644F57">
        <w:t> </w:t>
      </w:r>
      <w:r w:rsidRPr="00644F57">
        <w:t>Report. Attachment tables 4A.1</w:t>
      </w:r>
      <w:r w:rsidR="00EC1488">
        <w:t>10</w:t>
      </w:r>
      <w:r w:rsidRPr="00644F57">
        <w:t>–1</w:t>
      </w:r>
      <w:r w:rsidR="00E34421">
        <w:t>1</w:t>
      </w:r>
      <w:r w:rsidR="00EC1488">
        <w:t>3</w:t>
      </w:r>
      <w:r w:rsidRPr="00644F57">
        <w:t xml:space="preserve"> contain detailed results for the 2003, 2007 and 2011 TIMSS assessments</w:t>
      </w:r>
      <w:r w:rsidR="00E55771" w:rsidRPr="00644F57">
        <w:t>, by achievement level</w:t>
      </w:r>
      <w:r w:rsidRPr="00644F57">
        <w:t>.</w:t>
      </w:r>
      <w:r w:rsidR="00E55771" w:rsidRPr="00644F57">
        <w:t xml:space="preserve"> Table 4A.1</w:t>
      </w:r>
      <w:r w:rsidR="00E34421">
        <w:t>1</w:t>
      </w:r>
      <w:r w:rsidR="00EC1488">
        <w:t>4</w:t>
      </w:r>
      <w:r w:rsidR="00E55771" w:rsidRPr="00644F57">
        <w:t xml:space="preserve"> </w:t>
      </w:r>
      <w:r w:rsidR="00644F57" w:rsidRPr="00644F57">
        <w:t>contains 2011 TIM</w:t>
      </w:r>
      <w:r w:rsidR="00D55908">
        <w:t>S</w:t>
      </w:r>
      <w:r w:rsidR="00644F57" w:rsidRPr="00644F57">
        <w:t>S outcom</w:t>
      </w:r>
      <w:r w:rsidR="005F4AEF">
        <w:t>es by equity group and table 4A.</w:t>
      </w:r>
      <w:r w:rsidR="00644F57" w:rsidRPr="00644F57">
        <w:t>11</w:t>
      </w:r>
      <w:r w:rsidR="00EC1488">
        <w:t>5</w:t>
      </w:r>
      <w:r w:rsidR="00644F57" w:rsidRPr="00644F57">
        <w:t xml:space="preserve"> contains comparisons of significance of difference between the 2011 TIMSS and earlier rounds.</w:t>
      </w:r>
    </w:p>
    <w:p w:rsidR="00666ECE" w:rsidRPr="00DA7453" w:rsidRDefault="00666ECE" w:rsidP="00666ECE">
      <w:pPr>
        <w:keepNext/>
        <w:spacing w:before="480" w:line="320" w:lineRule="exact"/>
        <w:outlineLvl w:val="3"/>
        <w:rPr>
          <w:rFonts w:ascii="Arial" w:hAnsi="Arial"/>
          <w:i/>
          <w:sz w:val="24"/>
        </w:rPr>
      </w:pPr>
      <w:r w:rsidRPr="00DA7453">
        <w:rPr>
          <w:rFonts w:ascii="Arial" w:hAnsi="Arial"/>
          <w:i/>
          <w:sz w:val="24"/>
        </w:rPr>
        <w:t>Other outcomes</w:t>
      </w:r>
    </w:p>
    <w:p w:rsidR="00666ECE" w:rsidRPr="00DA7453" w:rsidRDefault="00666ECE" w:rsidP="00666ECE">
      <w:pPr>
        <w:spacing w:before="240" w:line="320" w:lineRule="atLeast"/>
        <w:jc w:val="both"/>
        <w:rPr>
          <w:szCs w:val="20"/>
        </w:rPr>
      </w:pPr>
      <w:r w:rsidRPr="00DA7453">
        <w:rPr>
          <w:i/>
        </w:rPr>
        <w:t>Completion</w:t>
      </w:r>
      <w:r w:rsidRPr="00DA7453">
        <w:rPr>
          <w:color w:val="FF0000"/>
          <w:sz w:val="24"/>
          <w:szCs w:val="20"/>
          <w:u w:val="dotted"/>
        </w:rPr>
        <w:t xml:space="preserve"> </w:t>
      </w:r>
    </w:p>
    <w:p w:rsidR="00666ECE" w:rsidRPr="00666ECE" w:rsidRDefault="00666ECE" w:rsidP="00666ECE">
      <w:pPr>
        <w:spacing w:before="240" w:line="320" w:lineRule="atLeast"/>
        <w:jc w:val="both"/>
        <w:rPr>
          <w:szCs w:val="20"/>
        </w:rPr>
      </w:pPr>
      <w:r w:rsidRPr="00DA7453">
        <w:rPr>
          <w:szCs w:val="20"/>
        </w:rPr>
        <w:t>‘Completion’ is an indicator of governments’ objective</w:t>
      </w:r>
      <w:r w:rsidRPr="00666ECE">
        <w:rPr>
          <w:szCs w:val="20"/>
        </w:rPr>
        <w:t xml:space="preserve"> that all students have access to high quality education and training to year 12 or equivalent, that provides clear and recognised pathways to further education, training and employment (box 4.1</w:t>
      </w:r>
      <w:r w:rsidR="00D948AA">
        <w:rPr>
          <w:szCs w:val="20"/>
        </w:rPr>
        <w:t>2</w:t>
      </w:r>
      <w:r w:rsidRPr="00666ECE">
        <w:rPr>
          <w:szCs w:val="20"/>
        </w:rPr>
        <w:t>).</w:t>
      </w:r>
      <w:r w:rsidRPr="00666ECE">
        <w:rPr>
          <w:b/>
          <w:color w:val="FF0000"/>
          <w:sz w:val="24"/>
          <w:szCs w:val="20"/>
          <w:u w:val="dotted"/>
        </w:rPr>
        <w:t xml:space="preserve"> </w:t>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36281D">
        <w:tc>
          <w:tcPr>
            <w:tcW w:w="8771" w:type="dxa"/>
            <w:tcBorders>
              <w:top w:val="single" w:sz="6" w:space="0" w:color="auto"/>
              <w:bottom w:val="nil"/>
            </w:tcBorders>
          </w:tcPr>
          <w:p w:rsidR="00666ECE" w:rsidRPr="00666ECE" w:rsidRDefault="00666ECE" w:rsidP="006B35ED">
            <w:pPr>
              <w:pStyle w:val="BoxTitle"/>
            </w:pPr>
            <w:r w:rsidRPr="00B64D68">
              <w:rPr>
                <w:b w:val="0"/>
              </w:rPr>
              <w:t xml:space="preserve">Box </w:t>
            </w:r>
            <w:bookmarkStart w:id="48" w:name="OLE_LINK8"/>
            <w:r w:rsidR="00EB256F" w:rsidRPr="00B64D68">
              <w:rPr>
                <w:b w:val="0"/>
              </w:rPr>
              <w:t>4.</w:t>
            </w:r>
            <w:bookmarkEnd w:id="48"/>
            <w:r w:rsidR="005E4316" w:rsidRPr="00B64D68">
              <w:rPr>
                <w:b w:val="0"/>
              </w:rPr>
              <w:t>12</w:t>
            </w:r>
            <w:r w:rsidRPr="00666ECE">
              <w:tab/>
              <w:t>Completion</w:t>
            </w:r>
          </w:p>
        </w:tc>
      </w:tr>
      <w:tr w:rsidR="00666ECE" w:rsidRPr="00666ECE" w:rsidTr="0036281D">
        <w:trPr>
          <w:cantSplit/>
        </w:trPr>
        <w:tc>
          <w:tcPr>
            <w:tcW w:w="8771" w:type="dxa"/>
            <w:tcBorders>
              <w:top w:val="nil"/>
              <w:left w:val="single" w:sz="6" w:space="0" w:color="auto"/>
              <w:bottom w:val="nil"/>
              <w:right w:val="single" w:sz="6" w:space="0" w:color="auto"/>
            </w:tcBorders>
          </w:tcPr>
          <w:p w:rsidR="00666ECE" w:rsidRPr="00666ECE" w:rsidRDefault="00666ECE" w:rsidP="00F26D58">
            <w:pPr>
              <w:keepNext/>
              <w:spacing w:before="120" w:line="280" w:lineRule="atLeast"/>
              <w:jc w:val="both"/>
              <w:rPr>
                <w:rFonts w:ascii="Arial" w:hAnsi="Arial"/>
                <w:sz w:val="22"/>
                <w:szCs w:val="20"/>
              </w:rPr>
            </w:pPr>
            <w:r w:rsidRPr="00666ECE">
              <w:rPr>
                <w:rFonts w:ascii="Arial" w:hAnsi="Arial"/>
                <w:sz w:val="22"/>
                <w:szCs w:val="20"/>
              </w:rPr>
              <w:t xml:space="preserve">‘Completion’ (completion rate) is defined </w:t>
            </w:r>
            <w:r w:rsidR="00F26D58">
              <w:rPr>
                <w:rFonts w:ascii="Arial" w:hAnsi="Arial"/>
                <w:sz w:val="22"/>
                <w:szCs w:val="20"/>
              </w:rPr>
              <w:t xml:space="preserve">as </w:t>
            </w:r>
            <w:r w:rsidRPr="00666ECE">
              <w:rPr>
                <w:rFonts w:ascii="Arial" w:hAnsi="Arial"/>
                <w:sz w:val="22"/>
                <w:szCs w:val="20"/>
              </w:rPr>
              <w:t>the number of students who meet the requirements of a year 12 certificate or equivalent expressed as a percentage of the estimated potential year 12 population. The estimated potential year 12 population is an estimate of a single year age group that could have attended year 12 that year, calculated as the estimated resident population aged 15–19 divided by five. The completion rate is reported by socio</w:t>
            </w:r>
            <w:r w:rsidR="009131A4">
              <w:rPr>
                <w:rFonts w:ascii="Arial" w:hAnsi="Arial"/>
                <w:sz w:val="22"/>
                <w:szCs w:val="20"/>
              </w:rPr>
              <w:t>-</w:t>
            </w:r>
            <w:r w:rsidRPr="00666ECE">
              <w:rPr>
                <w:rFonts w:ascii="Arial" w:hAnsi="Arial"/>
                <w:sz w:val="22"/>
                <w:szCs w:val="20"/>
              </w:rPr>
              <w:t>economic status, geolocation and sex.</w:t>
            </w:r>
          </w:p>
          <w:p w:rsidR="00666ECE" w:rsidRPr="00666ECE" w:rsidRDefault="00666ECE" w:rsidP="00F26D58">
            <w:pPr>
              <w:pStyle w:val="BoxListBullet"/>
            </w:pPr>
            <w:r w:rsidRPr="00666ECE">
              <w:t xml:space="preserve">The criteria for obtaining a year 12 or equivalent certificate vary across jurisdictions. </w:t>
            </w:r>
          </w:p>
          <w:p w:rsidR="00666ECE" w:rsidRPr="00666ECE" w:rsidRDefault="00666ECE" w:rsidP="00F26D58">
            <w:pPr>
              <w:pStyle w:val="BoxListBullet"/>
            </w:pPr>
            <w:r w:rsidRPr="00666ECE">
              <w:t>The aggregation of all postcode locations into three socio</w:t>
            </w:r>
            <w:r w:rsidR="009131A4">
              <w:t>-</w:t>
            </w:r>
            <w:r w:rsidRPr="00666ECE">
              <w:t>economic status categories — high, medium and low deciles — means there may be significant variation within the categories. Low deciles, for example, will include locations ranging from those of extreme disadvantage to those of moderate disadvantage.</w:t>
            </w:r>
          </w:p>
          <w:p w:rsidR="001C174A" w:rsidRDefault="00444C24" w:rsidP="00666ECE">
            <w:pPr>
              <w:keepNext/>
              <w:spacing w:before="120" w:line="280" w:lineRule="atLeast"/>
              <w:jc w:val="both"/>
              <w:rPr>
                <w:rFonts w:ascii="Arial" w:hAnsi="Arial"/>
                <w:sz w:val="22"/>
                <w:szCs w:val="20"/>
              </w:rPr>
            </w:pPr>
            <w:r w:rsidRPr="00444C24">
              <w:rPr>
                <w:rFonts w:ascii="Arial" w:hAnsi="Arial"/>
                <w:sz w:val="22"/>
                <w:szCs w:val="20"/>
              </w:rPr>
              <w:t>Data reported for this measure are</w:t>
            </w:r>
            <w:r w:rsidR="001C174A">
              <w:rPr>
                <w:rFonts w:ascii="Arial" w:hAnsi="Arial"/>
                <w:sz w:val="22"/>
                <w:szCs w:val="20"/>
              </w:rPr>
              <w:t>:</w:t>
            </w:r>
          </w:p>
          <w:p w:rsidR="001C174A" w:rsidRDefault="00444C24" w:rsidP="001C174A">
            <w:pPr>
              <w:pStyle w:val="BoxListBullet"/>
            </w:pPr>
            <w:r w:rsidRPr="00444C24">
              <w:t>comparable (subject to caveats) within some jurisdictions over time but are not comparable across jurisdictions (see caveats in attachment tab</w:t>
            </w:r>
            <w:r w:rsidR="001C174A">
              <w:t>les for specific jurisdictions)</w:t>
            </w:r>
          </w:p>
          <w:p w:rsidR="00444C24" w:rsidRDefault="00444C24" w:rsidP="001C174A">
            <w:pPr>
              <w:pStyle w:val="BoxListBullet"/>
            </w:pPr>
            <w:r w:rsidRPr="00444C24">
              <w:t xml:space="preserve">complete for the current reporting period (subject to caveats). All required </w:t>
            </w:r>
            <w:r>
              <w:t>2012</w:t>
            </w:r>
            <w:r w:rsidRPr="00444C24">
              <w:t xml:space="preserve"> data are available for all juri</w:t>
            </w:r>
            <w:r>
              <w:t>sdictions providing the service</w:t>
            </w:r>
            <w:r w:rsidRPr="00444C24">
              <w:t>:</w:t>
            </w:r>
          </w:p>
          <w:p w:rsidR="00666ECE" w:rsidRPr="00666ECE" w:rsidRDefault="00093A97" w:rsidP="00666ECE">
            <w:pPr>
              <w:keepNext/>
              <w:spacing w:before="120" w:line="280" w:lineRule="atLeast"/>
              <w:jc w:val="both"/>
              <w:rPr>
                <w:rFonts w:ascii="Arial" w:hAnsi="Arial"/>
                <w:sz w:val="22"/>
                <w:szCs w:val="20"/>
              </w:rPr>
            </w:pPr>
            <w:r>
              <w:rPr>
                <w:rFonts w:ascii="Arial" w:hAnsi="Arial"/>
                <w:sz w:val="22"/>
                <w:szCs w:val="20"/>
              </w:rPr>
              <w:t>A</w:t>
            </w:r>
            <w:r w:rsidR="00666ECE" w:rsidRPr="00666ECE">
              <w:rPr>
                <w:rFonts w:ascii="Arial" w:hAnsi="Arial"/>
                <w:sz w:val="22"/>
                <w:szCs w:val="20"/>
              </w:rPr>
              <w:t xml:space="preserve"> high or increasing completion rate suggests an improvement in educational outcomes. </w:t>
            </w:r>
          </w:p>
          <w:p w:rsidR="00666ECE" w:rsidRPr="00666ECE" w:rsidRDefault="0057698F" w:rsidP="00DA1812">
            <w:pPr>
              <w:keepNext/>
              <w:spacing w:before="120" w:line="280" w:lineRule="atLeast"/>
              <w:jc w:val="both"/>
              <w:rPr>
                <w:rFonts w:ascii="Arial" w:hAnsi="Arial"/>
                <w:sz w:val="22"/>
                <w:szCs w:val="20"/>
              </w:rPr>
            </w:pPr>
            <w:r w:rsidRPr="0057698F">
              <w:rPr>
                <w:rFonts w:ascii="Arial" w:hAnsi="Arial"/>
                <w:sz w:val="22"/>
                <w:szCs w:val="20"/>
              </w:rPr>
              <w:t xml:space="preserve">Information about data quality for this indicator is at </w:t>
            </w:r>
            <w:r w:rsidR="00DA1812" w:rsidRPr="00C77140">
              <w:rPr>
                <w:rFonts w:ascii="Arial" w:hAnsi="Arial"/>
                <w:sz w:val="22"/>
                <w:szCs w:val="20"/>
              </w:rPr>
              <w:t>www.pc.gov.au/gsp/reports/rogs/2014</w:t>
            </w:r>
            <w:r w:rsidRPr="0057698F">
              <w:rPr>
                <w:rFonts w:ascii="Arial" w:hAnsi="Arial"/>
                <w:sz w:val="22"/>
                <w:szCs w:val="20"/>
              </w:rPr>
              <w:t>.</w:t>
            </w: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sz w:val="14"/>
                <w:szCs w:val="20"/>
              </w:rPr>
            </w:pPr>
          </w:p>
        </w:tc>
      </w:tr>
    </w:tbl>
    <w:p w:rsidR="00666ECE" w:rsidRPr="00666ECE" w:rsidRDefault="00666ECE" w:rsidP="00666ECE">
      <w:pPr>
        <w:spacing w:before="240" w:line="320" w:lineRule="atLeast"/>
        <w:jc w:val="both"/>
        <w:rPr>
          <w:szCs w:val="20"/>
        </w:rPr>
      </w:pPr>
      <w:r w:rsidRPr="00666ECE">
        <w:rPr>
          <w:szCs w:val="20"/>
        </w:rPr>
        <w:t>Completion rates are primarily used as indicators of trends and are used, in part, because information on participation and retention rates is generally not available by socio</w:t>
      </w:r>
      <w:r w:rsidR="009131A4">
        <w:rPr>
          <w:szCs w:val="20"/>
        </w:rPr>
        <w:t>-</w:t>
      </w:r>
      <w:r w:rsidRPr="00666ECE">
        <w:rPr>
          <w:szCs w:val="20"/>
        </w:rPr>
        <w:t>economic background or geographic location. Comparisons across jurisdictions need to be made with care, for the following reasons:</w:t>
      </w:r>
    </w:p>
    <w:p w:rsidR="00666ECE" w:rsidRPr="00666ECE" w:rsidRDefault="00666ECE" w:rsidP="00D948AA">
      <w:pPr>
        <w:pStyle w:val="ListBullet"/>
      </w:pPr>
      <w:r w:rsidRPr="00666ECE">
        <w:t>assessment, reporting and requirements for obtaining year 12 certificates or equivalent vary across states and territories — for example, from moderated school-based assessment to a mix including external and internal assessment, and from completion of a pattern of study to a prescribed level of attainment</w:t>
      </w:r>
    </w:p>
    <w:p w:rsidR="00666ECE" w:rsidRPr="00666ECE" w:rsidRDefault="00666ECE" w:rsidP="00D948AA">
      <w:pPr>
        <w:pStyle w:val="ListBullet"/>
      </w:pPr>
      <w:r w:rsidRPr="00666ECE">
        <w:t>inaccuracies arise from using both home postal address and school location address in compiling completion rates data</w:t>
      </w:r>
    </w:p>
    <w:p w:rsidR="00666ECE" w:rsidRPr="00666ECE" w:rsidRDefault="00666ECE" w:rsidP="00D948AA">
      <w:pPr>
        <w:pStyle w:val="ListBullet"/>
      </w:pPr>
      <w:r w:rsidRPr="00666ECE">
        <w:t>small changes in population or completions can affect the estimates of completion rates, particularly for states and territories with smaller populations</w:t>
      </w:r>
    </w:p>
    <w:p w:rsidR="00666ECE" w:rsidRPr="00666ECE" w:rsidRDefault="00666ECE" w:rsidP="00D948AA">
      <w:pPr>
        <w:pStyle w:val="ListBullet"/>
      </w:pPr>
      <w:r w:rsidRPr="00666ECE">
        <w:t>students completing their secondary education in TAFE institutes are included in reporting for some jurisdictions and not in others, and the proportion of such students varies across jurisdictions.</w:t>
      </w:r>
    </w:p>
    <w:p w:rsidR="00666ECE" w:rsidRPr="006971C5" w:rsidRDefault="00666ECE" w:rsidP="00666ECE">
      <w:pPr>
        <w:spacing w:before="240" w:line="320" w:lineRule="atLeast"/>
        <w:jc w:val="both"/>
        <w:rPr>
          <w:szCs w:val="20"/>
        </w:rPr>
      </w:pPr>
      <w:r w:rsidRPr="00666ECE">
        <w:rPr>
          <w:szCs w:val="20"/>
        </w:rPr>
        <w:lastRenderedPageBreak/>
        <w:t>Nationally</w:t>
      </w:r>
      <w:r w:rsidR="00535E89">
        <w:rPr>
          <w:szCs w:val="20"/>
        </w:rPr>
        <w:t xml:space="preserve"> in 201</w:t>
      </w:r>
      <w:r w:rsidR="00DA1812">
        <w:rPr>
          <w:szCs w:val="20"/>
        </w:rPr>
        <w:t>2</w:t>
      </w:r>
      <w:r w:rsidRPr="00666ECE">
        <w:rPr>
          <w:szCs w:val="20"/>
        </w:rPr>
        <w:t xml:space="preserve">, </w:t>
      </w:r>
      <w:r w:rsidRPr="006971C5">
        <w:rPr>
          <w:szCs w:val="20"/>
        </w:rPr>
        <w:t xml:space="preserve">the year 12 completion rate for all students was </w:t>
      </w:r>
      <w:r w:rsidR="00A878FC" w:rsidRPr="006971C5">
        <w:rPr>
          <w:szCs w:val="20"/>
          <w:shd w:val="clear" w:color="auto" w:fill="FFFFFF" w:themeFill="background1"/>
        </w:rPr>
        <w:t>7</w:t>
      </w:r>
      <w:r w:rsidR="006971C5" w:rsidRPr="006971C5">
        <w:rPr>
          <w:szCs w:val="20"/>
          <w:shd w:val="clear" w:color="auto" w:fill="FFFFFF" w:themeFill="background1"/>
        </w:rPr>
        <w:t>3</w:t>
      </w:r>
      <w:r w:rsidRPr="006971C5">
        <w:rPr>
          <w:szCs w:val="20"/>
          <w:shd w:val="clear" w:color="auto" w:fill="FFFFFF" w:themeFill="background1"/>
        </w:rPr>
        <w:t xml:space="preserve"> per cent. The completion rate for males was </w:t>
      </w:r>
      <w:r w:rsidR="00904788" w:rsidRPr="006971C5">
        <w:rPr>
          <w:szCs w:val="20"/>
          <w:shd w:val="clear" w:color="auto" w:fill="FFFFFF" w:themeFill="background1"/>
        </w:rPr>
        <w:t>6</w:t>
      </w:r>
      <w:r w:rsidR="006971C5" w:rsidRPr="006971C5">
        <w:rPr>
          <w:szCs w:val="20"/>
          <w:shd w:val="clear" w:color="auto" w:fill="FFFFFF" w:themeFill="background1"/>
        </w:rPr>
        <w:t>9</w:t>
      </w:r>
      <w:r w:rsidRPr="006971C5">
        <w:rPr>
          <w:szCs w:val="20"/>
          <w:shd w:val="clear" w:color="auto" w:fill="FFFFFF" w:themeFill="background1"/>
        </w:rPr>
        <w:t xml:space="preserve"> per cent compared with </w:t>
      </w:r>
      <w:r w:rsidR="00904788" w:rsidRPr="006971C5">
        <w:rPr>
          <w:szCs w:val="20"/>
          <w:shd w:val="clear" w:color="auto" w:fill="FFFFFF" w:themeFill="background1"/>
        </w:rPr>
        <w:t>7</w:t>
      </w:r>
      <w:r w:rsidR="006971C5" w:rsidRPr="006971C5">
        <w:rPr>
          <w:szCs w:val="20"/>
          <w:shd w:val="clear" w:color="auto" w:fill="FFFFFF" w:themeFill="background1"/>
        </w:rPr>
        <w:t>8</w:t>
      </w:r>
      <w:r w:rsidRPr="006971C5">
        <w:rPr>
          <w:szCs w:val="20"/>
          <w:shd w:val="clear" w:color="auto" w:fill="FFFFFF" w:themeFill="background1"/>
        </w:rPr>
        <w:t xml:space="preserve"> per c</w:t>
      </w:r>
      <w:r w:rsidRPr="006971C5">
        <w:rPr>
          <w:szCs w:val="20"/>
        </w:rPr>
        <w:t>ent for females (table 4A.1</w:t>
      </w:r>
      <w:r w:rsidR="00616E8C" w:rsidRPr="006971C5">
        <w:rPr>
          <w:szCs w:val="20"/>
        </w:rPr>
        <w:t>2</w:t>
      </w:r>
      <w:r w:rsidR="00EC1488">
        <w:rPr>
          <w:szCs w:val="20"/>
        </w:rPr>
        <w:t>6</w:t>
      </w:r>
      <w:r w:rsidRPr="006971C5">
        <w:rPr>
          <w:szCs w:val="20"/>
        </w:rPr>
        <w:t>).</w:t>
      </w:r>
    </w:p>
    <w:p w:rsidR="00666ECE" w:rsidRPr="00DA7453" w:rsidRDefault="00666ECE" w:rsidP="00666ECE">
      <w:pPr>
        <w:spacing w:before="240" w:line="320" w:lineRule="atLeast"/>
        <w:jc w:val="both"/>
        <w:rPr>
          <w:szCs w:val="20"/>
        </w:rPr>
      </w:pPr>
      <w:r w:rsidRPr="00DA7453">
        <w:rPr>
          <w:szCs w:val="20"/>
        </w:rPr>
        <w:t>Socio</w:t>
      </w:r>
      <w:r w:rsidR="009131A4">
        <w:rPr>
          <w:szCs w:val="20"/>
        </w:rPr>
        <w:t>-</w:t>
      </w:r>
      <w:r w:rsidRPr="00DA7453">
        <w:rPr>
          <w:szCs w:val="20"/>
        </w:rPr>
        <w:t>economic status is determined according to the ABS Postal Area Index of Relative Socio-economic Disadvantage, on the basis of postcode of students’ home addresses. Low socio</w:t>
      </w:r>
      <w:r w:rsidR="009131A4">
        <w:rPr>
          <w:szCs w:val="20"/>
        </w:rPr>
        <w:t>-</w:t>
      </w:r>
      <w:r w:rsidRPr="00DA7453">
        <w:rPr>
          <w:szCs w:val="20"/>
        </w:rPr>
        <w:t>economic status is the average of the 3 lowest deciles, medium socio</w:t>
      </w:r>
      <w:r w:rsidR="009131A4">
        <w:rPr>
          <w:szCs w:val="20"/>
        </w:rPr>
        <w:t>-</w:t>
      </w:r>
      <w:r w:rsidRPr="00DA7453">
        <w:rPr>
          <w:szCs w:val="20"/>
        </w:rPr>
        <w:t>economic status is the average of the 4 middle deciles and high socio</w:t>
      </w:r>
      <w:r w:rsidR="009131A4">
        <w:rPr>
          <w:szCs w:val="20"/>
        </w:rPr>
        <w:t>-</w:t>
      </w:r>
      <w:r w:rsidRPr="00DA7453">
        <w:rPr>
          <w:szCs w:val="20"/>
        </w:rPr>
        <w:t>economic status is the average of the 3 highest deciles.</w:t>
      </w:r>
    </w:p>
    <w:p w:rsidR="00666ECE" w:rsidRPr="00660DFA" w:rsidRDefault="00666ECE" w:rsidP="00CA3C60">
      <w:pPr>
        <w:shd w:val="clear" w:color="auto" w:fill="FFFFFF" w:themeFill="background1"/>
        <w:spacing w:before="240" w:line="320" w:lineRule="atLeast"/>
        <w:jc w:val="both"/>
        <w:rPr>
          <w:szCs w:val="20"/>
        </w:rPr>
      </w:pPr>
      <w:r w:rsidRPr="00DA7453">
        <w:rPr>
          <w:szCs w:val="20"/>
        </w:rPr>
        <w:t>Nationally</w:t>
      </w:r>
      <w:r w:rsidR="00535E89" w:rsidRPr="00DA7453">
        <w:rPr>
          <w:szCs w:val="20"/>
        </w:rPr>
        <w:t xml:space="preserve"> in 201</w:t>
      </w:r>
      <w:r w:rsidR="00DA1812">
        <w:rPr>
          <w:szCs w:val="20"/>
        </w:rPr>
        <w:t>2</w:t>
      </w:r>
      <w:r w:rsidRPr="00DA7453">
        <w:rPr>
          <w:szCs w:val="20"/>
        </w:rPr>
        <w:t xml:space="preserve">, year 12 completion rates </w:t>
      </w:r>
      <w:r w:rsidRPr="006971C5">
        <w:rPr>
          <w:szCs w:val="20"/>
        </w:rPr>
        <w:t xml:space="preserve">for </w:t>
      </w:r>
      <w:r w:rsidRPr="006971C5">
        <w:rPr>
          <w:szCs w:val="20"/>
          <w:shd w:val="clear" w:color="auto" w:fill="FFFFFF" w:themeFill="background1"/>
        </w:rPr>
        <w:t>students from low (</w:t>
      </w:r>
      <w:r w:rsidR="00904788" w:rsidRPr="006971C5">
        <w:rPr>
          <w:szCs w:val="20"/>
        </w:rPr>
        <w:t>6</w:t>
      </w:r>
      <w:r w:rsidR="006971C5" w:rsidRPr="006971C5">
        <w:rPr>
          <w:szCs w:val="20"/>
        </w:rPr>
        <w:t>7</w:t>
      </w:r>
      <w:r w:rsidRPr="006971C5">
        <w:rPr>
          <w:szCs w:val="20"/>
        </w:rPr>
        <w:t xml:space="preserve"> per cent</w:t>
      </w:r>
      <w:r w:rsidRPr="006971C5">
        <w:rPr>
          <w:szCs w:val="20"/>
          <w:shd w:val="clear" w:color="auto" w:fill="FFFFFF" w:themeFill="background1"/>
        </w:rPr>
        <w:t xml:space="preserve">) and medium </w:t>
      </w:r>
      <w:r w:rsidR="00A32335" w:rsidRPr="006971C5">
        <w:rPr>
          <w:szCs w:val="20"/>
          <w:shd w:val="clear" w:color="auto" w:fill="FFFFFF" w:themeFill="background1"/>
        </w:rPr>
        <w:t>(</w:t>
      </w:r>
      <w:r w:rsidR="006971C5" w:rsidRPr="006971C5">
        <w:rPr>
          <w:szCs w:val="20"/>
          <w:shd w:val="clear" w:color="auto" w:fill="FFFFFF" w:themeFill="background1"/>
        </w:rPr>
        <w:t>73</w:t>
      </w:r>
      <w:r w:rsidR="00A32335" w:rsidRPr="006971C5">
        <w:rPr>
          <w:szCs w:val="20"/>
          <w:shd w:val="clear" w:color="auto" w:fill="FFFFFF" w:themeFill="background1"/>
        </w:rPr>
        <w:t xml:space="preserve"> per cent) </w:t>
      </w:r>
      <w:r w:rsidRPr="006971C5">
        <w:rPr>
          <w:szCs w:val="20"/>
          <w:shd w:val="clear" w:color="auto" w:fill="FFFFFF" w:themeFill="background1"/>
        </w:rPr>
        <w:t>socio</w:t>
      </w:r>
      <w:r w:rsidR="009131A4">
        <w:rPr>
          <w:szCs w:val="20"/>
          <w:shd w:val="clear" w:color="auto" w:fill="FFFFFF" w:themeFill="background1"/>
        </w:rPr>
        <w:t>-</w:t>
      </w:r>
      <w:r w:rsidRPr="006971C5">
        <w:rPr>
          <w:szCs w:val="20"/>
          <w:shd w:val="clear" w:color="auto" w:fill="FFFFFF" w:themeFill="background1"/>
        </w:rPr>
        <w:t>economic backgrounds were below those for students from a high socio</w:t>
      </w:r>
      <w:r w:rsidR="009131A4">
        <w:rPr>
          <w:szCs w:val="20"/>
          <w:shd w:val="clear" w:color="auto" w:fill="FFFFFF" w:themeFill="background1"/>
        </w:rPr>
        <w:t>-</w:t>
      </w:r>
      <w:r w:rsidRPr="006971C5">
        <w:rPr>
          <w:szCs w:val="20"/>
          <w:shd w:val="clear" w:color="auto" w:fill="FFFFFF" w:themeFill="background1"/>
        </w:rPr>
        <w:t xml:space="preserve">economic background </w:t>
      </w:r>
      <w:r w:rsidR="00904788" w:rsidRPr="006971C5">
        <w:rPr>
          <w:szCs w:val="20"/>
          <w:shd w:val="clear" w:color="auto" w:fill="FFFFFF" w:themeFill="background1"/>
        </w:rPr>
        <w:t>(</w:t>
      </w:r>
      <w:r w:rsidR="00A878FC" w:rsidRPr="006971C5">
        <w:rPr>
          <w:szCs w:val="20"/>
          <w:shd w:val="clear" w:color="auto" w:fill="FFFFFF" w:themeFill="background1"/>
        </w:rPr>
        <w:t>80</w:t>
      </w:r>
      <w:r w:rsidR="00904788" w:rsidRPr="006971C5">
        <w:rPr>
          <w:szCs w:val="20"/>
          <w:shd w:val="clear" w:color="auto" w:fill="FFFFFF" w:themeFill="background1"/>
        </w:rPr>
        <w:t xml:space="preserve"> per </w:t>
      </w:r>
      <w:r w:rsidR="00904788" w:rsidRPr="0019297C">
        <w:rPr>
          <w:szCs w:val="20"/>
          <w:shd w:val="clear" w:color="auto" w:fill="FFFFFF" w:themeFill="background1"/>
        </w:rPr>
        <w:t>cent</w:t>
      </w:r>
      <w:r w:rsidR="00904788" w:rsidRPr="00DA7453">
        <w:rPr>
          <w:szCs w:val="20"/>
        </w:rPr>
        <w:t xml:space="preserve">) </w:t>
      </w:r>
      <w:r w:rsidRPr="00DA7453">
        <w:rPr>
          <w:szCs w:val="20"/>
        </w:rPr>
        <w:t>(figure 4.</w:t>
      </w:r>
      <w:r w:rsidR="000C7D44">
        <w:rPr>
          <w:szCs w:val="20"/>
        </w:rPr>
        <w:t>5</w:t>
      </w:r>
      <w:r w:rsidR="00F230E8">
        <w:rPr>
          <w:szCs w:val="20"/>
        </w:rPr>
        <w:t>2</w:t>
      </w:r>
      <w:r w:rsidRPr="00DA7453">
        <w:rPr>
          <w:szCs w:val="20"/>
        </w:rPr>
        <w:t xml:space="preserve">). </w:t>
      </w:r>
      <w:r w:rsidR="00904788" w:rsidRPr="00DA7453">
        <w:rPr>
          <w:szCs w:val="20"/>
        </w:rPr>
        <w:t>Nationally, c</w:t>
      </w:r>
      <w:r w:rsidRPr="00DA7453">
        <w:rPr>
          <w:szCs w:val="20"/>
        </w:rPr>
        <w:t>ompletion rates were higher for female students than for male students in all socio</w:t>
      </w:r>
      <w:r w:rsidR="009131A4">
        <w:rPr>
          <w:szCs w:val="20"/>
        </w:rPr>
        <w:noBreakHyphen/>
      </w:r>
      <w:r w:rsidRPr="00DA7453">
        <w:rPr>
          <w:szCs w:val="20"/>
        </w:rPr>
        <w:t>economic categories (table 4A.1</w:t>
      </w:r>
      <w:r w:rsidR="00616E8C">
        <w:rPr>
          <w:szCs w:val="20"/>
        </w:rPr>
        <w:t>2</w:t>
      </w:r>
      <w:r w:rsidR="00EC1488">
        <w:rPr>
          <w:szCs w:val="20"/>
        </w:rPr>
        <w:t>6</w:t>
      </w:r>
      <w:r w:rsidRPr="00DA7453">
        <w:rPr>
          <w:szCs w:val="20"/>
        </w:rPr>
        <w:t>).</w:t>
      </w:r>
    </w:p>
    <w:p w:rsidR="00666ECE" w:rsidRPr="00666ECE" w:rsidRDefault="00666ECE" w:rsidP="006B35ED">
      <w:pPr>
        <w:pStyle w:val="FigureTitle"/>
        <w:rPr>
          <w:position w:val="6"/>
          <w:sz w:val="18"/>
        </w:rPr>
      </w:pPr>
      <w:r w:rsidRPr="00B64D68">
        <w:rPr>
          <w:b w:val="0"/>
        </w:rPr>
        <w:t xml:space="preserve">Figure </w:t>
      </w:r>
      <w:bookmarkStart w:id="49" w:name="OLE_LINK69"/>
      <w:r w:rsidR="00EB256F" w:rsidRPr="00B64D68">
        <w:rPr>
          <w:b w:val="0"/>
        </w:rPr>
        <w:t>4.</w:t>
      </w:r>
      <w:r w:rsidR="00EC06F7" w:rsidRPr="00B64D68">
        <w:rPr>
          <w:b w:val="0"/>
          <w:noProof/>
        </w:rPr>
        <w:t>52</w:t>
      </w:r>
      <w:bookmarkEnd w:id="49"/>
      <w:r w:rsidRPr="00666ECE">
        <w:tab/>
      </w:r>
      <w:r w:rsidRPr="006971C5">
        <w:t>Completion rates, year 12, by socio</w:t>
      </w:r>
      <w:r w:rsidR="009131A4">
        <w:t>-</w:t>
      </w:r>
      <w:r w:rsidRPr="006971C5">
        <w:t>economic status, 201</w:t>
      </w:r>
      <w:r w:rsidR="00DA1812" w:rsidRPr="006971C5">
        <w:t>2</w:t>
      </w:r>
      <w:r w:rsidRPr="006971C5">
        <w:t xml:space="preserve"> (per cent)</w:t>
      </w:r>
      <w:r w:rsidRPr="00666ECE">
        <w:rPr>
          <w:position w:val="6"/>
          <w:sz w:val="18"/>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DB1157">
        <w:tc>
          <w:tcPr>
            <w:tcW w:w="8777" w:type="dxa"/>
          </w:tcPr>
          <w:p w:rsidR="00666ECE" w:rsidRPr="00666ECE" w:rsidRDefault="008B34BD" w:rsidP="00CA3C60">
            <w:pPr>
              <w:keepNext/>
              <w:shd w:val="clear" w:color="auto" w:fill="FFFFFF" w:themeFill="background1"/>
              <w:spacing w:before="120" w:after="120" w:line="240" w:lineRule="atLeast"/>
              <w:jc w:val="center"/>
              <w:rPr>
                <w:szCs w:val="20"/>
              </w:rPr>
            </w:pPr>
            <w:r>
              <w:rPr>
                <w:noProof/>
                <w:szCs w:val="20"/>
              </w:rPr>
              <w:drawing>
                <wp:inline distT="0" distB="0" distL="0" distR="0">
                  <wp:extent cx="5381625" cy="2638425"/>
                  <wp:effectExtent l="0" t="0" r="9525" b="9525"/>
                  <wp:docPr id="53" name="Picture 53" descr="Figure 4.52 Completion rates, year 12, by socio-economic status, 2012 (per c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81625" cy="2638425"/>
                          </a:xfrm>
                          <a:prstGeom prst="rect">
                            <a:avLst/>
                          </a:prstGeom>
                          <a:noFill/>
                          <a:ln>
                            <a:noFill/>
                          </a:ln>
                        </pic:spPr>
                      </pic:pic>
                    </a:graphicData>
                  </a:graphic>
                </wp:inline>
              </w:drawing>
            </w:r>
          </w:p>
        </w:tc>
      </w:tr>
    </w:tbl>
    <w:p w:rsidR="00666ECE" w:rsidRPr="00EA078D" w:rsidRDefault="00666ECE" w:rsidP="00666ECE">
      <w:pPr>
        <w:keepLines/>
        <w:spacing w:before="80" w:line="220" w:lineRule="exact"/>
        <w:jc w:val="both"/>
        <w:rPr>
          <w:rFonts w:ascii="Arial" w:hAnsi="Arial"/>
          <w:sz w:val="18"/>
          <w:szCs w:val="20"/>
        </w:rPr>
      </w:pPr>
      <w:r w:rsidRPr="00EA078D">
        <w:rPr>
          <w:rFonts w:ascii="Arial" w:hAnsi="Arial"/>
          <w:b/>
          <w:position w:val="6"/>
          <w:sz w:val="18"/>
          <w:szCs w:val="20"/>
        </w:rPr>
        <w:t>a</w:t>
      </w:r>
      <w:r w:rsidRPr="00EA078D">
        <w:rPr>
          <w:rFonts w:ascii="Arial" w:hAnsi="Arial"/>
          <w:sz w:val="18"/>
          <w:szCs w:val="20"/>
        </w:rPr>
        <w:t xml:space="preserve"> Completion rates are estimated by calculating the number of students who meet the requirements of a year 12 certificate or equivalent expressed as a percentage of the potential year 12 population. The potential year 12 population is an estimate of a single year age group which could have attended year 12 that year, calculated as the estimated resident population aged 15–19 years divided by 5. </w:t>
      </w:r>
      <w:r w:rsidRPr="00EA078D">
        <w:rPr>
          <w:rFonts w:ascii="Arial" w:hAnsi="Arial"/>
          <w:b/>
          <w:position w:val="6"/>
          <w:sz w:val="18"/>
          <w:szCs w:val="20"/>
        </w:rPr>
        <w:t>b</w:t>
      </w:r>
      <w:r w:rsidRPr="00EA078D">
        <w:rPr>
          <w:rFonts w:ascii="Arial" w:hAnsi="Arial"/>
          <w:sz w:val="18"/>
          <w:szCs w:val="20"/>
        </w:rPr>
        <w:t> The ABS Postal Area Index of Relative Socio-economic Disadvantage has been used to calculate socio</w:t>
      </w:r>
      <w:r w:rsidR="009131A4">
        <w:rPr>
          <w:rFonts w:ascii="Arial" w:hAnsi="Arial"/>
          <w:sz w:val="18"/>
          <w:szCs w:val="20"/>
        </w:rPr>
        <w:t>-</w:t>
      </w:r>
      <w:r w:rsidRPr="00EA078D">
        <w:rPr>
          <w:rFonts w:ascii="Arial" w:hAnsi="Arial"/>
          <w:sz w:val="18"/>
          <w:szCs w:val="20"/>
        </w:rPr>
        <w:t xml:space="preserve">economic status, on the basis of postcode of students’ home addresses. </w:t>
      </w:r>
      <w:r w:rsidRPr="00EA078D">
        <w:rPr>
          <w:rFonts w:ascii="Arial" w:hAnsi="Arial"/>
          <w:b/>
          <w:position w:val="6"/>
          <w:sz w:val="18"/>
          <w:szCs w:val="20"/>
        </w:rPr>
        <w:t>c</w:t>
      </w:r>
      <w:r w:rsidRPr="00EA078D">
        <w:rPr>
          <w:rFonts w:ascii="Arial" w:hAnsi="Arial"/>
          <w:sz w:val="18"/>
          <w:szCs w:val="20"/>
        </w:rPr>
        <w:t> Low socio</w:t>
      </w:r>
      <w:r w:rsidR="009131A4">
        <w:rPr>
          <w:rFonts w:ascii="Arial" w:hAnsi="Arial"/>
          <w:sz w:val="18"/>
          <w:szCs w:val="20"/>
        </w:rPr>
        <w:t>-</w:t>
      </w:r>
      <w:r w:rsidRPr="00EA078D">
        <w:rPr>
          <w:rFonts w:ascii="Arial" w:hAnsi="Arial"/>
          <w:sz w:val="18"/>
          <w:szCs w:val="20"/>
        </w:rPr>
        <w:t>economic status is the average of the 3 lowest deciles, medium socio</w:t>
      </w:r>
      <w:r w:rsidR="009131A4">
        <w:rPr>
          <w:rFonts w:ascii="Arial" w:hAnsi="Arial"/>
          <w:sz w:val="18"/>
          <w:szCs w:val="20"/>
        </w:rPr>
        <w:t>-</w:t>
      </w:r>
      <w:r w:rsidRPr="00EA078D">
        <w:rPr>
          <w:rFonts w:ascii="Arial" w:hAnsi="Arial"/>
          <w:sz w:val="18"/>
          <w:szCs w:val="20"/>
        </w:rPr>
        <w:t>economic status is the average of the 4 middle deciles and high socio</w:t>
      </w:r>
      <w:r w:rsidR="009131A4">
        <w:rPr>
          <w:rFonts w:ascii="Arial" w:hAnsi="Arial"/>
          <w:sz w:val="18"/>
          <w:szCs w:val="20"/>
        </w:rPr>
        <w:t>-</w:t>
      </w:r>
      <w:r w:rsidRPr="00EA078D">
        <w:rPr>
          <w:rFonts w:ascii="Arial" w:hAnsi="Arial"/>
          <w:sz w:val="18"/>
          <w:szCs w:val="20"/>
        </w:rPr>
        <w:t xml:space="preserve">economic status is the average of the 3 highest deciles. </w:t>
      </w:r>
      <w:r w:rsidRPr="00EA078D">
        <w:rPr>
          <w:rFonts w:ascii="Arial" w:hAnsi="Arial"/>
          <w:b/>
          <w:position w:val="6"/>
          <w:sz w:val="18"/>
          <w:szCs w:val="20"/>
        </w:rPr>
        <w:t>d</w:t>
      </w:r>
      <w:r w:rsidRPr="00EA078D">
        <w:rPr>
          <w:rFonts w:ascii="Arial" w:hAnsi="Arial"/>
          <w:sz w:val="18"/>
          <w:szCs w:val="20"/>
        </w:rPr>
        <w:t> A common total for socio</w:t>
      </w:r>
      <w:r w:rsidR="009131A4">
        <w:rPr>
          <w:rFonts w:ascii="Arial" w:hAnsi="Arial"/>
          <w:sz w:val="18"/>
          <w:szCs w:val="20"/>
        </w:rPr>
        <w:t>-</w:t>
      </w:r>
      <w:r w:rsidRPr="00EA078D">
        <w:rPr>
          <w:rFonts w:ascii="Arial" w:hAnsi="Arial"/>
          <w:sz w:val="18"/>
          <w:szCs w:val="20"/>
        </w:rPr>
        <w:t>economic status and geolocation is selected for reporting all students' rates and this may mean totals for socio</w:t>
      </w:r>
      <w:r w:rsidR="009131A4">
        <w:rPr>
          <w:rFonts w:ascii="Arial" w:hAnsi="Arial"/>
          <w:sz w:val="18"/>
          <w:szCs w:val="20"/>
        </w:rPr>
        <w:t>-</w:t>
      </w:r>
      <w:r w:rsidRPr="00EA078D">
        <w:rPr>
          <w:rFonts w:ascii="Arial" w:hAnsi="Arial"/>
          <w:sz w:val="18"/>
          <w:szCs w:val="20"/>
        </w:rPr>
        <w:t xml:space="preserve">economic status differ slightly to those in other publications. </w:t>
      </w:r>
      <w:r w:rsidRPr="00EA078D">
        <w:rPr>
          <w:rFonts w:ascii="Arial" w:hAnsi="Arial"/>
          <w:b/>
          <w:position w:val="6"/>
          <w:sz w:val="18"/>
          <w:szCs w:val="20"/>
        </w:rPr>
        <w:t>e</w:t>
      </w:r>
      <w:r w:rsidRPr="00EA078D">
        <w:rPr>
          <w:rFonts w:ascii="Arial" w:hAnsi="Arial"/>
          <w:sz w:val="18"/>
          <w:szCs w:val="20"/>
        </w:rPr>
        <w:t> The populations for the low and medium socio</w:t>
      </w:r>
      <w:r w:rsidR="009131A4">
        <w:rPr>
          <w:rFonts w:ascii="Arial" w:hAnsi="Arial"/>
          <w:sz w:val="18"/>
          <w:szCs w:val="20"/>
        </w:rPr>
        <w:t>-</w:t>
      </w:r>
      <w:r w:rsidRPr="00EA078D">
        <w:rPr>
          <w:rFonts w:ascii="Arial" w:hAnsi="Arial"/>
          <w:sz w:val="18"/>
          <w:szCs w:val="20"/>
        </w:rPr>
        <w:t>economic status deciles in the ACT and the high socio</w:t>
      </w:r>
      <w:r w:rsidR="009131A4">
        <w:rPr>
          <w:rFonts w:ascii="Arial" w:hAnsi="Arial"/>
          <w:sz w:val="18"/>
          <w:szCs w:val="20"/>
        </w:rPr>
        <w:t>-</w:t>
      </w:r>
      <w:r w:rsidRPr="00EA078D">
        <w:rPr>
          <w:rFonts w:ascii="Arial" w:hAnsi="Arial"/>
          <w:sz w:val="18"/>
          <w:szCs w:val="20"/>
        </w:rPr>
        <w:t>economic status deciles in the NT are not published due to small numbers.</w:t>
      </w:r>
    </w:p>
    <w:p w:rsidR="00666ECE" w:rsidRPr="00660DFA" w:rsidRDefault="00666ECE" w:rsidP="00666ECE">
      <w:pPr>
        <w:keepLines/>
        <w:spacing w:before="80" w:after="120" w:line="220" w:lineRule="exact"/>
        <w:jc w:val="both"/>
        <w:rPr>
          <w:rFonts w:ascii="Arial" w:hAnsi="Arial"/>
          <w:sz w:val="18"/>
          <w:szCs w:val="20"/>
        </w:rPr>
      </w:pPr>
      <w:r w:rsidRPr="00660DFA">
        <w:rPr>
          <w:rFonts w:ascii="Arial" w:hAnsi="Arial"/>
          <w:i/>
          <w:sz w:val="18"/>
          <w:szCs w:val="20"/>
        </w:rPr>
        <w:t>Source</w:t>
      </w:r>
      <w:r w:rsidRPr="00660DFA">
        <w:rPr>
          <w:rFonts w:ascii="Arial" w:hAnsi="Arial"/>
          <w:sz w:val="18"/>
          <w:szCs w:val="20"/>
        </w:rPr>
        <w:t xml:space="preserve">: </w:t>
      </w:r>
      <w:r w:rsidR="00097127">
        <w:rPr>
          <w:rFonts w:ascii="Arial" w:hAnsi="Arial"/>
          <w:sz w:val="18"/>
          <w:szCs w:val="20"/>
        </w:rPr>
        <w:t xml:space="preserve">Australian Government </w:t>
      </w:r>
      <w:r w:rsidR="007D2D50" w:rsidRPr="007D2D50">
        <w:rPr>
          <w:rFonts w:ascii="Arial" w:hAnsi="Arial"/>
          <w:sz w:val="18"/>
          <w:szCs w:val="20"/>
        </w:rPr>
        <w:t>Department of Education</w:t>
      </w:r>
      <w:r w:rsidRPr="00660DFA">
        <w:rPr>
          <w:rFonts w:ascii="Arial" w:hAnsi="Arial"/>
          <w:sz w:val="18"/>
          <w:szCs w:val="20"/>
        </w:rPr>
        <w:t xml:space="preserve"> (unpublished); table 4A.1</w:t>
      </w:r>
      <w:r w:rsidR="00616E8C">
        <w:rPr>
          <w:rFonts w:ascii="Arial" w:hAnsi="Arial"/>
          <w:sz w:val="18"/>
          <w:szCs w:val="20"/>
        </w:rPr>
        <w:t>2</w:t>
      </w:r>
      <w:r w:rsidR="00EC1488">
        <w:rPr>
          <w:rFonts w:ascii="Arial" w:hAnsi="Arial"/>
          <w:sz w:val="18"/>
          <w:szCs w:val="20"/>
        </w:rPr>
        <w:t>6</w:t>
      </w:r>
      <w:r w:rsidRPr="00660DFA">
        <w:rPr>
          <w:rFonts w:ascii="Arial" w:hAnsi="Arial"/>
          <w:sz w:val="18"/>
          <w:szCs w:val="20"/>
        </w:rPr>
        <w:t>.</w:t>
      </w:r>
    </w:p>
    <w:p w:rsidR="00666ECE" w:rsidRPr="00DA7453" w:rsidRDefault="00666ECE" w:rsidP="00666ECE">
      <w:pPr>
        <w:spacing w:before="240" w:line="320" w:lineRule="atLeast"/>
        <w:jc w:val="both"/>
        <w:rPr>
          <w:szCs w:val="20"/>
        </w:rPr>
      </w:pPr>
      <w:r w:rsidRPr="00666ECE">
        <w:rPr>
          <w:szCs w:val="20"/>
        </w:rPr>
        <w:lastRenderedPageBreak/>
        <w:t xml:space="preserve">Geographic </w:t>
      </w:r>
      <w:r w:rsidRPr="00DA7453">
        <w:rPr>
          <w:szCs w:val="20"/>
        </w:rPr>
        <w:t xml:space="preserve">isolation is determined using the MCEECDYA </w:t>
      </w:r>
      <w:r w:rsidR="00C70D6F" w:rsidRPr="00DA7453">
        <w:rPr>
          <w:szCs w:val="20"/>
        </w:rPr>
        <w:t xml:space="preserve">(now SCSEEC) </w:t>
      </w:r>
      <w:r w:rsidRPr="00DA7453">
        <w:rPr>
          <w:szCs w:val="20"/>
        </w:rPr>
        <w:t>Geographic Location Classification.</w:t>
      </w:r>
    </w:p>
    <w:p w:rsidR="00666ECE" w:rsidRPr="006971C5" w:rsidRDefault="00666ECE" w:rsidP="0019297C">
      <w:pPr>
        <w:spacing w:before="240" w:line="320" w:lineRule="atLeast"/>
        <w:jc w:val="both"/>
        <w:rPr>
          <w:szCs w:val="20"/>
        </w:rPr>
      </w:pPr>
      <w:r w:rsidRPr="00DA7453">
        <w:rPr>
          <w:szCs w:val="20"/>
        </w:rPr>
        <w:t xml:space="preserve">Nationally, the completion </w:t>
      </w:r>
      <w:r w:rsidRPr="006971C5">
        <w:rPr>
          <w:szCs w:val="20"/>
        </w:rPr>
        <w:t xml:space="preserve">rate was highest in </w:t>
      </w:r>
      <w:r w:rsidRPr="006971C5">
        <w:rPr>
          <w:szCs w:val="20"/>
          <w:shd w:val="clear" w:color="auto" w:fill="FFFFFF" w:themeFill="background1"/>
        </w:rPr>
        <w:t xml:space="preserve">the </w:t>
      </w:r>
      <w:r w:rsidR="00A878FC" w:rsidRPr="006971C5">
        <w:rPr>
          <w:szCs w:val="20"/>
          <w:shd w:val="clear" w:color="auto" w:fill="FFFFFF" w:themeFill="background1"/>
        </w:rPr>
        <w:t>metropolitan</w:t>
      </w:r>
      <w:r w:rsidRPr="006971C5">
        <w:rPr>
          <w:szCs w:val="20"/>
          <w:shd w:val="clear" w:color="auto" w:fill="FFFFFF" w:themeFill="background1"/>
        </w:rPr>
        <w:t xml:space="preserve"> zone (</w:t>
      </w:r>
      <w:r w:rsidR="009E344D" w:rsidRPr="006971C5">
        <w:rPr>
          <w:szCs w:val="20"/>
          <w:shd w:val="clear" w:color="auto" w:fill="FFFFFF" w:themeFill="background1"/>
        </w:rPr>
        <w:t>7</w:t>
      </w:r>
      <w:r w:rsidR="006971C5" w:rsidRPr="006971C5">
        <w:rPr>
          <w:szCs w:val="20"/>
          <w:shd w:val="clear" w:color="auto" w:fill="FFFFFF" w:themeFill="background1"/>
        </w:rPr>
        <w:t>6</w:t>
      </w:r>
      <w:r w:rsidRPr="006971C5">
        <w:rPr>
          <w:szCs w:val="20"/>
          <w:shd w:val="clear" w:color="auto" w:fill="FFFFFF" w:themeFill="background1"/>
        </w:rPr>
        <w:t xml:space="preserve"> per cent) in 201</w:t>
      </w:r>
      <w:r w:rsidR="00DA1812" w:rsidRPr="006971C5">
        <w:rPr>
          <w:szCs w:val="20"/>
          <w:shd w:val="clear" w:color="auto" w:fill="FFFFFF" w:themeFill="background1"/>
        </w:rPr>
        <w:t>2</w:t>
      </w:r>
      <w:r w:rsidRPr="006971C5">
        <w:rPr>
          <w:szCs w:val="20"/>
          <w:shd w:val="clear" w:color="auto" w:fill="FFFFFF" w:themeFill="background1"/>
        </w:rPr>
        <w:t xml:space="preserve">. The completion rate was lower in the </w:t>
      </w:r>
      <w:r w:rsidR="00A878FC" w:rsidRPr="006971C5">
        <w:rPr>
          <w:szCs w:val="20"/>
          <w:shd w:val="clear" w:color="auto" w:fill="FFFFFF" w:themeFill="background1"/>
        </w:rPr>
        <w:t>provinci</w:t>
      </w:r>
      <w:r w:rsidRPr="006971C5">
        <w:rPr>
          <w:szCs w:val="20"/>
          <w:shd w:val="clear" w:color="auto" w:fill="FFFFFF" w:themeFill="background1"/>
        </w:rPr>
        <w:t>al zone (</w:t>
      </w:r>
      <w:r w:rsidR="006971C5" w:rsidRPr="006971C5">
        <w:rPr>
          <w:szCs w:val="20"/>
          <w:shd w:val="clear" w:color="auto" w:fill="FFFFFF" w:themeFill="background1"/>
        </w:rPr>
        <w:t>68</w:t>
      </w:r>
      <w:r w:rsidRPr="006971C5">
        <w:rPr>
          <w:szCs w:val="20"/>
          <w:shd w:val="clear" w:color="auto" w:fill="FFFFFF" w:themeFill="background1"/>
        </w:rPr>
        <w:t xml:space="preserve"> per cent), remote </w:t>
      </w:r>
      <w:r w:rsidRPr="00FA202A">
        <w:rPr>
          <w:szCs w:val="20"/>
          <w:shd w:val="clear" w:color="auto" w:fill="FFFFFF" w:themeFill="background1"/>
        </w:rPr>
        <w:t>areas (</w:t>
      </w:r>
      <w:r w:rsidR="009E344D" w:rsidRPr="00FA202A">
        <w:rPr>
          <w:szCs w:val="20"/>
          <w:shd w:val="clear" w:color="auto" w:fill="FFFFFF" w:themeFill="background1"/>
        </w:rPr>
        <w:t>6</w:t>
      </w:r>
      <w:r w:rsidR="00A57CDC" w:rsidRPr="00FA202A">
        <w:rPr>
          <w:szCs w:val="20"/>
          <w:shd w:val="clear" w:color="auto" w:fill="FFFFFF" w:themeFill="background1"/>
        </w:rPr>
        <w:t>6</w:t>
      </w:r>
      <w:r w:rsidRPr="00FA202A">
        <w:rPr>
          <w:szCs w:val="20"/>
          <w:shd w:val="clear" w:color="auto" w:fill="FFFFFF" w:themeFill="background1"/>
        </w:rPr>
        <w:t xml:space="preserve"> per cent) and very remote areas (</w:t>
      </w:r>
      <w:r w:rsidR="009E344D" w:rsidRPr="00FA202A">
        <w:rPr>
          <w:szCs w:val="20"/>
          <w:shd w:val="clear" w:color="auto" w:fill="FFFFFF" w:themeFill="background1"/>
        </w:rPr>
        <w:t>3</w:t>
      </w:r>
      <w:r w:rsidR="00A57CDC" w:rsidRPr="00FA202A">
        <w:rPr>
          <w:szCs w:val="20"/>
          <w:shd w:val="clear" w:color="auto" w:fill="FFFFFF" w:themeFill="background1"/>
        </w:rPr>
        <w:t>8</w:t>
      </w:r>
      <w:r w:rsidRPr="00FA202A">
        <w:rPr>
          <w:szCs w:val="20"/>
          <w:shd w:val="clear" w:color="auto" w:fill="FFFFFF" w:themeFill="background1"/>
        </w:rPr>
        <w:t xml:space="preserve"> per cent) (figure</w:t>
      </w:r>
      <w:r w:rsidRPr="006971C5">
        <w:rPr>
          <w:szCs w:val="20"/>
        </w:rPr>
        <w:t xml:space="preserve"> 4.</w:t>
      </w:r>
      <w:r w:rsidR="000C7D44">
        <w:rPr>
          <w:szCs w:val="20"/>
        </w:rPr>
        <w:t>5</w:t>
      </w:r>
      <w:r w:rsidR="00F230E8">
        <w:rPr>
          <w:szCs w:val="20"/>
        </w:rPr>
        <w:t>3</w:t>
      </w:r>
      <w:r w:rsidRPr="006971C5">
        <w:rPr>
          <w:szCs w:val="20"/>
        </w:rPr>
        <w:t xml:space="preserve">). </w:t>
      </w:r>
    </w:p>
    <w:p w:rsidR="00666ECE" w:rsidRPr="006971C5" w:rsidRDefault="009E344D" w:rsidP="00CA3C60">
      <w:pPr>
        <w:shd w:val="clear" w:color="auto" w:fill="FFFFFF" w:themeFill="background1"/>
        <w:spacing w:before="240" w:line="320" w:lineRule="atLeast"/>
        <w:jc w:val="both"/>
        <w:rPr>
          <w:szCs w:val="20"/>
        </w:rPr>
      </w:pPr>
      <w:r w:rsidRPr="006971C5">
        <w:rPr>
          <w:szCs w:val="20"/>
        </w:rPr>
        <w:t>Nationally, c</w:t>
      </w:r>
      <w:r w:rsidR="00666ECE" w:rsidRPr="006971C5">
        <w:rPr>
          <w:szCs w:val="20"/>
        </w:rPr>
        <w:t xml:space="preserve">ompletion rates were higher for females in all </w:t>
      </w:r>
      <w:r w:rsidRPr="006971C5">
        <w:rPr>
          <w:szCs w:val="20"/>
        </w:rPr>
        <w:t>geographic zones</w:t>
      </w:r>
      <w:r w:rsidR="00666ECE" w:rsidRPr="006971C5">
        <w:rPr>
          <w:szCs w:val="20"/>
        </w:rPr>
        <w:t xml:space="preserve">. In the </w:t>
      </w:r>
      <w:r w:rsidR="00A878FC" w:rsidRPr="006971C5">
        <w:rPr>
          <w:szCs w:val="20"/>
          <w:shd w:val="clear" w:color="auto" w:fill="FFFFFF" w:themeFill="background1"/>
        </w:rPr>
        <w:t>metropolitan</w:t>
      </w:r>
      <w:r w:rsidR="00666ECE" w:rsidRPr="006971C5">
        <w:rPr>
          <w:szCs w:val="20"/>
          <w:shd w:val="clear" w:color="auto" w:fill="FFFFFF" w:themeFill="background1"/>
        </w:rPr>
        <w:t xml:space="preserve"> zone, the female completion rate was </w:t>
      </w:r>
      <w:r w:rsidR="00EE4BD2" w:rsidRPr="006971C5">
        <w:rPr>
          <w:szCs w:val="20"/>
        </w:rPr>
        <w:t>7</w:t>
      </w:r>
      <w:r w:rsidR="006971C5" w:rsidRPr="006971C5">
        <w:rPr>
          <w:szCs w:val="20"/>
        </w:rPr>
        <w:t>9</w:t>
      </w:r>
      <w:r w:rsidR="00666ECE" w:rsidRPr="006971C5">
        <w:rPr>
          <w:szCs w:val="20"/>
        </w:rPr>
        <w:t xml:space="preserve"> per cent, compared</w:t>
      </w:r>
      <w:r w:rsidR="00666ECE" w:rsidRPr="006971C5">
        <w:rPr>
          <w:szCs w:val="20"/>
          <w:shd w:val="clear" w:color="auto" w:fill="FFFFFF" w:themeFill="background1"/>
        </w:rPr>
        <w:t xml:space="preserve"> with </w:t>
      </w:r>
      <w:r w:rsidR="006971C5" w:rsidRPr="006971C5">
        <w:rPr>
          <w:szCs w:val="20"/>
          <w:shd w:val="clear" w:color="auto" w:fill="FFFFFF" w:themeFill="background1"/>
        </w:rPr>
        <w:t>72</w:t>
      </w:r>
      <w:r w:rsidRPr="006971C5">
        <w:rPr>
          <w:szCs w:val="20"/>
          <w:shd w:val="clear" w:color="auto" w:fill="FFFFFF" w:themeFill="background1"/>
        </w:rPr>
        <w:t> </w:t>
      </w:r>
      <w:r w:rsidR="00666ECE" w:rsidRPr="006971C5">
        <w:rPr>
          <w:szCs w:val="20"/>
          <w:shd w:val="clear" w:color="auto" w:fill="FFFFFF" w:themeFill="background1"/>
        </w:rPr>
        <w:t>per</w:t>
      </w:r>
      <w:r w:rsidRPr="006971C5">
        <w:rPr>
          <w:szCs w:val="20"/>
          <w:shd w:val="clear" w:color="auto" w:fill="FFFFFF" w:themeFill="background1"/>
        </w:rPr>
        <w:t> </w:t>
      </w:r>
      <w:r w:rsidR="00666ECE" w:rsidRPr="006971C5">
        <w:rPr>
          <w:szCs w:val="20"/>
          <w:shd w:val="clear" w:color="auto" w:fill="FFFFFF" w:themeFill="background1"/>
        </w:rPr>
        <w:t>cent for males in 201</w:t>
      </w:r>
      <w:r w:rsidR="00DA1812" w:rsidRPr="006971C5">
        <w:rPr>
          <w:szCs w:val="20"/>
          <w:shd w:val="clear" w:color="auto" w:fill="FFFFFF" w:themeFill="background1"/>
        </w:rPr>
        <w:t>2</w:t>
      </w:r>
      <w:r w:rsidR="00666ECE" w:rsidRPr="006971C5">
        <w:rPr>
          <w:szCs w:val="20"/>
          <w:shd w:val="clear" w:color="auto" w:fill="FFFFFF" w:themeFill="background1"/>
        </w:rPr>
        <w:t xml:space="preserve">. In the remote zone, the female completion rate was </w:t>
      </w:r>
      <w:r w:rsidRPr="00FA202A">
        <w:rPr>
          <w:szCs w:val="20"/>
          <w:shd w:val="clear" w:color="auto" w:fill="FFFFFF" w:themeFill="background1"/>
        </w:rPr>
        <w:t>7</w:t>
      </w:r>
      <w:r w:rsidR="00A57CDC" w:rsidRPr="00FA202A">
        <w:rPr>
          <w:szCs w:val="20"/>
          <w:shd w:val="clear" w:color="auto" w:fill="FFFFFF" w:themeFill="background1"/>
        </w:rPr>
        <w:t>5</w:t>
      </w:r>
      <w:r w:rsidR="00666ECE" w:rsidRPr="00FA202A">
        <w:rPr>
          <w:szCs w:val="20"/>
          <w:shd w:val="clear" w:color="auto" w:fill="FFFFFF" w:themeFill="background1"/>
        </w:rPr>
        <w:t xml:space="preserve"> per cent, compared</w:t>
      </w:r>
      <w:r w:rsidR="00666ECE" w:rsidRPr="006971C5">
        <w:rPr>
          <w:szCs w:val="20"/>
          <w:shd w:val="clear" w:color="auto" w:fill="FFFFFF" w:themeFill="background1"/>
        </w:rPr>
        <w:t xml:space="preserve"> with </w:t>
      </w:r>
      <w:r w:rsidRPr="006971C5">
        <w:rPr>
          <w:szCs w:val="20"/>
          <w:shd w:val="clear" w:color="auto" w:fill="FFFFFF" w:themeFill="background1"/>
        </w:rPr>
        <w:t>5</w:t>
      </w:r>
      <w:r w:rsidR="00A878FC" w:rsidRPr="006971C5">
        <w:rPr>
          <w:szCs w:val="20"/>
          <w:shd w:val="clear" w:color="auto" w:fill="FFFFFF" w:themeFill="background1"/>
        </w:rPr>
        <w:t>9</w:t>
      </w:r>
      <w:r w:rsidR="00666ECE" w:rsidRPr="006971C5">
        <w:rPr>
          <w:szCs w:val="20"/>
          <w:shd w:val="clear" w:color="auto" w:fill="FFFFFF" w:themeFill="background1"/>
        </w:rPr>
        <w:t xml:space="preserve"> per cent for males (table 4A.1</w:t>
      </w:r>
      <w:r w:rsidR="00616E8C" w:rsidRPr="006971C5">
        <w:rPr>
          <w:szCs w:val="20"/>
          <w:shd w:val="clear" w:color="auto" w:fill="FFFFFF" w:themeFill="background1"/>
        </w:rPr>
        <w:t>2</w:t>
      </w:r>
      <w:r w:rsidR="00EC1488">
        <w:rPr>
          <w:szCs w:val="20"/>
          <w:shd w:val="clear" w:color="auto" w:fill="FFFFFF" w:themeFill="background1"/>
        </w:rPr>
        <w:t>7</w:t>
      </w:r>
      <w:r w:rsidR="00666ECE" w:rsidRPr="006971C5">
        <w:rPr>
          <w:szCs w:val="20"/>
          <w:shd w:val="clear" w:color="auto" w:fill="FFFFFF" w:themeFill="background1"/>
        </w:rPr>
        <w:t>). Time series data on national completion rates are reported in tables</w:t>
      </w:r>
      <w:r w:rsidR="00666ECE" w:rsidRPr="006971C5">
        <w:rPr>
          <w:szCs w:val="20"/>
        </w:rPr>
        <w:t xml:space="preserve"> 4A.1</w:t>
      </w:r>
      <w:r w:rsidR="00616E8C" w:rsidRPr="006971C5">
        <w:rPr>
          <w:szCs w:val="20"/>
        </w:rPr>
        <w:t>2</w:t>
      </w:r>
      <w:r w:rsidR="00EC1488">
        <w:rPr>
          <w:szCs w:val="20"/>
        </w:rPr>
        <w:t>6</w:t>
      </w:r>
      <w:r w:rsidR="00666ECE" w:rsidRPr="006971C5">
        <w:rPr>
          <w:szCs w:val="20"/>
        </w:rPr>
        <w:t>–1</w:t>
      </w:r>
      <w:r w:rsidR="00616E8C" w:rsidRPr="006971C5">
        <w:rPr>
          <w:szCs w:val="20"/>
        </w:rPr>
        <w:t>2</w:t>
      </w:r>
      <w:r w:rsidR="00EC1488">
        <w:rPr>
          <w:szCs w:val="20"/>
        </w:rPr>
        <w:t>7</w:t>
      </w:r>
      <w:r w:rsidR="00666ECE" w:rsidRPr="006971C5">
        <w:rPr>
          <w:szCs w:val="20"/>
        </w:rPr>
        <w:t>.</w:t>
      </w:r>
    </w:p>
    <w:p w:rsidR="005D0B84" w:rsidRPr="00EA078D" w:rsidRDefault="00666ECE" w:rsidP="006B35ED">
      <w:pPr>
        <w:pStyle w:val="FigureTitle"/>
        <w:rPr>
          <w:position w:val="6"/>
          <w:sz w:val="18"/>
        </w:rPr>
      </w:pPr>
      <w:r w:rsidRPr="00B64D68">
        <w:rPr>
          <w:b w:val="0"/>
        </w:rPr>
        <w:t xml:space="preserve">Figure </w:t>
      </w:r>
      <w:r w:rsidR="00EB256F" w:rsidRPr="00B64D68">
        <w:rPr>
          <w:b w:val="0"/>
        </w:rPr>
        <w:t>4.</w:t>
      </w:r>
      <w:r w:rsidR="000C7D44" w:rsidRPr="00B64D68">
        <w:rPr>
          <w:b w:val="0"/>
        </w:rPr>
        <w:t>5</w:t>
      </w:r>
      <w:r w:rsidR="00F230E8" w:rsidRPr="00B64D68">
        <w:rPr>
          <w:b w:val="0"/>
        </w:rPr>
        <w:t>3</w:t>
      </w:r>
      <w:r w:rsidRPr="006971C5">
        <w:tab/>
      </w:r>
      <w:r w:rsidR="005D0B84" w:rsidRPr="006971C5">
        <w:t>Completion rates, year 12, by geolocation, 201</w:t>
      </w:r>
      <w:r w:rsidR="00DA1812" w:rsidRPr="006971C5">
        <w:t>2</w:t>
      </w:r>
      <w:r w:rsidR="005D0B84" w:rsidRPr="006971C5">
        <w:t xml:space="preserve"> (per cent)</w:t>
      </w:r>
      <w:r w:rsidR="005D0B84" w:rsidRPr="006971C5">
        <w:rPr>
          <w:position w:val="6"/>
          <w:sz w:val="18"/>
        </w:rPr>
        <w:t xml:space="preserve">a, b, c, </w:t>
      </w:r>
      <w:r w:rsidR="005D0B84" w:rsidRPr="00EA078D">
        <w:rPr>
          <w:position w:val="6"/>
          <w:sz w:val="18"/>
        </w:rPr>
        <w:t>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D0B84" w:rsidRPr="00666ECE" w:rsidTr="00871957">
        <w:trPr>
          <w:trHeight w:val="4418"/>
        </w:trPr>
        <w:tc>
          <w:tcPr>
            <w:tcW w:w="8777" w:type="dxa"/>
          </w:tcPr>
          <w:p w:rsidR="005D0B84" w:rsidRPr="00666ECE" w:rsidRDefault="008B34BD" w:rsidP="00CA3C60">
            <w:pPr>
              <w:keepNext/>
              <w:shd w:val="clear" w:color="auto" w:fill="FFFFFF" w:themeFill="background1"/>
              <w:spacing w:before="120" w:after="120" w:line="240" w:lineRule="atLeast"/>
              <w:jc w:val="center"/>
              <w:rPr>
                <w:szCs w:val="20"/>
              </w:rPr>
            </w:pPr>
            <w:r>
              <w:rPr>
                <w:noProof/>
                <w:szCs w:val="20"/>
              </w:rPr>
              <w:drawing>
                <wp:inline distT="0" distB="0" distL="0" distR="0">
                  <wp:extent cx="5381625" cy="2638425"/>
                  <wp:effectExtent l="0" t="0" r="9525" b="9525"/>
                  <wp:docPr id="54" name="Picture 54" descr="Figure 4.53 Completion rates, year 12, by geolocation, 2012 (per c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81625" cy="2638425"/>
                          </a:xfrm>
                          <a:prstGeom prst="rect">
                            <a:avLst/>
                          </a:prstGeom>
                          <a:noFill/>
                          <a:ln>
                            <a:noFill/>
                          </a:ln>
                        </pic:spPr>
                      </pic:pic>
                    </a:graphicData>
                  </a:graphic>
                </wp:inline>
              </w:drawing>
            </w:r>
          </w:p>
        </w:tc>
      </w:tr>
    </w:tbl>
    <w:p w:rsidR="005D0B84" w:rsidRPr="008B0548" w:rsidRDefault="005D0B84" w:rsidP="008B0548">
      <w:pPr>
        <w:pStyle w:val="Note"/>
      </w:pPr>
      <w:r w:rsidRPr="008B0548">
        <w:rPr>
          <w:rStyle w:val="NoteLabel"/>
        </w:rPr>
        <w:t>a</w:t>
      </w:r>
      <w:r w:rsidRPr="008B0548">
        <w:t xml:space="preserve"> Completion rates are estimated by calculating the number of students who meet the requirements of a year 12 certificate or equivalent expressed as a percentage of the potential year 12 population. The potential year 12 population is an estimate of a single year age group which could have attended year 12 that year, calculated as the estimated resident population aged 15–19 divided by 5. </w:t>
      </w:r>
      <w:r w:rsidRPr="008B0548">
        <w:rPr>
          <w:rStyle w:val="NoteLabel"/>
        </w:rPr>
        <w:t>b</w:t>
      </w:r>
      <w:r w:rsidRPr="008B0548">
        <w:t xml:space="preserve"> Definitions are based on the MCEECDYA </w:t>
      </w:r>
      <w:r w:rsidR="00EA078D" w:rsidRPr="008B0548">
        <w:t xml:space="preserve">(now SCSEEC) </w:t>
      </w:r>
      <w:r w:rsidRPr="008B0548">
        <w:t xml:space="preserve">Geographic Location Classification. </w:t>
      </w:r>
      <w:r w:rsidRPr="008B0548">
        <w:rPr>
          <w:rStyle w:val="NoteLabel"/>
        </w:rPr>
        <w:t>c</w:t>
      </w:r>
      <w:r w:rsidRPr="008B0548">
        <w:t> </w:t>
      </w:r>
      <w:r w:rsidR="00644F57" w:rsidRPr="008B0548">
        <w:t>All of t</w:t>
      </w:r>
      <w:r w:rsidRPr="008B0548">
        <w:t xml:space="preserve">he ACT is included in </w:t>
      </w:r>
      <w:r w:rsidR="00A01D76" w:rsidRPr="008B0548">
        <w:t xml:space="preserve">the metropolitan zone. </w:t>
      </w:r>
      <w:r w:rsidR="00A01D76" w:rsidRPr="008B0548">
        <w:rPr>
          <w:rStyle w:val="NoteLabel"/>
        </w:rPr>
        <w:t>d</w:t>
      </w:r>
      <w:r w:rsidR="00A01D76" w:rsidRPr="008B0548">
        <w:t xml:space="preserve"> There are no metropolitan areas in the NT. There are no very remote </w:t>
      </w:r>
      <w:r w:rsidR="00BF47EB" w:rsidRPr="008B0548">
        <w:t>areas in Victoria</w:t>
      </w:r>
      <w:r w:rsidRPr="008B0548">
        <w:t xml:space="preserve">. </w:t>
      </w:r>
      <w:r w:rsidRPr="008B0548">
        <w:rPr>
          <w:rStyle w:val="NoteLabel"/>
        </w:rPr>
        <w:t>e</w:t>
      </w:r>
      <w:r w:rsidRPr="008B0548">
        <w:t> </w:t>
      </w:r>
      <w:r w:rsidR="00BF47EB" w:rsidRPr="008B0548">
        <w:t>Remote data for Victoria are not published due to small numbers</w:t>
      </w:r>
      <w:r w:rsidR="00EA078D" w:rsidRPr="008B0548">
        <w:t xml:space="preserve">. </w:t>
      </w:r>
      <w:r w:rsidRPr="008B0548">
        <w:t>The very remote population in Tasmania is too small to give meaningful results</w:t>
      </w:r>
      <w:r w:rsidR="00D05BAF" w:rsidRPr="008B0548">
        <w:t xml:space="preserve"> and are not published</w:t>
      </w:r>
      <w:r w:rsidRPr="008B0548">
        <w:t xml:space="preserve">. </w:t>
      </w:r>
    </w:p>
    <w:p w:rsidR="00666ECE" w:rsidRPr="00EA078D" w:rsidRDefault="005D0B84" w:rsidP="00C372BF">
      <w:pPr>
        <w:keepLines/>
        <w:spacing w:before="80" w:after="120" w:line="220" w:lineRule="exact"/>
        <w:jc w:val="both"/>
        <w:rPr>
          <w:rFonts w:ascii="Arial" w:hAnsi="Arial"/>
          <w:sz w:val="18"/>
          <w:szCs w:val="20"/>
        </w:rPr>
      </w:pPr>
      <w:r w:rsidRPr="00EA078D">
        <w:rPr>
          <w:rFonts w:ascii="Arial" w:hAnsi="Arial"/>
          <w:i/>
          <w:sz w:val="18"/>
          <w:szCs w:val="20"/>
        </w:rPr>
        <w:t>Source</w:t>
      </w:r>
      <w:r w:rsidRPr="00EA078D">
        <w:rPr>
          <w:rFonts w:ascii="Arial" w:hAnsi="Arial"/>
          <w:sz w:val="18"/>
          <w:szCs w:val="20"/>
        </w:rPr>
        <w:t xml:space="preserve">: </w:t>
      </w:r>
      <w:r w:rsidR="00097127">
        <w:rPr>
          <w:rFonts w:ascii="Arial" w:hAnsi="Arial"/>
          <w:sz w:val="18"/>
          <w:szCs w:val="20"/>
        </w:rPr>
        <w:t xml:space="preserve">Australian Government </w:t>
      </w:r>
      <w:r w:rsidR="007D2D50" w:rsidRPr="007D2D50">
        <w:rPr>
          <w:rFonts w:ascii="Arial" w:hAnsi="Arial"/>
          <w:sz w:val="18"/>
          <w:szCs w:val="20"/>
        </w:rPr>
        <w:t>Department of Education</w:t>
      </w:r>
      <w:r w:rsidRPr="00EA078D">
        <w:rPr>
          <w:rFonts w:ascii="Arial" w:hAnsi="Arial"/>
          <w:sz w:val="18"/>
          <w:szCs w:val="20"/>
        </w:rPr>
        <w:t xml:space="preserve"> (unpublished); table 4A.1</w:t>
      </w:r>
      <w:r w:rsidR="00616E8C" w:rsidRPr="00EA078D">
        <w:rPr>
          <w:rFonts w:ascii="Arial" w:hAnsi="Arial"/>
          <w:sz w:val="18"/>
          <w:szCs w:val="20"/>
        </w:rPr>
        <w:t>2</w:t>
      </w:r>
      <w:r w:rsidR="00EC1488">
        <w:rPr>
          <w:rFonts w:ascii="Arial" w:hAnsi="Arial"/>
          <w:sz w:val="18"/>
          <w:szCs w:val="20"/>
        </w:rPr>
        <w:t>7</w:t>
      </w:r>
      <w:r w:rsidR="00DB1157" w:rsidRPr="00EA078D">
        <w:rPr>
          <w:rFonts w:ascii="Arial" w:hAnsi="Arial"/>
          <w:sz w:val="18"/>
          <w:szCs w:val="20"/>
        </w:rPr>
        <w:t>.</w:t>
      </w:r>
    </w:p>
    <w:p w:rsidR="00666ECE" w:rsidRPr="005713CC" w:rsidRDefault="00666ECE" w:rsidP="00871957">
      <w:pPr>
        <w:spacing w:before="240" w:line="320" w:lineRule="atLeast"/>
        <w:jc w:val="both"/>
        <w:rPr>
          <w:szCs w:val="20"/>
        </w:rPr>
      </w:pPr>
      <w:r w:rsidRPr="00871957">
        <w:rPr>
          <w:szCs w:val="20"/>
          <w:shd w:val="clear" w:color="auto" w:fill="FFFFFF" w:themeFill="background1"/>
        </w:rPr>
        <w:t xml:space="preserve">The </w:t>
      </w:r>
      <w:r w:rsidR="009D7D07" w:rsidRPr="00871957">
        <w:rPr>
          <w:szCs w:val="20"/>
          <w:shd w:val="clear" w:color="auto" w:fill="FFFFFF" w:themeFill="background1"/>
        </w:rPr>
        <w:t>Child care</w:t>
      </w:r>
      <w:r w:rsidRPr="00871957">
        <w:rPr>
          <w:szCs w:val="20"/>
          <w:shd w:val="clear" w:color="auto" w:fill="FFFFFF" w:themeFill="background1"/>
        </w:rPr>
        <w:t xml:space="preserve">, education and training </w:t>
      </w:r>
      <w:r w:rsidR="003932A0" w:rsidRPr="00871957">
        <w:rPr>
          <w:szCs w:val="20"/>
          <w:shd w:val="clear" w:color="auto" w:fill="FFFFFF" w:themeFill="background1"/>
        </w:rPr>
        <w:t>sector overview</w:t>
      </w:r>
      <w:r w:rsidRPr="00871957">
        <w:rPr>
          <w:szCs w:val="20"/>
          <w:shd w:val="clear" w:color="auto" w:fill="FFFFFF" w:themeFill="background1"/>
        </w:rPr>
        <w:t xml:space="preserve"> includes data on the proportions of the </w:t>
      </w:r>
      <w:r w:rsidR="00093A97" w:rsidRPr="00871957">
        <w:rPr>
          <w:szCs w:val="20"/>
          <w:shd w:val="clear" w:color="auto" w:fill="FFFFFF" w:themeFill="background1"/>
        </w:rPr>
        <w:t xml:space="preserve">population aged </w:t>
      </w:r>
      <w:r w:rsidRPr="00871957">
        <w:rPr>
          <w:szCs w:val="20"/>
          <w:shd w:val="clear" w:color="auto" w:fill="FFFFFF" w:themeFill="background1"/>
        </w:rPr>
        <w:t>20–24 and 20–64 years having attained at least a year 12 or equivalent or AQF Certificate II; and the proportions of the 20–24 and 20–64 year old Indigenous and low socio</w:t>
      </w:r>
      <w:r w:rsidR="009131A4">
        <w:rPr>
          <w:szCs w:val="20"/>
          <w:shd w:val="clear" w:color="auto" w:fill="FFFFFF" w:themeFill="background1"/>
        </w:rPr>
        <w:t>-</w:t>
      </w:r>
      <w:r w:rsidRPr="00871957">
        <w:rPr>
          <w:szCs w:val="20"/>
          <w:shd w:val="clear" w:color="auto" w:fill="FFFFFF" w:themeFill="background1"/>
        </w:rPr>
        <w:t>economic status populations having attained at least a year 12 or equivalent or AQF Certificate II (tables BA.</w:t>
      </w:r>
      <w:r w:rsidR="00871957" w:rsidRPr="00871957">
        <w:rPr>
          <w:szCs w:val="20"/>
          <w:shd w:val="clear" w:color="auto" w:fill="FFFFFF" w:themeFill="background1"/>
        </w:rPr>
        <w:t>33</w:t>
      </w:r>
      <w:r w:rsidRPr="00871957">
        <w:rPr>
          <w:szCs w:val="20"/>
          <w:shd w:val="clear" w:color="auto" w:fill="FFFFFF" w:themeFill="background1"/>
        </w:rPr>
        <w:t>–</w:t>
      </w:r>
      <w:r w:rsidR="00FF654E" w:rsidRPr="00871957">
        <w:rPr>
          <w:szCs w:val="20"/>
          <w:shd w:val="clear" w:color="auto" w:fill="FFFFFF" w:themeFill="background1"/>
        </w:rPr>
        <w:t>3</w:t>
      </w:r>
      <w:r w:rsidR="00871957" w:rsidRPr="00871957">
        <w:rPr>
          <w:szCs w:val="20"/>
          <w:shd w:val="clear" w:color="auto" w:fill="FFFFFF" w:themeFill="background1"/>
        </w:rPr>
        <w:t>6</w:t>
      </w:r>
      <w:r w:rsidRPr="00871957">
        <w:rPr>
          <w:szCs w:val="20"/>
          <w:shd w:val="clear" w:color="auto" w:fill="FFFFFF" w:themeFill="background1"/>
        </w:rPr>
        <w:t>).</w:t>
      </w:r>
    </w:p>
    <w:p w:rsidR="00666ECE" w:rsidRPr="00666ECE" w:rsidRDefault="00666ECE" w:rsidP="00666ECE">
      <w:pPr>
        <w:keepNext/>
        <w:spacing w:before="480" w:line="320" w:lineRule="exact"/>
        <w:outlineLvl w:val="4"/>
        <w:rPr>
          <w:i/>
        </w:rPr>
      </w:pPr>
      <w:r w:rsidRPr="00666ECE">
        <w:rPr>
          <w:i/>
        </w:rPr>
        <w:lastRenderedPageBreak/>
        <w:t>Destination</w:t>
      </w:r>
    </w:p>
    <w:p w:rsidR="00666ECE" w:rsidRPr="00666ECE" w:rsidRDefault="00666ECE" w:rsidP="00666ECE">
      <w:pPr>
        <w:spacing w:before="240" w:line="320" w:lineRule="atLeast"/>
        <w:jc w:val="both"/>
        <w:rPr>
          <w:szCs w:val="20"/>
        </w:rPr>
      </w:pPr>
      <w:r w:rsidRPr="00666ECE">
        <w:rPr>
          <w:szCs w:val="20"/>
        </w:rPr>
        <w:t>‘Destination’ is an indicator of governments’ objective of ensuring that school leavers make successful transitions from school and continue to improve their skills through further post-school education, training and/or employment. It is an indicator of students’ post-school transitions into education, training and employment (box 4.1</w:t>
      </w:r>
      <w:r w:rsidR="005E4316">
        <w:rPr>
          <w:szCs w:val="20"/>
        </w:rPr>
        <w:t>3</w:t>
      </w:r>
      <w:r w:rsidRPr="00666ECE">
        <w:rPr>
          <w:szCs w:val="20"/>
        </w:rPr>
        <w:t>).</w:t>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36281D">
        <w:tc>
          <w:tcPr>
            <w:tcW w:w="8771" w:type="dxa"/>
            <w:tcBorders>
              <w:top w:val="single" w:sz="6" w:space="0" w:color="auto"/>
              <w:bottom w:val="nil"/>
            </w:tcBorders>
          </w:tcPr>
          <w:p w:rsidR="00666ECE" w:rsidRPr="00666ECE" w:rsidRDefault="00666ECE" w:rsidP="006B35ED">
            <w:pPr>
              <w:pStyle w:val="BoxTitle"/>
            </w:pPr>
            <w:r w:rsidRPr="00B64D68">
              <w:rPr>
                <w:b w:val="0"/>
              </w:rPr>
              <w:t xml:space="preserve">Box </w:t>
            </w:r>
            <w:bookmarkStart w:id="50" w:name="OLE_LINK9"/>
            <w:r w:rsidR="00EB256F" w:rsidRPr="00B64D68">
              <w:rPr>
                <w:b w:val="0"/>
              </w:rPr>
              <w:t>4.</w:t>
            </w:r>
            <w:bookmarkEnd w:id="50"/>
            <w:r w:rsidR="005E4316" w:rsidRPr="00B64D68">
              <w:rPr>
                <w:b w:val="0"/>
              </w:rPr>
              <w:t>13</w:t>
            </w:r>
            <w:r w:rsidRPr="00666ECE">
              <w:tab/>
              <w:t>Destination</w:t>
            </w:r>
          </w:p>
        </w:tc>
      </w:tr>
      <w:tr w:rsidR="00666ECE" w:rsidRPr="00666ECE" w:rsidTr="0036281D">
        <w:trPr>
          <w:cantSplit/>
        </w:trPr>
        <w:tc>
          <w:tcPr>
            <w:tcW w:w="8771" w:type="dxa"/>
            <w:tcBorders>
              <w:top w:val="nil"/>
              <w:left w:val="single" w:sz="6" w:space="0" w:color="auto"/>
              <w:bottom w:val="nil"/>
              <w:right w:val="single" w:sz="6" w:space="0" w:color="auto"/>
            </w:tcBorders>
          </w:tcPr>
          <w:p w:rsidR="00666ECE" w:rsidRPr="00666ECE" w:rsidRDefault="00666ECE" w:rsidP="00666ECE">
            <w:pPr>
              <w:keepNext/>
              <w:spacing w:before="120" w:line="280" w:lineRule="atLeast"/>
              <w:jc w:val="both"/>
              <w:rPr>
                <w:rFonts w:ascii="Arial" w:hAnsi="Arial"/>
                <w:sz w:val="22"/>
                <w:szCs w:val="20"/>
              </w:rPr>
            </w:pPr>
            <w:r w:rsidRPr="00666ECE">
              <w:rPr>
                <w:rFonts w:ascii="Arial" w:hAnsi="Arial"/>
                <w:sz w:val="22"/>
                <w:szCs w:val="20"/>
              </w:rPr>
              <w:t>‘Destination’ (school leaver destination rate) is defined as the estimated number of school students who left school in a given year and who, in May the following year, were participating in post-school education, training or full time employment, as a percentage of the estimated number of all school leavers in that given year</w:t>
            </w:r>
            <w:r w:rsidR="00535E89">
              <w:rPr>
                <w:rFonts w:ascii="Arial" w:hAnsi="Arial"/>
                <w:sz w:val="22"/>
                <w:szCs w:val="20"/>
              </w:rPr>
              <w:t>,</w:t>
            </w:r>
            <w:r w:rsidRPr="00666ECE">
              <w:rPr>
                <w:rFonts w:ascii="Arial" w:hAnsi="Arial"/>
                <w:sz w:val="22"/>
                <w:szCs w:val="20"/>
              </w:rPr>
              <w:t xml:space="preserve"> and is reported by highest level of schooling completed (year 12 or year 11 and below). Data are sourced from the ABS Survey of Education and Work.</w:t>
            </w:r>
          </w:p>
          <w:p w:rsidR="00666ECE" w:rsidRPr="00666ECE" w:rsidRDefault="00093A97" w:rsidP="00666ECE">
            <w:pPr>
              <w:keepNext/>
              <w:spacing w:before="120" w:line="280" w:lineRule="atLeast"/>
              <w:jc w:val="both"/>
              <w:rPr>
                <w:rFonts w:ascii="Arial" w:hAnsi="Arial"/>
                <w:sz w:val="22"/>
                <w:szCs w:val="20"/>
              </w:rPr>
            </w:pPr>
            <w:r>
              <w:rPr>
                <w:rFonts w:ascii="Arial" w:hAnsi="Arial"/>
                <w:sz w:val="22"/>
                <w:szCs w:val="20"/>
              </w:rPr>
              <w:t>A</w:t>
            </w:r>
            <w:r w:rsidR="00666ECE" w:rsidRPr="00666ECE">
              <w:rPr>
                <w:rFonts w:ascii="Arial" w:hAnsi="Arial"/>
                <w:sz w:val="22"/>
                <w:szCs w:val="20"/>
              </w:rPr>
              <w:t xml:space="preserve"> higher or increasing estimated proportion of school leavers participating in further education, training or full time employment is likely to result in improved educational and employment outcomes in the longer term.</w:t>
            </w:r>
          </w:p>
          <w:p w:rsidR="00666ECE" w:rsidRPr="00666ECE" w:rsidRDefault="00666ECE" w:rsidP="00444C24">
            <w:pPr>
              <w:pStyle w:val="Box"/>
            </w:pPr>
            <w:r w:rsidRPr="00666ECE">
              <w:t xml:space="preserve">The data reported for this </w:t>
            </w:r>
            <w:r w:rsidR="00444C24">
              <w:t>measure</w:t>
            </w:r>
            <w:r w:rsidRPr="00666ECE">
              <w:t xml:space="preserve"> relate to the jurisdiction in which the young person was resident the year after they left school and not necessarily the jurisdiction in which they attended school. </w:t>
            </w:r>
          </w:p>
          <w:p w:rsidR="00666ECE" w:rsidRDefault="00666ECE" w:rsidP="00444C24">
            <w:pPr>
              <w:pStyle w:val="Box"/>
            </w:pPr>
            <w:r w:rsidRPr="00666ECE">
              <w:t>The small number of young people included in this sample survey means that disaggregation of destination estimates by jurisdiction can be unreliable, particularly for states and territories with smaller populations.</w:t>
            </w:r>
          </w:p>
          <w:p w:rsidR="001C174A" w:rsidRDefault="00444C24" w:rsidP="00444C24">
            <w:pPr>
              <w:pStyle w:val="Box"/>
            </w:pPr>
            <w:r w:rsidRPr="00444C24">
              <w:t>Data reported for this measure are</w:t>
            </w:r>
          </w:p>
          <w:p w:rsidR="001C174A" w:rsidRDefault="00444C24" w:rsidP="001C174A">
            <w:pPr>
              <w:pStyle w:val="BoxListBullet"/>
            </w:pPr>
            <w:r w:rsidRPr="00444C24">
              <w:t>not comparable across jurisdictions</w:t>
            </w:r>
          </w:p>
          <w:p w:rsidR="00444C24" w:rsidRPr="00666ECE" w:rsidRDefault="00A5566A" w:rsidP="00D3193D">
            <w:pPr>
              <w:pStyle w:val="BoxListBullet"/>
              <w:shd w:val="clear" w:color="auto" w:fill="FFFFFF" w:themeFill="background1"/>
            </w:pPr>
            <w:r w:rsidRPr="00D3193D">
              <w:rPr>
                <w:shd w:val="clear" w:color="auto" w:fill="FFFFFF" w:themeFill="background1"/>
              </w:rPr>
              <w:t>in</w:t>
            </w:r>
            <w:r w:rsidR="00444C24">
              <w:t xml:space="preserve">complete for the current reporting period. All required 2012 data </w:t>
            </w:r>
            <w:r>
              <w:t>were not available</w:t>
            </w:r>
            <w:r w:rsidR="00444C24">
              <w:t xml:space="preserve"> for </w:t>
            </w:r>
            <w:r>
              <w:t>the Northern Territory</w:t>
            </w:r>
            <w:r w:rsidR="00444C24">
              <w:t>.</w:t>
            </w:r>
          </w:p>
          <w:p w:rsidR="00DA1812" w:rsidRPr="00DA1812" w:rsidRDefault="0057698F" w:rsidP="00DA1812">
            <w:pPr>
              <w:keepNext/>
              <w:spacing w:before="120" w:line="280" w:lineRule="atLeast"/>
              <w:jc w:val="both"/>
              <w:rPr>
                <w:rFonts w:ascii="Arial" w:hAnsi="Arial"/>
                <w:sz w:val="22"/>
              </w:rPr>
            </w:pPr>
            <w:r w:rsidRPr="0057698F">
              <w:rPr>
                <w:rFonts w:ascii="Arial" w:hAnsi="Arial"/>
                <w:sz w:val="22"/>
              </w:rPr>
              <w:t xml:space="preserve">Information about data quality for this indicator is at </w:t>
            </w:r>
            <w:r w:rsidR="00DA1812" w:rsidRPr="00C77140">
              <w:rPr>
                <w:rFonts w:ascii="Arial" w:hAnsi="Arial"/>
                <w:sz w:val="22"/>
              </w:rPr>
              <w:t>www.pc.gov.au/gsp/reports/rogs/2014</w:t>
            </w:r>
            <w:r w:rsidR="00DA1812">
              <w:rPr>
                <w:rFonts w:ascii="Arial" w:hAnsi="Arial"/>
                <w:sz w:val="22"/>
              </w:rPr>
              <w:t xml:space="preserve"> </w:t>
            </w:r>
          </w:p>
        </w:tc>
      </w:tr>
      <w:tr w:rsidR="00666ECE" w:rsidRPr="00666ECE" w:rsidTr="0036281D">
        <w:trPr>
          <w:cantSplit/>
        </w:trPr>
        <w:tc>
          <w:tcPr>
            <w:tcW w:w="8771" w:type="dxa"/>
            <w:tcBorders>
              <w:top w:val="nil"/>
              <w:left w:val="single" w:sz="6" w:space="0" w:color="auto"/>
              <w:bottom w:val="single" w:sz="6" w:space="0" w:color="auto"/>
              <w:right w:val="single" w:sz="6" w:space="0" w:color="auto"/>
            </w:tcBorders>
          </w:tcPr>
          <w:p w:rsidR="00666ECE" w:rsidRPr="00666ECE" w:rsidRDefault="00666ECE" w:rsidP="00666ECE">
            <w:pPr>
              <w:keepNext/>
              <w:spacing w:line="120" w:lineRule="exact"/>
              <w:jc w:val="both"/>
              <w:rPr>
                <w:rFonts w:ascii="Arial" w:hAnsi="Arial"/>
                <w:sz w:val="22"/>
                <w:szCs w:val="20"/>
              </w:rPr>
            </w:pPr>
          </w:p>
        </w:tc>
      </w:tr>
      <w:tr w:rsidR="00666ECE" w:rsidRPr="00666ECE" w:rsidTr="0036281D">
        <w:tc>
          <w:tcPr>
            <w:tcW w:w="8771" w:type="dxa"/>
            <w:tcBorders>
              <w:top w:val="nil"/>
              <w:left w:val="nil"/>
              <w:bottom w:val="nil"/>
              <w:right w:val="nil"/>
            </w:tcBorders>
          </w:tcPr>
          <w:p w:rsidR="00666ECE" w:rsidRPr="00666ECE" w:rsidRDefault="00666ECE" w:rsidP="00666ECE">
            <w:pPr>
              <w:spacing w:before="60" w:after="60" w:line="80" w:lineRule="exact"/>
              <w:jc w:val="both"/>
              <w:rPr>
                <w:rFonts w:ascii="Arial" w:hAnsi="Arial"/>
                <w:b/>
                <w:color w:val="FF00FF"/>
                <w:sz w:val="14"/>
                <w:szCs w:val="20"/>
              </w:rPr>
            </w:pPr>
          </w:p>
        </w:tc>
      </w:tr>
    </w:tbl>
    <w:p w:rsidR="00666ECE" w:rsidRPr="00666ECE" w:rsidRDefault="00666ECE" w:rsidP="00666ECE">
      <w:pPr>
        <w:spacing w:before="240" w:line="320" w:lineRule="atLeast"/>
        <w:jc w:val="both"/>
        <w:rPr>
          <w:szCs w:val="20"/>
        </w:rPr>
      </w:pPr>
      <w:r w:rsidRPr="00666ECE">
        <w:rPr>
          <w:szCs w:val="20"/>
        </w:rPr>
        <w:t xml:space="preserve">School leaver destination data disaggregated by jurisdiction need to be used with caution, especially for jurisdictions with smaller populations, due to the large confidence intervals associated with these survey data. </w:t>
      </w:r>
    </w:p>
    <w:p w:rsidR="00666ECE" w:rsidRPr="0015705B" w:rsidRDefault="00666ECE" w:rsidP="00666ECE">
      <w:pPr>
        <w:spacing w:before="240" w:line="320" w:lineRule="atLeast"/>
        <w:jc w:val="both"/>
        <w:rPr>
          <w:szCs w:val="20"/>
        </w:rPr>
      </w:pPr>
      <w:r w:rsidRPr="0015705B">
        <w:rPr>
          <w:szCs w:val="20"/>
        </w:rPr>
        <w:t>Nationally, in 201</w:t>
      </w:r>
      <w:r w:rsidR="00DA1812" w:rsidRPr="0015705B">
        <w:rPr>
          <w:szCs w:val="20"/>
        </w:rPr>
        <w:t>2</w:t>
      </w:r>
      <w:r w:rsidRPr="0015705B">
        <w:rPr>
          <w:szCs w:val="20"/>
        </w:rPr>
        <w:t xml:space="preserve">, </w:t>
      </w:r>
      <w:r w:rsidR="0015705B" w:rsidRPr="0015705B">
        <w:rPr>
          <w:szCs w:val="20"/>
        </w:rPr>
        <w:t>66.9</w:t>
      </w:r>
      <w:r w:rsidRPr="0015705B">
        <w:rPr>
          <w:szCs w:val="20"/>
        </w:rPr>
        <w:t xml:space="preserve"> per cent of year 12 school leavers were enrolled in further study (</w:t>
      </w:r>
      <w:r w:rsidR="0015705B" w:rsidRPr="0015705B">
        <w:rPr>
          <w:szCs w:val="20"/>
        </w:rPr>
        <w:t>46.6</w:t>
      </w:r>
      <w:r w:rsidRPr="0015705B">
        <w:rPr>
          <w:szCs w:val="20"/>
        </w:rPr>
        <w:t xml:space="preserve"> per cent attending higher education and </w:t>
      </w:r>
      <w:r w:rsidR="003852A6" w:rsidRPr="0015705B">
        <w:rPr>
          <w:szCs w:val="20"/>
        </w:rPr>
        <w:t>20.</w:t>
      </w:r>
      <w:r w:rsidR="0015705B" w:rsidRPr="0015705B">
        <w:rPr>
          <w:szCs w:val="20"/>
        </w:rPr>
        <w:t>4</w:t>
      </w:r>
      <w:r w:rsidRPr="0015705B">
        <w:rPr>
          <w:szCs w:val="20"/>
        </w:rPr>
        <w:t xml:space="preserve"> per cent attending TAFE courses or other study) and </w:t>
      </w:r>
      <w:r w:rsidR="00644F57">
        <w:rPr>
          <w:szCs w:val="20"/>
        </w:rPr>
        <w:t xml:space="preserve">a </w:t>
      </w:r>
      <w:r w:rsidR="00644F57" w:rsidRPr="00FA202A">
        <w:rPr>
          <w:szCs w:val="20"/>
          <w:shd w:val="clear" w:color="auto" w:fill="FFFFFF" w:themeFill="background1"/>
        </w:rPr>
        <w:t xml:space="preserve">further </w:t>
      </w:r>
      <w:r w:rsidR="00F50877" w:rsidRPr="00FA202A">
        <w:rPr>
          <w:szCs w:val="20"/>
          <w:shd w:val="clear" w:color="auto" w:fill="FFFFFF" w:themeFill="background1"/>
        </w:rPr>
        <w:t>12.0</w:t>
      </w:r>
      <w:r w:rsidRPr="00FA202A">
        <w:rPr>
          <w:szCs w:val="20"/>
          <w:shd w:val="clear" w:color="auto" w:fill="FFFFFF" w:themeFill="background1"/>
        </w:rPr>
        <w:t xml:space="preserve"> per</w:t>
      </w:r>
      <w:r w:rsidRPr="0015705B">
        <w:rPr>
          <w:szCs w:val="20"/>
        </w:rPr>
        <w:t xml:space="preserve"> cent were employed full time. Around one </w:t>
      </w:r>
      <w:r w:rsidR="0015705B" w:rsidRPr="0015705B">
        <w:rPr>
          <w:szCs w:val="20"/>
        </w:rPr>
        <w:t>third</w:t>
      </w:r>
      <w:r w:rsidRPr="0015705B">
        <w:rPr>
          <w:szCs w:val="20"/>
        </w:rPr>
        <w:t xml:space="preserve"> </w:t>
      </w:r>
      <w:r w:rsidR="00535E89" w:rsidRPr="0015705B">
        <w:rPr>
          <w:szCs w:val="20"/>
        </w:rPr>
        <w:t xml:space="preserve">were not studying, and </w:t>
      </w:r>
      <w:r w:rsidRPr="0015705B">
        <w:rPr>
          <w:szCs w:val="20"/>
        </w:rPr>
        <w:t>either employed part time, unemployed or not in the labour force (figure 4.</w:t>
      </w:r>
      <w:r w:rsidR="000C7D44">
        <w:rPr>
          <w:szCs w:val="20"/>
        </w:rPr>
        <w:t>5</w:t>
      </w:r>
      <w:r w:rsidR="00F230E8">
        <w:rPr>
          <w:szCs w:val="20"/>
        </w:rPr>
        <w:t>4</w:t>
      </w:r>
      <w:r w:rsidRPr="0015705B">
        <w:rPr>
          <w:szCs w:val="20"/>
        </w:rPr>
        <w:t xml:space="preserve"> and table 4A.1</w:t>
      </w:r>
      <w:r w:rsidR="00E163C5" w:rsidRPr="0015705B">
        <w:rPr>
          <w:szCs w:val="20"/>
        </w:rPr>
        <w:t>2</w:t>
      </w:r>
      <w:r w:rsidR="00EC1488">
        <w:rPr>
          <w:szCs w:val="20"/>
        </w:rPr>
        <w:t>8</w:t>
      </w:r>
      <w:r w:rsidRPr="0015705B">
        <w:rPr>
          <w:szCs w:val="20"/>
        </w:rPr>
        <w:t xml:space="preserve">). </w:t>
      </w:r>
    </w:p>
    <w:p w:rsidR="00666ECE" w:rsidRPr="00666ECE" w:rsidRDefault="00666ECE" w:rsidP="00CA3C60">
      <w:pPr>
        <w:shd w:val="clear" w:color="auto" w:fill="FFFFFF" w:themeFill="background1"/>
        <w:spacing w:before="240" w:line="320" w:lineRule="atLeast"/>
        <w:jc w:val="both"/>
        <w:rPr>
          <w:szCs w:val="20"/>
        </w:rPr>
      </w:pPr>
      <w:r w:rsidRPr="0015705B">
        <w:rPr>
          <w:szCs w:val="20"/>
        </w:rPr>
        <w:lastRenderedPageBreak/>
        <w:t xml:space="preserve">For year 11 and below school leavers, </w:t>
      </w:r>
      <w:r w:rsidR="0015705B" w:rsidRPr="0015705B">
        <w:rPr>
          <w:szCs w:val="20"/>
        </w:rPr>
        <w:t>41.1</w:t>
      </w:r>
      <w:r w:rsidRPr="0015705B">
        <w:rPr>
          <w:szCs w:val="20"/>
        </w:rPr>
        <w:t xml:space="preserve"> per cent were attending further education, almost all in TAFE or other study (table 4A.1</w:t>
      </w:r>
      <w:r w:rsidR="00E163C5" w:rsidRPr="0015705B">
        <w:rPr>
          <w:szCs w:val="20"/>
        </w:rPr>
        <w:t>2</w:t>
      </w:r>
      <w:r w:rsidR="00EC1488">
        <w:rPr>
          <w:szCs w:val="20"/>
        </w:rPr>
        <w:t>8</w:t>
      </w:r>
      <w:r w:rsidRPr="0015705B">
        <w:rPr>
          <w:szCs w:val="20"/>
        </w:rPr>
        <w:t xml:space="preserve">). Approximately </w:t>
      </w:r>
      <w:r w:rsidR="0015705B" w:rsidRPr="0015705B">
        <w:rPr>
          <w:szCs w:val="20"/>
        </w:rPr>
        <w:t>9.2</w:t>
      </w:r>
      <w:r w:rsidRPr="0015705B">
        <w:rPr>
          <w:szCs w:val="20"/>
        </w:rPr>
        <w:t> per cent were working full time.</w:t>
      </w:r>
      <w:r w:rsidR="00535E89" w:rsidRPr="0015705B">
        <w:rPr>
          <w:szCs w:val="20"/>
        </w:rPr>
        <w:t xml:space="preserve"> the remaining 4</w:t>
      </w:r>
      <w:r w:rsidR="0015705B" w:rsidRPr="0015705B">
        <w:rPr>
          <w:szCs w:val="20"/>
        </w:rPr>
        <w:t>9</w:t>
      </w:r>
      <w:r w:rsidR="00535E89" w:rsidRPr="0015705B">
        <w:rPr>
          <w:szCs w:val="20"/>
        </w:rPr>
        <w:t>.7 per cent were not studying</w:t>
      </w:r>
      <w:r w:rsidR="00415476" w:rsidRPr="0015705B">
        <w:rPr>
          <w:szCs w:val="20"/>
        </w:rPr>
        <w:t xml:space="preserve"> and either employed part time, </w:t>
      </w:r>
      <w:r w:rsidR="00415476" w:rsidRPr="00666ECE">
        <w:rPr>
          <w:szCs w:val="20"/>
        </w:rPr>
        <w:t>unemployed or not in the labour force (table</w:t>
      </w:r>
      <w:r w:rsidR="00415476">
        <w:rPr>
          <w:szCs w:val="20"/>
        </w:rPr>
        <w:t> </w:t>
      </w:r>
      <w:r w:rsidR="00415476" w:rsidRPr="00666ECE">
        <w:rPr>
          <w:szCs w:val="20"/>
        </w:rPr>
        <w:t>4A.1</w:t>
      </w:r>
      <w:r w:rsidR="00616E8C">
        <w:rPr>
          <w:szCs w:val="20"/>
        </w:rPr>
        <w:t>2</w:t>
      </w:r>
      <w:r w:rsidR="00EC1488">
        <w:rPr>
          <w:szCs w:val="20"/>
        </w:rPr>
        <w:t>8</w:t>
      </w:r>
      <w:r w:rsidR="00415476" w:rsidRPr="00666ECE">
        <w:rPr>
          <w:szCs w:val="20"/>
        </w:rPr>
        <w:t>).</w:t>
      </w:r>
    </w:p>
    <w:p w:rsidR="00666ECE" w:rsidRPr="00C35FD6" w:rsidRDefault="00666ECE" w:rsidP="006B35ED">
      <w:pPr>
        <w:pStyle w:val="FigureTitle"/>
        <w:rPr>
          <w:rStyle w:val="DraftingNote"/>
          <w:color w:val="auto"/>
        </w:rPr>
      </w:pPr>
      <w:r w:rsidRPr="00B64D68">
        <w:rPr>
          <w:b w:val="0"/>
        </w:rPr>
        <w:t xml:space="preserve">Figure </w:t>
      </w:r>
      <w:bookmarkStart w:id="51" w:name="OLE_LINK71"/>
      <w:r w:rsidR="00EB256F" w:rsidRPr="00B64D68">
        <w:rPr>
          <w:b w:val="0"/>
        </w:rPr>
        <w:t>4.</w:t>
      </w:r>
      <w:bookmarkEnd w:id="51"/>
      <w:r w:rsidR="00BB16A8" w:rsidRPr="00B64D68">
        <w:rPr>
          <w:b w:val="0"/>
        </w:rPr>
        <w:t>5</w:t>
      </w:r>
      <w:r w:rsidR="00F230E8" w:rsidRPr="00B64D68">
        <w:rPr>
          <w:b w:val="0"/>
        </w:rPr>
        <w:t>4</w:t>
      </w:r>
      <w:r w:rsidRPr="00C35FD6">
        <w:tab/>
        <w:t>Destination of year 12 students, 201</w:t>
      </w:r>
      <w:r w:rsidR="00DA1812" w:rsidRPr="00C35FD6">
        <w:t>2</w:t>
      </w:r>
      <w:r w:rsidRPr="00C35FD6">
        <w:rPr>
          <w:position w:val="6"/>
          <w:sz w:val="18"/>
        </w:rPr>
        <w:t>a, b, c</w:t>
      </w:r>
      <w:r w:rsidR="00A5566A">
        <w:rPr>
          <w:position w:val="6"/>
          <w:sz w:val="18"/>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36281D">
        <w:tc>
          <w:tcPr>
            <w:tcW w:w="8777" w:type="dxa"/>
          </w:tcPr>
          <w:p w:rsidR="00666ECE" w:rsidRPr="00666ECE" w:rsidRDefault="008B34BD" w:rsidP="00CA3C60">
            <w:pPr>
              <w:keepNext/>
              <w:shd w:val="clear" w:color="auto" w:fill="FFFFFF" w:themeFill="background1"/>
              <w:spacing w:before="120" w:after="120" w:line="240" w:lineRule="atLeast"/>
              <w:jc w:val="center"/>
              <w:rPr>
                <w:szCs w:val="20"/>
              </w:rPr>
            </w:pPr>
            <w:r>
              <w:rPr>
                <w:noProof/>
                <w:szCs w:val="20"/>
              </w:rPr>
              <w:drawing>
                <wp:inline distT="0" distB="0" distL="0" distR="0">
                  <wp:extent cx="5353050" cy="2676525"/>
                  <wp:effectExtent l="0" t="0" r="0" b="9525"/>
                  <wp:docPr id="55" name="Picture 55" descr="Figure 4.54 Destination of year 12 student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53050" cy="2676525"/>
                          </a:xfrm>
                          <a:prstGeom prst="rect">
                            <a:avLst/>
                          </a:prstGeom>
                          <a:noFill/>
                          <a:ln>
                            <a:noFill/>
                          </a:ln>
                        </pic:spPr>
                      </pic:pic>
                    </a:graphicData>
                  </a:graphic>
                </wp:inline>
              </w:drawing>
            </w:r>
          </w:p>
        </w:tc>
      </w:tr>
    </w:tbl>
    <w:p w:rsidR="00666ECE" w:rsidRPr="008B0548" w:rsidRDefault="00666ECE" w:rsidP="008B0548">
      <w:pPr>
        <w:pStyle w:val="Note"/>
      </w:pPr>
      <w:r w:rsidRPr="008B0548">
        <w:rPr>
          <w:rStyle w:val="NoteLabel"/>
        </w:rPr>
        <w:t>a</w:t>
      </w:r>
      <w:r w:rsidRPr="008B0548">
        <w:t> </w:t>
      </w:r>
      <w:r w:rsidR="00A01D76" w:rsidRPr="008B0548">
        <w:t xml:space="preserve">Data are for year 12 students who left school in 2012. </w:t>
      </w:r>
      <w:r w:rsidR="00A01D76" w:rsidRPr="008B0548">
        <w:rPr>
          <w:rStyle w:val="NoteLabel"/>
        </w:rPr>
        <w:t>b</w:t>
      </w:r>
      <w:r w:rsidR="00A01D76" w:rsidRPr="008B0548">
        <w:t xml:space="preserve"> Error bars represent the 95 per cent confidence interval associ</w:t>
      </w:r>
      <w:r w:rsidR="000C2ED9" w:rsidRPr="008B0548">
        <w:t xml:space="preserve">ated with each point estimate. </w:t>
      </w:r>
      <w:r w:rsidRPr="008B0548">
        <w:rPr>
          <w:rStyle w:val="NoteLabel"/>
        </w:rPr>
        <w:t>c</w:t>
      </w:r>
      <w:r w:rsidRPr="008B0548">
        <w:t> </w:t>
      </w:r>
      <w:r w:rsidR="00A5566A" w:rsidRPr="008B0548">
        <w:t>Data for Northern Territory are not published</w:t>
      </w:r>
      <w:r w:rsidR="00B20CD1" w:rsidRPr="008B0548">
        <w:t xml:space="preserve"> due to small sample numbers</w:t>
      </w:r>
      <w:r w:rsidR="00A5566A" w:rsidRPr="008B0548">
        <w:t xml:space="preserve">. </w:t>
      </w:r>
      <w:r w:rsidR="00A5566A" w:rsidRPr="008B0548">
        <w:rPr>
          <w:rStyle w:val="NoteLabel"/>
        </w:rPr>
        <w:t>d</w:t>
      </w:r>
      <w:r w:rsidR="00A5566A" w:rsidRPr="008B0548">
        <w:t> </w:t>
      </w:r>
      <w:r w:rsidRPr="008B0548">
        <w:t xml:space="preserve">The ABS Survey of Education and Work is not conducted in Indigenous communities in very remote areas. This has a minor impact on </w:t>
      </w:r>
      <w:r w:rsidR="0093337F" w:rsidRPr="008B0548">
        <w:t>national and jurisdictional</w:t>
      </w:r>
      <w:r w:rsidRPr="008B0548">
        <w:t xml:space="preserve"> estimates, but affects the comparability of </w:t>
      </w:r>
      <w:r w:rsidR="0093337F" w:rsidRPr="008B0548">
        <w:t xml:space="preserve">the </w:t>
      </w:r>
      <w:r w:rsidRPr="008B0548">
        <w:t>NT results, as people from Indigenous communities in very remote areas account for around 15 per cent of the NT population.</w:t>
      </w:r>
      <w:r w:rsidR="00F94A96" w:rsidRPr="008B0548">
        <w:t xml:space="preserve"> </w:t>
      </w:r>
    </w:p>
    <w:p w:rsidR="00666ECE" w:rsidRPr="00666ECE" w:rsidRDefault="00666ECE" w:rsidP="00666ECE">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xml:space="preserve">: ABS (unpublished) </w:t>
      </w:r>
      <w:r w:rsidRPr="00666ECE">
        <w:rPr>
          <w:rFonts w:ascii="Arial" w:hAnsi="Arial"/>
          <w:i/>
          <w:sz w:val="18"/>
          <w:szCs w:val="20"/>
        </w:rPr>
        <w:t>Survey of Education and Work 201</w:t>
      </w:r>
      <w:r w:rsidR="00DA1812">
        <w:rPr>
          <w:rFonts w:ascii="Arial" w:hAnsi="Arial"/>
          <w:i/>
          <w:sz w:val="18"/>
          <w:szCs w:val="20"/>
        </w:rPr>
        <w:t>2</w:t>
      </w:r>
      <w:r w:rsidRPr="00666ECE">
        <w:rPr>
          <w:rFonts w:ascii="Arial" w:hAnsi="Arial"/>
          <w:i/>
          <w:sz w:val="18"/>
          <w:szCs w:val="20"/>
        </w:rPr>
        <w:t>, Australia</w:t>
      </w:r>
      <w:r w:rsidRPr="00666ECE">
        <w:rPr>
          <w:rFonts w:ascii="Arial" w:hAnsi="Arial"/>
          <w:sz w:val="18"/>
          <w:szCs w:val="20"/>
        </w:rPr>
        <w:t>; table 4A.1</w:t>
      </w:r>
      <w:r w:rsidR="00616E8C">
        <w:rPr>
          <w:rFonts w:ascii="Arial" w:hAnsi="Arial"/>
          <w:sz w:val="18"/>
          <w:szCs w:val="20"/>
        </w:rPr>
        <w:t>2</w:t>
      </w:r>
      <w:r w:rsidR="00EC1488">
        <w:rPr>
          <w:rFonts w:ascii="Arial" w:hAnsi="Arial"/>
          <w:sz w:val="18"/>
          <w:szCs w:val="20"/>
        </w:rPr>
        <w:t>8</w:t>
      </w:r>
      <w:r w:rsidR="006E74BD">
        <w:rPr>
          <w:rFonts w:ascii="Arial" w:hAnsi="Arial"/>
          <w:sz w:val="18"/>
          <w:szCs w:val="20"/>
        </w:rPr>
        <w:t>.</w:t>
      </w:r>
    </w:p>
    <w:p w:rsidR="00666ECE" w:rsidRPr="00666ECE" w:rsidRDefault="00666ECE" w:rsidP="00666ECE">
      <w:pPr>
        <w:spacing w:before="240" w:line="320" w:lineRule="atLeast"/>
        <w:jc w:val="both"/>
        <w:rPr>
          <w:szCs w:val="20"/>
        </w:rPr>
      </w:pPr>
      <w:r w:rsidRPr="00666ECE">
        <w:rPr>
          <w:szCs w:val="20"/>
        </w:rPr>
        <w:t>Detailed information relating to year 12, year 11 and below and all school leavers across jurisdictions is in table 4A.1</w:t>
      </w:r>
      <w:r w:rsidR="00616E8C">
        <w:rPr>
          <w:szCs w:val="20"/>
        </w:rPr>
        <w:t>2</w:t>
      </w:r>
      <w:r w:rsidR="00EC1488">
        <w:rPr>
          <w:szCs w:val="20"/>
        </w:rPr>
        <w:t>8</w:t>
      </w:r>
      <w:r w:rsidRPr="00666ECE">
        <w:rPr>
          <w:szCs w:val="20"/>
        </w:rPr>
        <w:t>.</w:t>
      </w:r>
    </w:p>
    <w:p w:rsidR="00666ECE" w:rsidRPr="00666ECE" w:rsidRDefault="00666ECE" w:rsidP="00871957">
      <w:pPr>
        <w:shd w:val="clear" w:color="auto" w:fill="FFFFFF" w:themeFill="background1"/>
        <w:spacing w:before="240" w:line="320" w:lineRule="atLeast"/>
        <w:jc w:val="both"/>
        <w:rPr>
          <w:szCs w:val="20"/>
        </w:rPr>
      </w:pPr>
      <w:bookmarkStart w:id="52" w:name="OLE_LINK74"/>
      <w:bookmarkStart w:id="53" w:name="OLE_LINK61"/>
      <w:r w:rsidRPr="00871957">
        <w:rPr>
          <w:szCs w:val="20"/>
        </w:rPr>
        <w:t xml:space="preserve">The </w:t>
      </w:r>
      <w:r w:rsidR="009D7D07" w:rsidRPr="00871957">
        <w:rPr>
          <w:szCs w:val="20"/>
        </w:rPr>
        <w:t>Child care</w:t>
      </w:r>
      <w:r w:rsidR="0093337F" w:rsidRPr="00871957">
        <w:rPr>
          <w:szCs w:val="20"/>
        </w:rPr>
        <w:t>, education and training</w:t>
      </w:r>
      <w:r w:rsidRPr="00871957">
        <w:rPr>
          <w:szCs w:val="20"/>
        </w:rPr>
        <w:t xml:space="preserve"> </w:t>
      </w:r>
      <w:r w:rsidR="003932A0" w:rsidRPr="00871957">
        <w:rPr>
          <w:szCs w:val="20"/>
        </w:rPr>
        <w:t>sector overview</w:t>
      </w:r>
      <w:r w:rsidRPr="00871957">
        <w:rPr>
          <w:szCs w:val="20"/>
        </w:rPr>
        <w:t xml:space="preserve"> of this Report includes 201</w:t>
      </w:r>
      <w:r w:rsidR="00DA1812" w:rsidRPr="00871957">
        <w:rPr>
          <w:szCs w:val="20"/>
        </w:rPr>
        <w:t>2</w:t>
      </w:r>
      <w:r w:rsidRPr="00871957">
        <w:rPr>
          <w:szCs w:val="20"/>
        </w:rPr>
        <w:t xml:space="preserve"> national school leaver destination data for those who attended school at any time previously</w:t>
      </w:r>
      <w:r w:rsidR="00415476" w:rsidRPr="00871957">
        <w:rPr>
          <w:szCs w:val="20"/>
        </w:rPr>
        <w:t>,</w:t>
      </w:r>
      <w:r w:rsidRPr="00871957">
        <w:rPr>
          <w:szCs w:val="20"/>
        </w:rPr>
        <w:t xml:space="preserve"> and examines the proportions of male and female students attending other educational institutions in 201</w:t>
      </w:r>
      <w:r w:rsidR="00DA1812" w:rsidRPr="00871957">
        <w:rPr>
          <w:szCs w:val="20"/>
        </w:rPr>
        <w:t>2</w:t>
      </w:r>
      <w:r w:rsidRPr="00871957">
        <w:rPr>
          <w:szCs w:val="20"/>
        </w:rPr>
        <w:t xml:space="preserve"> after leaving school (table BA.</w:t>
      </w:r>
      <w:r w:rsidR="00871957" w:rsidRPr="00871957">
        <w:rPr>
          <w:szCs w:val="20"/>
        </w:rPr>
        <w:t>20</w:t>
      </w:r>
      <w:r w:rsidR="00EC06F7">
        <w:rPr>
          <w:szCs w:val="20"/>
        </w:rPr>
        <w:t>–</w:t>
      </w:r>
      <w:r w:rsidR="00871957" w:rsidRPr="00871957">
        <w:rPr>
          <w:szCs w:val="20"/>
        </w:rPr>
        <w:t>22</w:t>
      </w:r>
      <w:r w:rsidRPr="00871957">
        <w:rPr>
          <w:szCs w:val="20"/>
        </w:rPr>
        <w:t>).</w:t>
      </w:r>
    </w:p>
    <w:bookmarkEnd w:id="52"/>
    <w:bookmarkEnd w:id="53"/>
    <w:p w:rsidR="00666ECE" w:rsidRPr="00A60294" w:rsidRDefault="00666ECE" w:rsidP="00871957">
      <w:pPr>
        <w:shd w:val="clear" w:color="auto" w:fill="FFFFFF" w:themeFill="background1"/>
        <w:spacing w:before="240" w:line="320" w:lineRule="atLeast"/>
        <w:jc w:val="both"/>
        <w:rPr>
          <w:rStyle w:val="DraftingNote"/>
          <w:color w:val="auto"/>
        </w:rPr>
      </w:pPr>
      <w:r w:rsidRPr="00666ECE">
        <w:rPr>
          <w:szCs w:val="20"/>
        </w:rPr>
        <w:t>Box 4.1</w:t>
      </w:r>
      <w:r w:rsidR="00A74D32">
        <w:rPr>
          <w:szCs w:val="20"/>
        </w:rPr>
        <w:t>4</w:t>
      </w:r>
      <w:r w:rsidRPr="00666ECE">
        <w:rPr>
          <w:szCs w:val="20"/>
        </w:rPr>
        <w:t xml:space="preserve"> summarises school leaver destination survey results from six jurisdictions. </w:t>
      </w:r>
      <w:r w:rsidR="00415476">
        <w:rPr>
          <w:szCs w:val="20"/>
        </w:rPr>
        <w:t>each jurisdiction uses</w:t>
      </w:r>
      <w:r w:rsidRPr="00666ECE">
        <w:rPr>
          <w:szCs w:val="20"/>
        </w:rPr>
        <w:t xml:space="preserve"> different research methods and data collection instruments, and </w:t>
      </w:r>
      <w:r w:rsidR="00415476">
        <w:rPr>
          <w:szCs w:val="20"/>
        </w:rPr>
        <w:t xml:space="preserve">the surveys </w:t>
      </w:r>
      <w:r w:rsidRPr="00666ECE">
        <w:rPr>
          <w:szCs w:val="20"/>
        </w:rPr>
        <w:t xml:space="preserve">were not designed for comparative national reporting. These data are presented as supplementary information to the </w:t>
      </w:r>
      <w:r w:rsidR="0093337F">
        <w:rPr>
          <w:szCs w:val="20"/>
        </w:rPr>
        <w:t xml:space="preserve">Survey of Education and Work </w:t>
      </w:r>
      <w:r w:rsidR="0093337F" w:rsidRPr="00616E8C">
        <w:rPr>
          <w:szCs w:val="20"/>
        </w:rPr>
        <w:t>data</w:t>
      </w:r>
      <w:r w:rsidRPr="00616E8C">
        <w:rPr>
          <w:szCs w:val="20"/>
        </w:rPr>
        <w:t xml:space="preserve">, providing </w:t>
      </w:r>
      <w:r w:rsidRPr="00A60294">
        <w:rPr>
          <w:szCs w:val="20"/>
        </w:rPr>
        <w:t>some context, until nationally comparable data become available (box 4.1</w:t>
      </w:r>
      <w:r w:rsidR="005E4316" w:rsidRPr="00A60294">
        <w:rPr>
          <w:szCs w:val="20"/>
        </w:rPr>
        <w:t>4</w:t>
      </w:r>
      <w:r w:rsidRPr="00A60294">
        <w:rPr>
          <w:szCs w:val="20"/>
        </w:rPr>
        <w:t>).</w:t>
      </w:r>
      <w:r w:rsidR="0066655C" w:rsidRPr="00A60294">
        <w:rPr>
          <w:szCs w:val="20"/>
        </w:rPr>
        <w:t xml:space="preserve"> </w:t>
      </w:r>
    </w:p>
    <w:p w:rsidR="00666ECE" w:rsidRPr="00666ECE" w:rsidRDefault="00666ECE" w:rsidP="00666EC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666ECE" w:rsidTr="0036281D">
        <w:tc>
          <w:tcPr>
            <w:tcW w:w="8771" w:type="dxa"/>
            <w:tcBorders>
              <w:top w:val="single" w:sz="6" w:space="0" w:color="auto"/>
              <w:bottom w:val="nil"/>
            </w:tcBorders>
          </w:tcPr>
          <w:p w:rsidR="00666ECE" w:rsidRPr="00666ECE" w:rsidRDefault="00666ECE" w:rsidP="006B35ED">
            <w:pPr>
              <w:pStyle w:val="BoxTitle"/>
            </w:pPr>
            <w:r w:rsidRPr="00B64D68">
              <w:rPr>
                <w:b w:val="0"/>
              </w:rPr>
              <w:t xml:space="preserve">Box </w:t>
            </w:r>
            <w:bookmarkStart w:id="54" w:name="OLE_LINK10"/>
            <w:r w:rsidR="00EB256F" w:rsidRPr="00B64D68">
              <w:rPr>
                <w:b w:val="0"/>
              </w:rPr>
              <w:t>4.</w:t>
            </w:r>
            <w:bookmarkEnd w:id="54"/>
            <w:r w:rsidR="005E4316" w:rsidRPr="00B64D68">
              <w:rPr>
                <w:b w:val="0"/>
              </w:rPr>
              <w:t>14</w:t>
            </w:r>
            <w:r w:rsidRPr="00666ECE">
              <w:tab/>
              <w:t>School leaver destination survey results</w:t>
            </w:r>
          </w:p>
        </w:tc>
      </w:tr>
      <w:tr w:rsidR="00666ECE" w:rsidRPr="00481083" w:rsidTr="0036281D">
        <w:trPr>
          <w:cantSplit/>
          <w:trHeight w:val="11798"/>
        </w:trPr>
        <w:tc>
          <w:tcPr>
            <w:tcW w:w="8771" w:type="dxa"/>
            <w:tcBorders>
              <w:top w:val="nil"/>
              <w:left w:val="single" w:sz="4" w:space="0" w:color="auto"/>
              <w:bottom w:val="nil"/>
              <w:right w:val="single" w:sz="4" w:space="0" w:color="auto"/>
            </w:tcBorders>
          </w:tcPr>
          <w:p w:rsidR="00666ECE" w:rsidRPr="008753B7" w:rsidRDefault="00666ECE" w:rsidP="00F567A3">
            <w:pPr>
              <w:pStyle w:val="BoxHeading1"/>
              <w:spacing w:before="120"/>
            </w:pPr>
            <w:r w:rsidRPr="008753B7">
              <w:t xml:space="preserve">Victoria </w:t>
            </w:r>
          </w:p>
          <w:p w:rsidR="00F567A3" w:rsidRPr="008753B7" w:rsidRDefault="00F567A3" w:rsidP="00F567A3">
            <w:pPr>
              <w:keepNext/>
              <w:spacing w:before="80" w:line="280" w:lineRule="atLeast"/>
              <w:jc w:val="both"/>
              <w:rPr>
                <w:rFonts w:ascii="Arial" w:hAnsi="Arial"/>
                <w:sz w:val="22"/>
                <w:szCs w:val="20"/>
              </w:rPr>
            </w:pPr>
            <w:r w:rsidRPr="008753B7">
              <w:rPr>
                <w:rFonts w:ascii="Arial" w:hAnsi="Arial"/>
                <w:sz w:val="22"/>
                <w:szCs w:val="20"/>
              </w:rPr>
              <w:t>In Victoria, a survey of post-school destinations (</w:t>
            </w:r>
            <w:r w:rsidRPr="008753B7">
              <w:rPr>
                <w:rFonts w:ascii="Arial" w:hAnsi="Arial"/>
                <w:i/>
                <w:iCs/>
                <w:sz w:val="22"/>
                <w:szCs w:val="20"/>
              </w:rPr>
              <w:t>On Track</w:t>
            </w:r>
            <w:r w:rsidRPr="008753B7">
              <w:rPr>
                <w:rFonts w:ascii="Arial" w:hAnsi="Arial"/>
                <w:sz w:val="22"/>
                <w:szCs w:val="20"/>
              </w:rPr>
              <w:t>) has been conducted annually since 2003. Consenting year 12 or equivalent completers and early leavers (from years 10, 11 and 12) from all Victorian schools participate in a telephone survey early in the year after they leave school.</w:t>
            </w:r>
          </w:p>
          <w:p w:rsidR="00F567A3" w:rsidRPr="008753B7" w:rsidRDefault="00F567A3" w:rsidP="008C39E8">
            <w:pPr>
              <w:pStyle w:val="Box"/>
            </w:pPr>
            <w:r w:rsidRPr="008753B7">
              <w:t>The 2013 On Track Survey contacted 33 771 (75.1 per cent) of the eligible 2012 year 12 or equivalent cohort from 550 schools, both government and non</w:t>
            </w:r>
            <w:r w:rsidRPr="008753B7">
              <w:rPr>
                <w:rFonts w:hint="eastAsia"/>
              </w:rPr>
              <w:noBreakHyphen/>
            </w:r>
            <w:r w:rsidRPr="008753B7">
              <w:t>government, as well as TAFE and Adult Community Education providers. Of these students, 76.1 per cent were in further education and training (53.2 per cent were enrolled at university, 15.8 per cent were TAFE enrolled and 7.1 per cent had taken up apprenticeships or traineeships). Of the 23.9 per cent who were not in further education and training, 10.2 per cent were in full or part time employment, 9.7 per cent had deferred a tertiary place and 3.6 per cent were looking for work.</w:t>
            </w:r>
          </w:p>
          <w:p w:rsidR="00666ECE" w:rsidRPr="008753B7" w:rsidRDefault="00666ECE" w:rsidP="00F567A3">
            <w:pPr>
              <w:pStyle w:val="BoxHeading1"/>
              <w:spacing w:before="120"/>
              <w:rPr>
                <w:sz w:val="24"/>
                <w:u w:val="dotted"/>
              </w:rPr>
            </w:pPr>
            <w:r w:rsidRPr="008753B7">
              <w:t xml:space="preserve">Queensland </w:t>
            </w:r>
          </w:p>
          <w:p w:rsidR="00F26D58" w:rsidRPr="008753B7" w:rsidRDefault="00F26D58" w:rsidP="00F26D58">
            <w:pPr>
              <w:pStyle w:val="Box"/>
            </w:pPr>
            <w:r w:rsidRPr="008753B7">
              <w:t xml:space="preserve">The annual Queensland </w:t>
            </w:r>
            <w:r w:rsidRPr="008753B7">
              <w:rPr>
                <w:i/>
              </w:rPr>
              <w:t>Next Step</w:t>
            </w:r>
            <w:r w:rsidRPr="008753B7">
              <w:t xml:space="preserve"> survey, first conducted in 2005, targets all students who completed Year 12 in government and non-government schools approximately six</w:t>
            </w:r>
            <w:r w:rsidR="00C35FD6" w:rsidRPr="008753B7">
              <w:t> </w:t>
            </w:r>
            <w:r w:rsidRPr="008753B7">
              <w:t>months after the completion of Year 12.</w:t>
            </w:r>
          </w:p>
          <w:p w:rsidR="00F26D58" w:rsidRPr="008753B7" w:rsidRDefault="00F26D58" w:rsidP="00F26D58">
            <w:pPr>
              <w:pStyle w:val="Box"/>
              <w:spacing w:before="80"/>
            </w:pPr>
            <w:r w:rsidRPr="008753B7">
              <w:t xml:space="preserve">The 2013 </w:t>
            </w:r>
            <w:r w:rsidRPr="008753B7">
              <w:rPr>
                <w:i/>
              </w:rPr>
              <w:t>Next Step</w:t>
            </w:r>
            <w:r w:rsidRPr="008753B7">
              <w:t xml:space="preserve"> survey collected responses from 39 482 Year 12 completers, an 81.9 per cent response rate. The results showed that 61.6 per cent were in some recognised form of education or training in the year after completing Year 12. This comprised 39.4 per cent undertaking a Bachelor Degree, 12.3 per cent undertaking campus-based vocational education and training (VET), with 7.1 per cent studying at Certificate IV level or higher. A further 10.0 per cent were in employment-based VET, either as an apprentice (6.9 per cent) or trainee (3.1 per cent). The remaining 38.4</w:t>
            </w:r>
            <w:r w:rsidR="00F567A3" w:rsidRPr="008753B7">
              <w:t> </w:t>
            </w:r>
            <w:r w:rsidRPr="008753B7">
              <w:t>per</w:t>
            </w:r>
            <w:r w:rsidR="00F567A3" w:rsidRPr="008753B7">
              <w:t> </w:t>
            </w:r>
            <w:r w:rsidRPr="008753B7">
              <w:t>cent did not enter post-school education or training and were either employed (25.9 per cent), seeking work (10.4 per cent), or not in the labour force, education or training (2.0 per cent). Young people who deferred a university offer represented 7.0</w:t>
            </w:r>
            <w:r w:rsidR="00F567A3" w:rsidRPr="008753B7">
              <w:t> </w:t>
            </w:r>
            <w:r w:rsidRPr="008753B7">
              <w:t>per</w:t>
            </w:r>
            <w:r w:rsidR="00F567A3" w:rsidRPr="008753B7">
              <w:t> </w:t>
            </w:r>
            <w:r w:rsidRPr="008753B7">
              <w:t>cent of the total cohort, most of whom were working (79.4 per cent).</w:t>
            </w:r>
          </w:p>
          <w:p w:rsidR="00666ECE" w:rsidRPr="008753B7" w:rsidRDefault="00666ECE" w:rsidP="00F567A3">
            <w:pPr>
              <w:pStyle w:val="BoxHeading1"/>
              <w:spacing w:before="120"/>
            </w:pPr>
            <w:r w:rsidRPr="008753B7">
              <w:t>Western Australia</w:t>
            </w:r>
          </w:p>
          <w:p w:rsidR="00666ECE" w:rsidRPr="008753B7" w:rsidRDefault="00F567A3" w:rsidP="00F567A3">
            <w:pPr>
              <w:pStyle w:val="Box"/>
              <w:spacing w:before="80"/>
            </w:pPr>
            <w:r w:rsidRPr="008753B7">
              <w:t>The WA School Leaver Destinations telephone survey has been conducted annually since 1996, collecting data about the post-school destinations of Year 12 completers. In 2013 the survey included former students from all government, most Catholic and some independent schools. Information was collected from 17,248 students representing 74.3 per cent of the total Year 12 student population as at Semester 2, 2012.  Of the responses, 81.7 per cent were in either education or training, with 50.7 per cent enrolled in university studies, 15.8 per cent in TAFE studies, 3.2 per cent having taken up an apprenticeship or a traineeship, 1.6 per cent either repeating Year 12 studies or engaged in other training and 10.4 per cent having deferred study or training. In addition, 6.2 per cent were engaged in full time employment, 6.8 per cent in part time employment, 4.1 per cent were looking for a work or a study opportunity, and 1.2 per cent were neither working nor seeking work.</w:t>
            </w:r>
          </w:p>
        </w:tc>
      </w:tr>
      <w:tr w:rsidR="00CB2D4B" w:rsidRPr="00CB2D4B" w:rsidTr="0036281D">
        <w:trPr>
          <w:cantSplit/>
        </w:trPr>
        <w:tc>
          <w:tcPr>
            <w:tcW w:w="8771" w:type="dxa"/>
            <w:tcBorders>
              <w:top w:val="nil"/>
              <w:left w:val="single" w:sz="4" w:space="0" w:color="auto"/>
              <w:bottom w:val="nil"/>
              <w:right w:val="single" w:sz="4" w:space="0" w:color="auto"/>
            </w:tcBorders>
          </w:tcPr>
          <w:p w:rsidR="00666ECE" w:rsidRPr="008753B7" w:rsidRDefault="00666ECE" w:rsidP="00F567A3">
            <w:pPr>
              <w:spacing w:line="220" w:lineRule="exact"/>
              <w:jc w:val="right"/>
              <w:rPr>
                <w:rFonts w:ascii="Arial" w:hAnsi="Arial"/>
                <w:sz w:val="18"/>
                <w:szCs w:val="20"/>
              </w:rPr>
            </w:pPr>
            <w:r w:rsidRPr="008753B7">
              <w:rPr>
                <w:rFonts w:ascii="Arial" w:hAnsi="Arial"/>
                <w:sz w:val="18"/>
                <w:szCs w:val="20"/>
              </w:rPr>
              <w:t>(Continued next page)</w:t>
            </w:r>
          </w:p>
        </w:tc>
      </w:tr>
      <w:tr w:rsidR="00666ECE" w:rsidRPr="00481083" w:rsidTr="0036281D">
        <w:trPr>
          <w:cantSplit/>
          <w:trHeight w:val="231"/>
        </w:trPr>
        <w:tc>
          <w:tcPr>
            <w:tcW w:w="8771" w:type="dxa"/>
            <w:tcBorders>
              <w:top w:val="nil"/>
              <w:left w:val="single" w:sz="4" w:space="0" w:color="auto"/>
              <w:bottom w:val="single" w:sz="4" w:space="0" w:color="auto"/>
              <w:right w:val="single" w:sz="4" w:space="0" w:color="auto"/>
            </w:tcBorders>
          </w:tcPr>
          <w:p w:rsidR="00666ECE" w:rsidRPr="00481083" w:rsidRDefault="00666ECE" w:rsidP="00666ECE">
            <w:pPr>
              <w:spacing w:line="120" w:lineRule="exact"/>
              <w:rPr>
                <w:rFonts w:ascii="Arial" w:hAnsi="Arial"/>
                <w:color w:val="FF0000"/>
                <w:sz w:val="16"/>
                <w:szCs w:val="16"/>
              </w:rPr>
            </w:pPr>
          </w:p>
        </w:tc>
      </w:tr>
    </w:tbl>
    <w:p w:rsidR="00666ECE" w:rsidRPr="00481083" w:rsidRDefault="00666ECE" w:rsidP="00666ECE">
      <w:pPr>
        <w:keepNext/>
        <w:spacing w:before="360" w:line="80" w:lineRule="exact"/>
        <w:rPr>
          <w:color w:val="FF0000"/>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6ECE" w:rsidRPr="00481083" w:rsidTr="0036281D">
        <w:trPr>
          <w:trHeight w:val="182"/>
        </w:trPr>
        <w:tc>
          <w:tcPr>
            <w:tcW w:w="8771" w:type="dxa"/>
            <w:tcBorders>
              <w:top w:val="single" w:sz="4" w:space="0" w:color="auto"/>
              <w:left w:val="single" w:sz="4" w:space="0" w:color="auto"/>
              <w:bottom w:val="nil"/>
              <w:right w:val="single" w:sz="4" w:space="0" w:color="auto"/>
            </w:tcBorders>
          </w:tcPr>
          <w:p w:rsidR="00666ECE" w:rsidRPr="00923B5C" w:rsidRDefault="00666ECE" w:rsidP="005E4316">
            <w:pPr>
              <w:keepNext/>
              <w:keepLines/>
              <w:spacing w:before="120" w:line="280" w:lineRule="exact"/>
              <w:ind w:left="1304" w:hanging="1304"/>
              <w:rPr>
                <w:rFonts w:ascii="Arial" w:hAnsi="Arial"/>
                <w:b/>
              </w:rPr>
            </w:pPr>
            <w:r w:rsidRPr="00923B5C">
              <w:rPr>
                <w:rFonts w:ascii="Arial" w:hAnsi="Arial"/>
                <w:sz w:val="24"/>
              </w:rPr>
              <w:t>Box 4.1</w:t>
            </w:r>
            <w:r w:rsidR="005E4316" w:rsidRPr="00923B5C">
              <w:rPr>
                <w:rFonts w:ascii="Arial" w:hAnsi="Arial"/>
                <w:sz w:val="24"/>
              </w:rPr>
              <w:t>4</w:t>
            </w:r>
            <w:r w:rsidRPr="00923B5C">
              <w:rPr>
                <w:rFonts w:ascii="Arial" w:hAnsi="Arial"/>
                <w:b/>
              </w:rPr>
              <w:tab/>
            </w:r>
            <w:r w:rsidRPr="00923B5C">
              <w:rPr>
                <w:rFonts w:ascii="Arial" w:hAnsi="Arial"/>
                <w:sz w:val="18"/>
                <w:szCs w:val="18"/>
              </w:rPr>
              <w:t>(continued)</w:t>
            </w:r>
          </w:p>
        </w:tc>
      </w:tr>
      <w:tr w:rsidR="00666ECE" w:rsidRPr="00481083" w:rsidTr="0036281D">
        <w:trPr>
          <w:cantSplit/>
        </w:trPr>
        <w:tc>
          <w:tcPr>
            <w:tcW w:w="8771" w:type="dxa"/>
            <w:tcBorders>
              <w:top w:val="nil"/>
              <w:left w:val="single" w:sz="4" w:space="0" w:color="auto"/>
              <w:bottom w:val="nil"/>
              <w:right w:val="single" w:sz="4" w:space="0" w:color="auto"/>
            </w:tcBorders>
          </w:tcPr>
          <w:p w:rsidR="00666ECE" w:rsidRPr="00923B5C" w:rsidRDefault="00666ECE" w:rsidP="00F567A3">
            <w:pPr>
              <w:pStyle w:val="BoxHeading1"/>
              <w:spacing w:before="120"/>
            </w:pPr>
            <w:r w:rsidRPr="00923B5C">
              <w:t>Tasmania</w:t>
            </w:r>
            <w:r w:rsidR="008C39E8" w:rsidRPr="00923B5C">
              <w:t xml:space="preserve"> </w:t>
            </w:r>
          </w:p>
          <w:p w:rsidR="0044298F" w:rsidRPr="00923B5C" w:rsidRDefault="0044298F" w:rsidP="0044298F">
            <w:pPr>
              <w:pStyle w:val="Box"/>
              <w:spacing w:before="80"/>
            </w:pPr>
            <w:r w:rsidRPr="00923B5C">
              <w:t xml:space="preserve">Since 2007, all Year 10 students lodge a participation plan with the Tasmanian Qualifications Authority in the year they complete this final year of compulsory school. Students are required to be in an eligible option (education, training or employment) until they turn 17. Since 2008, the Authority has collected attainment data from all providers of post year 10 education and training and conducted early leavers/destination surveys for persons aged 15–19 years. </w:t>
            </w:r>
            <w:r w:rsidR="006971C5" w:rsidRPr="00923B5C">
              <w:t>Of the Year 10 cohort in 2010, 68.6 per cent continued in education or training at half time or better in 2011 and 55.6 per cent continued at half time or better in 2012. Of the 2011 Year 10 cohort, 71.3</w:t>
            </w:r>
            <w:r w:rsidR="0066655C" w:rsidRPr="00923B5C">
              <w:t> </w:t>
            </w:r>
            <w:r w:rsidR="006971C5" w:rsidRPr="00923B5C">
              <w:t>per</w:t>
            </w:r>
            <w:r w:rsidR="0066655C" w:rsidRPr="00923B5C">
              <w:t> </w:t>
            </w:r>
            <w:r w:rsidR="006971C5" w:rsidRPr="00923B5C">
              <w:t>cent continued in education or training at half time or better in 2012.</w:t>
            </w:r>
            <w:r w:rsidRPr="00923B5C">
              <w:t xml:space="preserve"> A telephone survey of Year 10 and 11 leavers (persons not recorded as continuing in education and training from the previous year) and all Year 12 leavers was conducted in 2011 and 2012. An analysis of the 2010 surve</w:t>
            </w:r>
            <w:r w:rsidR="006E4442" w:rsidRPr="00923B5C">
              <w:t>y data was released in mid 2011.</w:t>
            </w:r>
          </w:p>
          <w:p w:rsidR="00666ECE" w:rsidRPr="00923B5C" w:rsidRDefault="00666ECE" w:rsidP="00F567A3">
            <w:pPr>
              <w:pStyle w:val="BoxHeading1"/>
              <w:spacing w:before="120"/>
            </w:pPr>
            <w:r w:rsidRPr="00923B5C">
              <w:t>A</w:t>
            </w:r>
            <w:r w:rsidR="00927DE2" w:rsidRPr="00923B5C">
              <w:t>ustralian Capital Territory</w:t>
            </w:r>
            <w:r w:rsidRPr="00923B5C">
              <w:t xml:space="preserve"> </w:t>
            </w:r>
          </w:p>
          <w:p w:rsidR="00F26D58" w:rsidRPr="00923B5C" w:rsidRDefault="00F26D58" w:rsidP="00F26D58">
            <w:pPr>
              <w:keepNext/>
              <w:spacing w:before="120" w:line="280" w:lineRule="atLeast"/>
              <w:jc w:val="both"/>
              <w:rPr>
                <w:rFonts w:ascii="Arial" w:hAnsi="Arial"/>
                <w:sz w:val="22"/>
                <w:szCs w:val="20"/>
              </w:rPr>
            </w:pPr>
            <w:r w:rsidRPr="00923B5C">
              <w:rPr>
                <w:rFonts w:ascii="Arial" w:hAnsi="Arial"/>
                <w:sz w:val="22"/>
                <w:szCs w:val="20"/>
              </w:rPr>
              <w:t>Since 2007, the ACT has conducted a telephone-based survey of government and non-government students who successfully completed an ACT Year 12 Certificate in the preceding year. The survey seeks information on the destinations of students six months after completion of year 12 and satisfaction with their experience in year</w:t>
            </w:r>
            <w:r w:rsidR="00C35FD6" w:rsidRPr="00923B5C">
              <w:rPr>
                <w:rFonts w:ascii="Arial" w:hAnsi="Arial"/>
                <w:sz w:val="22"/>
                <w:szCs w:val="20"/>
              </w:rPr>
              <w:t xml:space="preserve"> </w:t>
            </w:r>
            <w:r w:rsidRPr="00923B5C">
              <w:rPr>
                <w:rFonts w:ascii="Arial" w:hAnsi="Arial"/>
                <w:sz w:val="22"/>
                <w:szCs w:val="20"/>
              </w:rPr>
              <w:t>11</w:t>
            </w:r>
            <w:r w:rsidR="00C35FD6" w:rsidRPr="00923B5C">
              <w:rPr>
                <w:rFonts w:ascii="Arial" w:hAnsi="Arial"/>
                <w:sz w:val="22"/>
                <w:szCs w:val="20"/>
              </w:rPr>
              <w:t xml:space="preserve"> </w:t>
            </w:r>
            <w:r w:rsidRPr="00923B5C">
              <w:rPr>
                <w:rFonts w:ascii="Arial" w:hAnsi="Arial"/>
                <w:sz w:val="22"/>
                <w:szCs w:val="20"/>
              </w:rPr>
              <w:t>and 12. In 2012, responses were received from 77 per cent of the 2011 graduates who were contacted. The 2012 survey found that 94 per cent of 2011 graduates were employed or studying in 2012 and overall 97 per cent found year 11</w:t>
            </w:r>
            <w:r w:rsidR="00C35FD6" w:rsidRPr="00923B5C">
              <w:rPr>
                <w:rFonts w:ascii="Arial" w:hAnsi="Arial"/>
                <w:sz w:val="22"/>
                <w:szCs w:val="20"/>
              </w:rPr>
              <w:t> </w:t>
            </w:r>
            <w:r w:rsidRPr="00923B5C">
              <w:rPr>
                <w:rFonts w:ascii="Arial" w:hAnsi="Arial"/>
                <w:sz w:val="22"/>
                <w:szCs w:val="20"/>
              </w:rPr>
              <w:t>and</w:t>
            </w:r>
            <w:r w:rsidR="00C35FD6" w:rsidRPr="00923B5C">
              <w:rPr>
                <w:rFonts w:ascii="Arial" w:hAnsi="Arial"/>
                <w:sz w:val="22"/>
                <w:szCs w:val="20"/>
              </w:rPr>
              <w:t> </w:t>
            </w:r>
            <w:r w:rsidRPr="00923B5C">
              <w:rPr>
                <w:rFonts w:ascii="Arial" w:hAnsi="Arial"/>
                <w:sz w:val="22"/>
                <w:szCs w:val="20"/>
              </w:rPr>
              <w:t>12 worthwhile. Of the 57 per cent of 2011 graduates studying in 2012, 68</w:t>
            </w:r>
            <w:r w:rsidR="00C35FD6" w:rsidRPr="00923B5C">
              <w:rPr>
                <w:rFonts w:ascii="Arial" w:hAnsi="Arial"/>
                <w:sz w:val="22"/>
                <w:szCs w:val="20"/>
              </w:rPr>
              <w:t> </w:t>
            </w:r>
            <w:r w:rsidRPr="00923B5C">
              <w:rPr>
                <w:rFonts w:ascii="Arial" w:hAnsi="Arial"/>
                <w:sz w:val="22"/>
                <w:szCs w:val="20"/>
              </w:rPr>
              <w:t>per</w:t>
            </w:r>
            <w:r w:rsidR="00C35FD6" w:rsidRPr="00923B5C">
              <w:rPr>
                <w:rFonts w:ascii="Arial" w:hAnsi="Arial"/>
                <w:sz w:val="22"/>
                <w:szCs w:val="20"/>
              </w:rPr>
              <w:t> </w:t>
            </w:r>
            <w:r w:rsidRPr="00923B5C">
              <w:rPr>
                <w:rFonts w:ascii="Arial" w:hAnsi="Arial"/>
                <w:sz w:val="22"/>
                <w:szCs w:val="20"/>
              </w:rPr>
              <w:t>cent reported that they were studying at a Bachelor level or higher, 14 per cent at Certificate III level, 6</w:t>
            </w:r>
            <w:r w:rsidR="0066655C" w:rsidRPr="00923B5C">
              <w:rPr>
                <w:rFonts w:ascii="Arial" w:hAnsi="Arial"/>
                <w:sz w:val="22"/>
                <w:szCs w:val="20"/>
              </w:rPr>
              <w:t> </w:t>
            </w:r>
            <w:r w:rsidRPr="00923B5C">
              <w:rPr>
                <w:rFonts w:ascii="Arial" w:hAnsi="Arial"/>
                <w:sz w:val="22"/>
                <w:szCs w:val="20"/>
              </w:rPr>
              <w:t>per</w:t>
            </w:r>
            <w:r w:rsidR="0066655C" w:rsidRPr="00923B5C">
              <w:rPr>
                <w:rFonts w:ascii="Arial" w:hAnsi="Arial"/>
                <w:sz w:val="22"/>
                <w:szCs w:val="20"/>
              </w:rPr>
              <w:t> </w:t>
            </w:r>
            <w:r w:rsidRPr="00923B5C">
              <w:rPr>
                <w:rFonts w:ascii="Arial" w:hAnsi="Arial"/>
                <w:sz w:val="22"/>
                <w:szCs w:val="20"/>
              </w:rPr>
              <w:t>cent at Certificate IV level, 5 per cent at Diploma or Associate Diploma level, 3</w:t>
            </w:r>
            <w:r w:rsidR="00A5566A" w:rsidRPr="00923B5C">
              <w:rPr>
                <w:rFonts w:ascii="Arial" w:hAnsi="Arial"/>
                <w:sz w:val="22"/>
                <w:szCs w:val="20"/>
              </w:rPr>
              <w:t> </w:t>
            </w:r>
            <w:r w:rsidRPr="00923B5C">
              <w:rPr>
                <w:rFonts w:ascii="Arial" w:hAnsi="Arial"/>
                <w:sz w:val="22"/>
                <w:szCs w:val="20"/>
              </w:rPr>
              <w:t>per</w:t>
            </w:r>
            <w:r w:rsidR="00A5566A" w:rsidRPr="00923B5C">
              <w:rPr>
                <w:rFonts w:ascii="Arial" w:hAnsi="Arial"/>
                <w:sz w:val="22"/>
                <w:szCs w:val="20"/>
              </w:rPr>
              <w:t> </w:t>
            </w:r>
            <w:r w:rsidRPr="00923B5C">
              <w:rPr>
                <w:rFonts w:ascii="Arial" w:hAnsi="Arial"/>
                <w:sz w:val="22"/>
                <w:szCs w:val="20"/>
              </w:rPr>
              <w:t>cent at Advanced Diploma or Associate Degree level and 5 per cent at other levels. Students who speak a language other than English at home were more likely to be studying (77 per cent) than those who did not (54 per cent).</w:t>
            </w:r>
          </w:p>
          <w:p w:rsidR="006E4442" w:rsidRPr="00923B5C" w:rsidRDefault="006E4442" w:rsidP="00F567A3">
            <w:pPr>
              <w:pStyle w:val="BoxHeading1"/>
              <w:spacing w:before="120"/>
              <w:rPr>
                <w:rFonts w:ascii="Times New Roman" w:hAnsi="Times New Roman"/>
                <w:u w:val="dotted"/>
              </w:rPr>
            </w:pPr>
            <w:r w:rsidRPr="00923B5C">
              <w:t>N</w:t>
            </w:r>
            <w:r w:rsidR="00927DE2" w:rsidRPr="00923B5C">
              <w:t>orthern Territory</w:t>
            </w:r>
            <w:r w:rsidR="00EA078D" w:rsidRPr="00923B5C">
              <w:t xml:space="preserve"> </w:t>
            </w:r>
          </w:p>
          <w:p w:rsidR="00666ECE" w:rsidRPr="00923B5C" w:rsidRDefault="00FF24CC" w:rsidP="00E161F4">
            <w:pPr>
              <w:pStyle w:val="Box"/>
            </w:pPr>
            <w:r w:rsidRPr="00923B5C">
              <w:rPr>
                <w:shd w:val="clear" w:color="auto" w:fill="FFFFFF" w:themeFill="background1"/>
              </w:rPr>
              <w:t xml:space="preserve">Post school destination surveys of the Year 12 Northern Territory Certificate of Education and Training (NTCET) completers were carried out from late April to early May 2013, </w:t>
            </w:r>
            <w:r w:rsidR="00E161F4" w:rsidRPr="00923B5C">
              <w:rPr>
                <w:shd w:val="clear" w:color="auto" w:fill="FFFFFF" w:themeFill="background1"/>
              </w:rPr>
              <w:t>some five to six</w:t>
            </w:r>
            <w:r w:rsidRPr="00923B5C">
              <w:rPr>
                <w:shd w:val="clear" w:color="auto" w:fill="FFFFFF" w:themeFill="background1"/>
              </w:rPr>
              <w:t xml:space="preserve"> months after the NTCET students had completed school. The 2013 survey had a 28.3 per cent response rate from a total cohort of 1210 students. From the responses collected, 64.3 per cent of the young people were in employment (55.45 per cent were employed fulltime, and 44.6 per cent in part time or casual employment). Amongst respondents, 64.5 per cent of NTCET completers applied for University/TAFE, of which 90.9 per cent received an offer. Of those students who received an offer, 62.3 per cent accepted the offer, 34.7 per cent deferred and 3.0 per cent either declined or entered another study option. Of those who entered into further education or training, 74.8 per cent were studying a University degree. The remainder were undertaking Certificate and Diploma courses.</w:t>
            </w:r>
          </w:p>
        </w:tc>
      </w:tr>
      <w:tr w:rsidR="00666ECE" w:rsidRPr="00666ECE" w:rsidTr="0036281D">
        <w:trPr>
          <w:cantSplit/>
        </w:trPr>
        <w:tc>
          <w:tcPr>
            <w:tcW w:w="8771" w:type="dxa"/>
            <w:tcBorders>
              <w:top w:val="nil"/>
              <w:left w:val="single" w:sz="4" w:space="0" w:color="auto"/>
              <w:bottom w:val="single" w:sz="4" w:space="0" w:color="auto"/>
              <w:right w:val="single" w:sz="4" w:space="0" w:color="auto"/>
            </w:tcBorders>
          </w:tcPr>
          <w:p w:rsidR="00666ECE" w:rsidRPr="00666ECE" w:rsidRDefault="00666ECE" w:rsidP="004A4FDF">
            <w:pPr>
              <w:spacing w:before="80" w:after="100" w:line="220" w:lineRule="exact"/>
              <w:rPr>
                <w:rFonts w:ascii="Arial" w:hAnsi="Arial"/>
                <w:sz w:val="18"/>
                <w:szCs w:val="20"/>
              </w:rPr>
            </w:pPr>
            <w:r w:rsidRPr="00666ECE">
              <w:rPr>
                <w:rFonts w:ascii="Arial" w:hAnsi="Arial"/>
                <w:i/>
                <w:sz w:val="18"/>
                <w:szCs w:val="20"/>
              </w:rPr>
              <w:t>Source</w:t>
            </w:r>
            <w:r w:rsidRPr="00666ECE">
              <w:rPr>
                <w:rFonts w:ascii="Arial" w:hAnsi="Arial"/>
                <w:sz w:val="18"/>
                <w:szCs w:val="20"/>
              </w:rPr>
              <w:t>: State and Territory governments (unpublished).</w:t>
            </w:r>
          </w:p>
        </w:tc>
      </w:tr>
    </w:tbl>
    <w:p w:rsidR="00666ECE" w:rsidRPr="00666ECE" w:rsidRDefault="00666ECE" w:rsidP="00666ECE">
      <w:pPr>
        <w:keepNext/>
        <w:numPr>
          <w:ilvl w:val="1"/>
          <w:numId w:val="20"/>
        </w:numPr>
        <w:spacing w:before="600" w:line="400" w:lineRule="exact"/>
        <w:outlineLvl w:val="1"/>
        <w:rPr>
          <w:rFonts w:ascii="Arial" w:hAnsi="Arial"/>
          <w:b/>
          <w:sz w:val="32"/>
        </w:rPr>
      </w:pPr>
      <w:bookmarkStart w:id="55" w:name="_Toc374962350"/>
      <w:r w:rsidRPr="00666ECE">
        <w:rPr>
          <w:rFonts w:ascii="Arial" w:hAnsi="Arial"/>
          <w:b/>
          <w:sz w:val="32"/>
        </w:rPr>
        <w:lastRenderedPageBreak/>
        <w:t>Future directions in performance reporting</w:t>
      </w:r>
      <w:bookmarkEnd w:id="55"/>
    </w:p>
    <w:p w:rsidR="00666ECE" w:rsidRPr="00666ECE" w:rsidRDefault="00666ECE" w:rsidP="00666ECE">
      <w:pPr>
        <w:keepNext/>
        <w:spacing w:before="560" w:line="320" w:lineRule="exact"/>
        <w:outlineLvl w:val="2"/>
        <w:rPr>
          <w:rFonts w:ascii="Arial" w:hAnsi="Arial"/>
          <w:b/>
        </w:rPr>
      </w:pPr>
      <w:r w:rsidRPr="00666ECE">
        <w:rPr>
          <w:rFonts w:ascii="Arial" w:hAnsi="Arial"/>
          <w:b/>
        </w:rPr>
        <w:t>COAG developments</w:t>
      </w:r>
    </w:p>
    <w:p w:rsidR="00666ECE" w:rsidRPr="00666ECE" w:rsidRDefault="00280C38" w:rsidP="00666ECE">
      <w:pPr>
        <w:keepNext/>
        <w:spacing w:before="480" w:line="320" w:lineRule="exact"/>
        <w:outlineLvl w:val="3"/>
        <w:rPr>
          <w:rFonts w:ascii="Arial" w:hAnsi="Arial"/>
          <w:i/>
          <w:sz w:val="24"/>
        </w:rPr>
      </w:pPr>
      <w:r>
        <w:rPr>
          <w:rFonts w:ascii="Arial" w:hAnsi="Arial"/>
          <w:i/>
          <w:sz w:val="24"/>
        </w:rPr>
        <w:t>SCSEEC review of Key Performance Measurement Framework</w:t>
      </w:r>
    </w:p>
    <w:p w:rsidR="00666ECE" w:rsidRPr="00666ECE" w:rsidRDefault="00280C38" w:rsidP="00666ECE">
      <w:pPr>
        <w:spacing w:before="240" w:line="320" w:lineRule="atLeast"/>
        <w:jc w:val="both"/>
        <w:rPr>
          <w:szCs w:val="20"/>
        </w:rPr>
      </w:pPr>
      <w:r>
        <w:rPr>
          <w:szCs w:val="20"/>
        </w:rPr>
        <w:t>Future revisions may occur as a result of</w:t>
      </w:r>
      <w:r w:rsidR="00666ECE" w:rsidRPr="00666ECE">
        <w:rPr>
          <w:szCs w:val="20"/>
        </w:rPr>
        <w:t xml:space="preserve"> </w:t>
      </w:r>
      <w:r w:rsidR="00FF3391">
        <w:rPr>
          <w:szCs w:val="20"/>
        </w:rPr>
        <w:t xml:space="preserve">ongoing </w:t>
      </w:r>
      <w:r w:rsidR="007F7D6B">
        <w:rPr>
          <w:szCs w:val="20"/>
        </w:rPr>
        <w:t>SCSEEC</w:t>
      </w:r>
      <w:r w:rsidR="00666ECE" w:rsidRPr="00666ECE">
        <w:rPr>
          <w:szCs w:val="20"/>
        </w:rPr>
        <w:t xml:space="preserve"> review of its Key Performance Measurement Framework relating to the Melbourne Declaration and COAG agreed measures.</w:t>
      </w:r>
      <w:r>
        <w:rPr>
          <w:szCs w:val="20"/>
        </w:rPr>
        <w:t xml:space="preserve"> The Steering Committee will consider any implications of this review for future reports.</w:t>
      </w:r>
    </w:p>
    <w:p w:rsidR="00666ECE" w:rsidRPr="00FF3391" w:rsidRDefault="00FF3391" w:rsidP="00666ECE">
      <w:pPr>
        <w:keepNext/>
        <w:spacing w:before="560" w:line="320" w:lineRule="exact"/>
        <w:outlineLvl w:val="2"/>
        <w:rPr>
          <w:rFonts w:ascii="Arial" w:hAnsi="Arial"/>
          <w:b/>
        </w:rPr>
      </w:pPr>
      <w:r w:rsidRPr="00FF3391">
        <w:rPr>
          <w:rFonts w:ascii="Arial" w:hAnsi="Arial"/>
          <w:b/>
        </w:rPr>
        <w:t>Attendance rates, c</w:t>
      </w:r>
      <w:r w:rsidR="00666ECE" w:rsidRPr="00FF3391">
        <w:rPr>
          <w:rFonts w:ascii="Arial" w:hAnsi="Arial"/>
          <w:b/>
        </w:rPr>
        <w:t xml:space="preserve">ompletion rates, </w:t>
      </w:r>
      <w:r w:rsidR="0093337F" w:rsidRPr="00FF3391">
        <w:rPr>
          <w:rFonts w:ascii="Arial" w:hAnsi="Arial"/>
          <w:b/>
        </w:rPr>
        <w:t>p</w:t>
      </w:r>
      <w:r w:rsidR="00666ECE" w:rsidRPr="00FF3391">
        <w:rPr>
          <w:rFonts w:ascii="Arial" w:hAnsi="Arial"/>
          <w:b/>
        </w:rPr>
        <w:t>articipation</w:t>
      </w:r>
      <w:r w:rsidR="00BF47EB">
        <w:rPr>
          <w:rFonts w:ascii="Arial" w:hAnsi="Arial"/>
          <w:b/>
        </w:rPr>
        <w:t xml:space="preserve">, </w:t>
      </w:r>
      <w:r w:rsidR="00666ECE" w:rsidRPr="00FF3391">
        <w:rPr>
          <w:rFonts w:ascii="Arial" w:hAnsi="Arial"/>
          <w:b/>
        </w:rPr>
        <w:t xml:space="preserve">retention </w:t>
      </w:r>
      <w:r w:rsidR="00BF47EB">
        <w:rPr>
          <w:rFonts w:ascii="Arial" w:hAnsi="Arial"/>
          <w:b/>
        </w:rPr>
        <w:t>and destination data</w:t>
      </w:r>
    </w:p>
    <w:p w:rsidR="00FF3391" w:rsidRPr="00FF3391" w:rsidRDefault="00FF3391" w:rsidP="00D3193D">
      <w:pPr>
        <w:shd w:val="clear" w:color="auto" w:fill="FFFFFF" w:themeFill="background1"/>
        <w:spacing w:before="240" w:line="320" w:lineRule="atLeast"/>
        <w:jc w:val="both"/>
        <w:rPr>
          <w:szCs w:val="20"/>
        </w:rPr>
      </w:pPr>
      <w:r w:rsidRPr="00FF3391">
        <w:rPr>
          <w:szCs w:val="20"/>
        </w:rPr>
        <w:t xml:space="preserve">New nationally comparable attendance data </w:t>
      </w:r>
      <w:r w:rsidR="00C35FD6">
        <w:rPr>
          <w:szCs w:val="20"/>
        </w:rPr>
        <w:t>are</w:t>
      </w:r>
      <w:r w:rsidRPr="00FF3391">
        <w:rPr>
          <w:szCs w:val="20"/>
        </w:rPr>
        <w:t xml:space="preserve"> expected to be available for 201</w:t>
      </w:r>
      <w:r w:rsidR="00652B79">
        <w:rPr>
          <w:szCs w:val="20"/>
        </w:rPr>
        <w:t>4</w:t>
      </w:r>
      <w:r w:rsidRPr="00FF3391">
        <w:rPr>
          <w:szCs w:val="20"/>
        </w:rPr>
        <w:t xml:space="preserve">, for </w:t>
      </w:r>
      <w:r w:rsidR="00C35FD6">
        <w:rPr>
          <w:szCs w:val="20"/>
        </w:rPr>
        <w:t xml:space="preserve">inclusion in </w:t>
      </w:r>
      <w:r w:rsidRPr="00FF3391">
        <w:rPr>
          <w:szCs w:val="20"/>
        </w:rPr>
        <w:t>the 201</w:t>
      </w:r>
      <w:r w:rsidR="00652B79">
        <w:rPr>
          <w:szCs w:val="20"/>
        </w:rPr>
        <w:t>6</w:t>
      </w:r>
      <w:r w:rsidRPr="00FF3391">
        <w:rPr>
          <w:szCs w:val="20"/>
        </w:rPr>
        <w:t xml:space="preserve"> Report. </w:t>
      </w:r>
    </w:p>
    <w:p w:rsidR="00666ECE" w:rsidRPr="00FF3391" w:rsidRDefault="00666ECE" w:rsidP="00666ECE">
      <w:pPr>
        <w:spacing w:before="240" w:line="320" w:lineRule="atLeast"/>
        <w:jc w:val="both"/>
        <w:rPr>
          <w:szCs w:val="20"/>
        </w:rPr>
      </w:pPr>
      <w:r w:rsidRPr="00FF3391">
        <w:rPr>
          <w:szCs w:val="20"/>
        </w:rPr>
        <w:t xml:space="preserve">The year 12 completion rate included in this Report </w:t>
      </w:r>
      <w:r w:rsidR="00FF3391" w:rsidRPr="00FF3391">
        <w:rPr>
          <w:szCs w:val="20"/>
        </w:rPr>
        <w:t>are under review</w:t>
      </w:r>
      <w:r w:rsidRPr="00FF3391">
        <w:rPr>
          <w:szCs w:val="20"/>
        </w:rPr>
        <w:t xml:space="preserve"> and a nationally comparable measure </w:t>
      </w:r>
      <w:r w:rsidR="00FF3391" w:rsidRPr="00FF3391">
        <w:rPr>
          <w:szCs w:val="20"/>
        </w:rPr>
        <w:t>is anticipated to be included</w:t>
      </w:r>
      <w:r w:rsidRPr="00FF3391">
        <w:rPr>
          <w:szCs w:val="20"/>
        </w:rPr>
        <w:t xml:space="preserve"> in future Reports.</w:t>
      </w:r>
    </w:p>
    <w:p w:rsidR="00666ECE" w:rsidRDefault="00666ECE" w:rsidP="00666ECE">
      <w:pPr>
        <w:spacing w:before="240" w:line="320" w:lineRule="atLeast"/>
        <w:jc w:val="both"/>
        <w:rPr>
          <w:szCs w:val="20"/>
        </w:rPr>
      </w:pPr>
      <w:r w:rsidRPr="00FF3391">
        <w:rPr>
          <w:szCs w:val="20"/>
        </w:rPr>
        <w:t>The participation rate for 14–19 year old</w:t>
      </w:r>
      <w:r w:rsidR="0093337F" w:rsidRPr="00FF3391">
        <w:rPr>
          <w:szCs w:val="20"/>
        </w:rPr>
        <w:t xml:space="preserve"> student</w:t>
      </w:r>
      <w:r w:rsidRPr="00FF3391">
        <w:rPr>
          <w:szCs w:val="20"/>
        </w:rPr>
        <w:t>s includes part time students. However, the traditional year 7/8 to year 12 apparent retention rate, and the year</w:t>
      </w:r>
      <w:r w:rsidR="00280C38" w:rsidRPr="00FF3391">
        <w:rPr>
          <w:szCs w:val="20"/>
        </w:rPr>
        <w:t> </w:t>
      </w:r>
      <w:r w:rsidRPr="00FF3391">
        <w:rPr>
          <w:szCs w:val="20"/>
        </w:rPr>
        <w:t xml:space="preserve">10–12 apparent retention rate, are based on full time school students only. These measures are under examination, and additional participation measures are reported in the </w:t>
      </w:r>
      <w:r w:rsidR="009D7D07" w:rsidRPr="00FF3391">
        <w:rPr>
          <w:szCs w:val="20"/>
        </w:rPr>
        <w:t xml:space="preserve">Child care, education and training </w:t>
      </w:r>
      <w:r w:rsidR="003932A0" w:rsidRPr="00FF3391">
        <w:rPr>
          <w:szCs w:val="20"/>
        </w:rPr>
        <w:t>sector overview</w:t>
      </w:r>
      <w:r w:rsidRPr="00FF3391">
        <w:rPr>
          <w:szCs w:val="20"/>
        </w:rPr>
        <w:t>.</w:t>
      </w:r>
    </w:p>
    <w:p w:rsidR="00BF47EB" w:rsidRPr="00FF3391" w:rsidRDefault="00BF47EB" w:rsidP="00D3193D">
      <w:pPr>
        <w:shd w:val="clear" w:color="auto" w:fill="FFFFFF" w:themeFill="background1"/>
        <w:spacing w:before="240" w:line="320" w:lineRule="atLeast"/>
        <w:jc w:val="both"/>
        <w:rPr>
          <w:szCs w:val="20"/>
        </w:rPr>
      </w:pPr>
      <w:r>
        <w:rPr>
          <w:szCs w:val="20"/>
        </w:rPr>
        <w:t>The outcome indicator ‘destination’ will be reviewed for the 2015 Report.</w:t>
      </w:r>
    </w:p>
    <w:p w:rsidR="00666ECE" w:rsidRPr="00FF3391" w:rsidRDefault="00666ECE" w:rsidP="00666ECE">
      <w:pPr>
        <w:keepNext/>
        <w:spacing w:before="560" w:line="320" w:lineRule="exact"/>
        <w:outlineLvl w:val="2"/>
        <w:rPr>
          <w:rFonts w:ascii="Arial" w:hAnsi="Arial"/>
          <w:b/>
        </w:rPr>
      </w:pPr>
      <w:r w:rsidRPr="00FF3391">
        <w:rPr>
          <w:rFonts w:ascii="Arial" w:hAnsi="Arial"/>
          <w:b/>
        </w:rPr>
        <w:t xml:space="preserve">Nationally comparable reporting of learning outcomes </w:t>
      </w:r>
    </w:p>
    <w:p w:rsidR="00666ECE" w:rsidRPr="00FF3391" w:rsidRDefault="00666ECE" w:rsidP="00666ECE">
      <w:pPr>
        <w:spacing w:before="240" w:line="320" w:lineRule="atLeast"/>
        <w:jc w:val="both"/>
        <w:rPr>
          <w:szCs w:val="20"/>
        </w:rPr>
      </w:pPr>
      <w:r w:rsidRPr="00FF3391">
        <w:rPr>
          <w:szCs w:val="20"/>
        </w:rPr>
        <w:t>The National Summary Report of results from the 201</w:t>
      </w:r>
      <w:r w:rsidR="00FF3391" w:rsidRPr="00FF3391">
        <w:rPr>
          <w:szCs w:val="20"/>
        </w:rPr>
        <w:t>3</w:t>
      </w:r>
      <w:r w:rsidRPr="00FF3391">
        <w:rPr>
          <w:szCs w:val="20"/>
        </w:rPr>
        <w:t xml:space="preserve"> NAPLAN was released in September </w:t>
      </w:r>
      <w:r w:rsidRPr="005713CC">
        <w:rPr>
          <w:szCs w:val="20"/>
        </w:rPr>
        <w:t>201</w:t>
      </w:r>
      <w:r w:rsidR="00FF3391" w:rsidRPr="005713CC">
        <w:rPr>
          <w:szCs w:val="20"/>
        </w:rPr>
        <w:t>3</w:t>
      </w:r>
      <w:r w:rsidRPr="005713CC">
        <w:rPr>
          <w:szCs w:val="20"/>
        </w:rPr>
        <w:t xml:space="preserve"> </w:t>
      </w:r>
      <w:bookmarkStart w:id="56" w:name="OLE_LINK92"/>
      <w:bookmarkStart w:id="57" w:name="OLE_LINK93"/>
      <w:r w:rsidRPr="005713CC">
        <w:rPr>
          <w:szCs w:val="20"/>
        </w:rPr>
        <w:t>(ACARA 201</w:t>
      </w:r>
      <w:r w:rsidR="005713CC" w:rsidRPr="005713CC">
        <w:rPr>
          <w:szCs w:val="20"/>
        </w:rPr>
        <w:t>3</w:t>
      </w:r>
      <w:r w:rsidRPr="005713CC">
        <w:rPr>
          <w:szCs w:val="20"/>
        </w:rPr>
        <w:t xml:space="preserve">b). </w:t>
      </w:r>
      <w:bookmarkEnd w:id="56"/>
      <w:bookmarkEnd w:id="57"/>
      <w:r w:rsidRPr="005713CC">
        <w:rPr>
          <w:szCs w:val="20"/>
        </w:rPr>
        <w:t>Results</w:t>
      </w:r>
      <w:r w:rsidRPr="00FF3391">
        <w:rPr>
          <w:szCs w:val="20"/>
        </w:rPr>
        <w:t xml:space="preserve"> from a second report with more detailed information (including disaggregation by Indigenous status and geolocation) will be included in the 201</w:t>
      </w:r>
      <w:r w:rsidR="00FF3391" w:rsidRPr="00FF3391">
        <w:rPr>
          <w:szCs w:val="20"/>
        </w:rPr>
        <w:t>5</w:t>
      </w:r>
      <w:r w:rsidRPr="00FF3391">
        <w:rPr>
          <w:szCs w:val="20"/>
        </w:rPr>
        <w:t> Report.</w:t>
      </w:r>
    </w:p>
    <w:p w:rsidR="00666ECE" w:rsidRPr="00FF3391" w:rsidRDefault="00666ECE" w:rsidP="00666ECE">
      <w:pPr>
        <w:keepNext/>
        <w:spacing w:before="480" w:line="320" w:lineRule="exact"/>
        <w:outlineLvl w:val="3"/>
        <w:rPr>
          <w:rFonts w:ascii="Arial" w:hAnsi="Arial"/>
          <w:i/>
          <w:sz w:val="24"/>
        </w:rPr>
      </w:pPr>
      <w:r w:rsidRPr="00FF3391">
        <w:rPr>
          <w:rFonts w:ascii="Arial" w:hAnsi="Arial"/>
          <w:i/>
          <w:sz w:val="24"/>
        </w:rPr>
        <w:t>Nationally consistent definitions</w:t>
      </w:r>
    </w:p>
    <w:p w:rsidR="00666ECE" w:rsidRPr="00FF3391" w:rsidRDefault="00666ECE" w:rsidP="0019297C">
      <w:pPr>
        <w:shd w:val="clear" w:color="auto" w:fill="FFFFFF" w:themeFill="background1"/>
        <w:spacing w:before="240" w:line="320" w:lineRule="atLeast"/>
        <w:jc w:val="both"/>
        <w:rPr>
          <w:szCs w:val="20"/>
        </w:rPr>
      </w:pPr>
      <w:r w:rsidRPr="00FF3391">
        <w:rPr>
          <w:szCs w:val="20"/>
        </w:rPr>
        <w:t xml:space="preserve">Nationally consistent definitions of most student background characteristics have been adopted for national reporting on students’ educational achievement and </w:t>
      </w:r>
      <w:r w:rsidRPr="00FF3391">
        <w:rPr>
          <w:szCs w:val="20"/>
        </w:rPr>
        <w:lastRenderedPageBreak/>
        <w:t xml:space="preserve">outcomes. Ministers have endorsed standard definitions of sex, Indigenous status, </w:t>
      </w:r>
      <w:r w:rsidR="00FF3391" w:rsidRPr="00FF3391">
        <w:rPr>
          <w:szCs w:val="20"/>
        </w:rPr>
        <w:t xml:space="preserve">disability, </w:t>
      </w:r>
      <w:r w:rsidRPr="00FF3391">
        <w:rPr>
          <w:szCs w:val="20"/>
        </w:rPr>
        <w:t>socio</w:t>
      </w:r>
      <w:r w:rsidR="009131A4">
        <w:rPr>
          <w:szCs w:val="20"/>
        </w:rPr>
        <w:t>-</w:t>
      </w:r>
      <w:r w:rsidRPr="00FF3391">
        <w:rPr>
          <w:szCs w:val="20"/>
        </w:rPr>
        <w:t>economic background, language bac</w:t>
      </w:r>
      <w:r w:rsidRPr="00FF3391">
        <w:rPr>
          <w:szCs w:val="20"/>
          <w:shd w:val="clear" w:color="auto" w:fill="FFFFFF" w:themeFill="background1"/>
        </w:rPr>
        <w:t xml:space="preserve">kground and geographic location. </w:t>
      </w:r>
      <w:r w:rsidR="00FF3391" w:rsidRPr="00FF3391">
        <w:rPr>
          <w:szCs w:val="20"/>
          <w:shd w:val="clear" w:color="auto" w:fill="FFFFFF" w:themeFill="background1"/>
        </w:rPr>
        <w:t xml:space="preserve">Nationally consistent data on </w:t>
      </w:r>
      <w:r w:rsidR="006E4442" w:rsidRPr="00FF3391">
        <w:rPr>
          <w:szCs w:val="20"/>
          <w:shd w:val="clear" w:color="auto" w:fill="FFFFFF" w:themeFill="background1"/>
        </w:rPr>
        <w:t xml:space="preserve">students with disability for students’ outcomes </w:t>
      </w:r>
      <w:r w:rsidR="00FF3391" w:rsidRPr="00FF3391">
        <w:rPr>
          <w:szCs w:val="20"/>
          <w:shd w:val="clear" w:color="auto" w:fill="FFFFFF" w:themeFill="background1"/>
        </w:rPr>
        <w:t xml:space="preserve">reporting </w:t>
      </w:r>
      <w:r w:rsidR="006E4442" w:rsidRPr="00FF3391">
        <w:rPr>
          <w:szCs w:val="20"/>
          <w:shd w:val="clear" w:color="auto" w:fill="FFFFFF" w:themeFill="background1"/>
        </w:rPr>
        <w:t>is under development.</w:t>
      </w:r>
    </w:p>
    <w:p w:rsidR="00666ECE" w:rsidRPr="00FF3391" w:rsidRDefault="00666ECE" w:rsidP="00666ECE">
      <w:pPr>
        <w:spacing w:before="240" w:line="320" w:lineRule="atLeast"/>
        <w:jc w:val="both"/>
        <w:rPr>
          <w:szCs w:val="20"/>
        </w:rPr>
      </w:pPr>
      <w:r w:rsidRPr="00FF3391">
        <w:rPr>
          <w:szCs w:val="20"/>
        </w:rPr>
        <w:t xml:space="preserve">Student background information collected from parents through the enrolment process using the agreed data collection specifications and methodology is linked to student assessment results. </w:t>
      </w:r>
    </w:p>
    <w:p w:rsidR="00666ECE" w:rsidRPr="00666ECE" w:rsidRDefault="00666ECE" w:rsidP="00666ECE">
      <w:pPr>
        <w:keepNext/>
        <w:spacing w:before="600" w:line="400" w:lineRule="exact"/>
        <w:ind w:left="907" w:hanging="907"/>
        <w:outlineLvl w:val="1"/>
        <w:rPr>
          <w:rFonts w:ascii="Arial" w:hAnsi="Arial"/>
          <w:b/>
          <w:sz w:val="32"/>
        </w:rPr>
      </w:pPr>
      <w:bookmarkStart w:id="58" w:name="_Toc374962351"/>
      <w:r w:rsidRPr="00666ECE">
        <w:rPr>
          <w:rFonts w:ascii="Arial" w:hAnsi="Arial"/>
          <w:b/>
          <w:sz w:val="32"/>
        </w:rPr>
        <w:t>4.5</w:t>
      </w:r>
      <w:r w:rsidRPr="00666ECE">
        <w:rPr>
          <w:rFonts w:ascii="Arial" w:hAnsi="Arial"/>
          <w:b/>
          <w:sz w:val="32"/>
        </w:rPr>
        <w:tab/>
        <w:t>Jurisdictions’ comments</w:t>
      </w:r>
      <w:bookmarkEnd w:id="58"/>
    </w:p>
    <w:p w:rsidR="00666ECE" w:rsidRPr="00666ECE" w:rsidRDefault="00666ECE" w:rsidP="00666ECE">
      <w:pPr>
        <w:spacing w:before="240" w:line="320" w:lineRule="atLeast"/>
        <w:jc w:val="both"/>
        <w:rPr>
          <w:szCs w:val="20"/>
        </w:rPr>
      </w:pPr>
      <w:r w:rsidRPr="00666ECE">
        <w:rPr>
          <w:szCs w:val="20"/>
        </w:rPr>
        <w:t xml:space="preserve">This section provides comments from each jurisdiction on the services covered in this chapter. </w:t>
      </w:r>
    </w:p>
    <w:p w:rsidR="00666ECE" w:rsidRDefault="00666ECE" w:rsidP="00666ECE">
      <w:pPr>
        <w:pStyle w:val="BodyText"/>
      </w:pPr>
      <w:r w:rsidRPr="00666ECE">
        <w:rPr>
          <w:szCs w:val="24"/>
        </w:rPr>
        <w:br w:type="page"/>
      </w: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lastRenderedPageBreak/>
              <w:t>“</w:t>
            </w:r>
          </w:p>
        </w:tc>
        <w:tc>
          <w:tcPr>
            <w:tcW w:w="8789" w:type="dxa"/>
            <w:shd w:val="clear" w:color="auto" w:fill="auto"/>
          </w:tcPr>
          <w:p w:rsidR="00666ECE" w:rsidRPr="00666ECE" w:rsidRDefault="00666ECE" w:rsidP="006B35ED">
            <w:pPr>
              <w:pStyle w:val="Jurisdictioncommentsheading"/>
            </w:pPr>
            <w:r w:rsidRPr="00666ECE">
              <w:t>Australian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rPr>
          <w:trHeight w:val="262"/>
        </w:trPr>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7364E8" w:rsidRPr="007364E8" w:rsidRDefault="007364E8" w:rsidP="007364E8">
            <w:pPr>
              <w:spacing w:after="120"/>
              <w:jc w:val="both"/>
              <w:rPr>
                <w:rFonts w:ascii="Arial" w:hAnsi="Arial"/>
                <w:sz w:val="24"/>
                <w:szCs w:val="20"/>
                <w:lang w:eastAsia="en-US"/>
              </w:rPr>
            </w:pPr>
            <w:r w:rsidRPr="007364E8">
              <w:rPr>
                <w:rFonts w:ascii="Arial" w:hAnsi="Arial"/>
                <w:sz w:val="24"/>
                <w:szCs w:val="20"/>
                <w:lang w:eastAsia="en-US"/>
              </w:rPr>
              <w:t>The Australian Government is committed to ensuring all young Australians are able to reach their potential and gain the skills they need to become successful learners, confident and creative individuals, and informed citizens.</w:t>
            </w:r>
          </w:p>
          <w:p w:rsidR="007364E8" w:rsidRPr="007364E8" w:rsidRDefault="007364E8" w:rsidP="007364E8">
            <w:pPr>
              <w:spacing w:after="120"/>
              <w:jc w:val="both"/>
              <w:rPr>
                <w:rFonts w:ascii="Arial" w:hAnsi="Arial"/>
                <w:sz w:val="24"/>
                <w:szCs w:val="20"/>
                <w:lang w:eastAsia="en-US"/>
              </w:rPr>
            </w:pPr>
            <w:r w:rsidRPr="007364E8">
              <w:rPr>
                <w:rFonts w:ascii="Arial" w:hAnsi="Arial"/>
                <w:sz w:val="24"/>
                <w:szCs w:val="20"/>
                <w:lang w:eastAsia="en-US"/>
              </w:rPr>
              <w:t>In partnership with state and territory governments and the non-government schooling sector, the Australian Government works to improve the quality of education for all students. The Australian Education Act 2013 was passed by Parliament in June 2013 and Australian Government funding will be made available under this Act for government and non-government schools from 2014.</w:t>
            </w:r>
          </w:p>
          <w:p w:rsidR="007364E8" w:rsidRPr="007364E8" w:rsidRDefault="007364E8" w:rsidP="007364E8">
            <w:pPr>
              <w:spacing w:after="120"/>
              <w:jc w:val="both"/>
              <w:rPr>
                <w:rFonts w:ascii="Arial" w:hAnsi="Arial"/>
                <w:sz w:val="24"/>
                <w:szCs w:val="20"/>
                <w:lang w:eastAsia="en-US"/>
              </w:rPr>
            </w:pPr>
            <w:r w:rsidRPr="007364E8">
              <w:rPr>
                <w:rFonts w:ascii="Arial" w:hAnsi="Arial"/>
                <w:sz w:val="24"/>
                <w:szCs w:val="20"/>
                <w:lang w:eastAsia="en-US"/>
              </w:rPr>
              <w:t>A national reform agenda continues to be progressed through frameworks and agreements. Key reforms build on the substantial work undertaken collaboratively by all governments over recent years through the Standing Council on School Education and Early Childhood, such as the development and implementation of the National Assessment Program for Literacy and Numeracy and the implementation of the Aboriginal and Torres Strait Islander Education Action Plan 2010–2014.</w:t>
            </w:r>
          </w:p>
          <w:p w:rsidR="007364E8" w:rsidRPr="007364E8" w:rsidRDefault="007364E8" w:rsidP="007364E8">
            <w:pPr>
              <w:spacing w:after="120"/>
              <w:jc w:val="both"/>
              <w:rPr>
                <w:rFonts w:ascii="Arial" w:hAnsi="Arial"/>
                <w:sz w:val="24"/>
                <w:szCs w:val="20"/>
                <w:lang w:eastAsia="en-US"/>
              </w:rPr>
            </w:pPr>
            <w:r w:rsidRPr="007364E8">
              <w:rPr>
                <w:rFonts w:ascii="Arial" w:hAnsi="Arial"/>
                <w:sz w:val="24"/>
                <w:szCs w:val="20"/>
                <w:lang w:eastAsia="en-US"/>
              </w:rPr>
              <w:t>Under the Improving Teacher Quality National Partnership, more than 148</w:t>
            </w:r>
            <w:r w:rsidR="006730CC">
              <w:rPr>
                <w:rFonts w:ascii="Arial" w:hAnsi="Arial"/>
                <w:sz w:val="24"/>
                <w:szCs w:val="20"/>
                <w:lang w:eastAsia="en-US"/>
              </w:rPr>
              <w:t> </w:t>
            </w:r>
            <w:r w:rsidRPr="007364E8">
              <w:rPr>
                <w:rFonts w:ascii="Arial" w:hAnsi="Arial"/>
                <w:sz w:val="24"/>
                <w:szCs w:val="20"/>
                <w:lang w:eastAsia="en-US"/>
              </w:rPr>
              <w:t>Centres of Excellence were established across Australia to facilitate collaborative professional development and improve student learning outcomes. $60 million was invested to implement the Australian Teacher Performance and Development Framework and a nationally consistent certification process for highly accomplished and lead teachers in schools across Australia from January</w:t>
            </w:r>
            <w:r w:rsidR="006730CC">
              <w:rPr>
                <w:rFonts w:ascii="Arial" w:hAnsi="Arial"/>
                <w:sz w:val="24"/>
                <w:szCs w:val="20"/>
                <w:lang w:eastAsia="en-US"/>
              </w:rPr>
              <w:t> </w:t>
            </w:r>
            <w:r w:rsidRPr="007364E8">
              <w:rPr>
                <w:rFonts w:ascii="Arial" w:hAnsi="Arial"/>
                <w:sz w:val="24"/>
                <w:szCs w:val="20"/>
                <w:lang w:eastAsia="en-US"/>
              </w:rPr>
              <w:t>2013.</w:t>
            </w:r>
          </w:p>
          <w:p w:rsidR="007364E8" w:rsidRPr="007364E8" w:rsidRDefault="007364E8" w:rsidP="007364E8">
            <w:pPr>
              <w:spacing w:after="120"/>
              <w:jc w:val="both"/>
              <w:rPr>
                <w:rFonts w:ascii="Arial" w:hAnsi="Arial"/>
                <w:sz w:val="24"/>
                <w:szCs w:val="20"/>
                <w:lang w:eastAsia="en-US"/>
              </w:rPr>
            </w:pPr>
            <w:r w:rsidRPr="007364E8">
              <w:rPr>
                <w:rFonts w:ascii="Arial" w:hAnsi="Arial"/>
                <w:sz w:val="24"/>
                <w:szCs w:val="20"/>
                <w:lang w:eastAsia="en-US"/>
              </w:rPr>
              <w:t>The Trade Training Centres in Schools Program enables eligible secondary schools to seek funding for trade training facilities for their Year 9 to 12 students. A total of 843 schools have had access to a completed trade training centre, through 312 projects.</w:t>
            </w:r>
          </w:p>
          <w:p w:rsidR="007364E8" w:rsidRPr="007364E8" w:rsidRDefault="007364E8" w:rsidP="007364E8">
            <w:pPr>
              <w:spacing w:after="120"/>
              <w:jc w:val="both"/>
              <w:rPr>
                <w:rFonts w:ascii="Arial" w:hAnsi="Arial"/>
                <w:sz w:val="24"/>
                <w:szCs w:val="20"/>
                <w:lang w:eastAsia="en-US"/>
              </w:rPr>
            </w:pPr>
            <w:r w:rsidRPr="007364E8">
              <w:rPr>
                <w:rFonts w:ascii="Arial" w:hAnsi="Arial"/>
                <w:sz w:val="24"/>
                <w:szCs w:val="20"/>
                <w:lang w:eastAsia="en-US"/>
              </w:rPr>
              <w:t>Investment in information and communications technology (ICT) infrastructure in Australian schools has facilitated positive change in schools by creating momentum for integrating ICT in teaching and learning and promoting innovative classroom practice.</w:t>
            </w:r>
          </w:p>
          <w:p w:rsidR="007364E8" w:rsidRPr="007364E8" w:rsidRDefault="007364E8" w:rsidP="007364E8">
            <w:pPr>
              <w:spacing w:after="120"/>
              <w:jc w:val="both"/>
              <w:rPr>
                <w:rFonts w:ascii="Arial" w:hAnsi="Arial"/>
                <w:sz w:val="24"/>
                <w:szCs w:val="20"/>
                <w:lang w:eastAsia="en-US"/>
              </w:rPr>
            </w:pPr>
            <w:r w:rsidRPr="007364E8">
              <w:rPr>
                <w:rFonts w:ascii="Arial" w:hAnsi="Arial"/>
                <w:sz w:val="24"/>
                <w:szCs w:val="20"/>
                <w:lang w:eastAsia="en-US"/>
              </w:rPr>
              <w:t xml:space="preserve">The More Support for Students with Disabilities initiative provides funding to government and non-government education authorities to build the capacity of their schools and teachers to provide additional support to students with disability. In 2012–13, the initiative provided $78.72 million to education authorities to undertake activities to benefit students according to the needs of their jurisdiction. </w:t>
            </w:r>
          </w:p>
          <w:p w:rsidR="00666ECE" w:rsidRPr="00666ECE" w:rsidRDefault="007364E8" w:rsidP="007364E8">
            <w:pPr>
              <w:spacing w:after="120"/>
              <w:jc w:val="both"/>
              <w:rPr>
                <w:rFonts w:ascii="Arial" w:hAnsi="Arial"/>
                <w:sz w:val="24"/>
                <w:szCs w:val="20"/>
                <w:lang w:eastAsia="en-US"/>
              </w:rPr>
            </w:pPr>
            <w:r w:rsidRPr="007364E8">
              <w:rPr>
                <w:rFonts w:ascii="Arial" w:hAnsi="Arial"/>
                <w:sz w:val="24"/>
                <w:szCs w:val="20"/>
                <w:lang w:eastAsia="en-US"/>
              </w:rPr>
              <w:t>In May 2013, education ministers endorsed the model for the Nationally Consistent Collection of Data on School Students with Disability. The model will be implemented using a phased approach between 2013 and 2015.</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lastRenderedPageBreak/>
              <w:t>“</w:t>
            </w:r>
          </w:p>
        </w:tc>
        <w:tc>
          <w:tcPr>
            <w:tcW w:w="8789" w:type="dxa"/>
            <w:shd w:val="clear" w:color="auto" w:fill="auto"/>
          </w:tcPr>
          <w:p w:rsidR="00666ECE" w:rsidRPr="00666ECE" w:rsidRDefault="00666ECE" w:rsidP="006B35ED">
            <w:pPr>
              <w:pStyle w:val="Jurisdictioncommentsheading"/>
            </w:pPr>
            <w:r w:rsidRPr="00666ECE">
              <w:t>New South Wales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590BF6" w:rsidRPr="00590BF6" w:rsidRDefault="00590BF6" w:rsidP="00590BF6">
            <w:pPr>
              <w:spacing w:after="140"/>
              <w:jc w:val="both"/>
              <w:rPr>
                <w:rFonts w:ascii="Arial" w:hAnsi="Arial"/>
                <w:sz w:val="24"/>
                <w:szCs w:val="20"/>
                <w:lang w:eastAsia="en-US"/>
              </w:rPr>
            </w:pPr>
            <w:r w:rsidRPr="00915427">
              <w:rPr>
                <w:rFonts w:ascii="Arial" w:hAnsi="Arial"/>
                <w:i/>
                <w:sz w:val="24"/>
                <w:szCs w:val="20"/>
                <w:lang w:eastAsia="en-US"/>
              </w:rPr>
              <w:t>NSW 2021</w:t>
            </w:r>
            <w:r w:rsidRPr="00590BF6">
              <w:rPr>
                <w:rFonts w:ascii="Arial" w:hAnsi="Arial"/>
                <w:sz w:val="24"/>
                <w:szCs w:val="20"/>
                <w:lang w:eastAsia="en-US"/>
              </w:rPr>
              <w:t xml:space="preserve">, the NSW Government’s 10 year strategic business plan, is aligned to COAG targets and provides the overall direction and priorities for education and training in NSW. </w:t>
            </w:r>
          </w:p>
          <w:p w:rsidR="00590BF6" w:rsidRPr="00590BF6" w:rsidRDefault="00590BF6" w:rsidP="00590BF6">
            <w:pPr>
              <w:spacing w:after="140"/>
              <w:jc w:val="both"/>
              <w:rPr>
                <w:rFonts w:ascii="Arial" w:hAnsi="Arial"/>
                <w:sz w:val="24"/>
                <w:szCs w:val="20"/>
                <w:lang w:eastAsia="en-US"/>
              </w:rPr>
            </w:pPr>
            <w:r w:rsidRPr="00590BF6">
              <w:rPr>
                <w:rFonts w:ascii="Arial" w:hAnsi="Arial"/>
                <w:sz w:val="24"/>
                <w:szCs w:val="20"/>
                <w:lang w:eastAsia="en-US"/>
              </w:rPr>
              <w:t xml:space="preserve">In the 2013 NAPLAN tests, NSW students improved substantially in Reading in Year 5 and Year 9, in Spelling and Numeracy in Year 7 and Year 9 and in Grammar and Punctuation in Year 5. NSW was ranked ahead of all other jurisdictions in Spelling at all Year levels for mean score and percentage of students in the highest band. In 2013, the participation rates for NSW increased from the previous year, and once again, were the highest of all jurisdictions for every test and every Year level. </w:t>
            </w:r>
          </w:p>
          <w:p w:rsidR="00590BF6" w:rsidRPr="00590BF6" w:rsidRDefault="00590BF6" w:rsidP="00590BF6">
            <w:pPr>
              <w:spacing w:after="140"/>
              <w:jc w:val="both"/>
              <w:rPr>
                <w:rFonts w:ascii="Arial" w:hAnsi="Arial"/>
                <w:sz w:val="24"/>
                <w:szCs w:val="20"/>
                <w:lang w:eastAsia="en-US"/>
              </w:rPr>
            </w:pPr>
            <w:r w:rsidRPr="00590BF6">
              <w:rPr>
                <w:rFonts w:ascii="Arial" w:hAnsi="Arial"/>
                <w:sz w:val="24"/>
                <w:szCs w:val="20"/>
                <w:lang w:eastAsia="en-US"/>
              </w:rPr>
              <w:t xml:space="preserve">The NSW Government continued to support a five year </w:t>
            </w:r>
            <w:r w:rsidRPr="00915427">
              <w:rPr>
                <w:rFonts w:ascii="Arial" w:hAnsi="Arial"/>
                <w:i/>
                <w:sz w:val="24"/>
                <w:szCs w:val="20"/>
                <w:lang w:eastAsia="en-US"/>
              </w:rPr>
              <w:t>Literacy and Numeracy Action Plan</w:t>
            </w:r>
            <w:r w:rsidRPr="00590BF6">
              <w:rPr>
                <w:rFonts w:ascii="Arial" w:hAnsi="Arial"/>
                <w:sz w:val="24"/>
                <w:szCs w:val="20"/>
                <w:lang w:eastAsia="en-US"/>
              </w:rPr>
              <w:t xml:space="preserve"> in 205 targeted government, Catholic and independent schools. All targeted schools are using an evidence-based three-tiered approach to drive a whole school approach to lifting the literacy and numeracy performance of students, especially those at risk of not achieving expected outcomes.</w:t>
            </w:r>
          </w:p>
          <w:p w:rsidR="00590BF6" w:rsidRPr="00590BF6" w:rsidRDefault="00590BF6" w:rsidP="00590BF6">
            <w:pPr>
              <w:spacing w:after="140"/>
              <w:jc w:val="both"/>
              <w:rPr>
                <w:rFonts w:ascii="Arial" w:hAnsi="Arial"/>
                <w:sz w:val="24"/>
                <w:szCs w:val="20"/>
                <w:lang w:eastAsia="en-US"/>
              </w:rPr>
            </w:pPr>
            <w:r w:rsidRPr="00915427">
              <w:rPr>
                <w:rFonts w:ascii="Arial" w:hAnsi="Arial"/>
                <w:i/>
                <w:sz w:val="24"/>
                <w:szCs w:val="20"/>
                <w:lang w:eastAsia="en-US"/>
              </w:rPr>
              <w:t>Great Teaching, Inspired Learning</w:t>
            </w:r>
            <w:r w:rsidRPr="00590BF6">
              <w:rPr>
                <w:rFonts w:ascii="Arial" w:hAnsi="Arial"/>
                <w:sz w:val="24"/>
                <w:szCs w:val="20"/>
                <w:lang w:eastAsia="en-US"/>
              </w:rPr>
              <w:t xml:space="preserve"> is the NSW Government’s blueprint for improving the quality of teaching and learning in NSW schools. It provides a set of 16 reforms across a teacher’s career cycle, from initial teacher training and induction for beginning teachers, through to how to best recognise and value experienced teachers and support potential school leaders. The blueprint has been informed by a significant body of current research, as well as broad consultation with stakeholders over a three-month period.  </w:t>
            </w:r>
          </w:p>
          <w:p w:rsidR="00590BF6" w:rsidRPr="00590BF6" w:rsidRDefault="00590BF6" w:rsidP="00590BF6">
            <w:pPr>
              <w:spacing w:after="140"/>
              <w:jc w:val="both"/>
              <w:rPr>
                <w:rFonts w:ascii="Arial" w:hAnsi="Arial"/>
                <w:sz w:val="24"/>
                <w:szCs w:val="20"/>
                <w:lang w:eastAsia="en-US"/>
              </w:rPr>
            </w:pPr>
            <w:r w:rsidRPr="00590BF6">
              <w:rPr>
                <w:rFonts w:ascii="Arial" w:hAnsi="Arial"/>
                <w:sz w:val="24"/>
                <w:szCs w:val="20"/>
                <w:lang w:eastAsia="en-US"/>
              </w:rPr>
              <w:t xml:space="preserve">Through </w:t>
            </w:r>
            <w:r w:rsidRPr="00915427">
              <w:rPr>
                <w:rFonts w:ascii="Arial" w:hAnsi="Arial"/>
                <w:i/>
                <w:sz w:val="24"/>
                <w:szCs w:val="20"/>
                <w:lang w:eastAsia="en-US"/>
              </w:rPr>
              <w:t>Every Student, Every School</w:t>
            </w:r>
            <w:r w:rsidRPr="00590BF6">
              <w:rPr>
                <w:rFonts w:ascii="Arial" w:hAnsi="Arial"/>
                <w:sz w:val="24"/>
                <w:szCs w:val="20"/>
                <w:lang w:eastAsia="en-US"/>
              </w:rPr>
              <w:t xml:space="preserve">, the NSW Government’s strategy for strengthening support for students with disability, significant work has been undertaken in 2013 to develop a new tool for teachers to profile the additional learning and support needs of individual students. An extensive range of professional learning courses are also being delivered to teachers and support staff to strengthen their knowledge and understanding of the educational needs of students with disability and obligations under the </w:t>
            </w:r>
            <w:r w:rsidRPr="00915427">
              <w:rPr>
                <w:rFonts w:ascii="Arial" w:hAnsi="Arial"/>
                <w:i/>
                <w:sz w:val="24"/>
                <w:szCs w:val="20"/>
                <w:lang w:eastAsia="en-US"/>
              </w:rPr>
              <w:t>Commonwealth Disability Standards for Education 2005</w:t>
            </w:r>
            <w:r w:rsidRPr="00590BF6">
              <w:rPr>
                <w:rFonts w:ascii="Arial" w:hAnsi="Arial"/>
                <w:sz w:val="24"/>
                <w:szCs w:val="20"/>
                <w:lang w:eastAsia="en-US"/>
              </w:rPr>
              <w:t>.</w:t>
            </w:r>
          </w:p>
          <w:p w:rsidR="00590BF6" w:rsidRPr="00590BF6" w:rsidRDefault="00590BF6" w:rsidP="00590BF6">
            <w:pPr>
              <w:spacing w:after="140"/>
              <w:jc w:val="both"/>
              <w:rPr>
                <w:rFonts w:ascii="Arial" w:hAnsi="Arial"/>
                <w:sz w:val="24"/>
                <w:szCs w:val="20"/>
                <w:lang w:eastAsia="en-US"/>
              </w:rPr>
            </w:pPr>
            <w:r w:rsidRPr="00590BF6">
              <w:rPr>
                <w:rFonts w:ascii="Arial" w:hAnsi="Arial"/>
                <w:sz w:val="24"/>
                <w:szCs w:val="20"/>
                <w:lang w:eastAsia="en-US"/>
              </w:rPr>
              <w:t xml:space="preserve">NSW remains committed to closing the gap in educational outcomes between Aboriginal students and other students. The </w:t>
            </w:r>
            <w:r w:rsidRPr="00915427">
              <w:rPr>
                <w:rFonts w:ascii="Arial" w:hAnsi="Arial"/>
                <w:i/>
                <w:sz w:val="24"/>
                <w:szCs w:val="20"/>
                <w:lang w:eastAsia="en-US"/>
              </w:rPr>
              <w:t>Aboriginal and Torres Strait Islander Education Action Plan</w:t>
            </w:r>
            <w:r w:rsidRPr="00590BF6">
              <w:rPr>
                <w:rFonts w:ascii="Arial" w:hAnsi="Arial"/>
                <w:sz w:val="24"/>
                <w:szCs w:val="20"/>
                <w:lang w:eastAsia="en-US"/>
              </w:rPr>
              <w:t xml:space="preserve"> and the Department’s Partnership Agreement with the NSW Aboriginal Education Consultative Group Inc. are key drivers of the approach employed in NSW to meet this commitment.</w:t>
            </w:r>
          </w:p>
          <w:p w:rsidR="00666ECE" w:rsidRPr="00666ECE" w:rsidRDefault="00590BF6" w:rsidP="00C4109F">
            <w:pPr>
              <w:spacing w:after="140"/>
              <w:jc w:val="both"/>
              <w:rPr>
                <w:rFonts w:ascii="Arial" w:hAnsi="Arial"/>
                <w:sz w:val="24"/>
                <w:szCs w:val="20"/>
                <w:lang w:eastAsia="en-US"/>
              </w:rPr>
            </w:pPr>
            <w:r w:rsidRPr="00590BF6">
              <w:rPr>
                <w:rFonts w:ascii="Arial" w:hAnsi="Arial"/>
                <w:sz w:val="24"/>
                <w:szCs w:val="20"/>
                <w:lang w:eastAsia="en-US"/>
              </w:rPr>
              <w:t>The Local Schools, Local Decisions reform continues to be implemented in NSW public schools and places students at the centre of school decision making. This gives principals and their school communities a greater say over how they allocate and use their available resources to best meet the needs of their students. The new resource allocation model allocates resources based on student need. On full implementation, NSW public schools will manage more than 70</w:t>
            </w:r>
            <w:r w:rsidR="00C4109F">
              <w:rPr>
                <w:rFonts w:ascii="Arial" w:hAnsi="Arial"/>
                <w:sz w:val="24"/>
                <w:szCs w:val="20"/>
                <w:lang w:eastAsia="en-US"/>
              </w:rPr>
              <w:t xml:space="preserve"> per cent</w:t>
            </w:r>
            <w:r w:rsidRPr="00590BF6">
              <w:rPr>
                <w:rFonts w:ascii="Arial" w:hAnsi="Arial"/>
                <w:sz w:val="24"/>
                <w:szCs w:val="20"/>
                <w:lang w:eastAsia="en-US"/>
              </w:rPr>
              <w:t xml:space="preserve"> of the NSW public school education budget.</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40" w:line="320" w:lineRule="atLeast"/>
              <w:jc w:val="both"/>
              <w:rPr>
                <w:rFonts w:ascii="Arial" w:hAnsi="Arial"/>
                <w:b/>
                <w:sz w:val="24"/>
                <w:szCs w:val="20"/>
                <w:lang w:eastAsia="en-US"/>
              </w:rPr>
            </w:pPr>
            <w:r w:rsidRPr="00666ECE">
              <w:rPr>
                <w:rFonts w:ascii="Arial" w:hAnsi="Arial"/>
                <w:b/>
                <w:sz w:val="24"/>
                <w:szCs w:val="20"/>
                <w:lang w:eastAsia="en-US"/>
              </w:rPr>
              <w:t>Victorian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3C000E" w:rsidRDefault="003C000E" w:rsidP="003C000E">
            <w:pPr>
              <w:pStyle w:val="Jurisdictioncommentsbodytext"/>
            </w:pPr>
            <w:r>
              <w:t xml:space="preserve">The Department of Education and Early Childhood Development </w:t>
            </w:r>
            <w:r w:rsidRPr="006730CC">
              <w:rPr>
                <w:i/>
              </w:rPr>
              <w:t xml:space="preserve">2013-17 Strategic Plan </w:t>
            </w:r>
            <w:r>
              <w:t xml:space="preserve">outlines a 10-year goal to make Victoria a world leader in learning and development, to contribute to a vibrant economy and society and to deliver on outcomes of achievement, engagement, wellbeing and productivity. </w:t>
            </w:r>
          </w:p>
          <w:p w:rsidR="003C000E" w:rsidRDefault="003C000E" w:rsidP="003C000E">
            <w:pPr>
              <w:pStyle w:val="Jurisdictioncommentsbodytext"/>
            </w:pPr>
            <w:r>
              <w:t xml:space="preserve">In 2012-13, Victoria has continued to implement its ambitious reform agenda. The </w:t>
            </w:r>
            <w:r w:rsidRPr="006730CC">
              <w:rPr>
                <w:i/>
              </w:rPr>
              <w:t>Towards Victoria as a Learning Community</w:t>
            </w:r>
            <w:r>
              <w:t xml:space="preserve"> statement outlines major reforms that will help enable Victoria to meet its goal as a world leader in education. These reforms are underpinned by professional trust, autonomy, and accountability and support.</w:t>
            </w:r>
          </w:p>
          <w:p w:rsidR="003C000E" w:rsidRDefault="003C000E" w:rsidP="003C000E">
            <w:pPr>
              <w:pStyle w:val="Jurisdictioncommentsbodytext"/>
            </w:pPr>
            <w:r w:rsidRPr="006730CC">
              <w:rPr>
                <w:i/>
              </w:rPr>
              <w:t>The Compact: Roles and responsibilities in Victorian government school education (The Compact)</w:t>
            </w:r>
            <w:r>
              <w:t xml:space="preserve"> supports these reforms by clearly articulating the respective roles and responsibilities in the Victorian government school system. </w:t>
            </w:r>
            <w:r w:rsidRPr="006730CC">
              <w:rPr>
                <w:i/>
              </w:rPr>
              <w:t>The Compact</w:t>
            </w:r>
            <w:r>
              <w:t xml:space="preserve"> forms an agreement between Victorian government schools and the Department and seeks to improve the learning and development outcomes of Victoria’s children and young people.</w:t>
            </w:r>
          </w:p>
          <w:p w:rsidR="003C000E" w:rsidRDefault="003C000E" w:rsidP="003C000E">
            <w:pPr>
              <w:pStyle w:val="Jurisdictioncommentsbodytext"/>
            </w:pPr>
            <w:r w:rsidRPr="006730CC">
              <w:rPr>
                <w:i/>
              </w:rPr>
              <w:t>From New Directions to Action: World class teaching and school leadership</w:t>
            </w:r>
            <w:r>
              <w:t xml:space="preserve"> outlines the Victorian Government’s vision for excellence in school leadership and a high performance teaching profession. It sets out 26 initiatives that will be pursued across three priority areas: attract great people into teaching, create a high performance profession, and provide strong direction and support. The Victorian Government has committed an additional $15.7 million over two years in the 2013-14 Budget to help deliver these initiatives.  </w:t>
            </w:r>
          </w:p>
          <w:p w:rsidR="003C000E" w:rsidRDefault="003C000E" w:rsidP="003C000E">
            <w:pPr>
              <w:pStyle w:val="Jurisdictioncommentsbodytext"/>
            </w:pPr>
            <w:r>
              <w:t xml:space="preserve">Victoria also signed an historic agreement with the Commonwealth Government which will deliver an additional investment of $12.2 billion in extra funding above 2013 levels over the six years from 2014 to 2019. The individual needs of students will determine the funding each school gets and Victoria will continue to work with all school sectors to continue to refine our needs based funding system to make it even better. The funding will also support principals and school leaders to implement initiatives to ensure there are highly effective leaders and teachers. </w:t>
            </w:r>
          </w:p>
          <w:p w:rsidR="00F8111F" w:rsidRPr="00666ECE" w:rsidRDefault="003C000E" w:rsidP="003C000E">
            <w:pPr>
              <w:pStyle w:val="Jurisdictioncommentslistbullet"/>
              <w:numPr>
                <w:ilvl w:val="0"/>
                <w:numId w:val="0"/>
              </w:numPr>
              <w:spacing w:after="0"/>
            </w:pPr>
            <w:r w:rsidRPr="006730CC">
              <w:rPr>
                <w:i/>
              </w:rPr>
              <w:t>The Languages - expanding your world: Plan to implement the Victorian Government's Vision for Languages Education 2013-2025</w:t>
            </w:r>
            <w:r>
              <w:t xml:space="preserve"> paper (the Plan) outlines how Victoria’s commitment to improve and extend languages education will be supported. The Plan also re-confirms Victoria’s commitment that all government school students from Prep to Year 10 will be learning a language by 2025, starting with Prep in 2015.</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821"/>
        <w:gridCol w:w="819"/>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821" w:type="dxa"/>
            <w:shd w:val="clear" w:color="auto" w:fill="auto"/>
          </w:tcPr>
          <w:p w:rsidR="00666ECE" w:rsidRPr="00666ECE" w:rsidRDefault="00666ECE" w:rsidP="00590BF6">
            <w:pPr>
              <w:spacing w:after="120" w:line="320" w:lineRule="atLeast"/>
              <w:jc w:val="both"/>
              <w:rPr>
                <w:rFonts w:ascii="Arial" w:hAnsi="Arial"/>
                <w:b/>
                <w:sz w:val="24"/>
                <w:szCs w:val="20"/>
                <w:lang w:eastAsia="en-US"/>
              </w:rPr>
            </w:pPr>
            <w:r w:rsidRPr="00666ECE">
              <w:rPr>
                <w:rFonts w:ascii="Arial" w:hAnsi="Arial"/>
                <w:b/>
                <w:sz w:val="24"/>
                <w:szCs w:val="20"/>
                <w:lang w:eastAsia="en-US"/>
              </w:rPr>
              <w:t>Queensland Government comments</w:t>
            </w:r>
          </w:p>
        </w:tc>
        <w:tc>
          <w:tcPr>
            <w:tcW w:w="819"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3B4524" w:rsidRDefault="003B4524" w:rsidP="00666ECE">
            <w:pPr>
              <w:spacing w:before="240" w:line="320" w:lineRule="atLeast"/>
              <w:jc w:val="both"/>
              <w:rPr>
                <w:szCs w:val="20"/>
              </w:rPr>
            </w:pPr>
          </w:p>
          <w:p w:rsidR="003B4524" w:rsidRDefault="003B4524" w:rsidP="00666ECE">
            <w:pPr>
              <w:spacing w:before="240" w:line="320" w:lineRule="atLeast"/>
              <w:jc w:val="both"/>
              <w:rPr>
                <w:szCs w:val="20"/>
              </w:rPr>
            </w:pPr>
          </w:p>
          <w:p w:rsidR="003B4524" w:rsidRDefault="003B4524" w:rsidP="00666ECE">
            <w:pPr>
              <w:spacing w:before="240" w:line="320" w:lineRule="atLeast"/>
              <w:jc w:val="both"/>
              <w:rPr>
                <w:szCs w:val="20"/>
              </w:rPr>
            </w:pPr>
          </w:p>
          <w:p w:rsidR="00FC2FDF" w:rsidRPr="00666ECE" w:rsidRDefault="00FC2FDF"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821" w:type="dxa"/>
            <w:shd w:val="clear" w:color="auto" w:fill="auto"/>
          </w:tcPr>
          <w:p w:rsidR="00590BF6" w:rsidRPr="00590BF6" w:rsidRDefault="00590BF6" w:rsidP="00590BF6">
            <w:pPr>
              <w:spacing w:after="140"/>
              <w:jc w:val="both"/>
              <w:rPr>
                <w:rFonts w:ascii="Arial" w:hAnsi="Arial"/>
                <w:sz w:val="24"/>
                <w:szCs w:val="20"/>
                <w:lang w:eastAsia="en-US"/>
              </w:rPr>
            </w:pPr>
            <w:r w:rsidRPr="00590BF6">
              <w:rPr>
                <w:rFonts w:ascii="Arial" w:hAnsi="Arial"/>
                <w:sz w:val="24"/>
                <w:szCs w:val="20"/>
                <w:lang w:eastAsia="en-US"/>
              </w:rPr>
              <w:t>The Queensland Government is committed to providing high quality learning and skilling, focused on preparing Queenslanders with the knowledge, skills and confidence to participate effectively in the community and the economy.</w:t>
            </w:r>
          </w:p>
          <w:p w:rsidR="00590BF6" w:rsidRPr="00590BF6" w:rsidRDefault="00590BF6" w:rsidP="00590BF6">
            <w:pPr>
              <w:spacing w:after="140"/>
              <w:jc w:val="both"/>
              <w:rPr>
                <w:rFonts w:ascii="Arial" w:hAnsi="Arial"/>
                <w:sz w:val="24"/>
                <w:szCs w:val="20"/>
                <w:lang w:eastAsia="en-US"/>
              </w:rPr>
            </w:pPr>
            <w:r w:rsidRPr="00590BF6">
              <w:rPr>
                <w:rFonts w:ascii="Arial" w:hAnsi="Arial"/>
                <w:sz w:val="24"/>
                <w:szCs w:val="20"/>
                <w:lang w:eastAsia="en-US"/>
              </w:rPr>
              <w:t>Queensland students continue to demonstrate positive outcomes in 2013, with the latest NAPLAN results showing a continued broad pattern of improvement. Queensland students are the most improved since testing began in 2008, achieving their highest result on record for mean scale score in 10 of the 20 test areas.</w:t>
            </w:r>
          </w:p>
          <w:p w:rsidR="00590BF6" w:rsidRPr="00590BF6" w:rsidRDefault="00590BF6" w:rsidP="00590BF6">
            <w:pPr>
              <w:spacing w:after="140"/>
              <w:jc w:val="both"/>
              <w:rPr>
                <w:rFonts w:ascii="Arial" w:hAnsi="Arial"/>
                <w:sz w:val="24"/>
                <w:szCs w:val="20"/>
                <w:lang w:eastAsia="en-US"/>
              </w:rPr>
            </w:pPr>
            <w:r w:rsidRPr="00590BF6">
              <w:rPr>
                <w:rFonts w:ascii="Arial" w:hAnsi="Arial"/>
                <w:sz w:val="24"/>
                <w:szCs w:val="20"/>
                <w:lang w:eastAsia="en-US"/>
              </w:rPr>
              <w:t xml:space="preserve">The 2013 </w:t>
            </w:r>
            <w:r w:rsidRPr="00915427">
              <w:rPr>
                <w:rFonts w:ascii="Arial" w:hAnsi="Arial"/>
                <w:i/>
                <w:sz w:val="24"/>
                <w:szCs w:val="20"/>
                <w:lang w:eastAsia="en-US"/>
              </w:rPr>
              <w:t>Next Step Survey</w:t>
            </w:r>
            <w:r w:rsidRPr="00590BF6">
              <w:rPr>
                <w:rFonts w:ascii="Arial" w:hAnsi="Arial"/>
                <w:sz w:val="24"/>
                <w:szCs w:val="20"/>
                <w:lang w:eastAsia="en-US"/>
              </w:rPr>
              <w:t xml:space="preserve"> indicates that the vast majority of young Queenslanders who completed Year 12 in 2012 were engaged in study or work approximately six months after completing school.</w:t>
            </w:r>
          </w:p>
          <w:p w:rsidR="00590BF6" w:rsidRDefault="00590BF6" w:rsidP="00590BF6">
            <w:pPr>
              <w:spacing w:after="140"/>
              <w:jc w:val="both"/>
              <w:rPr>
                <w:rFonts w:ascii="Arial" w:hAnsi="Arial"/>
                <w:sz w:val="24"/>
                <w:szCs w:val="20"/>
                <w:lang w:eastAsia="en-US"/>
              </w:rPr>
            </w:pPr>
            <w:r w:rsidRPr="00590BF6">
              <w:rPr>
                <w:rFonts w:ascii="Arial" w:hAnsi="Arial"/>
                <w:sz w:val="24"/>
                <w:szCs w:val="20"/>
                <w:lang w:eastAsia="en-US"/>
              </w:rPr>
              <w:t>Throughout 2013, Queensland implemented initiatives and continued reforms in line with the state’s approach to driving improved student outcomes. Key initiatives include:</w:t>
            </w:r>
          </w:p>
          <w:p w:rsidR="00590BF6" w:rsidRPr="00590BF6" w:rsidRDefault="00590BF6" w:rsidP="00590BF6">
            <w:pPr>
              <w:pStyle w:val="Jurisdictioncommentslistbullet"/>
            </w:pPr>
            <w:r w:rsidRPr="00915427">
              <w:rPr>
                <w:i/>
              </w:rPr>
              <w:t>Great teachers = Great results</w:t>
            </w:r>
            <w:r w:rsidRPr="00590BF6">
              <w:t xml:space="preserve"> </w:t>
            </w:r>
            <w:r w:rsidR="00915427">
              <w:t>—</w:t>
            </w:r>
            <w:r w:rsidRPr="00590BF6">
              <w:t xml:space="preserve"> improving the quality and capacity of teachers and school leadership, and boosting school autonomy to increase parental engagement and local decision-making.</w:t>
            </w:r>
          </w:p>
          <w:p w:rsidR="00590BF6" w:rsidRPr="00590BF6" w:rsidRDefault="00590BF6" w:rsidP="00590BF6">
            <w:pPr>
              <w:pStyle w:val="Jurisdictioncommentslistbullet"/>
            </w:pPr>
            <w:r w:rsidRPr="00915427">
              <w:rPr>
                <w:i/>
              </w:rPr>
              <w:t>Independent Public Schools</w:t>
            </w:r>
            <w:r w:rsidRPr="00590BF6">
              <w:t xml:space="preserve"> </w:t>
            </w:r>
            <w:r w:rsidR="00915427">
              <w:t>—</w:t>
            </w:r>
            <w:r w:rsidRPr="00590BF6">
              <w:t xml:space="preserve"> enabling the first 26 Independent Public Schools to embrace additional autonomy and decision-making to achieve the best possible outcomes for students and local communities, and announcing the next 54 schools for 2014.</w:t>
            </w:r>
          </w:p>
          <w:p w:rsidR="00590BF6" w:rsidRPr="00590BF6" w:rsidRDefault="00590BF6" w:rsidP="00590BF6">
            <w:pPr>
              <w:pStyle w:val="Jurisdictioncommentslistbullet"/>
            </w:pPr>
            <w:r w:rsidRPr="00915427">
              <w:rPr>
                <w:i/>
              </w:rPr>
              <w:t>A Fresh Start</w:t>
            </w:r>
            <w:r w:rsidRPr="00590BF6">
              <w:t xml:space="preserve"> </w:t>
            </w:r>
            <w:r w:rsidR="00915427">
              <w:t>—</w:t>
            </w:r>
            <w:r w:rsidRPr="00590BF6">
              <w:t xml:space="preserve"> improving the preparation and quality of teachers through a suite of interconnected strategies focused on teacher supply, initial teacher education, effective supervision and mentoring, and induction. </w:t>
            </w:r>
          </w:p>
          <w:p w:rsidR="00590BF6" w:rsidRPr="00590BF6" w:rsidRDefault="00590BF6" w:rsidP="00590BF6">
            <w:pPr>
              <w:pStyle w:val="Jurisdictioncommentslistbullet"/>
            </w:pPr>
            <w:r w:rsidRPr="00915427">
              <w:rPr>
                <w:i/>
              </w:rPr>
              <w:t>Solid Partners: Solid Futures</w:t>
            </w:r>
            <w:r w:rsidRPr="00590BF6">
              <w:t xml:space="preserve"> </w:t>
            </w:r>
            <w:r w:rsidR="00915427">
              <w:t>—</w:t>
            </w:r>
            <w:r w:rsidRPr="00590BF6">
              <w:t xml:space="preserve"> supporting early childhood, education, training and employment opportunities for Aboriginal and Torres Strait Islander children and young people in Queensland. </w:t>
            </w:r>
          </w:p>
          <w:p w:rsidR="00590BF6" w:rsidRPr="00590BF6" w:rsidRDefault="00590BF6" w:rsidP="00590BF6">
            <w:pPr>
              <w:pStyle w:val="Jurisdictioncommentslistbullet"/>
            </w:pPr>
            <w:r w:rsidRPr="00915427">
              <w:rPr>
                <w:i/>
              </w:rPr>
              <w:t>Getting the basics right</w:t>
            </w:r>
            <w:r w:rsidRPr="00590BF6">
              <w:t xml:space="preserve"> </w:t>
            </w:r>
            <w:r w:rsidR="00915427">
              <w:t>—</w:t>
            </w:r>
            <w:r w:rsidRPr="00590BF6">
              <w:t xml:space="preserve"> flexible grants to enable schools to design and deliver literacy and numeracy interventions targeted to their specific needs.</w:t>
            </w:r>
          </w:p>
          <w:p w:rsidR="00590BF6" w:rsidRPr="00590BF6" w:rsidRDefault="00590BF6" w:rsidP="00590BF6">
            <w:pPr>
              <w:pStyle w:val="Jurisdictioncommentslistbullet"/>
            </w:pPr>
            <w:r w:rsidRPr="00915427">
              <w:rPr>
                <w:i/>
              </w:rPr>
              <w:t>Step up into education</w:t>
            </w:r>
            <w:r w:rsidRPr="00590BF6">
              <w:t xml:space="preserve"> </w:t>
            </w:r>
            <w:r w:rsidR="00915427">
              <w:t>—</w:t>
            </w:r>
            <w:r w:rsidRPr="00590BF6">
              <w:t xml:space="preserve">  delivering school readiness and transition programs for the local community that encourage parents to become involved in their child’s learning journey and help children from disadvantaged areas prepare for school.</w:t>
            </w:r>
          </w:p>
          <w:p w:rsidR="00590BF6" w:rsidRPr="00590BF6" w:rsidRDefault="00590BF6" w:rsidP="00590BF6">
            <w:pPr>
              <w:pStyle w:val="Jurisdictioncommentslistbullet"/>
            </w:pPr>
            <w:r w:rsidRPr="00915427">
              <w:rPr>
                <w:i/>
              </w:rPr>
              <w:t>Curriculum into the Classroom</w:t>
            </w:r>
            <w:r w:rsidRPr="00590BF6">
              <w:t xml:space="preserve"> (C2C) </w:t>
            </w:r>
            <w:r w:rsidR="00915427">
              <w:t>—</w:t>
            </w:r>
            <w:r w:rsidRPr="00590BF6">
              <w:t xml:space="preserve"> a comprehensive set of school and classroom planning materials supporting Queensland state schools in the continued implementation of the Australian Curriculum. </w:t>
            </w:r>
          </w:p>
          <w:p w:rsidR="00666ECE" w:rsidRPr="00666ECE" w:rsidRDefault="00590BF6" w:rsidP="00590BF6">
            <w:pPr>
              <w:pStyle w:val="Jurisdictioncommentslistbullet"/>
              <w:spacing w:after="0"/>
            </w:pPr>
            <w:r w:rsidRPr="00590BF6">
              <w:t>Continuing to provide state and non-state school students with disability access to a quality education through additional speech-language pathologists (SLPs) to support students who face learning challenges and eLearning initiatives using tablet devices for special needs students.</w:t>
            </w:r>
          </w:p>
        </w:tc>
        <w:tc>
          <w:tcPr>
            <w:tcW w:w="819"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40" w:line="320" w:lineRule="atLeast"/>
              <w:jc w:val="both"/>
              <w:rPr>
                <w:rFonts w:ascii="Arial" w:hAnsi="Arial"/>
                <w:b/>
                <w:sz w:val="24"/>
                <w:szCs w:val="20"/>
                <w:lang w:eastAsia="en-US"/>
              </w:rPr>
            </w:pPr>
            <w:r w:rsidRPr="00666ECE">
              <w:rPr>
                <w:rFonts w:ascii="Arial" w:hAnsi="Arial"/>
                <w:b/>
                <w:sz w:val="24"/>
                <w:szCs w:val="20"/>
                <w:lang w:eastAsia="en-US"/>
              </w:rPr>
              <w:t>Western Australian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685E65" w:rsidRPr="00666ECE" w:rsidRDefault="00685E65"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C4109F" w:rsidRPr="00C4109F" w:rsidRDefault="00C4109F" w:rsidP="00C4109F">
            <w:pPr>
              <w:spacing w:after="140"/>
              <w:jc w:val="both"/>
              <w:rPr>
                <w:rFonts w:ascii="Arial" w:hAnsi="Arial"/>
                <w:sz w:val="24"/>
                <w:szCs w:val="20"/>
                <w:lang w:eastAsia="en-US"/>
              </w:rPr>
            </w:pPr>
            <w:r w:rsidRPr="00C4109F">
              <w:rPr>
                <w:rFonts w:ascii="Arial" w:hAnsi="Arial"/>
                <w:sz w:val="24"/>
                <w:szCs w:val="20"/>
                <w:lang w:eastAsia="en-US"/>
              </w:rPr>
              <w:t>The Western Australian Government is committed to ensuring all students receive a high quality school education irrespective of where they live or their personal background circumstances.</w:t>
            </w:r>
          </w:p>
          <w:p w:rsidR="00C4109F" w:rsidRPr="00C4109F" w:rsidRDefault="00C4109F" w:rsidP="00C4109F">
            <w:pPr>
              <w:spacing w:after="140"/>
              <w:jc w:val="both"/>
              <w:rPr>
                <w:rFonts w:ascii="Arial" w:hAnsi="Arial"/>
                <w:sz w:val="24"/>
                <w:szCs w:val="20"/>
                <w:lang w:eastAsia="en-US"/>
              </w:rPr>
            </w:pPr>
            <w:r w:rsidRPr="00C4109F">
              <w:rPr>
                <w:rFonts w:ascii="Arial" w:hAnsi="Arial"/>
                <w:sz w:val="24"/>
                <w:szCs w:val="20"/>
                <w:lang w:eastAsia="en-US"/>
              </w:rPr>
              <w:t xml:space="preserve">Through its strategic plan, </w:t>
            </w:r>
            <w:r w:rsidRPr="00915427">
              <w:rPr>
                <w:rFonts w:ascii="Arial" w:hAnsi="Arial"/>
                <w:i/>
                <w:sz w:val="24"/>
                <w:szCs w:val="20"/>
                <w:lang w:eastAsia="en-US"/>
              </w:rPr>
              <w:t>Excellence and Equity: 2012–2015</w:t>
            </w:r>
            <w:r w:rsidRPr="00C4109F">
              <w:rPr>
                <w:rFonts w:ascii="Arial" w:hAnsi="Arial"/>
                <w:sz w:val="24"/>
                <w:szCs w:val="20"/>
                <w:lang w:eastAsia="en-US"/>
              </w:rPr>
              <w:t>, the Department of Education continues to focus on its four priority areas of ensuring every student has the opportunity to achieve success; creating distinctive schools that have the autonomy, flexibility and diversity required to respond to the needs of students; providing high quality teaching and leadership; and developing a capable and responsive organisation.</w:t>
            </w:r>
          </w:p>
          <w:p w:rsidR="00C4109F" w:rsidRPr="00C4109F" w:rsidRDefault="00C4109F" w:rsidP="00C4109F">
            <w:pPr>
              <w:spacing w:after="140"/>
              <w:jc w:val="both"/>
              <w:rPr>
                <w:rFonts w:ascii="Arial" w:hAnsi="Arial"/>
                <w:sz w:val="24"/>
                <w:szCs w:val="20"/>
                <w:lang w:eastAsia="en-US"/>
              </w:rPr>
            </w:pPr>
            <w:r w:rsidRPr="00C4109F">
              <w:rPr>
                <w:rFonts w:ascii="Arial" w:hAnsi="Arial"/>
                <w:sz w:val="24"/>
                <w:szCs w:val="20"/>
                <w:lang w:eastAsia="en-US"/>
              </w:rPr>
              <w:t>The Western Australian Government’s reforms towards a more empowered public education system saw an additional 84 public schools become Independent Public Schools in 2013, taking the total number to 255.</w:t>
            </w:r>
            <w:r w:rsidR="00915427">
              <w:rPr>
                <w:rFonts w:ascii="Arial" w:hAnsi="Arial"/>
                <w:sz w:val="24"/>
                <w:szCs w:val="20"/>
                <w:lang w:eastAsia="en-US"/>
              </w:rPr>
              <w:t xml:space="preserve"> </w:t>
            </w:r>
            <w:r w:rsidRPr="00C4109F">
              <w:rPr>
                <w:rFonts w:ascii="Arial" w:hAnsi="Arial"/>
                <w:sz w:val="24"/>
                <w:szCs w:val="20"/>
                <w:lang w:eastAsia="en-US"/>
              </w:rPr>
              <w:t>The success of this approach to school autonomy was confirmed with the release of the University of Melbourne’s evaluation of the Independent Public Schools initiative which found that the greater flexibilities in the areas of curriculum, student services, human resources, financial management, and facilities have delivered positive effects for schools, for communities and for the system as a whole and that it is creating a strong foundation for enhancing student achievement, behaviour and attendance.</w:t>
            </w:r>
            <w:r w:rsidR="00915427">
              <w:rPr>
                <w:rFonts w:ascii="Arial" w:hAnsi="Arial"/>
                <w:sz w:val="24"/>
                <w:szCs w:val="20"/>
                <w:lang w:eastAsia="en-US"/>
              </w:rPr>
              <w:t xml:space="preserve"> </w:t>
            </w:r>
            <w:r w:rsidRPr="00C4109F">
              <w:rPr>
                <w:rFonts w:ascii="Arial" w:hAnsi="Arial"/>
                <w:sz w:val="24"/>
                <w:szCs w:val="20"/>
                <w:lang w:eastAsia="en-US"/>
              </w:rPr>
              <w:t>Many of the flexibilities first offered to Independent Public Schools have now been extended to all Western Australian public schools.</w:t>
            </w:r>
          </w:p>
          <w:p w:rsidR="00C4109F" w:rsidRPr="00C4109F" w:rsidRDefault="00C4109F" w:rsidP="00C4109F">
            <w:pPr>
              <w:spacing w:after="140"/>
              <w:jc w:val="both"/>
              <w:rPr>
                <w:rFonts w:ascii="Arial" w:hAnsi="Arial"/>
                <w:sz w:val="24"/>
                <w:szCs w:val="20"/>
                <w:lang w:eastAsia="en-US"/>
              </w:rPr>
            </w:pPr>
            <w:r w:rsidRPr="00C4109F">
              <w:rPr>
                <w:rFonts w:ascii="Arial" w:hAnsi="Arial"/>
                <w:sz w:val="24"/>
                <w:szCs w:val="20"/>
                <w:lang w:eastAsia="en-US"/>
              </w:rPr>
              <w:t>Early childhood education continues to be a priority area.</w:t>
            </w:r>
            <w:r w:rsidR="00915427">
              <w:rPr>
                <w:rFonts w:ascii="Arial" w:hAnsi="Arial"/>
                <w:sz w:val="24"/>
                <w:szCs w:val="20"/>
                <w:lang w:eastAsia="en-US"/>
              </w:rPr>
              <w:t xml:space="preserve"> </w:t>
            </w:r>
            <w:r w:rsidRPr="00C4109F">
              <w:rPr>
                <w:rFonts w:ascii="Arial" w:hAnsi="Arial"/>
                <w:sz w:val="24"/>
                <w:szCs w:val="20"/>
                <w:lang w:eastAsia="en-US"/>
              </w:rPr>
              <w:t>In 2013, Pre-primary became the first year of compulsory education across schools in Western Australia, all public primary schools now provide children with access to a minimum of 15 hours a week of Kindergarten, and the first 10 of the State Government’s Child and Parent Centres began operating on public school sites, providing parents with easier access to a range of local services.</w:t>
            </w:r>
            <w:r w:rsidR="00915427">
              <w:rPr>
                <w:rFonts w:ascii="Arial" w:hAnsi="Arial"/>
                <w:sz w:val="24"/>
                <w:szCs w:val="20"/>
                <w:lang w:eastAsia="en-US"/>
              </w:rPr>
              <w:t xml:space="preserve"> </w:t>
            </w:r>
          </w:p>
          <w:p w:rsidR="00C4109F" w:rsidRPr="00C4109F" w:rsidRDefault="00C4109F" w:rsidP="00C4109F">
            <w:pPr>
              <w:spacing w:after="140"/>
              <w:jc w:val="both"/>
              <w:rPr>
                <w:rFonts w:ascii="Arial" w:hAnsi="Arial"/>
                <w:sz w:val="24"/>
                <w:szCs w:val="20"/>
                <w:lang w:eastAsia="en-US"/>
              </w:rPr>
            </w:pPr>
            <w:r w:rsidRPr="00C4109F">
              <w:rPr>
                <w:rFonts w:ascii="Arial" w:hAnsi="Arial"/>
                <w:sz w:val="24"/>
                <w:szCs w:val="20"/>
                <w:lang w:eastAsia="en-US"/>
              </w:rPr>
              <w:t>Achieving and sustaining improved educational outcomes for all Aboriginal students remains a major challenge. As part of a suite of strategies, the Department began implementing the Commonwealth funded Investing in Focus Schools project in 2013, which focuses on school attendance, academic achievement and increased student and parent engagement.</w:t>
            </w:r>
            <w:r w:rsidR="00915427">
              <w:rPr>
                <w:rFonts w:ascii="Arial" w:hAnsi="Arial"/>
                <w:sz w:val="24"/>
                <w:szCs w:val="20"/>
                <w:lang w:eastAsia="en-US"/>
              </w:rPr>
              <w:t xml:space="preserve"> </w:t>
            </w:r>
            <w:r w:rsidRPr="00C4109F">
              <w:rPr>
                <w:rFonts w:ascii="Arial" w:hAnsi="Arial"/>
                <w:sz w:val="24"/>
                <w:szCs w:val="20"/>
                <w:lang w:eastAsia="en-US"/>
              </w:rPr>
              <w:t xml:space="preserve">The program supports selected schools to accelerate implementation of local level actions in the </w:t>
            </w:r>
            <w:r w:rsidRPr="00C4109F">
              <w:rPr>
                <w:rFonts w:ascii="Arial" w:hAnsi="Arial"/>
                <w:i/>
                <w:sz w:val="24"/>
                <w:szCs w:val="20"/>
                <w:lang w:eastAsia="en-US"/>
              </w:rPr>
              <w:t>Aboriginal and Torres Strait Islander Education Action Plan 2010–2014</w:t>
            </w:r>
            <w:r w:rsidRPr="00C4109F">
              <w:rPr>
                <w:rFonts w:ascii="Arial" w:hAnsi="Arial"/>
                <w:sz w:val="24"/>
                <w:szCs w:val="20"/>
                <w:lang w:eastAsia="en-US"/>
              </w:rPr>
              <w:t>.</w:t>
            </w:r>
          </w:p>
          <w:p w:rsidR="003B4524" w:rsidRPr="00666ECE" w:rsidRDefault="00C4109F" w:rsidP="00C4109F">
            <w:pPr>
              <w:spacing w:after="140"/>
              <w:jc w:val="both"/>
              <w:rPr>
                <w:rFonts w:ascii="Arial" w:hAnsi="Arial"/>
                <w:sz w:val="24"/>
                <w:szCs w:val="20"/>
                <w:lang w:eastAsia="en-US"/>
              </w:rPr>
            </w:pPr>
            <w:r w:rsidRPr="00C4109F">
              <w:rPr>
                <w:rFonts w:ascii="Arial" w:hAnsi="Arial"/>
                <w:sz w:val="24"/>
                <w:szCs w:val="20"/>
                <w:lang w:eastAsia="en-US"/>
              </w:rPr>
              <w:t xml:space="preserve">In August 2013, the Western Australian Government announced a new </w:t>
            </w:r>
            <w:r w:rsidRPr="00915427">
              <w:rPr>
                <w:rFonts w:ascii="Arial" w:hAnsi="Arial"/>
                <w:i/>
                <w:sz w:val="24"/>
                <w:szCs w:val="20"/>
                <w:lang w:eastAsia="en-US"/>
              </w:rPr>
              <w:t>Student-Centred Funding Model.</w:t>
            </w:r>
            <w:r w:rsidR="00915427">
              <w:rPr>
                <w:rFonts w:ascii="Arial" w:hAnsi="Arial"/>
                <w:sz w:val="24"/>
                <w:szCs w:val="20"/>
                <w:lang w:eastAsia="en-US"/>
              </w:rPr>
              <w:t xml:space="preserve"> </w:t>
            </w:r>
            <w:r w:rsidRPr="00C4109F">
              <w:rPr>
                <w:rFonts w:ascii="Arial" w:hAnsi="Arial"/>
                <w:sz w:val="24"/>
                <w:szCs w:val="20"/>
                <w:lang w:eastAsia="en-US"/>
              </w:rPr>
              <w:t>To be implemented from 2015, the model represents a fundamental change to how resources are distributed to public schools and will result in resources being better directed to schools where they are most required based on student need.</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40" w:line="320" w:lineRule="atLeast"/>
              <w:jc w:val="both"/>
              <w:rPr>
                <w:rFonts w:ascii="Arial" w:hAnsi="Arial"/>
                <w:b/>
                <w:sz w:val="24"/>
                <w:szCs w:val="20"/>
                <w:lang w:eastAsia="en-US"/>
              </w:rPr>
            </w:pPr>
            <w:r w:rsidRPr="00666ECE">
              <w:rPr>
                <w:rFonts w:ascii="Arial" w:hAnsi="Arial"/>
                <w:b/>
                <w:sz w:val="24"/>
                <w:szCs w:val="20"/>
                <w:lang w:eastAsia="en-US"/>
              </w:rPr>
              <w:t>South Australian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3B4524" w:rsidRPr="00666ECE" w:rsidRDefault="003B4524" w:rsidP="00666ECE">
            <w:pPr>
              <w:spacing w:before="240" w:line="320" w:lineRule="atLeast"/>
              <w:jc w:val="both"/>
              <w:rPr>
                <w:szCs w:val="20"/>
              </w:rPr>
            </w:pPr>
          </w:p>
          <w:p w:rsidR="00666ECE" w:rsidRDefault="00666ECE" w:rsidP="00666ECE">
            <w:pPr>
              <w:spacing w:before="240" w:line="320" w:lineRule="atLeast"/>
              <w:jc w:val="both"/>
              <w:rPr>
                <w:szCs w:val="20"/>
              </w:rPr>
            </w:pPr>
          </w:p>
          <w:p w:rsidR="003B4524" w:rsidRPr="00666ECE" w:rsidRDefault="003B4524"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685E65" w:rsidRDefault="00685E65" w:rsidP="00666ECE">
            <w:pPr>
              <w:spacing w:before="240" w:line="320" w:lineRule="atLeast"/>
              <w:jc w:val="both"/>
              <w:rPr>
                <w:szCs w:val="20"/>
              </w:rPr>
            </w:pPr>
          </w:p>
          <w:p w:rsidR="00F8111F" w:rsidRDefault="00F8111F" w:rsidP="00666ECE">
            <w:pPr>
              <w:spacing w:before="240" w:line="320" w:lineRule="atLeast"/>
              <w:jc w:val="both"/>
              <w:rPr>
                <w:szCs w:val="20"/>
              </w:rPr>
            </w:pPr>
          </w:p>
          <w:p w:rsidR="00F8111F" w:rsidRDefault="00F8111F" w:rsidP="00666ECE">
            <w:pPr>
              <w:spacing w:before="240" w:line="320" w:lineRule="atLeast"/>
              <w:jc w:val="both"/>
              <w:rPr>
                <w:szCs w:val="20"/>
              </w:rPr>
            </w:pPr>
          </w:p>
          <w:p w:rsidR="00F8111F" w:rsidRDefault="00F8111F" w:rsidP="00666ECE">
            <w:pPr>
              <w:spacing w:before="240" w:line="320" w:lineRule="atLeast"/>
              <w:jc w:val="both"/>
              <w:rPr>
                <w:szCs w:val="20"/>
              </w:rPr>
            </w:pPr>
          </w:p>
          <w:p w:rsidR="00FC2FDF" w:rsidRPr="00666ECE" w:rsidRDefault="00FC2FDF"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DB33FC" w:rsidRDefault="00DB33FC" w:rsidP="00DB33FC">
            <w:pPr>
              <w:pStyle w:val="Jurisdictioncommentsbodytext"/>
            </w:pPr>
            <w:r>
              <w:t>The Department for Education and Child Development's (DECD) core purpose is to provide early childhood development, health and child protection services, as well as public education and care, to South Australians. We have a special focus on ensuring our most vulnerable children and young people at risk of disadvantage are supported to stay engaged as learners.</w:t>
            </w:r>
          </w:p>
          <w:p w:rsidR="00DB33FC" w:rsidRDefault="00DB33FC" w:rsidP="00DB33FC">
            <w:pPr>
              <w:pStyle w:val="Jurisdictioncommentsbodytext"/>
            </w:pPr>
            <w:r>
              <w:t xml:space="preserve">In South Australia we aim to create a public education system that is characterised by high achievement, growth, challenge, engagement, equity and high public credibility so that it becomes a system of choice for an increasing proportion of South Australian families. </w:t>
            </w:r>
          </w:p>
          <w:p w:rsidR="00DB33FC" w:rsidRDefault="00DB33FC" w:rsidP="00DB33FC">
            <w:pPr>
              <w:pStyle w:val="Jurisdictioncommentsbodytext"/>
            </w:pPr>
            <w:r>
              <w:t>South Australia is the domain lead for “Readiness for School” under the Aboriginal and Torres Strait Islander Education Action Plan 2010-2014 (ATSIEAP). Schools in the Anangu Pitjantjatjara Yankunytjatjara (APY) Lands have been designated focus schools and have been identified to undertake specific actions to improve the education outcomes of Aboriginal students, with selection based on Aboriginal enrolments and NAPLAN results.</w:t>
            </w:r>
          </w:p>
          <w:p w:rsidR="00DB33FC" w:rsidRDefault="00DB33FC" w:rsidP="00DB33FC">
            <w:pPr>
              <w:pStyle w:val="Jurisdictioncommentsbodytext"/>
            </w:pPr>
            <w:r>
              <w:t>The ongoing Implementation of the Australian Curriculum provides an opportunity to focus on the quality of teaching and learning offered to all students. The Teaching for Effective Learning (TfEL) Framework describes well researched, effective pedagogy and is being used by schools across the state. Government schools are implementing the Australian Curriculum Phase 1 (English, History, Mathematics and Science) learning areas/subjects.</w:t>
            </w:r>
          </w:p>
          <w:p w:rsidR="00DB33FC" w:rsidRDefault="00DB33FC" w:rsidP="00DB33FC">
            <w:pPr>
              <w:pStyle w:val="Jurisdictioncommentsbodytext"/>
            </w:pPr>
            <w:r>
              <w:t>The "Keeping Safe: Child Protection" Curriculum and the "Aboriginal Cultural Studies" resource are required to be used by teachers as they design quality teaching and learning within the eight learning areas of the curriculum.</w:t>
            </w:r>
          </w:p>
          <w:p w:rsidR="00DB33FC" w:rsidRDefault="00DB33FC" w:rsidP="00DB33FC">
            <w:pPr>
              <w:pStyle w:val="Jurisdictioncommentsbodytext"/>
            </w:pPr>
            <w:r>
              <w:t xml:space="preserve">The "Student Pathways" strategy’s two major initiatives, "Trade Schools for the Future" and "Industry Skills Program", enable young people to begin a Certificate III qualification whilst at school, and to be funded beyond school in an apprenticeship or traineeship. The strategy supports effective transitions from school to training for young people completing the South Australian Certificate of Education via a school based apprenticeship, traineeship or Training Guarantee. </w:t>
            </w:r>
          </w:p>
          <w:p w:rsidR="00DB33FC" w:rsidRDefault="00DB33FC" w:rsidP="00DB33FC">
            <w:pPr>
              <w:pStyle w:val="Jurisdictioncommentsbodytext"/>
            </w:pPr>
            <w:r>
              <w:t>In 2012 the "Primary Mathematics and Science Strategy" (PMSS) transitioned to the Primary Australian Curriculum strategy (PACS). According to local needs, schools were able to continue to access support for mathematics and science, with the flexibility to apply the funding and structures of the PMSS to the implementation of further Australian Curriculum learning areas.</w:t>
            </w:r>
          </w:p>
          <w:p w:rsidR="00DB33FC" w:rsidRDefault="00DB33FC" w:rsidP="00DB33FC">
            <w:pPr>
              <w:pStyle w:val="Jurisdictioncommentslistbullet"/>
            </w:pPr>
            <w:r>
              <w:t>From 2011, Year 3 students will spend a minimum of 90 minutes per week on science and a minimum 300 minutes per week on mathematics and numeracy</w:t>
            </w:r>
          </w:p>
          <w:p w:rsidR="00666ECE" w:rsidRPr="00666ECE" w:rsidRDefault="00DB33FC" w:rsidP="007B58AF">
            <w:pPr>
              <w:pStyle w:val="Jurisdictioncommentslistbullet"/>
              <w:spacing w:after="0"/>
            </w:pPr>
            <w:r>
              <w:t>From 2013, Reception to Year 2 students will spend a minimum of 300</w:t>
            </w:r>
            <w:r w:rsidR="007B58AF">
              <w:t> </w:t>
            </w:r>
            <w:r>
              <w:t>minutes per week on mathematics and up to 90 minutes per week on science.</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20" w:line="320" w:lineRule="atLeast"/>
              <w:jc w:val="both"/>
              <w:rPr>
                <w:rFonts w:ascii="Arial" w:hAnsi="Arial"/>
                <w:b/>
                <w:sz w:val="24"/>
                <w:szCs w:val="20"/>
                <w:lang w:eastAsia="en-US"/>
              </w:rPr>
            </w:pPr>
            <w:r w:rsidRPr="00666ECE">
              <w:rPr>
                <w:rFonts w:ascii="Arial" w:hAnsi="Arial"/>
                <w:b/>
                <w:sz w:val="24"/>
                <w:szCs w:val="20"/>
                <w:lang w:eastAsia="en-US"/>
              </w:rPr>
              <w:t>Tasmanian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A07C80">
            <w:pPr>
              <w:spacing w:before="36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A07C80">
            <w:pPr>
              <w:spacing w:before="360" w:line="320" w:lineRule="atLeast"/>
              <w:jc w:val="both"/>
              <w:rPr>
                <w:szCs w:val="20"/>
              </w:rPr>
            </w:pPr>
          </w:p>
          <w:p w:rsidR="0088029F" w:rsidRPr="00666ECE" w:rsidRDefault="0088029F" w:rsidP="00A07C80">
            <w:pPr>
              <w:spacing w:before="360" w:line="320" w:lineRule="atLeast"/>
              <w:jc w:val="both"/>
              <w:rPr>
                <w:szCs w:val="20"/>
              </w:rPr>
            </w:pPr>
          </w:p>
          <w:p w:rsidR="00666ECE" w:rsidRPr="00666ECE" w:rsidRDefault="00666ECE" w:rsidP="00A07C80">
            <w:pPr>
              <w:spacing w:before="360" w:line="320" w:lineRule="atLeast"/>
              <w:jc w:val="both"/>
              <w:rPr>
                <w:szCs w:val="20"/>
              </w:rPr>
            </w:pPr>
          </w:p>
          <w:p w:rsidR="00666ECE" w:rsidRDefault="00666ECE" w:rsidP="00666ECE">
            <w:pPr>
              <w:spacing w:before="240" w:line="320" w:lineRule="atLeast"/>
              <w:jc w:val="both"/>
              <w:rPr>
                <w:szCs w:val="20"/>
              </w:rPr>
            </w:pPr>
          </w:p>
          <w:p w:rsidR="00666ECE" w:rsidRPr="00666ECE" w:rsidRDefault="00666ECE" w:rsidP="00A07C80">
            <w:pPr>
              <w:spacing w:before="60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D50E8F" w:rsidRDefault="00D50E8F" w:rsidP="00D50E8F">
            <w:pPr>
              <w:pStyle w:val="Jurisdictioncommentsbodytext"/>
            </w:pPr>
            <w:r>
              <w:t>The Tasmanian education department offers a comprehensive and lifelong approach to learning for all people regardless of age. Our mission is to provide every Tasmanian with the opportunity to continue to learn and reach their potential, to lead fulfilling and productive lives and contribute positively to their community. Inherent in this mission are the core values of learning, excellence, equity, respect and relationships.</w:t>
            </w:r>
          </w:p>
          <w:p w:rsidR="00D50E8F" w:rsidRDefault="00D50E8F" w:rsidP="00D50E8F">
            <w:pPr>
              <w:pStyle w:val="Jurisdictioncommentsbodytext"/>
            </w:pPr>
            <w:r>
              <w:t>The department continues to foster partnerships with parents in the years preceding compulsory schooling. Launching into Learning programs in Tasmanian government schools provide opportunities for parents, their pre</w:t>
            </w:r>
            <w:r w:rsidR="003F1C17">
              <w:noBreakHyphen/>
            </w:r>
            <w:r>
              <w:t xml:space="preserve">school children and teachers to play and learn together. Child and Family Centres situated across Tasmania offer high quality education integrated with a range of complementary services aimed at giving our youngest children the best start in life. </w:t>
            </w:r>
          </w:p>
          <w:p w:rsidR="00D50E8F" w:rsidRDefault="00D50E8F" w:rsidP="00D50E8F">
            <w:pPr>
              <w:pStyle w:val="Jurisdictioncommentsbodytext"/>
            </w:pPr>
            <w:r>
              <w:t>Improving literacy and numeracy outcomes of Tasmanian students continues to be a major focus. Lead teachers work in networks of schools supporting leaders to use school data to identify strengths and areas for growth and to implement effective teaching and learning strategies. This work is enhanced through a research project with the University of Tasmania exploring literacy and numeracy provision across Years 5 to 8 to improve transition.</w:t>
            </w:r>
          </w:p>
          <w:p w:rsidR="00D50E8F" w:rsidRDefault="00D50E8F" w:rsidP="00D50E8F">
            <w:pPr>
              <w:pStyle w:val="Jurisdictioncommentsbodytext"/>
            </w:pPr>
            <w:r>
              <w:t xml:space="preserve">The Student Support System, introduced in 2013, is a secure web-based resource where observations, actions and strategies around student support are recorded. An example of contemporary best practice, the Student Support System enables key staff to monitor the individual support needs of students as they move through the education system. </w:t>
            </w:r>
          </w:p>
          <w:p w:rsidR="00D50E8F" w:rsidRDefault="00D50E8F" w:rsidP="00D50E8F">
            <w:pPr>
              <w:pStyle w:val="Jurisdictioncommentsbodytext"/>
            </w:pPr>
            <w:r>
              <w:t>The Professional Learning Institute delivers and brokers professional learning for Department of Education staff.</w:t>
            </w:r>
            <w:r w:rsidR="003F1C17">
              <w:t xml:space="preserve"> </w:t>
            </w:r>
            <w:r>
              <w:t xml:space="preserve">Inspired leadership is one of the department’s key strategic drivers. The importance of strong leadership in improving student learning outcomes has been recognised through the provision of targeted professional learning opportunities to develop principals as literacy leaders. </w:t>
            </w:r>
          </w:p>
          <w:p w:rsidR="00D50E8F" w:rsidRDefault="00D50E8F" w:rsidP="00D50E8F">
            <w:pPr>
              <w:pStyle w:val="Jurisdictioncommentsbodytext"/>
            </w:pPr>
            <w:r>
              <w:t>Encouraging students to complete Year 12 or attain equivalent qualifications remains an important department priority. A range of strategies are in place to support students to make an informed and successful transition from Year 10 to Years 11 and 12. These include the strengthening of networks of secondary and senior secondary schools across the state which particularly assists those students in rural and regional communities to engage in learning in the post</w:t>
            </w:r>
            <w:r w:rsidR="007B58AF">
              <w:noBreakHyphen/>
            </w:r>
            <w:r>
              <w:t xml:space="preserve">secondary years. </w:t>
            </w:r>
          </w:p>
          <w:p w:rsidR="00D50E8F" w:rsidRDefault="00D50E8F" w:rsidP="00D50E8F">
            <w:pPr>
              <w:pStyle w:val="Jurisdictioncommentsbodytext"/>
            </w:pPr>
            <w:r>
              <w:t xml:space="preserve">TasTAFE is the new single entity for Tasmania’s public sector post-compulsory vocational education and training. </w:t>
            </w:r>
          </w:p>
          <w:p w:rsidR="003B4524" w:rsidRPr="00666ECE" w:rsidRDefault="00D50E8F" w:rsidP="0023570A">
            <w:pPr>
              <w:pStyle w:val="Jurisdictioncommentsbodytext"/>
              <w:spacing w:after="0"/>
            </w:pPr>
            <w:r>
              <w:t>Tasmania’s 26TEN strategy connects adults with literacy programs and services. This is a far-reaching, long-term strategy aimed at raising awareness of adult literacy issues while reducing the stigma often associated with poor literacy skills.</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40" w:line="320" w:lineRule="atLeast"/>
              <w:jc w:val="both"/>
              <w:rPr>
                <w:rFonts w:ascii="Arial" w:hAnsi="Arial"/>
                <w:b/>
                <w:sz w:val="24"/>
                <w:szCs w:val="20"/>
                <w:lang w:eastAsia="en-US"/>
              </w:rPr>
            </w:pPr>
            <w:r w:rsidRPr="00666ECE">
              <w:rPr>
                <w:rFonts w:ascii="Arial" w:hAnsi="Arial"/>
                <w:b/>
                <w:sz w:val="24"/>
                <w:szCs w:val="20"/>
                <w:lang w:eastAsia="en-US"/>
              </w:rPr>
              <w:t>Australian Capital Territory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3C000E" w:rsidRPr="003C000E" w:rsidRDefault="003C000E" w:rsidP="003C000E">
            <w:pPr>
              <w:pBdr>
                <w:right w:val="single" w:sz="6" w:space="4" w:color="auto"/>
              </w:pBdr>
              <w:spacing w:after="120"/>
              <w:jc w:val="both"/>
              <w:rPr>
                <w:rFonts w:ascii="Arial" w:hAnsi="Arial"/>
                <w:sz w:val="24"/>
                <w:szCs w:val="20"/>
                <w:lang w:eastAsia="en-US"/>
              </w:rPr>
            </w:pPr>
            <w:r w:rsidRPr="003C000E">
              <w:rPr>
                <w:rFonts w:ascii="Arial" w:hAnsi="Arial"/>
                <w:sz w:val="24"/>
                <w:szCs w:val="20"/>
                <w:lang w:eastAsia="en-US"/>
              </w:rPr>
              <w:t>The 2012-13 year has been a significant period for education and training in the ACT, and for Australia. In May 2013 the ACT Government signed the National Education Reform Agreement with the Australian Government. The agreement incorporates the National Plan for School Improvement and facilitates the implementation of national and local initiatives to improve educational outcomes for children and young people. We continue to make progress in implementing reform in early childhood education and care, schools and vocational education and training.</w:t>
            </w:r>
          </w:p>
          <w:p w:rsidR="003C000E" w:rsidRPr="003C000E" w:rsidRDefault="003C000E" w:rsidP="003C000E">
            <w:pPr>
              <w:pBdr>
                <w:right w:val="single" w:sz="6" w:space="4" w:color="auto"/>
              </w:pBdr>
              <w:spacing w:after="120"/>
              <w:jc w:val="both"/>
              <w:rPr>
                <w:rFonts w:ascii="Arial" w:hAnsi="Arial"/>
                <w:sz w:val="24"/>
                <w:szCs w:val="20"/>
                <w:lang w:eastAsia="en-US"/>
              </w:rPr>
            </w:pPr>
            <w:r w:rsidRPr="003C000E">
              <w:rPr>
                <w:rFonts w:ascii="Arial" w:hAnsi="Arial"/>
                <w:sz w:val="24"/>
                <w:szCs w:val="20"/>
                <w:lang w:eastAsia="en-US"/>
              </w:rPr>
              <w:t xml:space="preserve">The work of empowering local schools continued throughout 2012-13 in order to further enable principals to make informed decisions about the best use of available resources, support and infrastructure that will deliver the best outcomes for students. The ACT has a growing and vibrant public education and training system, and one that continues to provide support in a wide variety of ways. In 2013, for the first time, all ACT K-10 public schools assessed and reported student progress using the Australian Curriculum Achievement Standards associated with each of the phase 1 learning areas. </w:t>
            </w:r>
          </w:p>
          <w:p w:rsidR="003C000E" w:rsidRPr="003C000E" w:rsidRDefault="003C000E" w:rsidP="003C000E">
            <w:pPr>
              <w:pBdr>
                <w:right w:val="single" w:sz="6" w:space="4" w:color="auto"/>
              </w:pBdr>
              <w:spacing w:after="120"/>
              <w:jc w:val="both"/>
              <w:rPr>
                <w:rFonts w:ascii="Arial" w:hAnsi="Arial"/>
                <w:sz w:val="24"/>
                <w:szCs w:val="20"/>
                <w:lang w:eastAsia="en-US"/>
              </w:rPr>
            </w:pPr>
            <w:r w:rsidRPr="003C000E">
              <w:rPr>
                <w:rFonts w:ascii="Arial" w:hAnsi="Arial"/>
                <w:sz w:val="24"/>
                <w:szCs w:val="20"/>
                <w:lang w:eastAsia="en-US"/>
              </w:rPr>
              <w:t>The ACT continued to have the highest retention rate to year 12 and the highest proportion of 20-24 year olds who attained a year 12 or equivalent qualification. These results reflected our commitment to the Directorate’s vision that all young people in the ACT learn, thrive and are equipped with the skills to lead fulfilling, productive and responsible lives.</w:t>
            </w:r>
          </w:p>
          <w:p w:rsidR="003C000E" w:rsidRPr="003C000E" w:rsidRDefault="003C000E" w:rsidP="003C000E">
            <w:pPr>
              <w:pBdr>
                <w:right w:val="single" w:sz="6" w:space="4" w:color="auto"/>
              </w:pBdr>
              <w:spacing w:after="120"/>
              <w:jc w:val="both"/>
              <w:rPr>
                <w:rFonts w:ascii="Arial" w:hAnsi="Arial"/>
                <w:sz w:val="24"/>
                <w:szCs w:val="20"/>
                <w:lang w:eastAsia="en-US"/>
              </w:rPr>
            </w:pPr>
            <w:r w:rsidRPr="003C000E">
              <w:rPr>
                <w:rFonts w:ascii="Arial" w:hAnsi="Arial"/>
                <w:sz w:val="24"/>
                <w:szCs w:val="20"/>
                <w:lang w:eastAsia="en-US"/>
              </w:rPr>
              <w:t>ACT students continued to be among the highest performing students in Australia, with mean scores placing our students top or equal top across 16 of the 20 areas tested in the 2012 National Assessment Program – Literacy and Numeracy (NAPLAN).</w:t>
            </w:r>
          </w:p>
          <w:p w:rsidR="003C000E" w:rsidRPr="003C000E" w:rsidRDefault="003C000E" w:rsidP="003C000E">
            <w:pPr>
              <w:pBdr>
                <w:right w:val="single" w:sz="6" w:space="4" w:color="auto"/>
              </w:pBdr>
              <w:spacing w:after="120"/>
              <w:jc w:val="both"/>
              <w:rPr>
                <w:rFonts w:ascii="Arial" w:hAnsi="Arial"/>
                <w:sz w:val="24"/>
                <w:szCs w:val="20"/>
                <w:lang w:eastAsia="en-US"/>
              </w:rPr>
            </w:pPr>
            <w:r w:rsidRPr="003C000E">
              <w:rPr>
                <w:rFonts w:ascii="Arial" w:hAnsi="Arial"/>
                <w:sz w:val="24"/>
                <w:szCs w:val="20"/>
                <w:lang w:eastAsia="en-US"/>
              </w:rPr>
              <w:t>Throughout 2012-13 the Directorate continued implementation of strategies to support all students, particularly those students from low socio-economic and English as a second language or dialect backgrounds, Aboriginal and Torres Strait Islander students and students with a disability. Strong relationships with parents and carers and other members of school communities, through workshops and networks, contributed to sharing of information and the development of responses for the children and young people in our schools.</w:t>
            </w:r>
          </w:p>
          <w:p w:rsidR="003C000E" w:rsidRPr="003C000E" w:rsidRDefault="003C000E" w:rsidP="003C000E">
            <w:pPr>
              <w:pBdr>
                <w:right w:val="single" w:sz="6" w:space="4" w:color="auto"/>
              </w:pBdr>
              <w:spacing w:after="120"/>
              <w:jc w:val="both"/>
              <w:rPr>
                <w:rFonts w:ascii="Arial" w:hAnsi="Arial"/>
                <w:sz w:val="24"/>
                <w:szCs w:val="20"/>
                <w:lang w:eastAsia="en-US"/>
              </w:rPr>
            </w:pPr>
            <w:r w:rsidRPr="003C000E">
              <w:rPr>
                <w:rFonts w:ascii="Arial" w:hAnsi="Arial"/>
                <w:sz w:val="24"/>
                <w:szCs w:val="20"/>
                <w:lang w:eastAsia="en-US"/>
              </w:rPr>
              <w:t>The establishment in August 2012 of the Minister’s Student Congress provided opportunities for students to network and develop their leadership skills. The overall aim of the Congress is to give students a voice in their education and to provide their point of view directly to the Minister.</w:t>
            </w:r>
          </w:p>
          <w:p w:rsidR="003B4524" w:rsidRPr="00666ECE" w:rsidRDefault="003C000E" w:rsidP="003C000E">
            <w:pPr>
              <w:pBdr>
                <w:right w:val="single" w:sz="6" w:space="4" w:color="auto"/>
              </w:pBdr>
              <w:spacing w:after="120"/>
              <w:jc w:val="both"/>
              <w:rPr>
                <w:rFonts w:ascii="Arial" w:hAnsi="Arial"/>
                <w:color w:val="FF00FF"/>
                <w:sz w:val="24"/>
                <w:szCs w:val="20"/>
                <w:lang w:eastAsia="en-US"/>
              </w:rPr>
            </w:pPr>
            <w:r w:rsidRPr="003C000E">
              <w:rPr>
                <w:rFonts w:ascii="Arial" w:hAnsi="Arial"/>
                <w:sz w:val="24"/>
                <w:szCs w:val="20"/>
                <w:lang w:eastAsia="en-US"/>
              </w:rPr>
              <w:t>In 2012, the Directorate commenced the first year of implementation of the teaching staff Enterprise Agreement. Under this agreement, classroom teachers in their first year of teaching had reduced teaching hours to allow for the provision of enhanced coaching and mentoring support. In 2013, the Directorate successfully completed the public service Enterprise Agreement 2011-2013 which covered all Directorate staff other than teachers.</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7E3E6E">
      <w:pPr>
        <w:spacing w:line="2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40" w:line="320" w:lineRule="atLeast"/>
              <w:jc w:val="both"/>
              <w:rPr>
                <w:rFonts w:ascii="Arial" w:hAnsi="Arial"/>
                <w:b/>
                <w:sz w:val="24"/>
                <w:szCs w:val="20"/>
                <w:lang w:eastAsia="en-US"/>
              </w:rPr>
            </w:pPr>
            <w:r w:rsidRPr="00666ECE">
              <w:rPr>
                <w:rFonts w:ascii="Arial" w:hAnsi="Arial"/>
                <w:b/>
                <w:sz w:val="24"/>
                <w:szCs w:val="20"/>
                <w:lang w:eastAsia="en-US"/>
              </w:rPr>
              <w:t>Northern Territory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971C91" w:rsidRDefault="00971C91" w:rsidP="00666ECE">
            <w:pPr>
              <w:spacing w:before="240" w:line="320" w:lineRule="atLeast"/>
              <w:jc w:val="both"/>
              <w:rPr>
                <w:szCs w:val="20"/>
              </w:rPr>
            </w:pPr>
          </w:p>
          <w:p w:rsidR="00971C91" w:rsidRPr="00666ECE" w:rsidRDefault="00971C91"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926D58">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FFFFFF" w:themeFill="background1"/>
          </w:tcPr>
          <w:p w:rsidR="00526EC7" w:rsidRDefault="00526EC7" w:rsidP="00526EC7">
            <w:pPr>
              <w:pStyle w:val="Jurisdictioncommentsbodytext"/>
            </w:pPr>
            <w:r>
              <w:t xml:space="preserve">The role of the department is to deliver services to children and young people to maximise their educational outcomes, safety and wellbeing from their early years through to senior years of schooling. </w:t>
            </w:r>
          </w:p>
          <w:p w:rsidR="00526EC7" w:rsidRDefault="00526EC7" w:rsidP="00526EC7">
            <w:pPr>
              <w:pStyle w:val="Jurisdictioncommentsbodytext"/>
            </w:pPr>
            <w:r>
              <w:t xml:space="preserve">The Department of Education’s Strategic Plan, participation in national partnerships and implementation of the national reform agenda continue to drive a range of strategic initiatives that focus on achieving the best possible outcomes and pathways for children and young people in the Northern Territory. </w:t>
            </w:r>
          </w:p>
          <w:p w:rsidR="00526EC7" w:rsidRDefault="00526EC7" w:rsidP="00526EC7">
            <w:pPr>
              <w:pStyle w:val="Jurisdictioncommentsbodytext"/>
            </w:pPr>
            <w:r>
              <w:t xml:space="preserve">An updated Principal Performance and Development Framework has been implemented, which aligns to the Australian Professional Standards for Principals and complements a revised school review process. Implementation of these new frameworks is assisting schools to target their efforts aimed at improving student outcomes. </w:t>
            </w:r>
          </w:p>
          <w:p w:rsidR="00526EC7" w:rsidRDefault="00526EC7" w:rsidP="00526EC7">
            <w:pPr>
              <w:pStyle w:val="Jurisdictioncommentsbodytext"/>
            </w:pPr>
            <w:r>
              <w:t>A focus on early years prior to schooling is paramount to ensure young people enter the schooling system ready to participate in learning. Child and family services established in remote and very remote communities engaged 1284</w:t>
            </w:r>
            <w:r w:rsidR="00BB794B">
              <w:t> </w:t>
            </w:r>
            <w:r>
              <w:t xml:space="preserve">children and 1155 adults in programs of early learning, literacy and numeracy at home, parent capacity building and transition to preschool in 2012. </w:t>
            </w:r>
          </w:p>
          <w:p w:rsidR="00526EC7" w:rsidRDefault="00526EC7" w:rsidP="00526EC7">
            <w:pPr>
              <w:pStyle w:val="Jurisdictioncommentsbodytext"/>
            </w:pPr>
            <w:r>
              <w:t>Following a review of literacy and numeracy approaches by the Australian Council of Education Research in 2011-12, there has been a strong focus on developing evidence based planning and program delivery. Whole School Curriculum and Assessment Plans have been introduced to provide a framework for planning literacy and numeracy teaching, meeting the needs of individual student cohorts and allowing for the delivery of English and mathematics curriculum content.</w:t>
            </w:r>
          </w:p>
          <w:p w:rsidR="00526EC7" w:rsidRDefault="00526EC7" w:rsidP="00526EC7">
            <w:pPr>
              <w:pStyle w:val="Jurisdictioncommentsbodytext"/>
            </w:pPr>
            <w:r>
              <w:t>The Vocational Education and Training in Schools program is another important strategic priority of the department and in 2012, 41</w:t>
            </w:r>
            <w:r w:rsidR="00BB794B">
              <w:t> </w:t>
            </w:r>
            <w:r>
              <w:t>per</w:t>
            </w:r>
            <w:r w:rsidR="00BB794B">
              <w:t> </w:t>
            </w:r>
            <w:r>
              <w:t xml:space="preserve">cent of students successfully completed a full VET qualification which was more than double the strategic plan target of 20 per cent. The department continues to work to develop and maintain partnerships with industry groups and individual businesses to provide pathways for school leavers. </w:t>
            </w:r>
          </w:p>
          <w:p w:rsidR="00526EC7" w:rsidRDefault="00526EC7" w:rsidP="00526EC7">
            <w:pPr>
              <w:pStyle w:val="Jurisdictioncommentsbodytext"/>
            </w:pPr>
            <w:r>
              <w:t>The Every Child, Every Day strategy continued a focus on increasing enrolment, attendance and participation of young Territorians. In 2012, a range of services were delivered including regionally based officers working with students and their families to develop student attendance plans and support the successful re-engagement of students in schooling. Despite these efforts our attendance rates for remote Indigenous students remain of huge concern and are very low compared to other jurisdictions.</w:t>
            </w:r>
          </w:p>
          <w:p w:rsidR="003B4524" w:rsidRPr="006730CC" w:rsidRDefault="00526EC7" w:rsidP="00526EC7">
            <w:pPr>
              <w:pStyle w:val="Jurisdictioncommentsbodytext"/>
              <w:spacing w:after="0"/>
              <w:rPr>
                <w:rStyle w:val="DraftingNote"/>
              </w:rPr>
            </w:pPr>
            <w:r>
              <w:t>NT NAPLAN results showed that there is still much work to do to close the gap between Indigenous and non-Indigenous student attainment and improve the performance of all Northern Territory students. NAPLAN results for 2012 showed stable performance. In seven out of eight possible measures, the Northern Territory’s gain was above the average Australian gain.</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keepNext/>
        <w:numPr>
          <w:ilvl w:val="1"/>
          <w:numId w:val="21"/>
        </w:numPr>
        <w:spacing w:before="600" w:line="400" w:lineRule="exact"/>
        <w:outlineLvl w:val="1"/>
        <w:rPr>
          <w:rFonts w:ascii="Arial" w:hAnsi="Arial"/>
          <w:b/>
          <w:sz w:val="32"/>
        </w:rPr>
      </w:pPr>
      <w:bookmarkStart w:id="59" w:name="_Toc374962352"/>
      <w:r w:rsidRPr="00666ECE">
        <w:rPr>
          <w:rFonts w:ascii="Arial" w:hAnsi="Arial"/>
          <w:b/>
          <w:sz w:val="32"/>
        </w:rPr>
        <w:lastRenderedPageBreak/>
        <w:t>Definitions of key terms</w:t>
      </w:r>
      <w:bookmarkEnd w:id="59"/>
      <w:r w:rsidRPr="00666ECE">
        <w:rPr>
          <w:rFonts w:ascii="Arial" w:hAnsi="Arial"/>
          <w:b/>
          <w:sz w:val="32"/>
        </w:rPr>
        <w:t xml:space="preserve"> </w:t>
      </w:r>
    </w:p>
    <w:tbl>
      <w:tblPr>
        <w:tblW w:w="0" w:type="auto"/>
        <w:tblLayout w:type="fixed"/>
        <w:tblCellMar>
          <w:left w:w="0" w:type="dxa"/>
          <w:right w:w="0" w:type="dxa"/>
        </w:tblCellMar>
        <w:tblLook w:val="0000" w:firstRow="0" w:lastRow="0" w:firstColumn="0" w:lastColumn="0" w:noHBand="0" w:noVBand="0"/>
      </w:tblPr>
      <w:tblGrid>
        <w:gridCol w:w="2410"/>
        <w:gridCol w:w="6379"/>
      </w:tblGrid>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Apparent retention rates</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The number of full time students in a designated year of schooling, expressed as a percentage of their respective cohort group at an earlier base year. For example, the year 12 retention rate is calculated by dividing the total number of full time students in year 12 in the target year by the total number of full time students in year 10 two years before the target year.</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Full time equivalent student</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The FTE of a full time student is 1.0. The method of converting part time student numbers into FTEs is based on the student’s workload compared with the workload usually undertaken by a full time student.</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Full time student</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person who satisfies the definition of a student and undertakes a workload equivalent to, or greater than, that usually undertaken by a student of that year level. The definition of full time student varies across jurisdictions.</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Geographic classification</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Geographic categorisation is based on the agreed MCEECDYA Geographic Location Classification which, at the highest level, divides Australia into three zones (the metropolitan, provincial and remote zones). A further disaggregation comprises five categories: metropolitan and provincial zones each subdivided into two categories, and the remote zone. Further subdivisions of the two provincial zone categories and the remote zone category provide additional, more detailed, classification options. When data permit, a separate very remote zone can be reported along with the metropolitan, provincial and remote zones, as follows.</w:t>
            </w:r>
          </w:p>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A. Metropolitan zone</w:t>
            </w:r>
          </w:p>
          <w:p w:rsidR="00666ECE" w:rsidRPr="00666ECE" w:rsidRDefault="00666ECE"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Mainland State capital city regions (Statistical Divisions (SDs)): Sydney, Melbourne, Brisbane, Adelaide and Perth SDs.</w:t>
            </w:r>
          </w:p>
          <w:p w:rsidR="00666ECE" w:rsidRPr="00666ECE" w:rsidRDefault="00666ECE"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Major urban Statistical Districts (100 000 or more population): ACT–Queanbeyan, Cairns, Gold Coast–Tweed, Geelong, Hobart, Newcastle, Sunshine Coast, Townsville, Wollongong.</w:t>
            </w:r>
          </w:p>
          <w:p w:rsidR="00666ECE" w:rsidRPr="00666ECE" w:rsidRDefault="00666ECE" w:rsidP="00666ECE">
            <w:pPr>
              <w:keepNext/>
              <w:keepLines/>
              <w:spacing w:before="60" w:after="60" w:line="220" w:lineRule="atLeast"/>
              <w:ind w:right="113"/>
              <w:rPr>
                <w:rFonts w:ascii="Arial" w:hAnsi="Arial"/>
                <w:sz w:val="20"/>
                <w:szCs w:val="20"/>
                <w:lang w:val="fr-FR"/>
              </w:rPr>
            </w:pPr>
            <w:r w:rsidRPr="00666ECE">
              <w:rPr>
                <w:rFonts w:ascii="Arial" w:hAnsi="Arial"/>
                <w:sz w:val="20"/>
                <w:szCs w:val="20"/>
                <w:lang w:val="fr-FR"/>
              </w:rPr>
              <w:t>B. Provincial zone (non-remote)</w:t>
            </w:r>
          </w:p>
          <w:p w:rsidR="00666ECE" w:rsidRPr="00666ECE" w:rsidRDefault="00666ECE"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 xml:space="preserve">Provincial city Statistical Districts plus Darwin SD. </w:t>
            </w:r>
          </w:p>
          <w:p w:rsidR="00666ECE" w:rsidRPr="00666ECE" w:rsidRDefault="00666ECE" w:rsidP="00666ECE">
            <w:pPr>
              <w:keepNext/>
              <w:keepLines/>
              <w:numPr>
                <w:ilvl w:val="0"/>
                <w:numId w:val="22"/>
              </w:numPr>
              <w:tabs>
                <w:tab w:val="left" w:pos="425"/>
              </w:tabs>
              <w:spacing w:after="40" w:line="220" w:lineRule="atLeast"/>
              <w:ind w:left="425" w:right="113" w:hanging="283"/>
              <w:rPr>
                <w:rFonts w:ascii="Arial" w:hAnsi="Arial"/>
                <w:sz w:val="20"/>
                <w:szCs w:val="20"/>
              </w:rPr>
            </w:pPr>
            <w:r w:rsidRPr="00666ECE">
              <w:rPr>
                <w:rFonts w:ascii="Arial" w:hAnsi="Arial"/>
                <w:sz w:val="20"/>
                <w:szCs w:val="20"/>
              </w:rPr>
              <w:t>Provincial city statistical districts and Darwin statistical division (50 000–99 999 population): Albury–Wodonga, Ballarat, Bathurst–Orange, Burnie-Devonport, Bundaberg, Bendigo, Darwin, Launceston, La Trobe Valley, Mackay, Rockhampton, Toowoomba, Wagga Wagga.</w:t>
            </w:r>
          </w:p>
          <w:p w:rsidR="00666ECE" w:rsidRPr="00666ECE" w:rsidRDefault="00666ECE" w:rsidP="00666ECE">
            <w:pPr>
              <w:keepNext/>
              <w:keepLines/>
              <w:numPr>
                <w:ilvl w:val="0"/>
                <w:numId w:val="22"/>
              </w:numPr>
              <w:tabs>
                <w:tab w:val="left" w:pos="425"/>
              </w:tabs>
              <w:spacing w:after="40" w:line="220" w:lineRule="atLeast"/>
              <w:ind w:left="425" w:right="113" w:hanging="283"/>
              <w:rPr>
                <w:rFonts w:ascii="Arial" w:hAnsi="Arial"/>
                <w:sz w:val="20"/>
                <w:szCs w:val="20"/>
              </w:rPr>
            </w:pPr>
            <w:r w:rsidRPr="00666ECE">
              <w:rPr>
                <w:rFonts w:ascii="Arial" w:hAnsi="Arial"/>
                <w:sz w:val="20"/>
                <w:szCs w:val="20"/>
              </w:rPr>
              <w:t>Provincial City Statistical Districts (25 000–49 999 population): Bunbury, Coffs Harbour, Dubbo, Geraldton, Gladstone, Shepparton, Hervey Bay, Kalgoorlie–Boulder, Lismore, Mandurah, Mildura, Nowra–Bomaderry, Port Macquarie, Tamworth, Warrnambool.</w:t>
            </w:r>
          </w:p>
          <w:p w:rsidR="00666ECE" w:rsidRPr="00666ECE" w:rsidRDefault="00666ECE"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 xml:space="preserve">Other provincial areas (CD ARIA Plus score </w:t>
            </w:r>
            <w:r w:rsidRPr="00666ECE">
              <w:rPr>
                <w:rFonts w:ascii="Arial" w:hAnsi="Arial"/>
                <w:sz w:val="20"/>
                <w:szCs w:val="20"/>
                <w:u w:val="single"/>
              </w:rPr>
              <w:t>&lt;</w:t>
            </w:r>
            <w:r w:rsidRPr="00666ECE">
              <w:rPr>
                <w:rFonts w:ascii="Arial" w:hAnsi="Arial"/>
                <w:sz w:val="20"/>
                <w:szCs w:val="20"/>
              </w:rPr>
              <w:t xml:space="preserve"> 5.92)</w:t>
            </w:r>
          </w:p>
          <w:p w:rsidR="00666ECE" w:rsidRPr="00666ECE" w:rsidRDefault="00666ECE"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 xml:space="preserve">Inner provincial areas (CD ARIA Plus score </w:t>
            </w:r>
            <w:r w:rsidRPr="00666ECE">
              <w:rPr>
                <w:rFonts w:ascii="Arial" w:hAnsi="Arial"/>
                <w:sz w:val="20"/>
                <w:szCs w:val="20"/>
                <w:u w:val="single"/>
              </w:rPr>
              <w:t>&lt;</w:t>
            </w:r>
            <w:r w:rsidRPr="00666ECE">
              <w:rPr>
                <w:rFonts w:ascii="Arial" w:hAnsi="Arial"/>
                <w:sz w:val="20"/>
                <w:szCs w:val="20"/>
              </w:rPr>
              <w:t xml:space="preserve"> 2.4)</w:t>
            </w:r>
          </w:p>
          <w:p w:rsidR="00666ECE" w:rsidRPr="00666ECE" w:rsidRDefault="00666ECE"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 xml:space="preserve">Outer provincial areas (CD ARIA Plus score &gt; 2.4 and </w:t>
            </w:r>
            <w:r w:rsidRPr="00666ECE">
              <w:rPr>
                <w:rFonts w:ascii="Arial" w:hAnsi="Arial"/>
                <w:sz w:val="20"/>
                <w:szCs w:val="20"/>
                <w:u w:val="single"/>
              </w:rPr>
              <w:t>&lt;</w:t>
            </w:r>
            <w:r w:rsidRPr="00666ECE">
              <w:rPr>
                <w:rFonts w:ascii="Arial" w:hAnsi="Arial"/>
                <w:sz w:val="20"/>
                <w:szCs w:val="20"/>
              </w:rPr>
              <w:t xml:space="preserve"> 5.92)</w:t>
            </w:r>
          </w:p>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C. Remote zone</w:t>
            </w:r>
          </w:p>
          <w:p w:rsidR="00666ECE" w:rsidRPr="00666ECE" w:rsidRDefault="00666ECE" w:rsidP="00666ECE">
            <w:pPr>
              <w:keepNext/>
              <w:keepLines/>
              <w:numPr>
                <w:ilvl w:val="0"/>
                <w:numId w:val="22"/>
              </w:numPr>
              <w:spacing w:after="40" w:line="220" w:lineRule="atLeast"/>
              <w:ind w:right="113"/>
              <w:rPr>
                <w:rFonts w:ascii="Arial" w:hAnsi="Arial"/>
                <w:sz w:val="20"/>
                <w:szCs w:val="20"/>
                <w:lang w:val="fr-FR"/>
              </w:rPr>
            </w:pPr>
            <w:r w:rsidRPr="00666ECE">
              <w:rPr>
                <w:rFonts w:ascii="Arial" w:hAnsi="Arial"/>
                <w:sz w:val="20"/>
                <w:szCs w:val="20"/>
                <w:lang w:val="fr-FR"/>
              </w:rPr>
              <w:t>Remote zone (CD ARIA Plus score &gt; 5.92)</w:t>
            </w:r>
          </w:p>
          <w:p w:rsidR="00666ECE" w:rsidRPr="00666ECE" w:rsidRDefault="00666ECE"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 xml:space="preserve">Remote areas (CD ARIA Plus score &gt; 5.92 and </w:t>
            </w:r>
            <w:r w:rsidRPr="00666ECE">
              <w:rPr>
                <w:rFonts w:ascii="Arial" w:hAnsi="Arial"/>
                <w:sz w:val="20"/>
                <w:szCs w:val="20"/>
                <w:u w:val="single"/>
              </w:rPr>
              <w:t xml:space="preserve">&lt; </w:t>
            </w:r>
            <w:r w:rsidRPr="00666ECE">
              <w:rPr>
                <w:rFonts w:ascii="Arial" w:hAnsi="Arial"/>
                <w:sz w:val="20"/>
                <w:szCs w:val="20"/>
              </w:rPr>
              <w:t>10.53)</w:t>
            </w:r>
          </w:p>
          <w:p w:rsidR="00666ECE" w:rsidRPr="00666ECE" w:rsidRDefault="00666ECE"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Very remote areas (CD ARIA Plus score &gt; 10.53)</w:t>
            </w:r>
          </w:p>
          <w:p w:rsidR="00666ECE" w:rsidRPr="00666ECE" w:rsidRDefault="00666ECE" w:rsidP="00666ECE">
            <w:pPr>
              <w:keepNext/>
              <w:keepLines/>
              <w:tabs>
                <w:tab w:val="left" w:pos="425"/>
              </w:tabs>
              <w:spacing w:after="40" w:line="220" w:lineRule="atLeast"/>
              <w:ind w:left="142" w:right="113"/>
              <w:rPr>
                <w:rFonts w:ascii="Arial" w:hAnsi="Arial"/>
                <w:sz w:val="20"/>
                <w:szCs w:val="20"/>
              </w:rPr>
            </w:pPr>
          </w:p>
          <w:p w:rsidR="00666ECE" w:rsidRPr="00666ECE" w:rsidRDefault="00666ECE" w:rsidP="00666ECE">
            <w:pPr>
              <w:keepNext/>
              <w:keepLines/>
              <w:tabs>
                <w:tab w:val="left" w:pos="425"/>
              </w:tabs>
              <w:spacing w:after="40" w:line="220" w:lineRule="atLeast"/>
              <w:ind w:left="142" w:right="113"/>
              <w:rPr>
                <w:rFonts w:ascii="Arial" w:hAnsi="Arial"/>
                <w:sz w:val="20"/>
                <w:szCs w:val="20"/>
              </w:rPr>
            </w:pP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lastRenderedPageBreak/>
              <w:t>Government recurrent expenditure per full time equivalent student</w:t>
            </w:r>
          </w:p>
        </w:tc>
        <w:tc>
          <w:tcPr>
            <w:tcW w:w="6379" w:type="dxa"/>
          </w:tcPr>
          <w:p w:rsidR="00666ECE" w:rsidRPr="00666ECE" w:rsidRDefault="00666ECE" w:rsidP="005C4E85">
            <w:pPr>
              <w:keepNext/>
              <w:keepLines/>
              <w:spacing w:before="60" w:after="60" w:line="220" w:lineRule="atLeast"/>
              <w:ind w:right="113"/>
              <w:rPr>
                <w:rFonts w:ascii="Arial" w:hAnsi="Arial"/>
                <w:sz w:val="20"/>
                <w:szCs w:val="20"/>
              </w:rPr>
            </w:pPr>
            <w:r w:rsidRPr="00666ECE">
              <w:rPr>
                <w:rFonts w:ascii="Arial" w:hAnsi="Arial"/>
                <w:sz w:val="20"/>
                <w:szCs w:val="20"/>
              </w:rPr>
              <w:t>Total government recurrent expenditure divided by the total number of FTE students. Expenditure is based on the National School Statistics Collection (</w:t>
            </w:r>
            <w:r w:rsidR="00F73140">
              <w:rPr>
                <w:rFonts w:ascii="Arial" w:hAnsi="Arial"/>
                <w:sz w:val="20"/>
                <w:szCs w:val="20"/>
              </w:rPr>
              <w:t>SCSEEC</w:t>
            </w:r>
            <w:r w:rsidRPr="00666ECE">
              <w:rPr>
                <w:rFonts w:ascii="Arial" w:hAnsi="Arial"/>
                <w:sz w:val="20"/>
                <w:szCs w:val="20"/>
              </w:rPr>
              <w:t xml:space="preserve"> unpublished), with adjustments for notional UCC charges and payroll tax. Notional UCC is included for all jurisdictions and payroll tax estimates are included for those jurisdictions not subject to it (WA and the ACT). Expenditure figures are in financial years and student numbers are in calendar years, so the total number of students is taken as the average of the two years spanned by the calendar year. When calculating the </w:t>
            </w:r>
            <w:r w:rsidR="00F73140">
              <w:rPr>
                <w:rFonts w:ascii="Arial" w:hAnsi="Arial"/>
                <w:sz w:val="20"/>
                <w:szCs w:val="20"/>
              </w:rPr>
              <w:t>201</w:t>
            </w:r>
            <w:r w:rsidR="005C4E85">
              <w:rPr>
                <w:rFonts w:ascii="Arial" w:hAnsi="Arial"/>
                <w:sz w:val="20"/>
                <w:szCs w:val="20"/>
              </w:rPr>
              <w:t>1</w:t>
            </w:r>
            <w:r w:rsidR="00F73140">
              <w:rPr>
                <w:rFonts w:ascii="Arial" w:hAnsi="Arial"/>
                <w:sz w:val="20"/>
                <w:szCs w:val="20"/>
              </w:rPr>
              <w:t>-1</w:t>
            </w:r>
            <w:r w:rsidR="005C4E85">
              <w:rPr>
                <w:rFonts w:ascii="Arial" w:hAnsi="Arial"/>
                <w:sz w:val="20"/>
                <w:szCs w:val="20"/>
              </w:rPr>
              <w:t>2</w:t>
            </w:r>
            <w:r w:rsidRPr="00666ECE">
              <w:rPr>
                <w:rFonts w:ascii="Arial" w:hAnsi="Arial"/>
                <w:sz w:val="20"/>
                <w:szCs w:val="20"/>
              </w:rPr>
              <w:t xml:space="preserve"> average expenditure per student, for example, the total expenditure figure is at </w:t>
            </w:r>
            <w:r w:rsidR="00F73140">
              <w:rPr>
                <w:rFonts w:ascii="Arial" w:hAnsi="Arial"/>
                <w:sz w:val="20"/>
                <w:szCs w:val="20"/>
              </w:rPr>
              <w:t>201</w:t>
            </w:r>
            <w:r w:rsidR="005C4E85">
              <w:rPr>
                <w:rFonts w:ascii="Arial" w:hAnsi="Arial"/>
                <w:sz w:val="20"/>
                <w:szCs w:val="20"/>
              </w:rPr>
              <w:t>1</w:t>
            </w:r>
            <w:r w:rsidR="00F73140">
              <w:rPr>
                <w:rFonts w:ascii="Arial" w:hAnsi="Arial"/>
                <w:sz w:val="20"/>
                <w:szCs w:val="20"/>
              </w:rPr>
              <w:t>-1</w:t>
            </w:r>
            <w:r w:rsidR="005C4E85">
              <w:rPr>
                <w:rFonts w:ascii="Arial" w:hAnsi="Arial"/>
                <w:sz w:val="20"/>
                <w:szCs w:val="20"/>
              </w:rPr>
              <w:t>2</w:t>
            </w:r>
            <w:r w:rsidRPr="00666ECE">
              <w:rPr>
                <w:rFonts w:ascii="Arial" w:hAnsi="Arial"/>
                <w:sz w:val="20"/>
                <w:szCs w:val="20"/>
              </w:rPr>
              <w:t xml:space="preserve"> but the total student number figure is the average of student numbers from 20</w:t>
            </w:r>
            <w:r w:rsidR="00F73140">
              <w:rPr>
                <w:rFonts w:ascii="Arial" w:hAnsi="Arial"/>
                <w:sz w:val="20"/>
                <w:szCs w:val="20"/>
              </w:rPr>
              <w:t>1</w:t>
            </w:r>
            <w:r w:rsidR="005C4E85">
              <w:rPr>
                <w:rFonts w:ascii="Arial" w:hAnsi="Arial"/>
                <w:sz w:val="20"/>
                <w:szCs w:val="20"/>
              </w:rPr>
              <w:t>1</w:t>
            </w:r>
            <w:r w:rsidRPr="00666ECE">
              <w:rPr>
                <w:rFonts w:ascii="Arial" w:hAnsi="Arial"/>
                <w:sz w:val="20"/>
                <w:szCs w:val="20"/>
              </w:rPr>
              <w:t xml:space="preserve"> and 201</w:t>
            </w:r>
            <w:r w:rsidR="005C4E85">
              <w:rPr>
                <w:rFonts w:ascii="Arial" w:hAnsi="Arial"/>
                <w:sz w:val="20"/>
                <w:szCs w:val="20"/>
              </w:rPr>
              <w:t>2</w:t>
            </w:r>
            <w:r w:rsidRPr="00666ECE">
              <w:rPr>
                <w:rFonts w:ascii="Arial" w:hAnsi="Arial"/>
                <w:sz w:val="20"/>
                <w:szCs w:val="20"/>
              </w:rPr>
              <w:t>.</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Indigenous student</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student of Aboriginal or Torres Strait Islander origin who identifies as being an Aboriginal or Torres Strait Islander or from an Aboriginal and Torres Strait Islander background. Administrative processes for determining Indigenous status vary across jurisdictions. For NAPLAN data, a student is considered to be 'Indigenous' if he or she identifies as being of Aboriginal and/or Torres Strait Islander origin.</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In-school costs</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 xml:space="preserve">Costs relating directly to schools. Staff, for example, are categorised as being either in-school or out-of-school. They are categorised as </w:t>
            </w:r>
            <w:r w:rsidRPr="00666ECE">
              <w:rPr>
                <w:rFonts w:ascii="Arial" w:hAnsi="Arial"/>
                <w:sz w:val="20"/>
                <w:szCs w:val="20"/>
              </w:rPr>
              <w:br/>
              <w:t>in-school if they usually spend more than half of their time actively engaged in duties at one or more schools or ancillary education establishments. In-school employee related expenses, for example, represent all salaries, wages awards, allowances and related on costs paid to in-school staff.</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Language background other than English (LBOTE) student</w:t>
            </w:r>
          </w:p>
        </w:tc>
        <w:tc>
          <w:tcPr>
            <w:tcW w:w="6379" w:type="dxa"/>
          </w:tcPr>
          <w:p w:rsidR="00666ECE" w:rsidRPr="00666ECE" w:rsidRDefault="00666ECE" w:rsidP="0066655C">
            <w:pPr>
              <w:keepNext/>
              <w:keepLines/>
              <w:spacing w:before="60" w:after="60" w:line="220" w:lineRule="atLeast"/>
              <w:ind w:right="28"/>
              <w:rPr>
                <w:rFonts w:ascii="Arial" w:hAnsi="Arial"/>
                <w:sz w:val="20"/>
                <w:szCs w:val="20"/>
              </w:rPr>
            </w:pPr>
            <w:r w:rsidRPr="00666ECE">
              <w:rPr>
                <w:rFonts w:ascii="Arial" w:hAnsi="Arial"/>
                <w:sz w:val="20"/>
                <w:szCs w:val="20"/>
              </w:rPr>
              <w:t xml:space="preserve">A status that is determined by administrative processes that vary across jurisdictions. For NAPLAN data, a student is considered to be 'LBOTE' if either the student or parents/guardians speak a language other than English at home. </w:t>
            </w:r>
            <w:r w:rsidR="00F73140">
              <w:rPr>
                <w:rFonts w:ascii="Arial" w:hAnsi="Arial"/>
                <w:sz w:val="20"/>
                <w:szCs w:val="20"/>
              </w:rPr>
              <w:t>Separately, data are also sourced from the 2011 Census of Population and Housing</w:t>
            </w:r>
            <w:r w:rsidR="0066655C">
              <w:rPr>
                <w:rFonts w:ascii="Arial" w:hAnsi="Arial"/>
                <w:sz w:val="20"/>
                <w:szCs w:val="20"/>
              </w:rPr>
              <w:t>.</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Out-of-school costs</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Costs relating indirectly to schools. Staff, for example, are categorised as being either in-school or out-of-school. They are categorised as out-of-school if they do not usually spend more than half of their time actively engaged in duties at one or more schools or ancillary education establishments. Out-of-school employee related expenses, for example, represent all salaries, wages awards, allowances and related on costs paid to out-of-school staff.</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Part time student</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student undertaking a workload that is less than that specified as being full time in the jurisdiction</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Participation rate</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The number of full time and part time school students of a particular age (as at 1 July), expressed as a proportion of the estimated resident population of the same age (as at 30 June).</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Potential year 12 population</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An estimate of a single-year age group that could have participated in year 12 that year, defined as the estimated resident population aged 15–19 years, divided by 5.</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Real expenditure</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Nominal expenditure adjusted for changes in prices, using the GDP price deflator and expressed in terms of final year prices.</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Science literacy</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 xml:space="preserve">Science literacy and scientific literacy: the application of broad conceptual understandings of science to make sense of the world, understand natural phenomena, and interpret media reports about scientific issues. It also includes asking investigable questions, conducting investigations, collecting and interpreting data and making </w:t>
            </w:r>
            <w:r w:rsidRPr="00666ECE">
              <w:rPr>
                <w:rFonts w:ascii="Arial" w:hAnsi="Arial"/>
                <w:sz w:val="20"/>
                <w:szCs w:val="20"/>
              </w:rPr>
              <w:lastRenderedPageBreak/>
              <w:t>decisions.</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lastRenderedPageBreak/>
              <w:t>Socio</w:t>
            </w:r>
            <w:r w:rsidR="009131A4">
              <w:rPr>
                <w:rFonts w:ascii="Arial" w:hAnsi="Arial"/>
                <w:b/>
                <w:sz w:val="20"/>
                <w:szCs w:val="20"/>
              </w:rPr>
              <w:t>-</w:t>
            </w:r>
            <w:r w:rsidRPr="00666ECE">
              <w:rPr>
                <w:rFonts w:ascii="Arial" w:hAnsi="Arial"/>
                <w:b/>
                <w:sz w:val="20"/>
                <w:szCs w:val="20"/>
              </w:rPr>
              <w:t>economic status</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As identified in footnotes to specific tables.</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Source of income</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In this chapter, income from either the Australian Government or State and Territory governments. Australian Government expenditure is derived from specific purpose payments (current and capital) for schools. This funding indicates the level of monies allocated, not necessarily the level of expenditure incurred in any given financial year. The data therefore provide only a broad indication of the level of Australian Government funding.</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Student-to-staff ratios</w:t>
            </w:r>
          </w:p>
        </w:tc>
        <w:tc>
          <w:tcPr>
            <w:tcW w:w="6379" w:type="dxa"/>
          </w:tcPr>
          <w:p w:rsidR="00666ECE" w:rsidRPr="00666ECE" w:rsidRDefault="00666ECE" w:rsidP="00666ECE">
            <w:pPr>
              <w:keepNext/>
              <w:keepLines/>
              <w:pBdr>
                <w:right w:val="single" w:sz="6" w:space="4" w:color="auto"/>
              </w:pBdr>
              <w:spacing w:before="60" w:after="60" w:line="220" w:lineRule="atLeast"/>
              <w:ind w:right="28"/>
              <w:rPr>
                <w:rFonts w:ascii="Arial" w:hAnsi="Arial"/>
                <w:sz w:val="20"/>
                <w:szCs w:val="20"/>
              </w:rPr>
            </w:pPr>
            <w:r w:rsidRPr="00666ECE">
              <w:rPr>
                <w:rFonts w:ascii="Arial" w:hAnsi="Arial"/>
                <w:sz w:val="20"/>
                <w:szCs w:val="20"/>
              </w:rPr>
              <w:t>The number of FTE students per FTE teaching staff. Students at special schools are allocated to primary and secondary (see below). The FTE of staff includes those who are generally active in schools and ancillary education establishments.</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person who is formally (officially) enrolled or registered at a school, and is also active in a primary, secondary or special education program at that school. Students at special schools are allocated to primary and secondary on the basis of their actual grade (if assigned); whether or not they are receiving primary or secondary curriculum instruction; or, as a last resort, whether they are of primary or secondary school age.</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 primary</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student in primary education, which covers pre-year 1 to year 6 in NSW, Victoria, Tasmania, ACT and the NT, pre-year 1 to year 7 in Qld, WA and SA.</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 secondary</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student in secondary education, which commences at year 7 in NSW, Victoria, Tasmania, ACT and the NT, and at year 8 in Queensland, WA, and SA.</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Students with a disability</w:t>
            </w:r>
          </w:p>
        </w:tc>
        <w:tc>
          <w:tcPr>
            <w:tcW w:w="6379" w:type="dxa"/>
          </w:tcPr>
          <w:p w:rsidR="00666ECE" w:rsidRPr="00666ECE" w:rsidRDefault="00666ECE" w:rsidP="006B683F">
            <w:pPr>
              <w:keepNext/>
              <w:keepLines/>
              <w:spacing w:before="60" w:after="60" w:line="220" w:lineRule="atLeast"/>
              <w:ind w:right="28"/>
              <w:rPr>
                <w:rFonts w:ascii="Arial" w:hAnsi="Arial"/>
                <w:sz w:val="20"/>
                <w:szCs w:val="20"/>
              </w:rPr>
            </w:pPr>
            <w:r w:rsidRPr="00666ECE">
              <w:rPr>
                <w:rFonts w:ascii="Arial" w:hAnsi="Arial"/>
                <w:sz w:val="20"/>
                <w:szCs w:val="20"/>
              </w:rPr>
              <w:t xml:space="preserve">Students included in the annual system reports to </w:t>
            </w:r>
            <w:r w:rsidR="007D2D50">
              <w:rPr>
                <w:rFonts w:ascii="Arial" w:hAnsi="Arial"/>
                <w:sz w:val="20"/>
                <w:szCs w:val="20"/>
              </w:rPr>
              <w:t xml:space="preserve">the </w:t>
            </w:r>
            <w:r w:rsidR="007D2D50" w:rsidRPr="007D2D50">
              <w:rPr>
                <w:rFonts w:ascii="Arial" w:hAnsi="Arial"/>
                <w:sz w:val="20"/>
                <w:szCs w:val="20"/>
              </w:rPr>
              <w:t>Department of Education</w:t>
            </w:r>
            <w:r w:rsidRPr="00666ECE">
              <w:rPr>
                <w:rFonts w:ascii="Arial" w:hAnsi="Arial"/>
                <w:sz w:val="20"/>
                <w:szCs w:val="20"/>
              </w:rPr>
              <w:t xml:space="preserve">. The definitions of students with disabilities are based on individual State and Territory criteria, so data are not comparable across jurisdictions. </w:t>
            </w:r>
          </w:p>
        </w:tc>
      </w:tr>
      <w:tr w:rsidR="00666ECE" w:rsidRPr="00666ECE" w:rsidTr="0036281D">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Teacher</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Teaching staff have teaching duties (that is, they are engaged to impart the school curriculum) and spend the majority of their time in contact with students. They support students, either by direct class contact or on an individual basis. Teaching staff include principals, deputy principals and senior teachers mainly involved in administrative duties, but not specialist support staff (who may spend the majority of their time in contact with students but are not engaged to impart the school curriculum). For the Northern Territory, Assistant Teachers in Homeland Learning Centres and community school are included as teaching staff.</w:t>
            </w:r>
          </w:p>
        </w:tc>
      </w:tr>
      <w:tr w:rsidR="00666ECE" w:rsidRPr="00666ECE" w:rsidTr="0036281D">
        <w:tc>
          <w:tcPr>
            <w:tcW w:w="2410" w:type="dxa"/>
            <w:shd w:val="clear" w:color="auto" w:fill="auto"/>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Ungraded student</w:t>
            </w:r>
          </w:p>
        </w:tc>
        <w:tc>
          <w:tcPr>
            <w:tcW w:w="6379" w:type="dxa"/>
            <w:shd w:val="clear" w:color="auto" w:fill="auto"/>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student in ungraded classes who cannot readily be allocated to a year of education. These students are included as either ungraded primary or ungraded secondary, according to the typical age level in each jurisdiction.</w:t>
            </w:r>
          </w:p>
        </w:tc>
      </w:tr>
      <w:tr w:rsidR="00666ECE" w:rsidRPr="00666ECE" w:rsidTr="0036281D">
        <w:tc>
          <w:tcPr>
            <w:tcW w:w="2410" w:type="dxa"/>
            <w:shd w:val="clear" w:color="auto" w:fill="auto"/>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VET in Schools</w:t>
            </w:r>
          </w:p>
        </w:tc>
        <w:tc>
          <w:tcPr>
            <w:tcW w:w="6379" w:type="dxa"/>
            <w:shd w:val="clear" w:color="auto" w:fill="auto"/>
          </w:tcPr>
          <w:p w:rsidR="00666ECE" w:rsidRPr="00666ECE" w:rsidRDefault="00666ECE" w:rsidP="00666ECE">
            <w:pPr>
              <w:keepNext/>
              <w:keepLines/>
              <w:spacing w:before="60" w:line="220" w:lineRule="atLeast"/>
              <w:ind w:right="28"/>
              <w:rPr>
                <w:rFonts w:ascii="Arial" w:hAnsi="Arial"/>
                <w:sz w:val="20"/>
                <w:szCs w:val="20"/>
              </w:rPr>
            </w:pPr>
            <w:r w:rsidRPr="00666ECE">
              <w:rPr>
                <w:rFonts w:ascii="Arial" w:hAnsi="Arial"/>
                <w:sz w:val="20"/>
                <w:szCs w:val="20"/>
              </w:rPr>
              <w:t>VET in Schools is a program which allows students to combine vocational studies with their general education curriculum. Students participating in VET in Schools continue to work towards their senior secondary school certificate, while the VET component of their studies gives them credit towards a nationally recognised VET qualification. The program may involve structured work placements and includes the options of a school-based apprenticeship and traineeship or VET subjects and courses.</w:t>
            </w:r>
          </w:p>
        </w:tc>
      </w:tr>
    </w:tbl>
    <w:p w:rsidR="00666ECE" w:rsidRPr="00666ECE" w:rsidRDefault="00666ECE" w:rsidP="00666ECE">
      <w:pPr>
        <w:keepNext/>
        <w:spacing w:before="600" w:line="400" w:lineRule="exact"/>
        <w:ind w:left="907" w:hanging="907"/>
        <w:outlineLvl w:val="1"/>
        <w:rPr>
          <w:rFonts w:ascii="Arial" w:hAnsi="Arial"/>
          <w:b/>
          <w:sz w:val="32"/>
        </w:rPr>
      </w:pPr>
      <w:bookmarkStart w:id="60" w:name="_Toc374962353"/>
      <w:r w:rsidRPr="00666ECE">
        <w:rPr>
          <w:rFonts w:ascii="Arial" w:hAnsi="Arial"/>
          <w:b/>
          <w:sz w:val="32"/>
        </w:rPr>
        <w:lastRenderedPageBreak/>
        <w:t>4.7</w:t>
      </w:r>
      <w:r w:rsidRPr="00666ECE">
        <w:rPr>
          <w:rFonts w:ascii="Arial" w:hAnsi="Arial"/>
          <w:b/>
          <w:sz w:val="32"/>
        </w:rPr>
        <w:tab/>
        <w:t>List of attachment tables</w:t>
      </w:r>
      <w:bookmarkEnd w:id="60"/>
    </w:p>
    <w:p w:rsidR="00666ECE" w:rsidRPr="00666ECE" w:rsidRDefault="00666ECE" w:rsidP="00666ECE">
      <w:pPr>
        <w:spacing w:before="240" w:after="120" w:line="320" w:lineRule="atLeast"/>
        <w:jc w:val="both"/>
        <w:rPr>
          <w:szCs w:val="20"/>
        </w:rPr>
      </w:pPr>
      <w:r w:rsidRPr="00666ECE">
        <w:rPr>
          <w:szCs w:val="20"/>
        </w:rPr>
        <w:t>Attachment tables are identified in references throughout this chapter by an ‘4A’ prefix (for example, table 4A.1). Attachment tables are available on the Review website (www.pc.gov.au/gsp).</w:t>
      </w:r>
    </w:p>
    <w:tbl>
      <w:tblPr>
        <w:tblW w:w="8968" w:type="dxa"/>
        <w:tblLook w:val="01E0" w:firstRow="1" w:lastRow="1" w:firstColumn="1" w:lastColumn="1" w:noHBand="0" w:noVBand="0"/>
      </w:tblPr>
      <w:tblGrid>
        <w:gridCol w:w="2108"/>
        <w:gridCol w:w="6768"/>
        <w:gridCol w:w="92"/>
      </w:tblGrid>
      <w:tr w:rsidR="00666ECE" w:rsidRPr="00666ECE" w:rsidTr="00F50B4F">
        <w:trPr>
          <w:gridAfter w:val="1"/>
          <w:wAfter w:w="92" w:type="dxa"/>
          <w:trHeight w:val="405"/>
        </w:trPr>
        <w:tc>
          <w:tcPr>
            <w:tcW w:w="8876" w:type="dxa"/>
            <w:gridSpan w:val="2"/>
            <w:shd w:val="clear" w:color="auto" w:fill="auto"/>
            <w:noWrap/>
          </w:tcPr>
          <w:p w:rsidR="00666ECE" w:rsidRPr="00666ECE" w:rsidRDefault="00666ECE" w:rsidP="00666ECE">
            <w:pPr>
              <w:rPr>
                <w:rFonts w:ascii="Arial" w:hAnsi="Arial" w:cs="Arial"/>
                <w:b/>
                <w:bCs/>
                <w:sz w:val="32"/>
                <w:szCs w:val="32"/>
              </w:rPr>
            </w:pP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Government schools: students, staff and school numbers </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Non-government schools: students, staff and school numbers </w:t>
            </w:r>
          </w:p>
        </w:tc>
      </w:tr>
      <w:tr w:rsidR="003A0189" w:rsidRPr="00F50B4F" w:rsidTr="003A0189">
        <w:tblPrEx>
          <w:tblLook w:val="04A0" w:firstRow="1" w:lastRow="0" w:firstColumn="1" w:lastColumn="0" w:noHBand="0" w:noVBand="1"/>
        </w:tblPrEx>
        <w:trPr>
          <w:trHeight w:val="125"/>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All schools: students, staff and school numbers </w:t>
            </w:r>
          </w:p>
        </w:tc>
      </w:tr>
      <w:tr w:rsidR="003A0189" w:rsidRPr="00F50B4F" w:rsidTr="003A0189">
        <w:tblPrEx>
          <w:tblLook w:val="04A0" w:firstRow="1" w:lastRow="0" w:firstColumn="1" w:lastColumn="0" w:noHBand="0" w:noVBand="1"/>
        </w:tblPrEx>
        <w:trPr>
          <w:trHeight w:val="116"/>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All schools: students time series, by sex</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Students as a proportion of the population, 2012 (per cent)  </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Average FTE student population, by school sector </w:t>
            </w:r>
          </w:p>
        </w:tc>
      </w:tr>
      <w:tr w:rsidR="003A0189" w:rsidRPr="00F50B4F" w:rsidTr="003A0189">
        <w:tblPrEx>
          <w:tblLook w:val="04A0" w:firstRow="1" w:lastRow="0" w:firstColumn="1" w:lastColumn="0" w:noHBand="0" w:noVBand="1"/>
        </w:tblPrEx>
        <w:trPr>
          <w:trHeight w:val="171"/>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Real Australian, State and Territory government recurrent expenditure (2011-12 dollars) ($'000)   </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Nominal Australian, State and Territory government recurrent expenditure ($'000)  </w:t>
            </w:r>
          </w:p>
        </w:tc>
      </w:tr>
      <w:tr w:rsidR="003A0189" w:rsidRPr="00F50B4F" w:rsidTr="003A0189">
        <w:tblPrEx>
          <w:tblLook w:val="04A0" w:firstRow="1" w:lastRow="0" w:firstColumn="1" w:lastColumn="0" w:noHBand="0" w:noVBand="1"/>
        </w:tblPrEx>
        <w:trPr>
          <w:trHeight w:val="87"/>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4A.9</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Australian Government specific purpose payments for schools, 2011-12</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4A.10</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Australian, State and Territory government recurrent expenditure on government schools, 2011-12     </w:t>
            </w:r>
          </w:p>
        </w:tc>
      </w:tr>
      <w:tr w:rsidR="003A0189" w:rsidRPr="00F50B4F" w:rsidTr="003A0189">
        <w:tblPrEx>
          <w:tblLook w:val="04A0" w:firstRow="1" w:lastRow="0" w:firstColumn="1" w:lastColumn="0" w:noHBand="0" w:noVBand="1"/>
        </w:tblPrEx>
        <w:trPr>
          <w:trHeight w:val="86"/>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Comparability of government expenditure on government schools — items included, 2011-12</w:t>
            </w:r>
          </w:p>
        </w:tc>
      </w:tr>
      <w:tr w:rsidR="003A0189" w:rsidRPr="00F50B4F" w:rsidTr="003A0189">
        <w:tblPrEx>
          <w:tblLook w:val="04A0" w:firstRow="1" w:lastRow="0" w:firstColumn="1" w:lastColumn="0" w:noHBand="0" w:noVBand="1"/>
        </w:tblPrEx>
        <w:trPr>
          <w:trHeight w:val="25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Real Australian, State and Territory government recurrent expenditure per student, government schools (2011-12 dollars) ($ per FTE student)  9b)</w:t>
            </w:r>
          </w:p>
        </w:tc>
      </w:tr>
      <w:tr w:rsidR="003A0189" w:rsidRPr="00F50B4F" w:rsidTr="003A0189">
        <w:tblPrEx>
          <w:tblLook w:val="04A0" w:firstRow="1" w:lastRow="0" w:firstColumn="1" w:lastColumn="0" w:noHBand="0" w:noVBand="1"/>
        </w:tblPrEx>
        <w:trPr>
          <w:trHeight w:val="285"/>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Nominal Australian, State and Territory government recurrent expenditure per student, government schools ($ per FTE student) </w:t>
            </w:r>
          </w:p>
        </w:tc>
      </w:tr>
      <w:tr w:rsidR="003A0189" w:rsidRPr="00F50B4F" w:rsidTr="003A0189">
        <w:tblPrEx>
          <w:tblLook w:val="04A0" w:firstRow="1" w:lastRow="0" w:firstColumn="1" w:lastColumn="0" w:noHBand="0" w:noVBand="1"/>
        </w:tblPrEx>
        <w:trPr>
          <w:trHeight w:val="448"/>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Australian, State and Territory government recurrent expenditure per student on government schools, 2011-12 ($ per FTE student)     </w:t>
            </w:r>
          </w:p>
        </w:tc>
      </w:tr>
      <w:tr w:rsidR="003A0189" w:rsidRPr="00F50B4F" w:rsidTr="00F50B4F">
        <w:tblPrEx>
          <w:tblLook w:val="04A0" w:firstRow="1" w:lastRow="0" w:firstColumn="1" w:lastColumn="0" w:noHBand="0" w:noVBand="1"/>
        </w:tblPrEx>
        <w:trPr>
          <w:trHeight w:val="357"/>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4A.15</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Real Australian, State and Territory government recurrent expenditure per student, non-government schools (2011-12 dollars) ($ per FTE student)   </w:t>
            </w:r>
          </w:p>
        </w:tc>
      </w:tr>
      <w:tr w:rsidR="003A0189" w:rsidRPr="00F50B4F" w:rsidTr="003A0189">
        <w:tblPrEx>
          <w:tblLook w:val="04A0" w:firstRow="1" w:lastRow="0" w:firstColumn="1" w:lastColumn="0" w:noHBand="0" w:noVBand="1"/>
        </w:tblPrEx>
        <w:trPr>
          <w:trHeight w:val="365"/>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4A.16</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Nominal Australian, State and Territory government recurrent expenditure per student, non-government schools ($ per FTE student)  </w:t>
            </w:r>
          </w:p>
        </w:tc>
      </w:tr>
      <w:tr w:rsidR="003A0189" w:rsidRPr="00F50B4F" w:rsidTr="00F50B4F">
        <w:tblPrEx>
          <w:tblLook w:val="04A0" w:firstRow="1" w:lastRow="0" w:firstColumn="1" w:lastColumn="0" w:noHBand="0" w:noVBand="1"/>
        </w:tblPrEx>
        <w:trPr>
          <w:trHeight w:val="357"/>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4A.17</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Real Australian, State and Territory government recurrent expenditure per student, all schools (2011-12 dollars) ($ per FTE student)    </w:t>
            </w:r>
          </w:p>
        </w:tc>
      </w:tr>
      <w:tr w:rsidR="003A0189" w:rsidRPr="00F50B4F" w:rsidTr="003A0189">
        <w:tblPrEx>
          <w:tblLook w:val="04A0" w:firstRow="1" w:lastRow="0" w:firstColumn="1" w:lastColumn="0" w:noHBand="0" w:noVBand="1"/>
        </w:tblPrEx>
        <w:trPr>
          <w:trHeight w:val="281"/>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4A.18</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Nominal Australian, State and Territory government recurrent expenditure per student, all schools ($ per FTE student)   </w:t>
            </w:r>
          </w:p>
        </w:tc>
      </w:tr>
      <w:tr w:rsidR="003A0189" w:rsidRPr="00F50B4F" w:rsidTr="003A0189">
        <w:tblPrEx>
          <w:tblLook w:val="04A0" w:firstRow="1" w:lastRow="0" w:firstColumn="1" w:lastColumn="0" w:noHBand="0" w:noVBand="1"/>
        </w:tblPrEx>
        <w:trPr>
          <w:trHeight w:val="161"/>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4A.19</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Value of capital stock, government schools ($’000)  </w:t>
            </w:r>
          </w:p>
        </w:tc>
      </w:tr>
      <w:tr w:rsidR="003A0189" w:rsidRPr="00F50B4F" w:rsidTr="003A0189">
        <w:tblPrEx>
          <w:tblLook w:val="04A0" w:firstRow="1" w:lastRow="0" w:firstColumn="1" w:lastColumn="0" w:noHBand="0" w:noVBand="1"/>
        </w:tblPrEx>
        <w:trPr>
          <w:trHeight w:val="12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4A.20</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Notional UCC per FTE student, government schools   </w:t>
            </w:r>
          </w:p>
        </w:tc>
      </w:tr>
      <w:tr w:rsidR="003A0189" w:rsidRPr="00F50B4F" w:rsidTr="003A0189">
        <w:tblPrEx>
          <w:tblLook w:val="04A0" w:firstRow="1" w:lastRow="0" w:firstColumn="1" w:lastColumn="0" w:noHBand="0" w:noVBand="1"/>
        </w:tblPrEx>
        <w:trPr>
          <w:trHeight w:val="11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Treatment of assets by school education agencies    </w:t>
            </w:r>
          </w:p>
        </w:tc>
      </w:tr>
      <w:tr w:rsidR="003A0189" w:rsidRPr="00F50B4F" w:rsidTr="003A0189">
        <w:tblPrEx>
          <w:tblLook w:val="04A0" w:firstRow="1" w:lastRow="0" w:firstColumn="1" w:lastColumn="0" w:noHBand="0" w:noVBand="1"/>
        </w:tblPrEx>
        <w:trPr>
          <w:trHeight w:val="23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Students-to-staff ratios, 2012 </w:t>
            </w:r>
          </w:p>
        </w:tc>
      </w:tr>
      <w:tr w:rsidR="003A0189" w:rsidRPr="00F50B4F" w:rsidTr="003A0189">
        <w:tblPrEx>
          <w:tblLook w:val="04A0" w:firstRow="1" w:lastRow="0" w:firstColumn="1" w:lastColumn="0" w:noHBand="0" w:noVBand="1"/>
        </w:tblPrEx>
        <w:trPr>
          <w:trHeight w:val="19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Students-to-staff ratios, teaching staff, all students  </w:t>
            </w:r>
          </w:p>
        </w:tc>
      </w:tr>
      <w:tr w:rsidR="003A0189" w:rsidRPr="00F50B4F" w:rsidTr="003A0189">
        <w:tblPrEx>
          <w:tblLook w:val="04A0" w:firstRow="1" w:lastRow="0" w:firstColumn="1" w:lastColumn="0" w:noHBand="0" w:noVBand="1"/>
        </w:tblPrEx>
        <w:trPr>
          <w:trHeight w:val="16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Distribution of school sizes — government schools, 2012 (per cent)    </w:t>
            </w:r>
          </w:p>
        </w:tc>
      </w:tr>
      <w:tr w:rsidR="003A0189" w:rsidRPr="00F50B4F" w:rsidTr="003A0189">
        <w:tblPrEx>
          <w:tblLook w:val="04A0" w:firstRow="1" w:lastRow="0" w:firstColumn="1" w:lastColumn="0" w:noHBand="0" w:noVBand="1"/>
        </w:tblPrEx>
        <w:trPr>
          <w:trHeight w:val="145"/>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4A.25</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Distribution of school sizes — non-government schools, 2012 (per cent)    </w:t>
            </w:r>
          </w:p>
        </w:tc>
      </w:tr>
      <w:tr w:rsidR="003A0189" w:rsidRPr="00F50B4F" w:rsidTr="003A0189">
        <w:tblPrEx>
          <w:tblLook w:val="04A0" w:firstRow="1" w:lastRow="0" w:firstColumn="1" w:lastColumn="0" w:noHBand="0" w:noVBand="1"/>
        </w:tblPrEx>
        <w:trPr>
          <w:trHeight w:val="24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4A.26</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Distribution of school sizes — all schools, 2012 (per cent)    </w:t>
            </w:r>
          </w:p>
        </w:tc>
      </w:tr>
      <w:tr w:rsidR="003A0189" w:rsidRPr="00F50B4F" w:rsidTr="00F50B4F">
        <w:tblPrEx>
          <w:tblLook w:val="04A0" w:firstRow="1" w:lastRow="0" w:firstColumn="1" w:lastColumn="0" w:noHBand="0" w:noVBand="1"/>
        </w:tblPrEx>
        <w:trPr>
          <w:trHeight w:val="357"/>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4A.27</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Full time student enrolments and schools (number) </w:t>
            </w:r>
          </w:p>
        </w:tc>
      </w:tr>
      <w:tr w:rsidR="003A0189" w:rsidRPr="00F50B4F" w:rsidTr="003A0189">
        <w:tblPrEx>
          <w:tblLook w:val="04A0" w:firstRow="1" w:lastRow="0" w:firstColumn="1" w:lastColumn="0" w:noHBand="0" w:noVBand="1"/>
        </w:tblPrEx>
        <w:trPr>
          <w:trHeight w:val="328"/>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lastRenderedPageBreak/>
              <w:t>Table 4A.28</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Change in number of schools and number of full time students, 2008–12 (per cent) </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4A.29</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Indigenous full time students, 2012 </w:t>
            </w:r>
          </w:p>
        </w:tc>
      </w:tr>
      <w:tr w:rsidR="003A0189" w:rsidRPr="00F50B4F" w:rsidTr="00F50B4F">
        <w:tblPrEx>
          <w:tblLook w:val="04A0" w:firstRow="1" w:lastRow="0" w:firstColumn="1" w:lastColumn="0" w:noHBand="0" w:noVBand="1"/>
        </w:tblPrEx>
        <w:trPr>
          <w:trHeight w:val="357"/>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4A.30</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Students from language backgrounds other than English as a proportion of all students (per cent)        </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Funded students with disability, 2012  </w:t>
            </w:r>
          </w:p>
        </w:tc>
      </w:tr>
      <w:tr w:rsidR="003A0189" w:rsidRPr="00F50B4F" w:rsidTr="003A0189">
        <w:tblPrEx>
          <w:tblLook w:val="04A0" w:firstRow="1" w:lastRow="0" w:firstColumn="1" w:lastColumn="0" w:noHBand="0" w:noVBand="1"/>
        </w:tblPrEx>
        <w:trPr>
          <w:trHeight w:val="196"/>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Student body mix, government schools (per cent)</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Student body mix, non-government schools (per cent) </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Student body mix, all schools (per cent)</w:t>
            </w:r>
          </w:p>
        </w:tc>
      </w:tr>
      <w:tr w:rsidR="003A0189" w:rsidRPr="00F50B4F" w:rsidTr="003A0189">
        <w:tblPrEx>
          <w:tblLook w:val="04A0" w:firstRow="1" w:lastRow="0" w:firstColumn="1" w:lastColumn="0" w:noHBand="0" w:noVBand="1"/>
        </w:tblPrEx>
        <w:trPr>
          <w:trHeight w:val="251"/>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4A.35</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students enrolled in schools in metropolitan, provincial, remote and very remote zones, 2012 (per cent)    </w:t>
            </w:r>
          </w:p>
        </w:tc>
      </w:tr>
      <w:tr w:rsidR="003A0189" w:rsidRPr="00F50B4F" w:rsidTr="003A0189">
        <w:tblPrEx>
          <w:tblLook w:val="04A0" w:firstRow="1" w:lastRow="0" w:firstColumn="1" w:lastColumn="0" w:noHBand="0" w:noVBand="1"/>
        </w:tblPrEx>
        <w:trPr>
          <w:trHeight w:val="131"/>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4A.36</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students who achieved at or above the national minimum standard for reading, 2012 (per cent)   </w:t>
            </w:r>
          </w:p>
        </w:tc>
      </w:tr>
      <w:tr w:rsidR="003A0189" w:rsidRPr="00F50B4F" w:rsidTr="00F50B4F">
        <w:tblPrEx>
          <w:tblLook w:val="04A0" w:firstRow="1" w:lastRow="0" w:firstColumn="1" w:lastColumn="0" w:noHBand="0" w:noVBand="1"/>
        </w:tblPrEx>
        <w:trPr>
          <w:trHeight w:val="61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4A.37</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year 3, 5, 7 and 9 students who achieved at or above the national minimum standard for reading, by Indigenous status and geolocation, 2012 (per cent)      </w:t>
            </w:r>
          </w:p>
        </w:tc>
      </w:tr>
      <w:tr w:rsidR="003A0189" w:rsidRPr="00F50B4F" w:rsidTr="003A0189">
        <w:tblPrEx>
          <w:tblLook w:val="04A0" w:firstRow="1" w:lastRow="0" w:firstColumn="1" w:lastColumn="0" w:noHBand="0" w:noVBand="1"/>
        </w:tblPrEx>
        <w:trPr>
          <w:trHeight w:val="53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4A.38</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students who achieved at or above the national minimum standard for reading, by State and Territory, by parental education and parental occupation, 2012 (per cent)   </w:t>
            </w:r>
          </w:p>
        </w:tc>
      </w:tr>
      <w:tr w:rsidR="003A0189" w:rsidRPr="00F50B4F" w:rsidTr="003A0189">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4A.39</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for reading, years 3, 5, 7 and 9 students, by Indigenous status, 2012 (score points)    </w:t>
            </w:r>
          </w:p>
        </w:tc>
      </w:tr>
      <w:tr w:rsidR="003A0189" w:rsidRPr="00F50B4F" w:rsidTr="003A0189">
        <w:tblPrEx>
          <w:tblLook w:val="04A0" w:firstRow="1" w:lastRow="0" w:firstColumn="1" w:lastColumn="0" w:noHBand="0" w:noVBand="1"/>
        </w:tblPrEx>
        <w:trPr>
          <w:trHeight w:val="494"/>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4A.40</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NAPLAN Mean scale scores for reading, by Indigenous status and geolocation, 2012 (score points)      </w:t>
            </w:r>
          </w:p>
        </w:tc>
      </w:tr>
      <w:tr w:rsidR="003A0189" w:rsidRPr="00F50B4F" w:rsidTr="003A0189">
        <w:tblPrEx>
          <w:tblLook w:val="04A0" w:firstRow="1" w:lastRow="0" w:firstColumn="1" w:lastColumn="0" w:noHBand="0" w:noVBand="1"/>
        </w:tblPrEx>
        <w:trPr>
          <w:trHeight w:val="23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NAPLAN Mean scale scores for reading, by State and Territory, by parental education and parental occupation, 2012 (score points)   </w:t>
            </w:r>
          </w:p>
        </w:tc>
      </w:tr>
      <w:tr w:rsidR="003A0189" w:rsidRPr="00F50B4F" w:rsidTr="003A0189">
        <w:tblPrEx>
          <w:tblLook w:val="04A0" w:firstRow="1" w:lastRow="0" w:firstColumn="1" w:lastColumn="0" w:noHBand="0" w:noVBand="1"/>
        </w:tblPrEx>
        <w:trPr>
          <w:trHeight w:val="397"/>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Participation rate in reading assessment, 2012, by Indigenous status (per cent)   </w:t>
            </w:r>
          </w:p>
        </w:tc>
      </w:tr>
      <w:tr w:rsidR="003A0189" w:rsidRPr="00F50B4F" w:rsidTr="003A0189">
        <w:tblPrEx>
          <w:tblLook w:val="04A0" w:firstRow="1" w:lastRow="0" w:firstColumn="1" w:lastColumn="0" w:noHBand="0" w:noVBand="1"/>
        </w:tblPrEx>
        <w:trPr>
          <w:trHeight w:val="291"/>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Exempt, absent and withdrawn, and assessed students in reading assessment, by Indigenous status, 2012 (per cent)   </w:t>
            </w:r>
          </w:p>
        </w:tc>
      </w:tr>
      <w:tr w:rsidR="003A0189" w:rsidRPr="00F50B4F" w:rsidTr="003A0189">
        <w:tblPrEx>
          <w:tblLook w:val="04A0" w:firstRow="1" w:lastRow="0" w:firstColumn="1" w:lastColumn="0" w:noHBand="0" w:noVBand="1"/>
        </w:tblPrEx>
        <w:trPr>
          <w:trHeight w:val="596"/>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reading, and statistical significance of differences 2008, 2011 and 2012, NSW  </w:t>
            </w:r>
          </w:p>
        </w:tc>
      </w:tr>
      <w:tr w:rsidR="003A0189" w:rsidRPr="00F50B4F" w:rsidTr="003A0189">
        <w:tblPrEx>
          <w:tblLook w:val="04A0" w:firstRow="1" w:lastRow="0" w:firstColumn="1" w:lastColumn="0" w:noHBand="0" w:noVBand="1"/>
        </w:tblPrEx>
        <w:trPr>
          <w:trHeight w:val="537"/>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4A.45</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reading, and statistical significance of differences 2008, 2011 and 2012, Victoria  </w:t>
            </w:r>
          </w:p>
        </w:tc>
      </w:tr>
      <w:tr w:rsidR="003A0189" w:rsidRPr="00F50B4F" w:rsidTr="003A0189">
        <w:tblPrEx>
          <w:tblLook w:val="04A0" w:firstRow="1" w:lastRow="0" w:firstColumn="1" w:lastColumn="0" w:noHBand="0" w:noVBand="1"/>
        </w:tblPrEx>
        <w:trPr>
          <w:trHeight w:val="63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4A.46</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reading, and statistical significance of differences 2008, 2011 and 2012, Queensland  </w:t>
            </w:r>
          </w:p>
        </w:tc>
      </w:tr>
      <w:tr w:rsidR="003A0189" w:rsidRPr="00F50B4F" w:rsidTr="003A0189">
        <w:tblPrEx>
          <w:tblLook w:val="04A0" w:firstRow="1" w:lastRow="0" w:firstColumn="1" w:lastColumn="0" w:noHBand="0" w:noVBand="1"/>
        </w:tblPrEx>
        <w:trPr>
          <w:trHeight w:val="558"/>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4A.47</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reading, and statistical significance of differences 2008, 2011 and 2012, Western Australia  </w:t>
            </w:r>
          </w:p>
        </w:tc>
      </w:tr>
      <w:tr w:rsidR="003A0189" w:rsidRPr="00F50B4F" w:rsidTr="003A0189">
        <w:tblPrEx>
          <w:tblLook w:val="04A0" w:firstRow="1" w:lastRow="0" w:firstColumn="1" w:lastColumn="0" w:noHBand="0" w:noVBand="1"/>
        </w:tblPrEx>
        <w:trPr>
          <w:trHeight w:val="49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4A.48</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reading, and statistical significance of differences 2008, 2011 and 2012, South Australia  </w:t>
            </w:r>
          </w:p>
        </w:tc>
      </w:tr>
      <w:tr w:rsidR="003A0189" w:rsidRPr="00F50B4F" w:rsidTr="003A0189">
        <w:tblPrEx>
          <w:tblLook w:val="04A0" w:firstRow="1" w:lastRow="0" w:firstColumn="1" w:lastColumn="0" w:noHBand="0" w:noVBand="1"/>
        </w:tblPrEx>
        <w:trPr>
          <w:trHeight w:val="43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4A.49</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reading, and statistical significance of differences 2008, 2011 and 2012, Tasmania  </w:t>
            </w:r>
          </w:p>
        </w:tc>
      </w:tr>
      <w:tr w:rsidR="003A0189" w:rsidRPr="00F50B4F" w:rsidTr="00F50B4F">
        <w:tblPrEx>
          <w:tblLook w:val="04A0" w:firstRow="1" w:lastRow="0" w:firstColumn="1" w:lastColumn="0" w:noHBand="0" w:noVBand="1"/>
        </w:tblPrEx>
        <w:trPr>
          <w:trHeight w:val="61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4A.50</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reading, and statistical significance of differences 2008, 2011 and 2012, Australian Capital Territory  </w:t>
            </w:r>
          </w:p>
        </w:tc>
      </w:tr>
      <w:tr w:rsidR="003A0189" w:rsidRPr="00F50B4F" w:rsidTr="003A0189">
        <w:tblPrEx>
          <w:tblLook w:val="04A0" w:firstRow="1" w:lastRow="0" w:firstColumn="1" w:lastColumn="0" w:noHBand="0" w:noVBand="1"/>
        </w:tblPrEx>
        <w:trPr>
          <w:trHeight w:val="75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lastRenderedPageBreak/>
              <w:t>Table 4A.51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reading, and statistical significance of differences 2008, 2011 and 2012, Northern Territory  </w:t>
            </w:r>
          </w:p>
        </w:tc>
      </w:tr>
      <w:tr w:rsidR="003A0189" w:rsidRPr="00F50B4F" w:rsidTr="003A0189">
        <w:tblPrEx>
          <w:tblLook w:val="04A0" w:firstRow="1" w:lastRow="0" w:firstColumn="1" w:lastColumn="0" w:noHBand="0" w:noVBand="1"/>
        </w:tblPrEx>
        <w:trPr>
          <w:trHeight w:val="55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reading, and statistical significance of differences 2008, 2011 and 2012, Australia  </w:t>
            </w:r>
          </w:p>
        </w:tc>
      </w:tr>
      <w:tr w:rsidR="003A0189" w:rsidRPr="00F50B4F" w:rsidTr="003A0189">
        <w:tblPrEx>
          <w:tblLook w:val="04A0" w:firstRow="1" w:lastRow="0" w:firstColumn="1" w:lastColumn="0" w:noHBand="0" w:noVBand="1"/>
        </w:tblPrEx>
        <w:trPr>
          <w:trHeight w:val="35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 gain for reading, years 3-5, 5-7 and 7-9, 2008-2010-2012 (score points)   </w:t>
            </w:r>
          </w:p>
        </w:tc>
      </w:tr>
      <w:tr w:rsidR="003A0189" w:rsidRPr="00F50B4F" w:rsidTr="003A0189">
        <w:tblPrEx>
          <w:tblLook w:val="04A0" w:firstRow="1" w:lastRow="0" w:firstColumn="1" w:lastColumn="0" w:noHBand="0" w:noVBand="1"/>
        </w:tblPrEx>
        <w:trPr>
          <w:trHeight w:val="24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students who achieved at or above the national minimum standard for persuasive writing, 2012 (per cent)   </w:t>
            </w:r>
          </w:p>
        </w:tc>
      </w:tr>
      <w:tr w:rsidR="003A0189" w:rsidRPr="00F50B4F" w:rsidTr="003A0189">
        <w:tblPrEx>
          <w:tblLook w:val="04A0" w:firstRow="1" w:lastRow="0" w:firstColumn="1" w:lastColumn="0" w:noHBand="0" w:noVBand="1"/>
        </w:tblPrEx>
        <w:trPr>
          <w:trHeight w:val="54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4A.55</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year 3, 5, 7 and 9 students who achieved at or above the national minimum standard for persuasive writing, by Indigenous status and geolocation, 2012 (per cent)      </w:t>
            </w:r>
          </w:p>
        </w:tc>
      </w:tr>
      <w:tr w:rsidR="003A0189" w:rsidRPr="00F50B4F" w:rsidTr="00F50B4F">
        <w:tblPrEx>
          <w:tblLook w:val="04A0" w:firstRow="1" w:lastRow="0" w:firstColumn="1" w:lastColumn="0" w:noHBand="0" w:noVBand="1"/>
        </w:tblPrEx>
        <w:trPr>
          <w:trHeight w:val="61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4A.56</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students who achieved at or above the national minimum standard for persuasive writing, by State and Territory, by parental education and parental occupation, 2012 (per cent)   </w:t>
            </w:r>
          </w:p>
        </w:tc>
      </w:tr>
      <w:tr w:rsidR="003A0189" w:rsidRPr="00F50B4F" w:rsidTr="003A0189">
        <w:tblPrEx>
          <w:tblLook w:val="04A0" w:firstRow="1" w:lastRow="0" w:firstColumn="1" w:lastColumn="0" w:noHBand="0" w:noVBand="1"/>
        </w:tblPrEx>
        <w:trPr>
          <w:trHeight w:val="146"/>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4A.57</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for persuasive writing, years 3, 5, 7 and 9 students, by Indigenous status, 2012 (score points)    </w:t>
            </w:r>
          </w:p>
        </w:tc>
      </w:tr>
      <w:tr w:rsidR="003A0189" w:rsidRPr="00F50B4F" w:rsidTr="003A0189">
        <w:tblPrEx>
          <w:tblLook w:val="04A0" w:firstRow="1" w:lastRow="0" w:firstColumn="1" w:lastColumn="0" w:noHBand="0" w:noVBand="1"/>
        </w:tblPrEx>
        <w:trPr>
          <w:trHeight w:val="30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4A.58</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NAPLAN Mean scale scores for persuasive writing, by Indigenous status and geolocation, 2012 (score points)      </w:t>
            </w:r>
          </w:p>
        </w:tc>
      </w:tr>
      <w:tr w:rsidR="003A0189" w:rsidRPr="00F50B4F" w:rsidTr="003A0189">
        <w:tblPrEx>
          <w:tblLook w:val="04A0" w:firstRow="1" w:lastRow="0" w:firstColumn="1" w:lastColumn="0" w:noHBand="0" w:noVBand="1"/>
        </w:tblPrEx>
        <w:trPr>
          <w:trHeight w:val="47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4A.59</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NAPLAN Mean scale scores for persuasive writing, by State and Territory, by parental education and parental occupation, 2012 (score points)   </w:t>
            </w:r>
          </w:p>
        </w:tc>
      </w:tr>
      <w:tr w:rsidR="003A0189" w:rsidRPr="00F50B4F" w:rsidTr="003A0189">
        <w:tblPrEx>
          <w:tblLook w:val="04A0" w:firstRow="1" w:lastRow="0" w:firstColumn="1" w:lastColumn="0" w:noHBand="0" w:noVBand="1"/>
        </w:tblPrEx>
        <w:trPr>
          <w:trHeight w:val="366"/>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4A.60</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Participation rate in persuasive writing assessment, 2012, by Indigenous status (per cent)   </w:t>
            </w:r>
          </w:p>
        </w:tc>
      </w:tr>
      <w:tr w:rsidR="003A0189" w:rsidRPr="00F50B4F" w:rsidTr="003A0189">
        <w:tblPrEx>
          <w:tblLook w:val="04A0" w:firstRow="1" w:lastRow="0" w:firstColumn="1" w:lastColumn="0" w:noHBand="0" w:noVBand="1"/>
        </w:tblPrEx>
        <w:trPr>
          <w:trHeight w:val="388"/>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Exempt, absent and withdrawn, and assessed students in persuasive writing assessment, by Indigenous status, 2012 (per cent)    </w:t>
            </w:r>
          </w:p>
        </w:tc>
      </w:tr>
      <w:tr w:rsidR="003A0189" w:rsidRPr="00F50B4F" w:rsidTr="003A0189">
        <w:tblPrEx>
          <w:tblLook w:val="04A0" w:firstRow="1" w:lastRow="0" w:firstColumn="1" w:lastColumn="0" w:noHBand="0" w:noVBand="1"/>
        </w:tblPrEx>
        <w:trPr>
          <w:trHeight w:val="55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persuasive writing, and statistical significance of differences 2011 and 2012, NSW  </w:t>
            </w:r>
          </w:p>
        </w:tc>
      </w:tr>
      <w:tr w:rsidR="003A0189" w:rsidRPr="00F50B4F" w:rsidTr="003A0189">
        <w:tblPrEx>
          <w:tblLook w:val="04A0" w:firstRow="1" w:lastRow="0" w:firstColumn="1" w:lastColumn="0" w:noHBand="0" w:noVBand="1"/>
        </w:tblPrEx>
        <w:trPr>
          <w:trHeight w:val="64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persuasive writing, and statistical significance of differences 2011 and 2012, Victoria  </w:t>
            </w:r>
          </w:p>
        </w:tc>
      </w:tr>
      <w:tr w:rsidR="003A0189" w:rsidRPr="00F50B4F" w:rsidTr="003A0189">
        <w:tblPrEx>
          <w:tblLook w:val="04A0" w:firstRow="1" w:lastRow="0" w:firstColumn="1" w:lastColumn="0" w:noHBand="0" w:noVBand="1"/>
        </w:tblPrEx>
        <w:trPr>
          <w:trHeight w:val="575"/>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persuasive writing, and statistical significance of differences 2011 and 2012, Queensland  </w:t>
            </w:r>
          </w:p>
        </w:tc>
      </w:tr>
      <w:tr w:rsidR="003A0189" w:rsidRPr="00F50B4F" w:rsidTr="003A0189">
        <w:tblPrEx>
          <w:tblLook w:val="04A0" w:firstRow="1" w:lastRow="0" w:firstColumn="1" w:lastColumn="0" w:noHBand="0" w:noVBand="1"/>
        </w:tblPrEx>
        <w:trPr>
          <w:trHeight w:val="514"/>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4A.65</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persuasive writing, and statistical significance of differences 2011 and 2012, Western Australia  </w:t>
            </w:r>
          </w:p>
        </w:tc>
      </w:tr>
      <w:tr w:rsidR="003A0189" w:rsidRPr="00F50B4F" w:rsidTr="003A0189">
        <w:tblPrEx>
          <w:tblLook w:val="04A0" w:firstRow="1" w:lastRow="0" w:firstColumn="1" w:lastColumn="0" w:noHBand="0" w:noVBand="1"/>
        </w:tblPrEx>
        <w:trPr>
          <w:trHeight w:val="31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4A.66</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persuasive writing, and statistical significance of differences 2011 and 2012, South Australia  </w:t>
            </w:r>
          </w:p>
        </w:tc>
      </w:tr>
      <w:tr w:rsidR="003A0189" w:rsidRPr="00F50B4F" w:rsidTr="00F50B4F">
        <w:tblPrEx>
          <w:tblLook w:val="04A0" w:firstRow="1" w:lastRow="0" w:firstColumn="1" w:lastColumn="0" w:noHBand="0" w:noVBand="1"/>
        </w:tblPrEx>
        <w:trPr>
          <w:trHeight w:val="61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4A.67</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persuasive writing, and statistical significance of differences 2011 and 2012, Tasmania  </w:t>
            </w:r>
          </w:p>
        </w:tc>
      </w:tr>
      <w:tr w:rsidR="003A0189" w:rsidRPr="00F50B4F" w:rsidTr="003A0189">
        <w:tblPrEx>
          <w:tblLook w:val="04A0" w:firstRow="1" w:lastRow="0" w:firstColumn="1" w:lastColumn="0" w:noHBand="0" w:noVBand="1"/>
        </w:tblPrEx>
        <w:trPr>
          <w:trHeight w:val="618"/>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4A.68</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persuasive writing, and statistical significance of differences 2011 and 2012, Australian Capital Territory  </w:t>
            </w:r>
          </w:p>
        </w:tc>
      </w:tr>
      <w:tr w:rsidR="003A0189" w:rsidRPr="00F50B4F" w:rsidTr="003A0189">
        <w:tblPrEx>
          <w:tblLook w:val="04A0" w:firstRow="1" w:lastRow="0" w:firstColumn="1" w:lastColumn="0" w:noHBand="0" w:noVBand="1"/>
        </w:tblPrEx>
        <w:trPr>
          <w:trHeight w:val="55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4A.69</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persuasive writing, and statistical significance of differences 2011 and 2012, Northern Territory  </w:t>
            </w:r>
          </w:p>
        </w:tc>
      </w:tr>
      <w:tr w:rsidR="003A0189" w:rsidRPr="00F50B4F" w:rsidTr="003A0189">
        <w:tblPrEx>
          <w:tblLook w:val="04A0" w:firstRow="1" w:lastRow="0" w:firstColumn="1" w:lastColumn="0" w:noHBand="0" w:noVBand="1"/>
        </w:tblPrEx>
        <w:trPr>
          <w:trHeight w:val="328"/>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lastRenderedPageBreak/>
              <w:t>Table 4A.70</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persuasive writing, and statistical significance of differences 2011 and 2012, Australia  </w:t>
            </w:r>
          </w:p>
        </w:tc>
      </w:tr>
      <w:tr w:rsidR="003A0189" w:rsidRPr="00F50B4F" w:rsidTr="003A0189">
        <w:tblPrEx>
          <w:tblLook w:val="04A0" w:firstRow="1" w:lastRow="0" w:firstColumn="1" w:lastColumn="0" w:noHBand="0" w:noVBand="1"/>
        </w:tblPrEx>
        <w:trPr>
          <w:trHeight w:val="41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students who achieved at or above the national minimum standard for numeracy, 2012 (per cent)   </w:t>
            </w:r>
          </w:p>
        </w:tc>
      </w:tr>
      <w:tr w:rsidR="003A0189" w:rsidRPr="00F50B4F" w:rsidTr="003A0189">
        <w:tblPrEx>
          <w:tblLook w:val="04A0" w:firstRow="1" w:lastRow="0" w:firstColumn="1" w:lastColumn="0" w:noHBand="0" w:noVBand="1"/>
        </w:tblPrEx>
        <w:trPr>
          <w:trHeight w:val="72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year 3, 5, 7 and 9 students who achieved at or above the national minimum standard for numeracy, by Indigenous status and geolocation, 2012 (per cent)      </w:t>
            </w:r>
          </w:p>
        </w:tc>
      </w:tr>
      <w:tr w:rsidR="003A0189" w:rsidRPr="00F50B4F" w:rsidTr="003A0189">
        <w:tblPrEx>
          <w:tblLook w:val="04A0" w:firstRow="1" w:lastRow="0" w:firstColumn="1" w:lastColumn="0" w:noHBand="0" w:noVBand="1"/>
        </w:tblPrEx>
        <w:trPr>
          <w:trHeight w:val="527"/>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students who achieved at or above the national minimum standard for numeracy, by State and Territory, by parental education and parental occupation, 2012 (per cent)   </w:t>
            </w:r>
          </w:p>
        </w:tc>
      </w:tr>
      <w:tr w:rsidR="003A0189" w:rsidRPr="00F50B4F" w:rsidTr="003A0189">
        <w:tblPrEx>
          <w:tblLook w:val="04A0" w:firstRow="1" w:lastRow="0" w:firstColumn="1" w:lastColumn="0" w:noHBand="0" w:noVBand="1"/>
        </w:tblPrEx>
        <w:trPr>
          <w:trHeight w:val="16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for numeracy, years 3, 5, 7 and 9 students, by Indigenous status, 2012 (score points)    </w:t>
            </w:r>
          </w:p>
        </w:tc>
      </w:tr>
      <w:tr w:rsidR="003A0189" w:rsidRPr="00F50B4F" w:rsidTr="003A0189">
        <w:tblPrEx>
          <w:tblLook w:val="04A0" w:firstRow="1" w:lastRow="0" w:firstColumn="1" w:lastColumn="0" w:noHBand="0" w:noVBand="1"/>
        </w:tblPrEx>
        <w:trPr>
          <w:trHeight w:val="191"/>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4A.75</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NAPLAN Mean scale scores for numeracy, by Indigenous status and geolocation, 2012 (score points)      </w:t>
            </w:r>
          </w:p>
        </w:tc>
      </w:tr>
      <w:tr w:rsidR="003A0189" w:rsidRPr="00F50B4F" w:rsidTr="003A37B3">
        <w:tblPrEx>
          <w:tblLook w:val="04A0" w:firstRow="1" w:lastRow="0" w:firstColumn="1" w:lastColumn="0" w:noHBand="0" w:noVBand="1"/>
        </w:tblPrEx>
        <w:trPr>
          <w:trHeight w:val="85"/>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4A.76</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NAPLAN Mean scale scores for numeracy, by State and Territory, by parental education and parental occupation, 2012 (score points)   </w:t>
            </w:r>
          </w:p>
        </w:tc>
      </w:tr>
      <w:tr w:rsidR="003A0189" w:rsidRPr="00F50B4F" w:rsidTr="003A37B3">
        <w:tblPrEx>
          <w:tblLook w:val="04A0" w:firstRow="1" w:lastRow="0" w:firstColumn="1" w:lastColumn="0" w:noHBand="0" w:noVBand="1"/>
        </w:tblPrEx>
        <w:trPr>
          <w:trHeight w:val="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4A.77</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Participation rate in numeracy assessment, 2012, by Indigenous status (per cent)   </w:t>
            </w:r>
          </w:p>
        </w:tc>
      </w:tr>
      <w:tr w:rsidR="003A0189" w:rsidRPr="00F50B4F" w:rsidTr="003A37B3">
        <w:tblPrEx>
          <w:tblLook w:val="04A0" w:firstRow="1" w:lastRow="0" w:firstColumn="1" w:lastColumn="0" w:noHBand="0" w:noVBand="1"/>
        </w:tblPrEx>
        <w:trPr>
          <w:trHeight w:val="41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4A.78</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Exempt, absent and withdrawn, and assessed students in numeracy assessment, by Indigenous status, 2012 (per cent)    </w:t>
            </w:r>
          </w:p>
        </w:tc>
      </w:tr>
      <w:tr w:rsidR="003A0189" w:rsidRPr="00F50B4F" w:rsidTr="003A37B3">
        <w:tblPrEx>
          <w:tblLook w:val="04A0" w:firstRow="1" w:lastRow="0" w:firstColumn="1" w:lastColumn="0" w:noHBand="0" w:noVBand="1"/>
        </w:tblPrEx>
        <w:trPr>
          <w:trHeight w:val="59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4A.79</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numeracy, and statistical significance of differences 2008, 2011 and 2012, NSW  </w:t>
            </w:r>
          </w:p>
        </w:tc>
      </w:tr>
      <w:tr w:rsidR="003A0189" w:rsidRPr="00F50B4F" w:rsidTr="003A37B3">
        <w:tblPrEx>
          <w:tblLook w:val="04A0" w:firstRow="1" w:lastRow="0" w:firstColumn="1" w:lastColumn="0" w:noHBand="0" w:noVBand="1"/>
        </w:tblPrEx>
        <w:trPr>
          <w:trHeight w:val="67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4A.80</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numeracy, and statistical significance of differences 2008, 2011 and 2012, Victoria  </w:t>
            </w:r>
          </w:p>
        </w:tc>
      </w:tr>
      <w:tr w:rsidR="003A0189" w:rsidRPr="00F50B4F" w:rsidTr="003A37B3">
        <w:tblPrEx>
          <w:tblLook w:val="04A0" w:firstRow="1" w:lastRow="0" w:firstColumn="1" w:lastColumn="0" w:noHBand="0" w:noVBand="1"/>
        </w:tblPrEx>
        <w:trPr>
          <w:trHeight w:val="613"/>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numeracy, and statistical significance of differences 2008, 2011 and 2012, Queensland  </w:t>
            </w:r>
          </w:p>
        </w:tc>
      </w:tr>
      <w:tr w:rsidR="003A0189" w:rsidRPr="00F50B4F" w:rsidTr="003A37B3">
        <w:tblPrEx>
          <w:tblLook w:val="04A0" w:firstRow="1" w:lastRow="0" w:firstColumn="1" w:lastColumn="0" w:noHBand="0" w:noVBand="1"/>
        </w:tblPrEx>
        <w:trPr>
          <w:trHeight w:val="68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numeracy, and statistical significance of differences 2008, 2011 and 2012, Western Australia  </w:t>
            </w:r>
          </w:p>
        </w:tc>
      </w:tr>
      <w:tr w:rsidR="003A0189" w:rsidRPr="00F50B4F" w:rsidTr="003A37B3">
        <w:tblPrEx>
          <w:tblLook w:val="04A0" w:firstRow="1" w:lastRow="0" w:firstColumn="1" w:lastColumn="0" w:noHBand="0" w:noVBand="1"/>
        </w:tblPrEx>
        <w:trPr>
          <w:trHeight w:val="634"/>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numeracy, and statistical significance of differences 2008, 2011 and 2012, South Australia  </w:t>
            </w:r>
          </w:p>
        </w:tc>
      </w:tr>
      <w:tr w:rsidR="003A0189" w:rsidRPr="00F50B4F" w:rsidTr="003A37B3">
        <w:tblPrEx>
          <w:tblLook w:val="04A0" w:firstRow="1" w:lastRow="0" w:firstColumn="1" w:lastColumn="0" w:noHBand="0" w:noVBand="1"/>
        </w:tblPrEx>
        <w:trPr>
          <w:trHeight w:val="575"/>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numeracy, and statistical significance of differences 2008, 2011 and 2012, Tasmania  </w:t>
            </w:r>
          </w:p>
        </w:tc>
      </w:tr>
      <w:tr w:rsidR="003A0189" w:rsidRPr="00F50B4F" w:rsidTr="00F50B4F">
        <w:tblPrEx>
          <w:tblLook w:val="04A0" w:firstRow="1" w:lastRow="0" w:firstColumn="1" w:lastColumn="0" w:noHBand="0" w:noVBand="1"/>
        </w:tblPrEx>
        <w:trPr>
          <w:trHeight w:val="64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4A.85</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numeracy, and statistical significance of differences 2008, 2011 and 2012, Australian Capital Territory  </w:t>
            </w:r>
          </w:p>
        </w:tc>
      </w:tr>
      <w:tr w:rsidR="003A0189" w:rsidRPr="00F50B4F" w:rsidTr="003A37B3">
        <w:tblPrEx>
          <w:tblLook w:val="04A0" w:firstRow="1" w:lastRow="0" w:firstColumn="1" w:lastColumn="0" w:noHBand="0" w:noVBand="1"/>
        </w:tblPrEx>
        <w:trPr>
          <w:trHeight w:val="58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4A.86</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numeracy, and statistical significance of differences 2008, 2011 and 2012, Northern Territory  </w:t>
            </w:r>
          </w:p>
        </w:tc>
      </w:tr>
      <w:tr w:rsidR="003A0189" w:rsidRPr="00F50B4F" w:rsidTr="003A37B3">
        <w:tblPrEx>
          <w:tblLook w:val="04A0" w:firstRow="1" w:lastRow="0" w:firstColumn="1" w:lastColumn="0" w:noHBand="0" w:noVBand="1"/>
        </w:tblPrEx>
        <w:trPr>
          <w:trHeight w:val="679"/>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4A.87</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scores and proportion of students who achieved at or above the national minimum standard for numeracy, and statistical significance of differences 2008, 2011 and 2012, Australia  </w:t>
            </w:r>
          </w:p>
        </w:tc>
      </w:tr>
      <w:tr w:rsidR="003A0189" w:rsidRPr="00F50B4F" w:rsidTr="003A37B3">
        <w:tblPrEx>
          <w:tblLook w:val="04A0" w:firstRow="1" w:lastRow="0" w:firstColumn="1" w:lastColumn="0" w:noHBand="0" w:noVBand="1"/>
        </w:tblPrEx>
        <w:trPr>
          <w:trHeight w:val="47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4A.88</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Mean scale score gain for numeracy, years 3-5, 5-7 and 7-9, 2008-2010-2012 (score points)   </w:t>
            </w:r>
          </w:p>
        </w:tc>
      </w:tr>
      <w:tr w:rsidR="003A0189" w:rsidRPr="00F50B4F" w:rsidTr="003A37B3">
        <w:tblPrEx>
          <w:tblLook w:val="04A0" w:firstRow="1" w:lastRow="0" w:firstColumn="1" w:lastColumn="0" w:noHBand="0" w:noVBand="1"/>
        </w:tblPrEx>
        <w:trPr>
          <w:trHeight w:val="611"/>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lastRenderedPageBreak/>
              <w:t>Table 4A.89</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Proportion of year 6 students achieving at or above the proficient standard in science literacy in the National Assessment Program (per cent)    DN: 2012 data not yet received</w:t>
            </w:r>
          </w:p>
        </w:tc>
      </w:tr>
      <w:tr w:rsidR="003A0189" w:rsidRPr="00F50B4F" w:rsidTr="003A37B3">
        <w:tblPrEx>
          <w:tblLook w:val="04A0" w:firstRow="1" w:lastRow="0" w:firstColumn="1" w:lastColumn="0" w:noHBand="0" w:noVBand="1"/>
        </w:tblPrEx>
        <w:trPr>
          <w:trHeight w:val="55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4A.90</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Proportion of year 6 students achieving at or above the proficient standard in science literacy in the National Assessment Program, by geolocation (per cent)     DN: 2012 data not yet received</w:t>
            </w:r>
          </w:p>
        </w:tc>
      </w:tr>
      <w:tr w:rsidR="003A0189" w:rsidRPr="00F50B4F" w:rsidTr="003A37B3">
        <w:tblPrEx>
          <w:tblLook w:val="04A0" w:firstRow="1" w:lastRow="0" w:firstColumn="1" w:lastColumn="0" w:noHBand="0" w:noVBand="1"/>
        </w:tblPrEx>
        <w:trPr>
          <w:trHeight w:val="634"/>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4A.91</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Proportion of year 6 students achieving at or above the proficient standard in science literacy in the National Assessment Program, by equity group (per cent)    DN: 2012 data not yet received</w:t>
            </w:r>
          </w:p>
        </w:tc>
      </w:tr>
      <w:tr w:rsidR="003A0189" w:rsidRPr="00F50B4F" w:rsidTr="003A37B3">
        <w:tblPrEx>
          <w:tblLook w:val="04A0" w:firstRow="1" w:lastRow="0" w:firstColumn="1" w:lastColumn="0" w:noHBand="0" w:noVBand="1"/>
        </w:tblPrEx>
        <w:trPr>
          <w:trHeight w:val="430"/>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4A.92</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years 6 and 10 students achieving at or above the proficient standard in civics and citizenship performance in the National Assessment Program (per cent)  </w:t>
            </w:r>
          </w:p>
        </w:tc>
      </w:tr>
      <w:tr w:rsidR="003A0189" w:rsidRPr="00F50B4F" w:rsidTr="00F50B4F">
        <w:tblPrEx>
          <w:tblLook w:val="04A0" w:firstRow="1" w:lastRow="0" w:firstColumn="1" w:lastColumn="0" w:noHBand="0" w:noVBand="1"/>
        </w:tblPrEx>
        <w:trPr>
          <w:trHeight w:val="612"/>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4A.93</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years 6 and 10 students achieving at or above the proficient standard in civics and citizenship performance in the National Assessment Program, by geolocation, Australia (per cent)    </w:t>
            </w:r>
          </w:p>
        </w:tc>
      </w:tr>
      <w:tr w:rsidR="003A0189" w:rsidRPr="00F50B4F" w:rsidTr="003A37B3">
        <w:tblPrEx>
          <w:tblLook w:val="04A0" w:firstRow="1" w:lastRow="0" w:firstColumn="1" w:lastColumn="0" w:noHBand="0" w:noVBand="1"/>
        </w:tblPrEx>
        <w:trPr>
          <w:trHeight w:val="594"/>
        </w:trPr>
        <w:tc>
          <w:tcPr>
            <w:tcW w:w="2108" w:type="dxa"/>
            <w:tcBorders>
              <w:top w:val="nil"/>
              <w:left w:val="nil"/>
              <w:bottom w:val="nil"/>
              <w:right w:val="nil"/>
            </w:tcBorders>
            <w:shd w:val="clear" w:color="auto" w:fill="auto"/>
            <w:noWrap/>
            <w:hideMark/>
          </w:tcPr>
          <w:p w:rsidR="003A0189" w:rsidRPr="00D26128" w:rsidRDefault="003A0189" w:rsidP="00F50B4F">
            <w:pPr>
              <w:rPr>
                <w:rFonts w:ascii="Arial" w:hAnsi="Arial" w:cs="Arial"/>
                <w:b/>
                <w:bCs/>
                <w:sz w:val="20"/>
                <w:szCs w:val="20"/>
              </w:rPr>
            </w:pPr>
            <w:r w:rsidRPr="00D26128">
              <w:rPr>
                <w:rFonts w:ascii="Arial" w:hAnsi="Arial" w:cs="Arial"/>
                <w:b/>
                <w:bCs/>
                <w:sz w:val="20"/>
                <w:szCs w:val="20"/>
              </w:rPr>
              <w:t>Table 4A.94</w:t>
            </w:r>
          </w:p>
        </w:tc>
        <w:tc>
          <w:tcPr>
            <w:tcW w:w="6860" w:type="dxa"/>
            <w:gridSpan w:val="2"/>
            <w:tcBorders>
              <w:top w:val="nil"/>
              <w:left w:val="nil"/>
              <w:bottom w:val="nil"/>
              <w:right w:val="nil"/>
            </w:tcBorders>
            <w:shd w:val="clear" w:color="auto" w:fill="auto"/>
            <w:hideMark/>
          </w:tcPr>
          <w:p w:rsidR="003A0189" w:rsidRPr="00D26128" w:rsidRDefault="003A0189" w:rsidP="003A0189">
            <w:pPr>
              <w:spacing w:after="80"/>
              <w:jc w:val="both"/>
              <w:rPr>
                <w:rFonts w:ascii="Arial" w:hAnsi="Arial" w:cs="Arial"/>
                <w:sz w:val="20"/>
                <w:szCs w:val="20"/>
              </w:rPr>
            </w:pPr>
            <w:r w:rsidRPr="00D26128">
              <w:rPr>
                <w:rFonts w:ascii="Arial" w:hAnsi="Arial" w:cs="Arial"/>
                <w:sz w:val="20"/>
                <w:szCs w:val="20"/>
              </w:rPr>
              <w:t xml:space="preserve">Proportion of years 6 and 10 students achieving at or above the proficient standard in civics and citizenship performance in the National Assessment Program, by equity group, Australia (per cent)   </w:t>
            </w:r>
          </w:p>
        </w:tc>
      </w:tr>
      <w:tr w:rsidR="003A0189" w:rsidRPr="00F50B4F" w:rsidTr="003A37B3">
        <w:tblPrEx>
          <w:tblLook w:val="04A0" w:firstRow="1" w:lastRow="0" w:firstColumn="1" w:lastColumn="0" w:noHBand="0" w:noVBand="1"/>
        </w:tblPrEx>
        <w:trPr>
          <w:trHeight w:val="520"/>
        </w:trPr>
        <w:tc>
          <w:tcPr>
            <w:tcW w:w="2108" w:type="dxa"/>
            <w:tcBorders>
              <w:top w:val="nil"/>
              <w:left w:val="nil"/>
              <w:bottom w:val="nil"/>
              <w:right w:val="nil"/>
            </w:tcBorders>
            <w:shd w:val="clear" w:color="auto" w:fill="auto"/>
            <w:noWrap/>
            <w:hideMark/>
          </w:tcPr>
          <w:p w:rsidR="003A0189" w:rsidRPr="00D26128" w:rsidRDefault="003A0189" w:rsidP="000259C1">
            <w:pPr>
              <w:spacing w:after="80"/>
              <w:rPr>
                <w:rFonts w:ascii="Arial" w:hAnsi="Arial" w:cs="Arial"/>
                <w:b/>
                <w:bCs/>
                <w:sz w:val="20"/>
                <w:szCs w:val="20"/>
              </w:rPr>
            </w:pPr>
            <w:r w:rsidRPr="00D26128">
              <w:rPr>
                <w:rFonts w:ascii="Arial" w:hAnsi="Arial" w:cs="Arial"/>
                <w:b/>
                <w:bCs/>
                <w:sz w:val="20"/>
                <w:szCs w:val="20"/>
              </w:rPr>
              <w:t>Table 4A.95</w:t>
            </w:r>
          </w:p>
        </w:tc>
        <w:tc>
          <w:tcPr>
            <w:tcW w:w="6860" w:type="dxa"/>
            <w:gridSpan w:val="2"/>
            <w:tcBorders>
              <w:top w:val="nil"/>
              <w:left w:val="nil"/>
              <w:bottom w:val="nil"/>
              <w:right w:val="nil"/>
            </w:tcBorders>
            <w:shd w:val="clear" w:color="auto" w:fill="auto"/>
            <w:hideMark/>
          </w:tcPr>
          <w:p w:rsidR="003A0189" w:rsidRPr="00D26128" w:rsidRDefault="003A0189" w:rsidP="000259C1">
            <w:pPr>
              <w:spacing w:after="80"/>
              <w:jc w:val="both"/>
              <w:rPr>
                <w:rFonts w:ascii="Arial" w:hAnsi="Arial" w:cs="Arial"/>
                <w:sz w:val="20"/>
                <w:szCs w:val="20"/>
              </w:rPr>
            </w:pPr>
            <w:r w:rsidRPr="00D26128">
              <w:rPr>
                <w:rFonts w:ascii="Arial" w:hAnsi="Arial" w:cs="Arial"/>
                <w:sz w:val="20"/>
                <w:szCs w:val="20"/>
              </w:rPr>
              <w:t xml:space="preserve">Proportion of years 6 and 10 students achieving at or above the proficient standard in information and communication technology literacy performance in the National Assessment Program (per cent)   </w:t>
            </w:r>
          </w:p>
        </w:tc>
      </w:tr>
      <w:tr w:rsidR="003A0189" w:rsidRPr="00F50B4F" w:rsidTr="003A37B3">
        <w:tblPrEx>
          <w:tblLook w:val="04A0" w:firstRow="1" w:lastRow="0" w:firstColumn="1" w:lastColumn="0" w:noHBand="0" w:noVBand="1"/>
        </w:tblPrEx>
        <w:trPr>
          <w:trHeight w:val="900"/>
        </w:trPr>
        <w:tc>
          <w:tcPr>
            <w:tcW w:w="2108" w:type="dxa"/>
            <w:tcBorders>
              <w:top w:val="nil"/>
              <w:left w:val="nil"/>
              <w:bottom w:val="nil"/>
              <w:right w:val="nil"/>
            </w:tcBorders>
            <w:shd w:val="clear" w:color="auto" w:fill="auto"/>
            <w:noWrap/>
            <w:hideMark/>
          </w:tcPr>
          <w:p w:rsidR="003A0189" w:rsidRPr="00D26128" w:rsidRDefault="003A0189" w:rsidP="000259C1">
            <w:pPr>
              <w:spacing w:after="80"/>
              <w:rPr>
                <w:rFonts w:ascii="Arial" w:hAnsi="Arial" w:cs="Arial"/>
                <w:b/>
                <w:bCs/>
                <w:sz w:val="20"/>
                <w:szCs w:val="20"/>
              </w:rPr>
            </w:pPr>
            <w:r w:rsidRPr="00D26128">
              <w:rPr>
                <w:rFonts w:ascii="Arial" w:hAnsi="Arial" w:cs="Arial"/>
                <w:b/>
                <w:bCs/>
                <w:sz w:val="20"/>
                <w:szCs w:val="20"/>
              </w:rPr>
              <w:t>Table 4A.96</w:t>
            </w:r>
          </w:p>
        </w:tc>
        <w:tc>
          <w:tcPr>
            <w:tcW w:w="6860" w:type="dxa"/>
            <w:gridSpan w:val="2"/>
            <w:tcBorders>
              <w:top w:val="nil"/>
              <w:left w:val="nil"/>
              <w:bottom w:val="nil"/>
              <w:right w:val="nil"/>
            </w:tcBorders>
            <w:shd w:val="clear" w:color="auto" w:fill="auto"/>
            <w:hideMark/>
          </w:tcPr>
          <w:p w:rsidR="003A0189" w:rsidRPr="00D26128" w:rsidRDefault="003A0189" w:rsidP="000259C1">
            <w:pPr>
              <w:spacing w:after="80"/>
              <w:jc w:val="both"/>
              <w:rPr>
                <w:rFonts w:ascii="Arial" w:hAnsi="Arial" w:cs="Arial"/>
                <w:sz w:val="20"/>
                <w:szCs w:val="20"/>
              </w:rPr>
            </w:pPr>
            <w:r w:rsidRPr="00D26128">
              <w:rPr>
                <w:rFonts w:ascii="Arial" w:hAnsi="Arial" w:cs="Arial"/>
                <w:sz w:val="20"/>
                <w:szCs w:val="20"/>
              </w:rPr>
              <w:t xml:space="preserve">Proportion of years 6 and 10 students achieving at or above the proficient standard in information and communication technology literacy performance in the National Assessment Program, by student characteristics, Australia, 2005, 2008 and 2011 (per cent)  </w:t>
            </w:r>
          </w:p>
        </w:tc>
      </w:tr>
      <w:tr w:rsidR="003A0189" w:rsidRPr="00F50B4F" w:rsidTr="00F50B4F">
        <w:tblPrEx>
          <w:tblLook w:val="04A0" w:firstRow="1" w:lastRow="0" w:firstColumn="1" w:lastColumn="0" w:noHBand="0" w:noVBand="1"/>
        </w:tblPrEx>
        <w:trPr>
          <w:trHeight w:val="579"/>
        </w:trPr>
        <w:tc>
          <w:tcPr>
            <w:tcW w:w="2108" w:type="dxa"/>
            <w:tcBorders>
              <w:top w:val="nil"/>
              <w:left w:val="nil"/>
              <w:bottom w:val="nil"/>
              <w:right w:val="nil"/>
            </w:tcBorders>
            <w:shd w:val="clear" w:color="auto" w:fill="auto"/>
            <w:noWrap/>
            <w:hideMark/>
          </w:tcPr>
          <w:p w:rsidR="003A0189" w:rsidRPr="00D26128" w:rsidRDefault="003A0189" w:rsidP="000259C1">
            <w:pPr>
              <w:spacing w:after="80"/>
              <w:rPr>
                <w:rFonts w:ascii="Arial" w:hAnsi="Arial" w:cs="Arial"/>
                <w:b/>
                <w:bCs/>
                <w:sz w:val="20"/>
                <w:szCs w:val="20"/>
              </w:rPr>
            </w:pPr>
            <w:r w:rsidRPr="00D26128">
              <w:rPr>
                <w:rFonts w:ascii="Arial" w:hAnsi="Arial" w:cs="Arial"/>
                <w:b/>
                <w:bCs/>
                <w:sz w:val="20"/>
                <w:szCs w:val="20"/>
              </w:rPr>
              <w:t>Table 4A.97</w:t>
            </w:r>
          </w:p>
        </w:tc>
        <w:tc>
          <w:tcPr>
            <w:tcW w:w="6860" w:type="dxa"/>
            <w:gridSpan w:val="2"/>
            <w:tcBorders>
              <w:top w:val="nil"/>
              <w:left w:val="nil"/>
              <w:bottom w:val="nil"/>
              <w:right w:val="nil"/>
            </w:tcBorders>
            <w:shd w:val="clear" w:color="auto" w:fill="auto"/>
            <w:hideMark/>
          </w:tcPr>
          <w:p w:rsidR="003A0189" w:rsidRPr="00D26128" w:rsidRDefault="003A0189" w:rsidP="000259C1">
            <w:pPr>
              <w:spacing w:after="80"/>
              <w:jc w:val="both"/>
              <w:rPr>
                <w:rFonts w:ascii="Arial" w:hAnsi="Arial" w:cs="Arial"/>
                <w:sz w:val="20"/>
                <w:szCs w:val="20"/>
              </w:rPr>
            </w:pPr>
            <w:r w:rsidRPr="00D26128">
              <w:rPr>
                <w:rFonts w:ascii="Arial" w:hAnsi="Arial" w:cs="Arial"/>
                <w:sz w:val="20"/>
                <w:szCs w:val="20"/>
              </w:rPr>
              <w:t xml:space="preserve">Proportion of 15 year old students achieving level 3 or above in the overall reading literacy scale in PISA assessments (per cent)   </w:t>
            </w:r>
          </w:p>
        </w:tc>
      </w:tr>
      <w:tr w:rsidR="003A0189" w:rsidRPr="00F50B4F" w:rsidTr="003A37B3">
        <w:tblPrEx>
          <w:tblLook w:val="04A0" w:firstRow="1" w:lastRow="0" w:firstColumn="1" w:lastColumn="0" w:noHBand="0" w:noVBand="1"/>
        </w:tblPrEx>
        <w:trPr>
          <w:trHeight w:val="171"/>
        </w:trPr>
        <w:tc>
          <w:tcPr>
            <w:tcW w:w="2108" w:type="dxa"/>
            <w:tcBorders>
              <w:top w:val="nil"/>
              <w:left w:val="nil"/>
              <w:bottom w:val="nil"/>
              <w:right w:val="nil"/>
            </w:tcBorders>
            <w:shd w:val="clear" w:color="auto" w:fill="auto"/>
            <w:noWrap/>
            <w:hideMark/>
          </w:tcPr>
          <w:p w:rsidR="003A0189" w:rsidRPr="00D26128" w:rsidRDefault="003A0189" w:rsidP="000259C1">
            <w:pPr>
              <w:spacing w:after="80"/>
              <w:rPr>
                <w:rFonts w:ascii="Arial" w:hAnsi="Arial" w:cs="Arial"/>
                <w:b/>
                <w:bCs/>
                <w:sz w:val="20"/>
                <w:szCs w:val="20"/>
              </w:rPr>
            </w:pPr>
            <w:r w:rsidRPr="00D26128">
              <w:rPr>
                <w:rFonts w:ascii="Arial" w:hAnsi="Arial" w:cs="Arial"/>
                <w:b/>
                <w:bCs/>
                <w:sz w:val="20"/>
                <w:szCs w:val="20"/>
              </w:rPr>
              <w:t>Table 4A.98</w:t>
            </w:r>
          </w:p>
        </w:tc>
        <w:tc>
          <w:tcPr>
            <w:tcW w:w="6860" w:type="dxa"/>
            <w:gridSpan w:val="2"/>
            <w:tcBorders>
              <w:top w:val="nil"/>
              <w:left w:val="nil"/>
              <w:bottom w:val="nil"/>
              <w:right w:val="nil"/>
            </w:tcBorders>
            <w:shd w:val="clear" w:color="auto" w:fill="auto"/>
            <w:hideMark/>
          </w:tcPr>
          <w:p w:rsidR="003A0189" w:rsidRPr="00D26128" w:rsidRDefault="003A0189" w:rsidP="000259C1">
            <w:pPr>
              <w:spacing w:after="80"/>
              <w:jc w:val="both"/>
              <w:rPr>
                <w:rFonts w:ascii="Arial" w:hAnsi="Arial" w:cs="Arial"/>
                <w:sz w:val="20"/>
                <w:szCs w:val="20"/>
              </w:rPr>
            </w:pPr>
            <w:r w:rsidRPr="00D26128">
              <w:rPr>
                <w:rFonts w:ascii="Arial" w:hAnsi="Arial" w:cs="Arial"/>
                <w:sz w:val="20"/>
                <w:szCs w:val="20"/>
              </w:rPr>
              <w:t xml:space="preserve">Proportion of 15 year old students achieving level 3 or above in the overall reading literacy scale in PISA assessments, by equity group, (per cent)    </w:t>
            </w:r>
          </w:p>
        </w:tc>
      </w:tr>
      <w:tr w:rsidR="003A0189" w:rsidRPr="00F50B4F" w:rsidTr="003A37B3">
        <w:tblPrEx>
          <w:tblLook w:val="04A0" w:firstRow="1" w:lastRow="0" w:firstColumn="1" w:lastColumn="0" w:noHBand="0" w:noVBand="1"/>
        </w:tblPrEx>
        <w:trPr>
          <w:trHeight w:val="618"/>
        </w:trPr>
        <w:tc>
          <w:tcPr>
            <w:tcW w:w="2108" w:type="dxa"/>
            <w:tcBorders>
              <w:top w:val="nil"/>
              <w:left w:val="nil"/>
              <w:bottom w:val="nil"/>
              <w:right w:val="nil"/>
            </w:tcBorders>
            <w:shd w:val="clear" w:color="auto" w:fill="auto"/>
            <w:noWrap/>
            <w:hideMark/>
          </w:tcPr>
          <w:p w:rsidR="003A0189" w:rsidRPr="00D26128" w:rsidRDefault="003A0189" w:rsidP="000259C1">
            <w:pPr>
              <w:spacing w:after="80"/>
              <w:rPr>
                <w:rFonts w:ascii="Arial" w:hAnsi="Arial" w:cs="Arial"/>
                <w:b/>
                <w:bCs/>
                <w:sz w:val="20"/>
                <w:szCs w:val="20"/>
              </w:rPr>
            </w:pPr>
            <w:r w:rsidRPr="00D26128">
              <w:rPr>
                <w:rFonts w:ascii="Arial" w:hAnsi="Arial" w:cs="Arial"/>
                <w:b/>
                <w:bCs/>
                <w:sz w:val="20"/>
                <w:szCs w:val="20"/>
              </w:rPr>
              <w:t>Table 4A.99</w:t>
            </w:r>
          </w:p>
        </w:tc>
        <w:tc>
          <w:tcPr>
            <w:tcW w:w="6860" w:type="dxa"/>
            <w:gridSpan w:val="2"/>
            <w:tcBorders>
              <w:top w:val="nil"/>
              <w:left w:val="nil"/>
              <w:bottom w:val="nil"/>
              <w:right w:val="nil"/>
            </w:tcBorders>
            <w:shd w:val="clear" w:color="auto" w:fill="auto"/>
            <w:hideMark/>
          </w:tcPr>
          <w:p w:rsidR="003A0189" w:rsidRPr="00D26128" w:rsidRDefault="003A0189" w:rsidP="000259C1">
            <w:pPr>
              <w:spacing w:after="80"/>
              <w:jc w:val="both"/>
              <w:rPr>
                <w:rFonts w:ascii="Arial" w:hAnsi="Arial" w:cs="Arial"/>
                <w:sz w:val="20"/>
                <w:szCs w:val="20"/>
              </w:rPr>
            </w:pPr>
            <w:r w:rsidRPr="00D26128">
              <w:rPr>
                <w:rFonts w:ascii="Arial" w:hAnsi="Arial" w:cs="Arial"/>
                <w:sz w:val="20"/>
                <w:szCs w:val="20"/>
              </w:rPr>
              <w:t xml:space="preserve">Proportion of 15 year old secondary students achieving at or above level 3 of the overall reading literacy scale in PISA assessments, Australia, by SES (per cent)    </w:t>
            </w:r>
          </w:p>
        </w:tc>
      </w:tr>
      <w:tr w:rsidR="000259C1" w:rsidRPr="00F50B4F" w:rsidTr="003A37B3">
        <w:tblPrEx>
          <w:tblLook w:val="04A0" w:firstRow="1" w:lastRow="0" w:firstColumn="1" w:lastColumn="0" w:noHBand="0" w:noVBand="1"/>
        </w:tblPrEx>
        <w:trPr>
          <w:trHeight w:val="545"/>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4A.100</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15 year old students achieving level 3 or above and in the highest and lowest levels in the overall reading literacy scale (per cent), mean scores and statistical difference of mean score performance  in PISA assessment, 2012       </w:t>
            </w:r>
          </w:p>
        </w:tc>
      </w:tr>
      <w:tr w:rsidR="000259C1" w:rsidRPr="00F50B4F" w:rsidTr="003A37B3">
        <w:tblPrEx>
          <w:tblLook w:val="04A0" w:firstRow="1" w:lastRow="0" w:firstColumn="1" w:lastColumn="0" w:noHBand="0" w:noVBand="1"/>
        </w:tblPrEx>
        <w:trPr>
          <w:trHeight w:val="357"/>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4A.101</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15 year old students achieving level 3 or above in the overall mathematical literacy scale in PISA assessments (per cent)    </w:t>
            </w:r>
          </w:p>
        </w:tc>
      </w:tr>
      <w:tr w:rsidR="000259C1" w:rsidRPr="00F50B4F" w:rsidTr="003A37B3">
        <w:tblPrEx>
          <w:tblLook w:val="04A0" w:firstRow="1" w:lastRow="0" w:firstColumn="1" w:lastColumn="0" w:noHBand="0" w:noVBand="1"/>
        </w:tblPrEx>
        <w:trPr>
          <w:trHeight w:val="662"/>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4A.102</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15 year old students achieving level 3 or above in the overall mathematical literacy scale in PISA assessments, by equity group (per cent)      </w:t>
            </w:r>
          </w:p>
        </w:tc>
      </w:tr>
      <w:tr w:rsidR="000259C1" w:rsidRPr="00F50B4F" w:rsidTr="003A37B3">
        <w:tblPrEx>
          <w:tblLook w:val="04A0" w:firstRow="1" w:lastRow="0" w:firstColumn="1" w:lastColumn="0" w:noHBand="0" w:noVBand="1"/>
        </w:tblPrEx>
        <w:trPr>
          <w:trHeight w:val="460"/>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4A.103</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15 year old secondary students achieving at or above level 3 of the overall mathematical literacy scale in PISA assessments, Australia, by SES (per cent)    </w:t>
            </w:r>
          </w:p>
        </w:tc>
      </w:tr>
      <w:tr w:rsidR="000259C1" w:rsidRPr="00F50B4F" w:rsidTr="003A37B3">
        <w:tblPrEx>
          <w:tblLook w:val="04A0" w:firstRow="1" w:lastRow="0" w:firstColumn="1" w:lastColumn="0" w:noHBand="0" w:noVBand="1"/>
        </w:tblPrEx>
        <w:trPr>
          <w:trHeight w:val="529"/>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4A.104</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15 year old students achieving level 3 or above and in the highest and lowest levels in the overall mathematical literacy scale (per cent), mean scores and statistical difference of mean score performance in PISA assessment, 2012     </w:t>
            </w:r>
          </w:p>
        </w:tc>
      </w:tr>
      <w:tr w:rsidR="000259C1" w:rsidRPr="00F50B4F" w:rsidTr="003A37B3">
        <w:tblPrEx>
          <w:tblLook w:val="04A0" w:firstRow="1" w:lastRow="0" w:firstColumn="1" w:lastColumn="0" w:noHBand="0" w:noVBand="1"/>
        </w:tblPrEx>
        <w:trPr>
          <w:trHeight w:val="483"/>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4A.105</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15 year old students achieving level 3 or above in the overall scientific literacy scale in PISA assessments (per cent)    </w:t>
            </w:r>
          </w:p>
        </w:tc>
      </w:tr>
      <w:tr w:rsidR="000259C1" w:rsidRPr="00F50B4F" w:rsidTr="003A37B3">
        <w:tblPrEx>
          <w:tblLook w:val="04A0" w:firstRow="1" w:lastRow="0" w:firstColumn="1" w:lastColumn="0" w:noHBand="0" w:noVBand="1"/>
        </w:tblPrEx>
        <w:trPr>
          <w:trHeight w:val="363"/>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4A.106</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15 year old students achieving level 3 or above in the overall </w:t>
            </w:r>
            <w:r w:rsidRPr="00D26128">
              <w:rPr>
                <w:rFonts w:ascii="Arial" w:hAnsi="Arial" w:cs="Arial"/>
                <w:sz w:val="20"/>
                <w:szCs w:val="20"/>
              </w:rPr>
              <w:lastRenderedPageBreak/>
              <w:t xml:space="preserve">scientific literacy scale in PISA assessments, by equity group (per cent)    </w:t>
            </w:r>
          </w:p>
        </w:tc>
      </w:tr>
      <w:tr w:rsidR="000259C1" w:rsidRPr="00F50B4F" w:rsidTr="003A37B3">
        <w:tblPrEx>
          <w:tblLook w:val="04A0" w:firstRow="1" w:lastRow="0" w:firstColumn="1" w:lastColumn="0" w:noHBand="0" w:noVBand="1"/>
        </w:tblPrEx>
        <w:trPr>
          <w:trHeight w:val="611"/>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lastRenderedPageBreak/>
              <w:t>Table 4A.107</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15 year old secondary students achieving at or above level 3 of the overall scientific literacy scale in PISA assessment, Australia, by SES (per cent)     </w:t>
            </w:r>
          </w:p>
        </w:tc>
      </w:tr>
      <w:tr w:rsidR="000259C1" w:rsidRPr="00F50B4F" w:rsidTr="00F50B4F">
        <w:tblPrEx>
          <w:tblLook w:val="04A0" w:firstRow="1" w:lastRow="0" w:firstColumn="1" w:lastColumn="0" w:noHBand="0" w:noVBand="1"/>
        </w:tblPrEx>
        <w:trPr>
          <w:trHeight w:val="612"/>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4A.108</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15 year old students achieving level 3 or above and in the highest and lowest levels in the overall scientific literacy scale in PISA assessment (per cent), mean scores and statistical difference of mean score performance, 2012 (per cent)     </w:t>
            </w:r>
          </w:p>
        </w:tc>
      </w:tr>
      <w:tr w:rsidR="000259C1" w:rsidRPr="00F50B4F" w:rsidTr="003A0189">
        <w:tblPrEx>
          <w:tblLook w:val="04A0" w:firstRow="1" w:lastRow="0" w:firstColumn="1" w:lastColumn="0" w:noHBand="0" w:noVBand="1"/>
        </w:tblPrEx>
        <w:trPr>
          <w:trHeight w:val="492"/>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4A.109</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Mean scores for 15 year old students in PISA reading literacy, mathematical literacy and scientific literacy in PISA 2012 and earlier PISA rounds; and comparisons of significant differences between PISA rounds  </w:t>
            </w:r>
          </w:p>
        </w:tc>
      </w:tr>
      <w:tr w:rsidR="000259C1" w:rsidRPr="00F50B4F" w:rsidTr="00F50B4F">
        <w:tblPrEx>
          <w:tblLook w:val="04A0" w:firstRow="1" w:lastRow="0" w:firstColumn="1" w:lastColumn="0" w:noHBand="0" w:noVBand="1"/>
        </w:tblPrEx>
        <w:trPr>
          <w:trHeight w:val="612"/>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4A.110</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year 4 students achieving at or above the intermediate international benchmark (per cent) and mean scores for 2011 TIMSS in mathematics achievement in TIMSS assessments    </w:t>
            </w:r>
          </w:p>
        </w:tc>
      </w:tr>
      <w:tr w:rsidR="000259C1" w:rsidRPr="00F50B4F" w:rsidTr="00F50B4F">
        <w:tblPrEx>
          <w:tblLook w:val="04A0" w:firstRow="1" w:lastRow="0" w:firstColumn="1" w:lastColumn="0" w:noHBand="0" w:noVBand="1"/>
        </w:tblPrEx>
        <w:trPr>
          <w:trHeight w:val="612"/>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4A.111</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year 8 students achieving at or above the intermediate international benchmark in mathematics achievement in TIMSS assessments (per cent)   </w:t>
            </w:r>
          </w:p>
        </w:tc>
      </w:tr>
      <w:tr w:rsidR="000259C1" w:rsidRPr="00F50B4F" w:rsidTr="003A0189">
        <w:tblPrEx>
          <w:tblLook w:val="04A0" w:firstRow="1" w:lastRow="0" w:firstColumn="1" w:lastColumn="0" w:noHBand="0" w:noVBand="1"/>
        </w:tblPrEx>
        <w:trPr>
          <w:trHeight w:val="736"/>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4A.112</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year 4 students achieving at or above the intermediate international benchmark in science achievement in TIMSS assessments (per cent)    </w:t>
            </w:r>
          </w:p>
        </w:tc>
      </w:tr>
      <w:tr w:rsidR="000259C1" w:rsidRPr="00F50B4F" w:rsidTr="00F50B4F">
        <w:tblPrEx>
          <w:tblLook w:val="04A0" w:firstRow="1" w:lastRow="0" w:firstColumn="1" w:lastColumn="0" w:noHBand="0" w:noVBand="1"/>
        </w:tblPrEx>
        <w:trPr>
          <w:trHeight w:val="357"/>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4A.113</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year 8 students achieving at or above the intermediate international benchmark in science achievement in TIMSS assessments (per cent)   </w:t>
            </w:r>
          </w:p>
        </w:tc>
      </w:tr>
      <w:tr w:rsidR="000259C1" w:rsidRPr="00F50B4F" w:rsidTr="00F50B4F">
        <w:tblPrEx>
          <w:tblLook w:val="04A0" w:firstRow="1" w:lastRow="0" w:firstColumn="1" w:lastColumn="0" w:noHBand="0" w:noVBand="1"/>
        </w:tblPrEx>
        <w:trPr>
          <w:trHeight w:val="357"/>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4A.114</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year 4 and year 8 students achieving at or above the intermediate international benchmark (per cent); and mean scores in mathematics achievement and science achievement in TIMSS 2011 assessments by equity group, Australia (per cent)   </w:t>
            </w:r>
          </w:p>
        </w:tc>
      </w:tr>
      <w:tr w:rsidR="000259C1" w:rsidRPr="00F50B4F" w:rsidTr="00F50B4F">
        <w:tblPrEx>
          <w:tblLook w:val="04A0" w:firstRow="1" w:lastRow="0" w:firstColumn="1" w:lastColumn="0" w:noHBand="0" w:noVBand="1"/>
        </w:tblPrEx>
        <w:trPr>
          <w:trHeight w:val="357"/>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4A.115</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Mean scores in year 4 and year 8 mathematics achievement and science achievement for TIMSS and comparison to TIMSS 2011 assessments </w:t>
            </w:r>
          </w:p>
        </w:tc>
      </w:tr>
      <w:tr w:rsidR="000259C1" w:rsidRPr="00F50B4F" w:rsidTr="00F50B4F">
        <w:tblPrEx>
          <w:tblLook w:val="04A0" w:firstRow="1" w:lastRow="0" w:firstColumn="1" w:lastColumn="0" w:noHBand="0" w:noVBand="1"/>
        </w:tblPrEx>
        <w:trPr>
          <w:trHeight w:val="612"/>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4A.116</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year 4 students achieving at or above the intermediate international benchmark (per cent) and mean scores for 2011 PIRLS reading assessments </w:t>
            </w:r>
          </w:p>
        </w:tc>
      </w:tr>
      <w:tr w:rsidR="000259C1" w:rsidRPr="00F50B4F" w:rsidTr="003A37B3">
        <w:tblPrEx>
          <w:tblLook w:val="04A0" w:firstRow="1" w:lastRow="0" w:firstColumn="1" w:lastColumn="0" w:noHBand="0" w:noVBand="1"/>
        </w:tblPrEx>
        <w:trPr>
          <w:trHeight w:val="140"/>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4A.117</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Proportion of year 4 students achieving at or above the intermediate international benchmark (per cent) and mean scores for 2011 PIRLS reading assessments by equity group, Australia</w:t>
            </w:r>
          </w:p>
        </w:tc>
      </w:tr>
      <w:tr w:rsidR="000259C1" w:rsidRPr="00F50B4F" w:rsidTr="003A37B3">
        <w:tblPrEx>
          <w:tblLook w:val="04A0" w:firstRow="1" w:lastRow="0" w:firstColumn="1" w:lastColumn="0" w:noHBand="0" w:noVBand="1"/>
        </w:tblPrEx>
        <w:trPr>
          <w:trHeight w:val="399"/>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4A.118</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Proportion of children aged 6–15 years enrolled in school </w:t>
            </w:r>
          </w:p>
        </w:tc>
      </w:tr>
      <w:tr w:rsidR="000259C1" w:rsidRPr="00F50B4F" w:rsidTr="003A0189">
        <w:tblPrEx>
          <w:tblLook w:val="04A0" w:firstRow="1" w:lastRow="0" w:firstColumn="1" w:lastColumn="0" w:noHBand="0" w:noVBand="1"/>
        </w:tblPrEx>
        <w:trPr>
          <w:trHeight w:val="378"/>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4A.119</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School participation rates by age and sex of students, all schools, 2012 (per cent)    </w:t>
            </w:r>
          </w:p>
        </w:tc>
      </w:tr>
      <w:tr w:rsidR="000259C1" w:rsidRPr="00F50B4F" w:rsidTr="003A37B3">
        <w:tblPrEx>
          <w:tblLook w:val="04A0" w:firstRow="1" w:lastRow="0" w:firstColumn="1" w:lastColumn="0" w:noHBand="0" w:noVBand="1"/>
        </w:tblPrEx>
        <w:trPr>
          <w:trHeight w:val="301"/>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4A.120</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School participation rates by age of students, all students, all schools (per cent)     </w:t>
            </w:r>
          </w:p>
        </w:tc>
      </w:tr>
      <w:tr w:rsidR="000259C1" w:rsidRPr="00F50B4F" w:rsidTr="003A37B3">
        <w:tblPrEx>
          <w:tblLook w:val="04A0" w:firstRow="1" w:lastRow="0" w:firstColumn="1" w:lastColumn="0" w:noHBand="0" w:noVBand="1"/>
        </w:tblPrEx>
        <w:trPr>
          <w:trHeight w:val="337"/>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4A.121</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Apparent retention rates of full time secondary students from year 7/8 to years 10, 11 and 12, 2012 (per cent)   </w:t>
            </w:r>
          </w:p>
        </w:tc>
      </w:tr>
      <w:tr w:rsidR="000259C1" w:rsidRPr="00F50B4F" w:rsidTr="003A37B3">
        <w:tblPrEx>
          <w:tblLook w:val="04A0" w:firstRow="1" w:lastRow="0" w:firstColumn="1" w:lastColumn="0" w:noHBand="0" w:noVBand="1"/>
        </w:tblPrEx>
        <w:trPr>
          <w:trHeight w:val="359"/>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4A.122</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Apparent retention rates of secondary students from years 10–12 (per cent)     </w:t>
            </w:r>
          </w:p>
        </w:tc>
      </w:tr>
      <w:tr w:rsidR="000259C1" w:rsidRPr="00F50B4F" w:rsidTr="003A37B3">
        <w:tblPrEx>
          <w:tblLook w:val="04A0" w:firstRow="1" w:lastRow="0" w:firstColumn="1" w:lastColumn="0" w:noHBand="0" w:noVBand="1"/>
        </w:tblPrEx>
        <w:trPr>
          <w:trHeight w:val="253"/>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4A.123</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Apparent retention rates of full time secondary students, all schools (per cent)   </w:t>
            </w:r>
          </w:p>
        </w:tc>
      </w:tr>
      <w:tr w:rsidR="000259C1" w:rsidRPr="00F50B4F" w:rsidTr="003A37B3">
        <w:tblPrEx>
          <w:tblLook w:val="04A0" w:firstRow="1" w:lastRow="0" w:firstColumn="1" w:lastColumn="0" w:noHBand="0" w:noVBand="1"/>
        </w:tblPrEx>
        <w:trPr>
          <w:trHeight w:val="133"/>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4A.124</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Apparent retention rates of full time secondary students, government schools (per cent)   </w:t>
            </w:r>
          </w:p>
        </w:tc>
      </w:tr>
      <w:tr w:rsidR="000259C1" w:rsidRPr="00F50B4F" w:rsidTr="003A37B3">
        <w:tblPrEx>
          <w:tblLook w:val="04A0" w:firstRow="1" w:lastRow="0" w:firstColumn="1" w:lastColumn="0" w:noHBand="0" w:noVBand="1"/>
        </w:tblPrEx>
        <w:trPr>
          <w:trHeight w:val="439"/>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4A.125</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Apparent retention rates of full time secondary students, non-government schools (per cent)   </w:t>
            </w:r>
          </w:p>
        </w:tc>
      </w:tr>
      <w:tr w:rsidR="000259C1" w:rsidRPr="00F50B4F" w:rsidTr="003A37B3">
        <w:tblPrEx>
          <w:tblLook w:val="04A0" w:firstRow="1" w:lastRow="0" w:firstColumn="1" w:lastColumn="0" w:noHBand="0" w:noVBand="1"/>
        </w:tblPrEx>
        <w:trPr>
          <w:trHeight w:val="333"/>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lastRenderedPageBreak/>
              <w:t>Table 4A.126</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Completion rates, year 12, by socio</w:t>
            </w:r>
            <w:r w:rsidR="009131A4" w:rsidRPr="00D26128">
              <w:rPr>
                <w:rFonts w:ascii="Arial" w:hAnsi="Arial" w:cs="Arial"/>
                <w:sz w:val="20"/>
                <w:szCs w:val="20"/>
              </w:rPr>
              <w:t>-</w:t>
            </w:r>
            <w:r w:rsidRPr="00D26128">
              <w:rPr>
                <w:rFonts w:ascii="Arial" w:hAnsi="Arial" w:cs="Arial"/>
                <w:sz w:val="20"/>
                <w:szCs w:val="20"/>
              </w:rPr>
              <w:t xml:space="preserve">economic status and sex, all schools (per cent)      </w:t>
            </w:r>
          </w:p>
        </w:tc>
      </w:tr>
      <w:tr w:rsidR="000259C1" w:rsidRPr="00F50B4F" w:rsidTr="00F50B4F">
        <w:tblPrEx>
          <w:tblLook w:val="04A0" w:firstRow="1" w:lastRow="0" w:firstColumn="1" w:lastColumn="0" w:noHBand="0" w:noVBand="1"/>
        </w:tblPrEx>
        <w:trPr>
          <w:trHeight w:val="357"/>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4A.127</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Completion rates, year 12, by locality and sex, all schools (per cent)    </w:t>
            </w:r>
          </w:p>
        </w:tc>
      </w:tr>
      <w:tr w:rsidR="000259C1" w:rsidRPr="00F50B4F" w:rsidTr="003A37B3">
        <w:tblPrEx>
          <w:tblLook w:val="04A0" w:firstRow="1" w:lastRow="0" w:firstColumn="1" w:lastColumn="0" w:noHBand="0" w:noVBand="1"/>
        </w:tblPrEx>
        <w:trPr>
          <w:trHeight w:val="404"/>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4A.128</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School leaver destination by highest level of school completed and labour force status (15-24 year olds), 2012       </w:t>
            </w:r>
          </w:p>
        </w:tc>
      </w:tr>
      <w:tr w:rsidR="000259C1" w:rsidRPr="00F50B4F" w:rsidTr="003A37B3">
        <w:tblPrEx>
          <w:tblLook w:val="04A0" w:firstRow="1" w:lastRow="0" w:firstColumn="1" w:lastColumn="0" w:noHBand="0" w:noVBand="1"/>
        </w:tblPrEx>
        <w:trPr>
          <w:trHeight w:val="298"/>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4A.129</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15 to 19-year-olds successfully completing at least one unit of competency at AQF II or above</w:t>
            </w:r>
          </w:p>
        </w:tc>
      </w:tr>
      <w:tr w:rsidR="000259C1" w:rsidRPr="00F50B4F" w:rsidTr="003A37B3">
        <w:tblPrEx>
          <w:tblLook w:val="04A0" w:firstRow="1" w:lastRow="0" w:firstColumn="1" w:lastColumn="0" w:noHBand="0" w:noVBand="1"/>
        </w:tblPrEx>
        <w:trPr>
          <w:trHeight w:val="401"/>
        </w:trPr>
        <w:tc>
          <w:tcPr>
            <w:tcW w:w="2108" w:type="dxa"/>
            <w:tcBorders>
              <w:top w:val="nil"/>
              <w:left w:val="nil"/>
              <w:bottom w:val="nil"/>
              <w:right w:val="nil"/>
            </w:tcBorders>
            <w:shd w:val="clear" w:color="auto" w:fill="auto"/>
            <w:noWrap/>
            <w:hideMark/>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4A.130</w:t>
            </w:r>
          </w:p>
        </w:tc>
        <w:tc>
          <w:tcPr>
            <w:tcW w:w="6860" w:type="dxa"/>
            <w:gridSpan w:val="2"/>
            <w:tcBorders>
              <w:top w:val="nil"/>
              <w:left w:val="nil"/>
              <w:bottom w:val="nil"/>
              <w:right w:val="nil"/>
            </w:tcBorders>
            <w:shd w:val="clear" w:color="auto" w:fill="auto"/>
            <w:hideMark/>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Student attendance rates, government schools, by sex, 2012 (per cent) </w:t>
            </w:r>
          </w:p>
        </w:tc>
      </w:tr>
      <w:tr w:rsidR="000259C1" w:rsidRPr="00F50B4F" w:rsidTr="003A37B3">
        <w:tblPrEx>
          <w:tblLook w:val="04A0" w:firstRow="1" w:lastRow="0" w:firstColumn="1" w:lastColumn="0" w:noHBand="0" w:noVBand="1"/>
        </w:tblPrEx>
        <w:trPr>
          <w:trHeight w:val="140"/>
        </w:trPr>
        <w:tc>
          <w:tcPr>
            <w:tcW w:w="2108" w:type="dxa"/>
            <w:tcBorders>
              <w:top w:val="nil"/>
              <w:left w:val="nil"/>
              <w:bottom w:val="nil"/>
              <w:right w:val="nil"/>
            </w:tcBorders>
            <w:shd w:val="clear" w:color="auto" w:fill="auto"/>
            <w:noWrap/>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4A.131</w:t>
            </w:r>
          </w:p>
        </w:tc>
        <w:tc>
          <w:tcPr>
            <w:tcW w:w="6860" w:type="dxa"/>
            <w:gridSpan w:val="2"/>
            <w:tcBorders>
              <w:top w:val="nil"/>
              <w:left w:val="nil"/>
              <w:bottom w:val="nil"/>
              <w:right w:val="nil"/>
            </w:tcBorders>
            <w:shd w:val="clear" w:color="auto" w:fill="auto"/>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Student attendance rates, government schools, by Indigenous status, 2012 (per cent) </w:t>
            </w:r>
          </w:p>
        </w:tc>
      </w:tr>
      <w:tr w:rsidR="000259C1" w:rsidRPr="00F50B4F" w:rsidTr="003A37B3">
        <w:tblPrEx>
          <w:tblLook w:val="04A0" w:firstRow="1" w:lastRow="0" w:firstColumn="1" w:lastColumn="0" w:noHBand="0" w:noVBand="1"/>
        </w:tblPrEx>
        <w:trPr>
          <w:trHeight w:val="399"/>
        </w:trPr>
        <w:tc>
          <w:tcPr>
            <w:tcW w:w="2108" w:type="dxa"/>
            <w:tcBorders>
              <w:top w:val="nil"/>
              <w:left w:val="nil"/>
              <w:bottom w:val="nil"/>
              <w:right w:val="nil"/>
            </w:tcBorders>
            <w:shd w:val="clear" w:color="auto" w:fill="auto"/>
            <w:noWrap/>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4A.132</w:t>
            </w:r>
          </w:p>
        </w:tc>
        <w:tc>
          <w:tcPr>
            <w:tcW w:w="6860" w:type="dxa"/>
            <w:gridSpan w:val="2"/>
            <w:tcBorders>
              <w:top w:val="nil"/>
              <w:left w:val="nil"/>
              <w:bottom w:val="nil"/>
              <w:right w:val="nil"/>
            </w:tcBorders>
            <w:shd w:val="clear" w:color="auto" w:fill="auto"/>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Student attendance rates, independent schools, by sex, 2012 (per cent) </w:t>
            </w:r>
          </w:p>
        </w:tc>
      </w:tr>
      <w:tr w:rsidR="000259C1" w:rsidRPr="00F50B4F" w:rsidTr="003A37B3">
        <w:tblPrEx>
          <w:tblLook w:val="04A0" w:firstRow="1" w:lastRow="0" w:firstColumn="1" w:lastColumn="0" w:noHBand="0" w:noVBand="1"/>
        </w:tblPrEx>
        <w:trPr>
          <w:trHeight w:val="137"/>
        </w:trPr>
        <w:tc>
          <w:tcPr>
            <w:tcW w:w="2108" w:type="dxa"/>
            <w:tcBorders>
              <w:top w:val="nil"/>
              <w:left w:val="nil"/>
              <w:bottom w:val="nil"/>
              <w:right w:val="nil"/>
            </w:tcBorders>
            <w:shd w:val="clear" w:color="auto" w:fill="auto"/>
            <w:noWrap/>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4A.133</w:t>
            </w:r>
          </w:p>
        </w:tc>
        <w:tc>
          <w:tcPr>
            <w:tcW w:w="6860" w:type="dxa"/>
            <w:gridSpan w:val="2"/>
            <w:tcBorders>
              <w:top w:val="nil"/>
              <w:left w:val="nil"/>
              <w:bottom w:val="nil"/>
              <w:right w:val="nil"/>
            </w:tcBorders>
            <w:shd w:val="clear" w:color="auto" w:fill="auto"/>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Student attendance rates, independent schools, by Indigenous status, 2012 (per cent) </w:t>
            </w:r>
          </w:p>
        </w:tc>
      </w:tr>
      <w:tr w:rsidR="000259C1" w:rsidRPr="00F50B4F" w:rsidTr="000259C1">
        <w:tblPrEx>
          <w:tblLook w:val="04A0" w:firstRow="1" w:lastRow="0" w:firstColumn="1" w:lastColumn="0" w:noHBand="0" w:noVBand="1"/>
        </w:tblPrEx>
        <w:trPr>
          <w:trHeight w:val="466"/>
        </w:trPr>
        <w:tc>
          <w:tcPr>
            <w:tcW w:w="2108" w:type="dxa"/>
            <w:tcBorders>
              <w:top w:val="nil"/>
              <w:left w:val="nil"/>
              <w:bottom w:val="nil"/>
              <w:right w:val="nil"/>
            </w:tcBorders>
            <w:shd w:val="clear" w:color="auto" w:fill="auto"/>
            <w:noWrap/>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4A.134</w:t>
            </w:r>
          </w:p>
        </w:tc>
        <w:tc>
          <w:tcPr>
            <w:tcW w:w="6860" w:type="dxa"/>
            <w:gridSpan w:val="2"/>
            <w:tcBorders>
              <w:top w:val="nil"/>
              <w:left w:val="nil"/>
              <w:bottom w:val="nil"/>
              <w:right w:val="nil"/>
            </w:tcBorders>
            <w:shd w:val="clear" w:color="auto" w:fill="auto"/>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Student attendance rates, Catholic schools, by sex, 2012 (per cent) </w:t>
            </w:r>
          </w:p>
        </w:tc>
      </w:tr>
      <w:tr w:rsidR="000259C1" w:rsidRPr="00F50B4F" w:rsidTr="003A37B3">
        <w:tblPrEx>
          <w:tblLook w:val="04A0" w:firstRow="1" w:lastRow="0" w:firstColumn="1" w:lastColumn="0" w:noHBand="0" w:noVBand="1"/>
        </w:tblPrEx>
        <w:trPr>
          <w:trHeight w:val="269"/>
        </w:trPr>
        <w:tc>
          <w:tcPr>
            <w:tcW w:w="2108" w:type="dxa"/>
            <w:tcBorders>
              <w:top w:val="nil"/>
              <w:left w:val="nil"/>
              <w:bottom w:val="nil"/>
              <w:right w:val="nil"/>
            </w:tcBorders>
            <w:shd w:val="clear" w:color="auto" w:fill="auto"/>
            <w:noWrap/>
          </w:tcPr>
          <w:p w:rsidR="000259C1" w:rsidRPr="00D26128" w:rsidRDefault="000259C1" w:rsidP="000259C1">
            <w:pPr>
              <w:spacing w:after="80"/>
              <w:rPr>
                <w:rFonts w:ascii="Arial" w:hAnsi="Arial" w:cs="Arial"/>
                <w:b/>
                <w:bCs/>
                <w:sz w:val="20"/>
                <w:szCs w:val="20"/>
              </w:rPr>
            </w:pPr>
            <w:r w:rsidRPr="00D26128">
              <w:rPr>
                <w:rFonts w:ascii="Arial" w:hAnsi="Arial" w:cs="Arial"/>
                <w:b/>
                <w:bCs/>
                <w:sz w:val="20"/>
                <w:szCs w:val="20"/>
              </w:rPr>
              <w:t>Table 4A.135</w:t>
            </w:r>
          </w:p>
        </w:tc>
        <w:tc>
          <w:tcPr>
            <w:tcW w:w="6860" w:type="dxa"/>
            <w:gridSpan w:val="2"/>
            <w:tcBorders>
              <w:top w:val="nil"/>
              <w:left w:val="nil"/>
              <w:bottom w:val="nil"/>
              <w:right w:val="nil"/>
            </w:tcBorders>
            <w:shd w:val="clear" w:color="auto" w:fill="auto"/>
          </w:tcPr>
          <w:p w:rsidR="000259C1" w:rsidRPr="00D26128" w:rsidRDefault="000259C1" w:rsidP="000259C1">
            <w:pPr>
              <w:spacing w:after="80"/>
              <w:jc w:val="both"/>
              <w:rPr>
                <w:rFonts w:ascii="Arial" w:hAnsi="Arial" w:cs="Arial"/>
                <w:sz w:val="20"/>
                <w:szCs w:val="20"/>
              </w:rPr>
            </w:pPr>
            <w:r w:rsidRPr="00D26128">
              <w:rPr>
                <w:rFonts w:ascii="Arial" w:hAnsi="Arial" w:cs="Arial"/>
                <w:sz w:val="20"/>
                <w:szCs w:val="20"/>
              </w:rPr>
              <w:t xml:space="preserve">Student attendance rates, Catholic schools, by Indigenous status, 2012 (per cent) </w:t>
            </w:r>
          </w:p>
        </w:tc>
      </w:tr>
    </w:tbl>
    <w:p w:rsidR="00666ECE" w:rsidRPr="00F848EE" w:rsidRDefault="00666ECE" w:rsidP="00F41385">
      <w:pPr>
        <w:pStyle w:val="Heading2"/>
        <w:spacing w:before="360"/>
      </w:pPr>
      <w:r w:rsidRPr="00666ECE">
        <w:br w:type="page"/>
      </w:r>
      <w:bookmarkStart w:id="61" w:name="_Toc374962354"/>
      <w:r w:rsidRPr="00F848EE">
        <w:lastRenderedPageBreak/>
        <w:t>4.8</w:t>
      </w:r>
      <w:r w:rsidRPr="00F848EE">
        <w:tab/>
        <w:t>References</w:t>
      </w:r>
      <w:bookmarkEnd w:id="61"/>
      <w:r w:rsidRPr="00F848EE">
        <w:t xml:space="preserve"> </w:t>
      </w:r>
    </w:p>
    <w:p w:rsidR="00666ECE" w:rsidRPr="00F848EE" w:rsidRDefault="00666ECE" w:rsidP="00666ECE">
      <w:pPr>
        <w:spacing w:before="120" w:line="320" w:lineRule="atLeast"/>
        <w:ind w:left="340" w:hanging="340"/>
        <w:jc w:val="both"/>
        <w:rPr>
          <w:szCs w:val="20"/>
        </w:rPr>
      </w:pPr>
      <w:r w:rsidRPr="00F848EE">
        <w:rPr>
          <w:szCs w:val="20"/>
        </w:rPr>
        <w:t>ABS (Australian Bureau of Statistics) 201</w:t>
      </w:r>
      <w:r w:rsidR="00F848EE" w:rsidRPr="00F848EE">
        <w:rPr>
          <w:szCs w:val="20"/>
        </w:rPr>
        <w:t>3</w:t>
      </w:r>
      <w:r w:rsidRPr="00F848EE">
        <w:rPr>
          <w:szCs w:val="20"/>
        </w:rPr>
        <w:t xml:space="preserve">, </w:t>
      </w:r>
      <w:r w:rsidRPr="00F848EE">
        <w:rPr>
          <w:i/>
          <w:szCs w:val="20"/>
        </w:rPr>
        <w:t>Schools Australia, 201</w:t>
      </w:r>
      <w:r w:rsidR="00F848EE" w:rsidRPr="00F848EE">
        <w:rPr>
          <w:i/>
          <w:szCs w:val="20"/>
        </w:rPr>
        <w:t>2</w:t>
      </w:r>
      <w:r w:rsidRPr="00F848EE">
        <w:rPr>
          <w:szCs w:val="20"/>
        </w:rPr>
        <w:t>, Cat. no. 4221.0, Canberra.</w:t>
      </w:r>
    </w:p>
    <w:p w:rsidR="00644F57" w:rsidRPr="003E2FC9" w:rsidRDefault="00666ECE" w:rsidP="00666ECE">
      <w:pPr>
        <w:spacing w:before="120" w:line="320" w:lineRule="atLeast"/>
        <w:ind w:left="340" w:hanging="340"/>
        <w:jc w:val="both"/>
        <w:rPr>
          <w:szCs w:val="20"/>
        </w:rPr>
      </w:pPr>
      <w:r w:rsidRPr="00F848EE">
        <w:rPr>
          <w:szCs w:val="20"/>
        </w:rPr>
        <w:t xml:space="preserve">ACARA (Australian Curriculum and Assessment Reporting Authority), </w:t>
      </w:r>
      <w:r w:rsidR="003E2FC9">
        <w:rPr>
          <w:szCs w:val="20"/>
        </w:rPr>
        <w:t xml:space="preserve">2012a, </w:t>
      </w:r>
      <w:r w:rsidR="003E2FC9" w:rsidRPr="003E2FC9">
        <w:rPr>
          <w:i/>
          <w:iCs/>
          <w:szCs w:val="20"/>
        </w:rPr>
        <w:t>National Report on Schooling in Australia 2010</w:t>
      </w:r>
      <w:r w:rsidR="003E2FC9">
        <w:rPr>
          <w:i/>
          <w:iCs/>
          <w:szCs w:val="20"/>
        </w:rPr>
        <w:t xml:space="preserve">, </w:t>
      </w:r>
      <w:r w:rsidR="003E2FC9" w:rsidRPr="003E2FC9">
        <w:rPr>
          <w:iCs/>
          <w:szCs w:val="20"/>
        </w:rPr>
        <w:t>Sydney</w:t>
      </w:r>
    </w:p>
    <w:p w:rsidR="00666ECE" w:rsidRPr="00F848EE" w:rsidRDefault="00644F57" w:rsidP="00666ECE">
      <w:pPr>
        <w:spacing w:before="120" w:line="320" w:lineRule="atLeast"/>
        <w:ind w:left="340" w:hanging="340"/>
        <w:jc w:val="both"/>
        <w:rPr>
          <w:szCs w:val="20"/>
        </w:rPr>
      </w:pPr>
      <w:r w:rsidRPr="0083461E">
        <w:rPr>
          <w:szCs w:val="20"/>
        </w:rPr>
        <w:t xml:space="preserve">—— </w:t>
      </w:r>
      <w:r w:rsidR="00666ECE" w:rsidRPr="00F848EE">
        <w:rPr>
          <w:szCs w:val="20"/>
        </w:rPr>
        <w:t>201</w:t>
      </w:r>
      <w:r w:rsidR="00F848EE" w:rsidRPr="00F848EE">
        <w:rPr>
          <w:szCs w:val="20"/>
        </w:rPr>
        <w:t>2</w:t>
      </w:r>
      <w:r w:rsidR="003E2FC9">
        <w:rPr>
          <w:szCs w:val="20"/>
        </w:rPr>
        <w:t>b</w:t>
      </w:r>
      <w:r w:rsidR="00666ECE" w:rsidRPr="00F848EE">
        <w:rPr>
          <w:szCs w:val="20"/>
        </w:rPr>
        <w:t xml:space="preserve">, </w:t>
      </w:r>
      <w:r w:rsidR="00666ECE" w:rsidRPr="00F848EE">
        <w:rPr>
          <w:i/>
          <w:szCs w:val="20"/>
        </w:rPr>
        <w:t>National Assessment Program — Literacy and Numeracy Achievement in Reading, Writing, Language Conventions and Numeracy: National Report for 201</w:t>
      </w:r>
      <w:r w:rsidR="00F848EE" w:rsidRPr="00F848EE">
        <w:rPr>
          <w:i/>
          <w:szCs w:val="20"/>
        </w:rPr>
        <w:t>2</w:t>
      </w:r>
      <w:r w:rsidR="00666ECE" w:rsidRPr="00F848EE">
        <w:rPr>
          <w:i/>
          <w:szCs w:val="20"/>
        </w:rPr>
        <w:t>,</w:t>
      </w:r>
      <w:r w:rsidR="00666ECE" w:rsidRPr="00F848EE">
        <w:rPr>
          <w:szCs w:val="20"/>
        </w:rPr>
        <w:t xml:space="preserve"> Sydney.</w:t>
      </w:r>
    </w:p>
    <w:p w:rsidR="00666ECE" w:rsidRPr="0083461E" w:rsidRDefault="00666ECE" w:rsidP="00666ECE">
      <w:pPr>
        <w:spacing w:before="120" w:line="320" w:lineRule="atLeast"/>
        <w:ind w:left="340" w:hanging="340"/>
        <w:jc w:val="both"/>
        <w:rPr>
          <w:szCs w:val="20"/>
        </w:rPr>
      </w:pPr>
      <w:r w:rsidRPr="0083461E">
        <w:rPr>
          <w:szCs w:val="20"/>
        </w:rPr>
        <w:t>—— 201</w:t>
      </w:r>
      <w:r w:rsidR="0083461E" w:rsidRPr="0083461E">
        <w:rPr>
          <w:szCs w:val="20"/>
        </w:rPr>
        <w:t>3</w:t>
      </w:r>
      <w:r w:rsidR="006E1F49" w:rsidRPr="0083461E">
        <w:rPr>
          <w:szCs w:val="20"/>
        </w:rPr>
        <w:t>a</w:t>
      </w:r>
      <w:r w:rsidRPr="0083461E">
        <w:rPr>
          <w:szCs w:val="20"/>
        </w:rPr>
        <w:t xml:space="preserve">, </w:t>
      </w:r>
      <w:r w:rsidRPr="0083461E">
        <w:rPr>
          <w:i/>
          <w:szCs w:val="20"/>
        </w:rPr>
        <w:t xml:space="preserve">National Assessment Program — </w:t>
      </w:r>
      <w:r w:rsidR="0083461E" w:rsidRPr="0083461E">
        <w:rPr>
          <w:i/>
          <w:szCs w:val="20"/>
        </w:rPr>
        <w:t>Science literacy Year</w:t>
      </w:r>
      <w:r w:rsidRPr="0083461E">
        <w:rPr>
          <w:i/>
          <w:szCs w:val="20"/>
        </w:rPr>
        <w:t xml:space="preserve"> 6 Report 20</w:t>
      </w:r>
      <w:r w:rsidR="000F2314" w:rsidRPr="0083461E">
        <w:rPr>
          <w:i/>
          <w:szCs w:val="20"/>
        </w:rPr>
        <w:t>1</w:t>
      </w:r>
      <w:r w:rsidR="0083461E" w:rsidRPr="0083461E">
        <w:rPr>
          <w:i/>
          <w:szCs w:val="20"/>
        </w:rPr>
        <w:t>2</w:t>
      </w:r>
      <w:r w:rsidRPr="0083461E">
        <w:rPr>
          <w:i/>
          <w:szCs w:val="20"/>
        </w:rPr>
        <w:t xml:space="preserve">, </w:t>
      </w:r>
      <w:r w:rsidRPr="0083461E">
        <w:rPr>
          <w:szCs w:val="20"/>
        </w:rPr>
        <w:t>Sydney.</w:t>
      </w:r>
    </w:p>
    <w:p w:rsidR="00666ECE" w:rsidRDefault="00666ECE" w:rsidP="00666ECE">
      <w:pPr>
        <w:spacing w:before="120" w:line="320" w:lineRule="atLeast"/>
        <w:ind w:left="340" w:hanging="340"/>
        <w:jc w:val="both"/>
        <w:rPr>
          <w:szCs w:val="20"/>
        </w:rPr>
      </w:pPr>
      <w:r w:rsidRPr="0083461E">
        <w:rPr>
          <w:szCs w:val="20"/>
        </w:rPr>
        <w:t>—— 201</w:t>
      </w:r>
      <w:r w:rsidR="0083461E" w:rsidRPr="0083461E">
        <w:rPr>
          <w:szCs w:val="20"/>
        </w:rPr>
        <w:t>3</w:t>
      </w:r>
      <w:r w:rsidRPr="0083461E">
        <w:rPr>
          <w:szCs w:val="20"/>
        </w:rPr>
        <w:t xml:space="preserve">b, </w:t>
      </w:r>
      <w:r w:rsidRPr="003E2FC9">
        <w:rPr>
          <w:i/>
          <w:szCs w:val="20"/>
        </w:rPr>
        <w:t xml:space="preserve">National Assessment Program — Literacy and Numeracy </w:t>
      </w:r>
      <w:r w:rsidR="00742BA6" w:rsidRPr="003E2FC9">
        <w:rPr>
          <w:i/>
          <w:szCs w:val="20"/>
        </w:rPr>
        <w:t xml:space="preserve">NAPLAN </w:t>
      </w:r>
      <w:r w:rsidRPr="003E2FC9">
        <w:rPr>
          <w:i/>
          <w:szCs w:val="20"/>
        </w:rPr>
        <w:t>Summary Report: Preliminary results for achievement in Reading, Writing, Language Conventions and Numeracy 201</w:t>
      </w:r>
      <w:r w:rsidR="00EC06F7">
        <w:rPr>
          <w:i/>
          <w:szCs w:val="20"/>
        </w:rPr>
        <w:t>3</w:t>
      </w:r>
      <w:r w:rsidRPr="0083461E">
        <w:rPr>
          <w:szCs w:val="20"/>
        </w:rPr>
        <w:t xml:space="preserve"> </w:t>
      </w:r>
      <w:r w:rsidR="00742BA6" w:rsidRPr="0083461E">
        <w:rPr>
          <w:szCs w:val="20"/>
        </w:rPr>
        <w:t xml:space="preserve">http://www.nap.edu.au/_Documents/PDF/2012%20NAPLAN%20Summary%20(Preliminary)%20Report.pdf </w:t>
      </w:r>
      <w:r w:rsidRPr="0083461E">
        <w:rPr>
          <w:szCs w:val="20"/>
        </w:rPr>
        <w:t xml:space="preserve">(accessed </w:t>
      </w:r>
      <w:r w:rsidR="003E2FC9">
        <w:rPr>
          <w:szCs w:val="20"/>
        </w:rPr>
        <w:t>23</w:t>
      </w:r>
      <w:r w:rsidR="00742BA6" w:rsidRPr="0083461E">
        <w:rPr>
          <w:szCs w:val="20"/>
        </w:rPr>
        <w:t xml:space="preserve"> October</w:t>
      </w:r>
      <w:r w:rsidRPr="0083461E">
        <w:rPr>
          <w:szCs w:val="20"/>
        </w:rPr>
        <w:t xml:space="preserve"> 201</w:t>
      </w:r>
      <w:r w:rsidR="003E2FC9">
        <w:rPr>
          <w:szCs w:val="20"/>
        </w:rPr>
        <w:t>3</w:t>
      </w:r>
      <w:r w:rsidRPr="0083461E">
        <w:rPr>
          <w:szCs w:val="20"/>
        </w:rPr>
        <w:t>).</w:t>
      </w:r>
    </w:p>
    <w:p w:rsidR="00FC58DF" w:rsidRPr="0083461E" w:rsidRDefault="00666ECE" w:rsidP="00F41385">
      <w:pPr>
        <w:spacing w:before="120" w:line="320" w:lineRule="atLeast"/>
        <w:ind w:left="340" w:hanging="340"/>
        <w:jc w:val="both"/>
        <w:rPr>
          <w:szCs w:val="20"/>
        </w:rPr>
      </w:pPr>
      <w:r w:rsidRPr="0083461E">
        <w:rPr>
          <w:szCs w:val="20"/>
        </w:rPr>
        <w:t xml:space="preserve">ACER (Australian Council for Educational Research), </w:t>
      </w:r>
      <w:r w:rsidR="00FC58DF" w:rsidRPr="0083461E">
        <w:rPr>
          <w:szCs w:val="20"/>
        </w:rPr>
        <w:t xml:space="preserve">2012a, </w:t>
      </w:r>
      <w:r w:rsidR="00EC06F7" w:rsidRPr="0083461E">
        <w:rPr>
          <w:i/>
          <w:szCs w:val="20"/>
        </w:rPr>
        <w:t>Preparing Australian Students for the Digital World: Results from the PISA 2009 Digital Reading Literacy Assessment</w:t>
      </w:r>
      <w:r w:rsidR="00EC06F7" w:rsidRPr="0083461E">
        <w:rPr>
          <w:szCs w:val="20"/>
        </w:rPr>
        <w:t xml:space="preserve"> </w:t>
      </w:r>
      <w:r w:rsidR="00EC06F7" w:rsidRPr="00C77140">
        <w:rPr>
          <w:szCs w:val="20"/>
        </w:rPr>
        <w:t>http://www.acer.edu.au/documents/PISA2009_Preparing</w:t>
      </w:r>
      <w:r w:rsidR="00EC06F7" w:rsidRPr="00C77140">
        <w:rPr>
          <w:szCs w:val="20"/>
        </w:rPr>
        <w:br/>
        <w:t>AustralianStudentsForTheDigitalWorld.pdf</w:t>
      </w:r>
      <w:r w:rsidR="00EC06F7" w:rsidRPr="0083461E">
        <w:rPr>
          <w:szCs w:val="20"/>
        </w:rPr>
        <w:t xml:space="preserve"> accessed 21 November 2012</w:t>
      </w:r>
      <w:r w:rsidR="00EC06F7">
        <w:rPr>
          <w:szCs w:val="20"/>
        </w:rPr>
        <w:t xml:space="preserve"> </w:t>
      </w:r>
    </w:p>
    <w:p w:rsidR="00EC06F7" w:rsidRPr="0083461E" w:rsidRDefault="00564B80" w:rsidP="00EC06F7">
      <w:pPr>
        <w:spacing w:before="120" w:line="320" w:lineRule="atLeast"/>
        <w:ind w:left="340" w:hanging="340"/>
        <w:jc w:val="both"/>
        <w:rPr>
          <w:szCs w:val="20"/>
        </w:rPr>
      </w:pPr>
      <w:r w:rsidRPr="0083461E">
        <w:rPr>
          <w:szCs w:val="20"/>
        </w:rPr>
        <w:t>——</w:t>
      </w:r>
      <w:r w:rsidR="009B6671" w:rsidRPr="0083461E">
        <w:rPr>
          <w:szCs w:val="20"/>
        </w:rPr>
        <w:t xml:space="preserve"> </w:t>
      </w:r>
      <w:r w:rsidRPr="0083461E">
        <w:rPr>
          <w:szCs w:val="20"/>
        </w:rPr>
        <w:t>2012</w:t>
      </w:r>
      <w:r w:rsidR="00FC58DF" w:rsidRPr="0083461E">
        <w:rPr>
          <w:szCs w:val="20"/>
        </w:rPr>
        <w:t>b</w:t>
      </w:r>
      <w:r w:rsidR="009B6671" w:rsidRPr="0083461E">
        <w:rPr>
          <w:szCs w:val="20"/>
        </w:rPr>
        <w:t xml:space="preserve">, </w:t>
      </w:r>
      <w:r w:rsidR="00EC06F7" w:rsidRPr="0083461E">
        <w:rPr>
          <w:bCs/>
          <w:i/>
          <w:szCs w:val="20"/>
        </w:rPr>
        <w:t xml:space="preserve">Highlights from TIMSS &amp; PIRLS 2011 </w:t>
      </w:r>
      <w:r w:rsidR="00EC06F7" w:rsidRPr="0083461E">
        <w:rPr>
          <w:i/>
          <w:szCs w:val="20"/>
        </w:rPr>
        <w:t xml:space="preserve">from Australia’s perspective </w:t>
      </w:r>
      <w:r w:rsidR="00EC06F7" w:rsidRPr="00C77140">
        <w:rPr>
          <w:szCs w:val="20"/>
        </w:rPr>
        <w:t>http://www.acer.edu.au/documents/TIMSS-PIRLS_Australian-Highlights.pdf</w:t>
      </w:r>
      <w:r w:rsidR="00EC06F7" w:rsidRPr="0083461E">
        <w:rPr>
          <w:szCs w:val="20"/>
        </w:rPr>
        <w:t xml:space="preserve"> accessed 12 December 2012</w:t>
      </w:r>
    </w:p>
    <w:p w:rsidR="00F96D38" w:rsidRPr="0083461E" w:rsidRDefault="00F96D38" w:rsidP="00F96D38">
      <w:pPr>
        <w:spacing w:before="120" w:line="320" w:lineRule="atLeast"/>
        <w:ind w:left="340" w:hanging="340"/>
        <w:jc w:val="both"/>
        <w:rPr>
          <w:szCs w:val="20"/>
        </w:rPr>
      </w:pPr>
      <w:r w:rsidRPr="0083461E">
        <w:rPr>
          <w:szCs w:val="20"/>
        </w:rPr>
        <w:t xml:space="preserve">—— 2013, </w:t>
      </w:r>
      <w:r w:rsidRPr="0083461E">
        <w:rPr>
          <w:i/>
          <w:szCs w:val="20"/>
        </w:rPr>
        <w:t>PISA in Brief –Highlights from the full Australian Report: Challenges for Australian Education: Results from PISA 2012</w:t>
      </w:r>
      <w:r w:rsidRPr="0083461E">
        <w:rPr>
          <w:szCs w:val="20"/>
        </w:rPr>
        <w:t>, Melbourne.</w:t>
      </w:r>
    </w:p>
    <w:p w:rsidR="00666ECE" w:rsidRPr="00F848EE" w:rsidRDefault="00666ECE" w:rsidP="00666ECE">
      <w:pPr>
        <w:spacing w:before="120" w:line="320" w:lineRule="atLeast"/>
        <w:ind w:left="340" w:hanging="340"/>
        <w:jc w:val="both"/>
        <w:rPr>
          <w:szCs w:val="20"/>
        </w:rPr>
      </w:pPr>
      <w:r w:rsidRPr="00F848EE">
        <w:rPr>
          <w:szCs w:val="20"/>
        </w:rPr>
        <w:t>COAG (Council of Australian Governments) 2009, Communique 30 April 2009 Hobart Meeting, Canberra, www.coag.gov.au/coag_meeting_outcomes/2009-04-30/docs/20090430_communique.pdf (accessed 10 December 2010).</w:t>
      </w:r>
    </w:p>
    <w:p w:rsidR="00666ECE" w:rsidRPr="00F848EE" w:rsidRDefault="00666ECE" w:rsidP="00666ECE">
      <w:pPr>
        <w:spacing w:before="120" w:line="320" w:lineRule="atLeast"/>
        <w:ind w:left="340" w:hanging="340"/>
        <w:jc w:val="both"/>
        <w:rPr>
          <w:szCs w:val="20"/>
        </w:rPr>
      </w:pPr>
      <w:r w:rsidRPr="00F848EE">
        <w:rPr>
          <w:szCs w:val="20"/>
        </w:rPr>
        <w:t xml:space="preserve">MCEETYA (Ministerial Council on Education, Employment, Training and Youth Affairs) 1999, </w:t>
      </w:r>
      <w:r w:rsidRPr="00F848EE">
        <w:rPr>
          <w:i/>
          <w:szCs w:val="20"/>
        </w:rPr>
        <w:t xml:space="preserve">The Adelaide Declaration on National Goals for Schooling in the Twenty-First Century, </w:t>
      </w:r>
      <w:r w:rsidRPr="00F848EE">
        <w:rPr>
          <w:szCs w:val="20"/>
        </w:rPr>
        <w:t>Melbourne.</w:t>
      </w:r>
    </w:p>
    <w:p w:rsidR="00666ECE" w:rsidRPr="00F848EE" w:rsidRDefault="00666ECE" w:rsidP="00666ECE">
      <w:pPr>
        <w:spacing w:before="120" w:line="320" w:lineRule="atLeast"/>
        <w:ind w:left="340" w:hanging="340"/>
        <w:jc w:val="both"/>
        <w:rPr>
          <w:szCs w:val="20"/>
        </w:rPr>
      </w:pPr>
      <w:r w:rsidRPr="00F848EE">
        <w:rPr>
          <w:szCs w:val="20"/>
        </w:rPr>
        <w:t>—— 2008, Melbourne Declaration on Educational Goals for Young Australians, Melbourne, www.mceecdya.edu.au/mceecdya/melbourne_declaration,25979.</w:t>
      </w:r>
      <w:r w:rsidRPr="00F848EE">
        <w:rPr>
          <w:szCs w:val="20"/>
        </w:rPr>
        <w:br/>
        <w:t>html (accessed 10 December 2010).</w:t>
      </w:r>
    </w:p>
    <w:p w:rsidR="00666ECE" w:rsidRPr="00F848EE" w:rsidRDefault="00666ECE" w:rsidP="00666ECE">
      <w:pPr>
        <w:spacing w:before="120" w:line="320" w:lineRule="atLeast"/>
        <w:ind w:left="340" w:hanging="340"/>
        <w:jc w:val="both"/>
        <w:rPr>
          <w:szCs w:val="20"/>
        </w:rPr>
      </w:pPr>
      <w:r w:rsidRPr="00F848EE">
        <w:rPr>
          <w:szCs w:val="20"/>
        </w:rPr>
        <w:lastRenderedPageBreak/>
        <w:t>NCVER (National Council for Vocational Education and Research) 20</w:t>
      </w:r>
      <w:r w:rsidR="00742BA6" w:rsidRPr="00F848EE">
        <w:rPr>
          <w:szCs w:val="20"/>
        </w:rPr>
        <w:t>1</w:t>
      </w:r>
      <w:r w:rsidR="00F848EE" w:rsidRPr="00F848EE">
        <w:rPr>
          <w:szCs w:val="20"/>
        </w:rPr>
        <w:t>2</w:t>
      </w:r>
      <w:r w:rsidRPr="00F848EE">
        <w:rPr>
          <w:szCs w:val="20"/>
        </w:rPr>
        <w:t xml:space="preserve">, </w:t>
      </w:r>
      <w:r w:rsidRPr="00F848EE">
        <w:rPr>
          <w:i/>
          <w:szCs w:val="20"/>
        </w:rPr>
        <w:t>Australian Vocational education and training statistics: Young people in education and training</w:t>
      </w:r>
      <w:r w:rsidR="00F848EE" w:rsidRPr="00F848EE">
        <w:rPr>
          <w:i/>
          <w:szCs w:val="20"/>
        </w:rPr>
        <w:t xml:space="preserve"> 2011</w:t>
      </w:r>
      <w:r w:rsidRPr="00F848EE">
        <w:rPr>
          <w:i/>
          <w:szCs w:val="20"/>
        </w:rPr>
        <w:t xml:space="preserve">, </w:t>
      </w:r>
      <w:r w:rsidRPr="00F848EE">
        <w:rPr>
          <w:szCs w:val="20"/>
        </w:rPr>
        <w:t>Adelaide.</w:t>
      </w:r>
    </w:p>
    <w:sectPr w:rsidR="00666ECE" w:rsidRPr="00F848EE" w:rsidSect="00E82F8E">
      <w:headerReference w:type="even" r:id="rId63"/>
      <w:headerReference w:type="default" r:id="rId64"/>
      <w:footerReference w:type="even" r:id="rId65"/>
      <w:footerReference w:type="default" r:id="rId66"/>
      <w:pgSz w:w="11907" w:h="16840" w:code="9"/>
      <w:pgMar w:top="1698"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6C0" w:rsidRDefault="009B36C0">
      <w:r>
        <w:separator/>
      </w:r>
    </w:p>
  </w:endnote>
  <w:endnote w:type="continuationSeparator" w:id="0">
    <w:p w:rsidR="009B36C0" w:rsidRDefault="009B3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B36C0">
      <w:trPr>
        <w:trHeight w:hRule="exact" w:val="740"/>
      </w:trPr>
      <w:tc>
        <w:tcPr>
          <w:tcW w:w="510" w:type="dxa"/>
          <w:tcBorders>
            <w:top w:val="single" w:sz="6" w:space="0" w:color="auto"/>
          </w:tcBorders>
        </w:tcPr>
        <w:p w:rsidR="009B36C0" w:rsidRDefault="009B36C0" w:rsidP="0019293B">
          <w:pPr>
            <w:pStyle w:val="Footer"/>
            <w:tabs>
              <w:tab w:val="left" w:pos="0"/>
            </w:tabs>
            <w:ind w:right="0"/>
            <w:rPr>
              <w:rStyle w:val="PageNumber"/>
            </w:rPr>
          </w:pPr>
          <w:r>
            <w:rPr>
              <w:rStyle w:val="PageNumber"/>
            </w:rPr>
            <w:t>4.</w:t>
          </w:r>
          <w:r>
            <w:rPr>
              <w:rStyle w:val="PageNumber"/>
            </w:rPr>
            <w:fldChar w:fldCharType="begin"/>
          </w:r>
          <w:r>
            <w:rPr>
              <w:rStyle w:val="PageNumber"/>
            </w:rPr>
            <w:instrText xml:space="preserve">PAGE  </w:instrText>
          </w:r>
          <w:r>
            <w:rPr>
              <w:rStyle w:val="PageNumber"/>
            </w:rPr>
            <w:fldChar w:fldCharType="separate"/>
          </w:r>
          <w:r w:rsidR="00DF3D27">
            <w:rPr>
              <w:rStyle w:val="PageNumber"/>
              <w:noProof/>
            </w:rPr>
            <w:t>30</w:t>
          </w:r>
          <w:r>
            <w:rPr>
              <w:rStyle w:val="PageNumber"/>
            </w:rPr>
            <w:fldChar w:fldCharType="end"/>
          </w:r>
        </w:p>
      </w:tc>
      <w:tc>
        <w:tcPr>
          <w:tcW w:w="1644" w:type="dxa"/>
          <w:tcBorders>
            <w:top w:val="single" w:sz="6" w:space="0" w:color="auto"/>
          </w:tcBorders>
        </w:tcPr>
        <w:p w:rsidR="009B36C0" w:rsidRDefault="009B36C0" w:rsidP="00EB256F">
          <w:pPr>
            <w:pStyle w:val="Footer"/>
          </w:pPr>
          <w:r>
            <w:t>REPORT ON GOVERNMENT SERVICES 2014</w:t>
          </w:r>
        </w:p>
      </w:tc>
      <w:tc>
        <w:tcPr>
          <w:tcW w:w="6634" w:type="dxa"/>
        </w:tcPr>
        <w:p w:rsidR="009B36C0" w:rsidRDefault="009B36C0" w:rsidP="0019293B">
          <w:pPr>
            <w:pStyle w:val="Footer"/>
          </w:pPr>
        </w:p>
      </w:tc>
    </w:tr>
  </w:tbl>
  <w:p w:rsidR="009B36C0" w:rsidRDefault="009B36C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B36C0">
      <w:trPr>
        <w:trHeight w:hRule="exact" w:val="740"/>
      </w:trPr>
      <w:tc>
        <w:tcPr>
          <w:tcW w:w="6634" w:type="dxa"/>
        </w:tcPr>
        <w:p w:rsidR="009B36C0" w:rsidRDefault="009B36C0">
          <w:pPr>
            <w:pStyle w:val="Footer"/>
            <w:ind w:right="360" w:firstLine="360"/>
          </w:pPr>
        </w:p>
      </w:tc>
      <w:tc>
        <w:tcPr>
          <w:tcW w:w="1644" w:type="dxa"/>
          <w:tcBorders>
            <w:top w:val="single" w:sz="6" w:space="0" w:color="auto"/>
          </w:tcBorders>
        </w:tcPr>
        <w:p w:rsidR="009B36C0" w:rsidRDefault="009B36C0">
          <w:pPr>
            <w:pStyle w:val="Footer"/>
          </w:pPr>
          <w:fldSimple w:instr=" TITLE  \* MERGEFORMAT ">
            <w:r>
              <w:t>School education</w:t>
            </w:r>
          </w:fldSimple>
        </w:p>
      </w:tc>
      <w:tc>
        <w:tcPr>
          <w:tcW w:w="510" w:type="dxa"/>
          <w:tcBorders>
            <w:top w:val="single" w:sz="6" w:space="0" w:color="auto"/>
          </w:tcBorders>
        </w:tcPr>
        <w:p w:rsidR="009B36C0" w:rsidRDefault="009B36C0">
          <w:pPr>
            <w:pStyle w:val="Footer"/>
            <w:jc w:val="right"/>
          </w:pPr>
          <w:r>
            <w:rPr>
              <w:rStyle w:val="PageNumber"/>
            </w:rPr>
            <w:t>4.</w:t>
          </w:r>
          <w:r>
            <w:rPr>
              <w:rStyle w:val="PageNumber"/>
            </w:rPr>
            <w:fldChar w:fldCharType="begin"/>
          </w:r>
          <w:r>
            <w:rPr>
              <w:rStyle w:val="PageNumber"/>
            </w:rPr>
            <w:instrText xml:space="preserve">PAGE  </w:instrText>
          </w:r>
          <w:r>
            <w:rPr>
              <w:rStyle w:val="PageNumber"/>
            </w:rPr>
            <w:fldChar w:fldCharType="separate"/>
          </w:r>
          <w:r w:rsidR="00DF3D27">
            <w:rPr>
              <w:rStyle w:val="PageNumber"/>
              <w:noProof/>
            </w:rPr>
            <w:t>29</w:t>
          </w:r>
          <w:r>
            <w:rPr>
              <w:rStyle w:val="PageNumber"/>
            </w:rPr>
            <w:fldChar w:fldCharType="end"/>
          </w:r>
        </w:p>
      </w:tc>
    </w:tr>
  </w:tbl>
  <w:p w:rsidR="009B36C0" w:rsidRDefault="009B36C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6C0" w:rsidRDefault="009B36C0">
      <w:r>
        <w:separator/>
      </w:r>
    </w:p>
  </w:footnote>
  <w:footnote w:type="continuationSeparator" w:id="0">
    <w:p w:rsidR="009B36C0" w:rsidRDefault="009B36C0">
      <w:r>
        <w:continuationSeparator/>
      </w:r>
    </w:p>
  </w:footnote>
  <w:footnote w:id="1">
    <w:p w:rsidR="009B36C0" w:rsidRPr="004C4358" w:rsidRDefault="009B36C0" w:rsidP="00666ECE">
      <w:pPr>
        <w:pStyle w:val="FootnoteText"/>
      </w:pPr>
      <w:r>
        <w:rPr>
          <w:rStyle w:val="FootnoteReference"/>
        </w:rPr>
        <w:footnoteRef/>
      </w:r>
      <w:r>
        <w:tab/>
      </w:r>
      <w:r w:rsidRPr="000E6F59">
        <w:t>Following agreement by the Council of Australian Governments (COAG), the Standing Council for School Education and Early Childhood (SCSEEC) replaced the Ministerial Council for Education, Early Childhood Development and Youth Affairs (MCEECDYA) in January 2012.</w:t>
      </w:r>
    </w:p>
  </w:footnote>
  <w:footnote w:id="2">
    <w:p w:rsidR="009B36C0" w:rsidRDefault="009B36C0" w:rsidP="00666ECE">
      <w:pPr>
        <w:pStyle w:val="FootnoteText"/>
      </w:pPr>
      <w:r>
        <w:rPr>
          <w:rStyle w:val="FootnoteReference"/>
        </w:rPr>
        <w:footnoteRef/>
      </w:r>
      <w:r>
        <w:t xml:space="preserve"> </w:t>
      </w:r>
      <w:r w:rsidRPr="00B81661">
        <w:t>To investigate the possibility that these data may understate the proportion of students in remote areas as a result of relying on school location rather than students’ home location, the 2001 MCEETYA data were compared with data derived from the 2001 Census. The two data sets were found to be similar, except that Tasmania had about one third more remote area students in the Census data. This result may be indicative for the data</w:t>
      </w:r>
      <w:r>
        <w:t xml:space="preserve"> in this Report</w:t>
      </w:r>
      <w:r w:rsidRPr="00B81661">
        <w:t>.</w:t>
      </w:r>
    </w:p>
  </w:footnote>
  <w:footnote w:id="3">
    <w:p w:rsidR="009B36C0" w:rsidRDefault="009B36C0" w:rsidP="00666ECE">
      <w:pPr>
        <w:pStyle w:val="FootnoteText"/>
      </w:pPr>
      <w:r>
        <w:rPr>
          <w:rStyle w:val="FootnoteReference"/>
        </w:rPr>
        <w:footnoteRef/>
      </w:r>
      <w:r>
        <w:tab/>
        <w:t>The Melbourne Declaration replaced the Adelaide Declaration (MCEETYA 1999), released in 1999. Some years of data reported in this chapter coincide with the operation of the Adelaide Declaration. However, the performance indicators reported are consistent with both the Adelaide and Melbourne Declarations.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B36C0" w:rsidTr="00DE5FA9">
      <w:tc>
        <w:tcPr>
          <w:tcW w:w="2155" w:type="dxa"/>
          <w:tcBorders>
            <w:top w:val="single" w:sz="24" w:space="0" w:color="auto"/>
          </w:tcBorders>
        </w:tcPr>
        <w:p w:rsidR="009B36C0" w:rsidRDefault="009B36C0" w:rsidP="00DE5FA9">
          <w:pPr>
            <w:pStyle w:val="HeaderEven"/>
          </w:pPr>
        </w:p>
      </w:tc>
      <w:tc>
        <w:tcPr>
          <w:tcW w:w="6634" w:type="dxa"/>
          <w:tcBorders>
            <w:top w:val="single" w:sz="6" w:space="0" w:color="auto"/>
          </w:tcBorders>
        </w:tcPr>
        <w:p w:rsidR="009B36C0" w:rsidRDefault="009B36C0" w:rsidP="00DE5FA9">
          <w:pPr>
            <w:pStyle w:val="HeaderEven"/>
            <w:jc w:val="right"/>
          </w:pPr>
        </w:p>
      </w:tc>
    </w:tr>
  </w:tbl>
  <w:p w:rsidR="009B36C0" w:rsidRDefault="009B36C0" w:rsidP="00E82F8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B36C0">
      <w:tc>
        <w:tcPr>
          <w:tcW w:w="6634" w:type="dxa"/>
          <w:tcBorders>
            <w:top w:val="single" w:sz="6" w:space="0" w:color="auto"/>
          </w:tcBorders>
        </w:tcPr>
        <w:p w:rsidR="009B36C0" w:rsidRDefault="009B36C0" w:rsidP="002B6D80">
          <w:pPr>
            <w:pStyle w:val="HeaderOdd"/>
          </w:pPr>
        </w:p>
      </w:tc>
      <w:tc>
        <w:tcPr>
          <w:tcW w:w="2155" w:type="dxa"/>
          <w:tcBorders>
            <w:top w:val="single" w:sz="24" w:space="0" w:color="auto"/>
          </w:tcBorders>
        </w:tcPr>
        <w:p w:rsidR="009B36C0" w:rsidRDefault="009B36C0" w:rsidP="00E669E2">
          <w:pPr>
            <w:pStyle w:val="HeaderOdd"/>
          </w:pPr>
        </w:p>
      </w:tc>
    </w:tr>
  </w:tbl>
  <w:p w:rsidR="009B36C0" w:rsidRDefault="009B36C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4">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4382D6E"/>
    <w:multiLevelType w:val="singleLevel"/>
    <w:tmpl w:val="06FC305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3">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1"/>
  </w:num>
  <w:num w:numId="3">
    <w:abstractNumId w:val="1"/>
  </w:num>
  <w:num w:numId="4">
    <w:abstractNumId w:val="15"/>
  </w:num>
  <w:num w:numId="5">
    <w:abstractNumId w:val="2"/>
  </w:num>
  <w:num w:numId="6">
    <w:abstractNumId w:val="20"/>
  </w:num>
  <w:num w:numId="7">
    <w:abstractNumId w:val="17"/>
  </w:num>
  <w:num w:numId="8">
    <w:abstractNumId w:val="22"/>
  </w:num>
  <w:num w:numId="9">
    <w:abstractNumId w:val="6"/>
  </w:num>
  <w:num w:numId="10">
    <w:abstractNumId w:val="16"/>
  </w:num>
  <w:num w:numId="11">
    <w:abstractNumId w:val="5"/>
  </w:num>
  <w:num w:numId="12">
    <w:abstractNumId w:val="4"/>
  </w:num>
  <w:num w:numId="13">
    <w:abstractNumId w:val="7"/>
  </w:num>
  <w:num w:numId="14">
    <w:abstractNumId w:val="8"/>
  </w:num>
  <w:num w:numId="15">
    <w:abstractNumId w:val="12"/>
  </w:num>
  <w:num w:numId="16">
    <w:abstractNumId w:val="3"/>
  </w:num>
  <w:num w:numId="17">
    <w:abstractNumId w:val="18"/>
  </w:num>
  <w:num w:numId="18">
    <w:abstractNumId w:val="9"/>
  </w:num>
  <w:num w:numId="19">
    <w:abstractNumId w:val="14"/>
  </w:num>
  <w:num w:numId="20">
    <w:abstractNumId w:val="19"/>
  </w:num>
  <w:num w:numId="21">
    <w:abstractNumId w:val="13"/>
  </w:num>
  <w:num w:numId="22">
    <w:abstractNumId w:val="23"/>
  </w:num>
  <w:num w:numId="23">
    <w:abstractNumId w:val="11"/>
  </w:num>
  <w:num w:numId="24">
    <w:abstractNumId w:val="1"/>
  </w:num>
  <w:num w:numId="25">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37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chool education"/>
    <w:docVar w:name="ShortReportTitle" w:val="Report on Government Services 2014"/>
  </w:docVars>
  <w:rsids>
    <w:rsidRoot w:val="00666ECE"/>
    <w:rsid w:val="00002F18"/>
    <w:rsid w:val="00004322"/>
    <w:rsid w:val="00004B66"/>
    <w:rsid w:val="00006BD6"/>
    <w:rsid w:val="00011ECA"/>
    <w:rsid w:val="00014FA5"/>
    <w:rsid w:val="00021454"/>
    <w:rsid w:val="0002178B"/>
    <w:rsid w:val="000227D5"/>
    <w:rsid w:val="000233BF"/>
    <w:rsid w:val="00024115"/>
    <w:rsid w:val="000245AA"/>
    <w:rsid w:val="0002508B"/>
    <w:rsid w:val="000259C1"/>
    <w:rsid w:val="00031DF6"/>
    <w:rsid w:val="00032235"/>
    <w:rsid w:val="00033B2C"/>
    <w:rsid w:val="0003664B"/>
    <w:rsid w:val="00037A0A"/>
    <w:rsid w:val="0004111F"/>
    <w:rsid w:val="00041385"/>
    <w:rsid w:val="00043D6D"/>
    <w:rsid w:val="00044FE8"/>
    <w:rsid w:val="00046634"/>
    <w:rsid w:val="00047B36"/>
    <w:rsid w:val="00053132"/>
    <w:rsid w:val="000565B3"/>
    <w:rsid w:val="00056869"/>
    <w:rsid w:val="00057744"/>
    <w:rsid w:val="00063FE8"/>
    <w:rsid w:val="000666F6"/>
    <w:rsid w:val="000702D0"/>
    <w:rsid w:val="0007150B"/>
    <w:rsid w:val="00076493"/>
    <w:rsid w:val="00076F94"/>
    <w:rsid w:val="00084024"/>
    <w:rsid w:val="00084C5E"/>
    <w:rsid w:val="00085459"/>
    <w:rsid w:val="000911E9"/>
    <w:rsid w:val="00092A77"/>
    <w:rsid w:val="000930E2"/>
    <w:rsid w:val="000938F5"/>
    <w:rsid w:val="00093A97"/>
    <w:rsid w:val="00096E55"/>
    <w:rsid w:val="00097127"/>
    <w:rsid w:val="000A0E95"/>
    <w:rsid w:val="000A399C"/>
    <w:rsid w:val="000A554E"/>
    <w:rsid w:val="000B1EFE"/>
    <w:rsid w:val="000B2CA3"/>
    <w:rsid w:val="000B3B25"/>
    <w:rsid w:val="000B601B"/>
    <w:rsid w:val="000B654D"/>
    <w:rsid w:val="000B687F"/>
    <w:rsid w:val="000B7ACD"/>
    <w:rsid w:val="000C187A"/>
    <w:rsid w:val="000C207E"/>
    <w:rsid w:val="000C2ED9"/>
    <w:rsid w:val="000C510D"/>
    <w:rsid w:val="000C7D44"/>
    <w:rsid w:val="000D0319"/>
    <w:rsid w:val="000D0FA0"/>
    <w:rsid w:val="000D1DE7"/>
    <w:rsid w:val="000D3111"/>
    <w:rsid w:val="000E0C96"/>
    <w:rsid w:val="000E46D2"/>
    <w:rsid w:val="000E4D56"/>
    <w:rsid w:val="000E5315"/>
    <w:rsid w:val="000E6F59"/>
    <w:rsid w:val="000F0035"/>
    <w:rsid w:val="000F0C6D"/>
    <w:rsid w:val="000F12AB"/>
    <w:rsid w:val="000F2314"/>
    <w:rsid w:val="000F420B"/>
    <w:rsid w:val="000F4E5A"/>
    <w:rsid w:val="00100308"/>
    <w:rsid w:val="00104AF2"/>
    <w:rsid w:val="00105847"/>
    <w:rsid w:val="00105898"/>
    <w:rsid w:val="00110116"/>
    <w:rsid w:val="00112BD6"/>
    <w:rsid w:val="00120072"/>
    <w:rsid w:val="0012436B"/>
    <w:rsid w:val="00126EB8"/>
    <w:rsid w:val="0012710C"/>
    <w:rsid w:val="001274D4"/>
    <w:rsid w:val="001363AA"/>
    <w:rsid w:val="0013774C"/>
    <w:rsid w:val="00137E0C"/>
    <w:rsid w:val="0014433C"/>
    <w:rsid w:val="00151258"/>
    <w:rsid w:val="0015150C"/>
    <w:rsid w:val="0015169D"/>
    <w:rsid w:val="001517E0"/>
    <w:rsid w:val="00152235"/>
    <w:rsid w:val="001554D2"/>
    <w:rsid w:val="0015705B"/>
    <w:rsid w:val="0016188E"/>
    <w:rsid w:val="00171D56"/>
    <w:rsid w:val="00172535"/>
    <w:rsid w:val="001774B4"/>
    <w:rsid w:val="00181937"/>
    <w:rsid w:val="00183E82"/>
    <w:rsid w:val="001878BB"/>
    <w:rsid w:val="00191AE0"/>
    <w:rsid w:val="0019293B"/>
    <w:rsid w:val="0019297C"/>
    <w:rsid w:val="001936FB"/>
    <w:rsid w:val="0019719B"/>
    <w:rsid w:val="001A1596"/>
    <w:rsid w:val="001A4137"/>
    <w:rsid w:val="001A4445"/>
    <w:rsid w:val="001A7B14"/>
    <w:rsid w:val="001B4DD4"/>
    <w:rsid w:val="001B6514"/>
    <w:rsid w:val="001C01FD"/>
    <w:rsid w:val="001C0865"/>
    <w:rsid w:val="001C174A"/>
    <w:rsid w:val="001C3ABA"/>
    <w:rsid w:val="001C3CC1"/>
    <w:rsid w:val="001C5764"/>
    <w:rsid w:val="001C7673"/>
    <w:rsid w:val="001D0D31"/>
    <w:rsid w:val="001D57DF"/>
    <w:rsid w:val="001D5AD2"/>
    <w:rsid w:val="001D6209"/>
    <w:rsid w:val="001E15A3"/>
    <w:rsid w:val="001E2082"/>
    <w:rsid w:val="001E232E"/>
    <w:rsid w:val="001E35A6"/>
    <w:rsid w:val="001E47D5"/>
    <w:rsid w:val="001E4B26"/>
    <w:rsid w:val="001E7BE8"/>
    <w:rsid w:val="001F0248"/>
    <w:rsid w:val="001F1E44"/>
    <w:rsid w:val="001F3EB3"/>
    <w:rsid w:val="001F4F86"/>
    <w:rsid w:val="00202C2C"/>
    <w:rsid w:val="00203666"/>
    <w:rsid w:val="0020467A"/>
    <w:rsid w:val="00204D51"/>
    <w:rsid w:val="002104AA"/>
    <w:rsid w:val="002135AB"/>
    <w:rsid w:val="002144BE"/>
    <w:rsid w:val="00220AAE"/>
    <w:rsid w:val="00224018"/>
    <w:rsid w:val="0022542B"/>
    <w:rsid w:val="002261EA"/>
    <w:rsid w:val="00231DB5"/>
    <w:rsid w:val="00231E34"/>
    <w:rsid w:val="0023570A"/>
    <w:rsid w:val="00236091"/>
    <w:rsid w:val="002362DE"/>
    <w:rsid w:val="00241576"/>
    <w:rsid w:val="00241EB3"/>
    <w:rsid w:val="00242279"/>
    <w:rsid w:val="00244151"/>
    <w:rsid w:val="00245C82"/>
    <w:rsid w:val="002475A9"/>
    <w:rsid w:val="00250A9C"/>
    <w:rsid w:val="00251546"/>
    <w:rsid w:val="002552A3"/>
    <w:rsid w:val="00262E79"/>
    <w:rsid w:val="00262F21"/>
    <w:rsid w:val="002700D1"/>
    <w:rsid w:val="00270DA3"/>
    <w:rsid w:val="0027579A"/>
    <w:rsid w:val="00277216"/>
    <w:rsid w:val="00280C38"/>
    <w:rsid w:val="002824D0"/>
    <w:rsid w:val="00291B40"/>
    <w:rsid w:val="00292174"/>
    <w:rsid w:val="00292B9B"/>
    <w:rsid w:val="00293C90"/>
    <w:rsid w:val="002A5D78"/>
    <w:rsid w:val="002B152E"/>
    <w:rsid w:val="002B1D5E"/>
    <w:rsid w:val="002B248C"/>
    <w:rsid w:val="002B27DE"/>
    <w:rsid w:val="002B3034"/>
    <w:rsid w:val="002B4008"/>
    <w:rsid w:val="002B464E"/>
    <w:rsid w:val="002B51C1"/>
    <w:rsid w:val="002B6D80"/>
    <w:rsid w:val="002C05C8"/>
    <w:rsid w:val="002C3941"/>
    <w:rsid w:val="002C5BBE"/>
    <w:rsid w:val="002C6F2E"/>
    <w:rsid w:val="002C7848"/>
    <w:rsid w:val="002D0E8E"/>
    <w:rsid w:val="002D2AB6"/>
    <w:rsid w:val="002D33DC"/>
    <w:rsid w:val="002D4E90"/>
    <w:rsid w:val="002D7C16"/>
    <w:rsid w:val="002E11DD"/>
    <w:rsid w:val="002E192C"/>
    <w:rsid w:val="002E2217"/>
    <w:rsid w:val="002E27CC"/>
    <w:rsid w:val="002E562A"/>
    <w:rsid w:val="002E7CD5"/>
    <w:rsid w:val="002F4BB0"/>
    <w:rsid w:val="002F792C"/>
    <w:rsid w:val="00301189"/>
    <w:rsid w:val="00303738"/>
    <w:rsid w:val="003049DA"/>
    <w:rsid w:val="00305964"/>
    <w:rsid w:val="003103F0"/>
    <w:rsid w:val="00311887"/>
    <w:rsid w:val="00311AB0"/>
    <w:rsid w:val="00315778"/>
    <w:rsid w:val="00316446"/>
    <w:rsid w:val="00316C9B"/>
    <w:rsid w:val="00317926"/>
    <w:rsid w:val="00320B60"/>
    <w:rsid w:val="00323E09"/>
    <w:rsid w:val="00326539"/>
    <w:rsid w:val="00333932"/>
    <w:rsid w:val="00333E25"/>
    <w:rsid w:val="00335525"/>
    <w:rsid w:val="003368DC"/>
    <w:rsid w:val="00342FCF"/>
    <w:rsid w:val="00344D76"/>
    <w:rsid w:val="003518AA"/>
    <w:rsid w:val="00352165"/>
    <w:rsid w:val="00353182"/>
    <w:rsid w:val="003565D9"/>
    <w:rsid w:val="00357237"/>
    <w:rsid w:val="003602E1"/>
    <w:rsid w:val="00360B71"/>
    <w:rsid w:val="00360D26"/>
    <w:rsid w:val="00362049"/>
    <w:rsid w:val="0036281D"/>
    <w:rsid w:val="00362FE2"/>
    <w:rsid w:val="003639D7"/>
    <w:rsid w:val="0037026F"/>
    <w:rsid w:val="00371240"/>
    <w:rsid w:val="0037267A"/>
    <w:rsid w:val="00372941"/>
    <w:rsid w:val="00374731"/>
    <w:rsid w:val="003749F3"/>
    <w:rsid w:val="00376E59"/>
    <w:rsid w:val="00377B29"/>
    <w:rsid w:val="00384621"/>
    <w:rsid w:val="003852A6"/>
    <w:rsid w:val="003919F9"/>
    <w:rsid w:val="0039329F"/>
    <w:rsid w:val="003932A0"/>
    <w:rsid w:val="00395282"/>
    <w:rsid w:val="00396368"/>
    <w:rsid w:val="003A0189"/>
    <w:rsid w:val="003A2EA3"/>
    <w:rsid w:val="003A37B3"/>
    <w:rsid w:val="003A5B31"/>
    <w:rsid w:val="003A7F8A"/>
    <w:rsid w:val="003B149C"/>
    <w:rsid w:val="003B4371"/>
    <w:rsid w:val="003B4524"/>
    <w:rsid w:val="003B5A5B"/>
    <w:rsid w:val="003B6DC5"/>
    <w:rsid w:val="003C000E"/>
    <w:rsid w:val="003C13CA"/>
    <w:rsid w:val="003C38B5"/>
    <w:rsid w:val="003C5D99"/>
    <w:rsid w:val="003D1C93"/>
    <w:rsid w:val="003E08B1"/>
    <w:rsid w:val="003E0918"/>
    <w:rsid w:val="003E2CB5"/>
    <w:rsid w:val="003E2F59"/>
    <w:rsid w:val="003E2FC9"/>
    <w:rsid w:val="003E52C6"/>
    <w:rsid w:val="003E5D52"/>
    <w:rsid w:val="003F05B7"/>
    <w:rsid w:val="003F0641"/>
    <w:rsid w:val="003F0789"/>
    <w:rsid w:val="003F1874"/>
    <w:rsid w:val="003F1C17"/>
    <w:rsid w:val="003F4AAE"/>
    <w:rsid w:val="003F62AA"/>
    <w:rsid w:val="00400583"/>
    <w:rsid w:val="00401882"/>
    <w:rsid w:val="00402244"/>
    <w:rsid w:val="00404778"/>
    <w:rsid w:val="00405BC2"/>
    <w:rsid w:val="00406C4A"/>
    <w:rsid w:val="004100C8"/>
    <w:rsid w:val="0041120A"/>
    <w:rsid w:val="0041139D"/>
    <w:rsid w:val="00411DBD"/>
    <w:rsid w:val="00412ACE"/>
    <w:rsid w:val="00414312"/>
    <w:rsid w:val="0041457D"/>
    <w:rsid w:val="00415476"/>
    <w:rsid w:val="00416E33"/>
    <w:rsid w:val="004170F4"/>
    <w:rsid w:val="004249F1"/>
    <w:rsid w:val="00425401"/>
    <w:rsid w:val="00431249"/>
    <w:rsid w:val="004317EA"/>
    <w:rsid w:val="00434C19"/>
    <w:rsid w:val="0043627D"/>
    <w:rsid w:val="0044298F"/>
    <w:rsid w:val="00443B0C"/>
    <w:rsid w:val="00444AE9"/>
    <w:rsid w:val="00444C24"/>
    <w:rsid w:val="00450810"/>
    <w:rsid w:val="0045135E"/>
    <w:rsid w:val="004522E7"/>
    <w:rsid w:val="00455728"/>
    <w:rsid w:val="00456929"/>
    <w:rsid w:val="00457C8A"/>
    <w:rsid w:val="00463C50"/>
    <w:rsid w:val="004708E3"/>
    <w:rsid w:val="00476217"/>
    <w:rsid w:val="004765E8"/>
    <w:rsid w:val="00477144"/>
    <w:rsid w:val="00481083"/>
    <w:rsid w:val="00481583"/>
    <w:rsid w:val="00482113"/>
    <w:rsid w:val="00483382"/>
    <w:rsid w:val="004856D3"/>
    <w:rsid w:val="00491380"/>
    <w:rsid w:val="0049459F"/>
    <w:rsid w:val="004A24B3"/>
    <w:rsid w:val="004A253D"/>
    <w:rsid w:val="004A38DD"/>
    <w:rsid w:val="004A4FD0"/>
    <w:rsid w:val="004A4FDF"/>
    <w:rsid w:val="004B2C4F"/>
    <w:rsid w:val="004B33CD"/>
    <w:rsid w:val="004B3683"/>
    <w:rsid w:val="004B4046"/>
    <w:rsid w:val="004B43AE"/>
    <w:rsid w:val="004B4EC9"/>
    <w:rsid w:val="004B78E7"/>
    <w:rsid w:val="004C1479"/>
    <w:rsid w:val="004C30ED"/>
    <w:rsid w:val="004C3736"/>
    <w:rsid w:val="004D5675"/>
    <w:rsid w:val="004D6023"/>
    <w:rsid w:val="004E6318"/>
    <w:rsid w:val="004E70FF"/>
    <w:rsid w:val="004F137D"/>
    <w:rsid w:val="004F2DCF"/>
    <w:rsid w:val="005004F7"/>
    <w:rsid w:val="0050477E"/>
    <w:rsid w:val="00505748"/>
    <w:rsid w:val="00514213"/>
    <w:rsid w:val="00514EB2"/>
    <w:rsid w:val="00515EF9"/>
    <w:rsid w:val="00520EA5"/>
    <w:rsid w:val="00523639"/>
    <w:rsid w:val="00526EC7"/>
    <w:rsid w:val="005303EE"/>
    <w:rsid w:val="00530424"/>
    <w:rsid w:val="00531FE5"/>
    <w:rsid w:val="00535E89"/>
    <w:rsid w:val="005360D5"/>
    <w:rsid w:val="00536FF3"/>
    <w:rsid w:val="00537400"/>
    <w:rsid w:val="00542C78"/>
    <w:rsid w:val="0055265A"/>
    <w:rsid w:val="00556909"/>
    <w:rsid w:val="005605D5"/>
    <w:rsid w:val="00564940"/>
    <w:rsid w:val="00564B80"/>
    <w:rsid w:val="0056711C"/>
    <w:rsid w:val="00567193"/>
    <w:rsid w:val="00570434"/>
    <w:rsid w:val="005713CC"/>
    <w:rsid w:val="0057289C"/>
    <w:rsid w:val="00574106"/>
    <w:rsid w:val="00574FEE"/>
    <w:rsid w:val="00575467"/>
    <w:rsid w:val="0057698F"/>
    <w:rsid w:val="00582527"/>
    <w:rsid w:val="00583C39"/>
    <w:rsid w:val="00586AA0"/>
    <w:rsid w:val="00587845"/>
    <w:rsid w:val="00587F28"/>
    <w:rsid w:val="005909CF"/>
    <w:rsid w:val="00590BF6"/>
    <w:rsid w:val="00590C7B"/>
    <w:rsid w:val="00591E71"/>
    <w:rsid w:val="0059584D"/>
    <w:rsid w:val="0059753B"/>
    <w:rsid w:val="005A0D41"/>
    <w:rsid w:val="005A122F"/>
    <w:rsid w:val="005B08A6"/>
    <w:rsid w:val="005B0E36"/>
    <w:rsid w:val="005B179C"/>
    <w:rsid w:val="005B3E40"/>
    <w:rsid w:val="005C0A8A"/>
    <w:rsid w:val="005C0ABD"/>
    <w:rsid w:val="005C236B"/>
    <w:rsid w:val="005C4705"/>
    <w:rsid w:val="005C4E85"/>
    <w:rsid w:val="005C7D52"/>
    <w:rsid w:val="005D0B84"/>
    <w:rsid w:val="005D151B"/>
    <w:rsid w:val="005D2CF5"/>
    <w:rsid w:val="005D7450"/>
    <w:rsid w:val="005E2EE2"/>
    <w:rsid w:val="005E413E"/>
    <w:rsid w:val="005E4316"/>
    <w:rsid w:val="005E5A9B"/>
    <w:rsid w:val="005F4A4A"/>
    <w:rsid w:val="005F4AEF"/>
    <w:rsid w:val="005F6283"/>
    <w:rsid w:val="005F7536"/>
    <w:rsid w:val="005F7911"/>
    <w:rsid w:val="005F7D18"/>
    <w:rsid w:val="00601660"/>
    <w:rsid w:val="00602605"/>
    <w:rsid w:val="006040C5"/>
    <w:rsid w:val="00604EA0"/>
    <w:rsid w:val="00606D98"/>
    <w:rsid w:val="00607118"/>
    <w:rsid w:val="00607BF1"/>
    <w:rsid w:val="00611405"/>
    <w:rsid w:val="006135F8"/>
    <w:rsid w:val="006137A4"/>
    <w:rsid w:val="00613CE6"/>
    <w:rsid w:val="0061654B"/>
    <w:rsid w:val="00616CB7"/>
    <w:rsid w:val="00616E8C"/>
    <w:rsid w:val="00620779"/>
    <w:rsid w:val="006216A4"/>
    <w:rsid w:val="006236F1"/>
    <w:rsid w:val="00625500"/>
    <w:rsid w:val="00626547"/>
    <w:rsid w:val="0063025F"/>
    <w:rsid w:val="006308F9"/>
    <w:rsid w:val="00630D4D"/>
    <w:rsid w:val="00632170"/>
    <w:rsid w:val="00632A74"/>
    <w:rsid w:val="006348F0"/>
    <w:rsid w:val="00635573"/>
    <w:rsid w:val="00640C1A"/>
    <w:rsid w:val="00640DB6"/>
    <w:rsid w:val="00643280"/>
    <w:rsid w:val="00644F57"/>
    <w:rsid w:val="006451F8"/>
    <w:rsid w:val="00645AF3"/>
    <w:rsid w:val="006514BF"/>
    <w:rsid w:val="0065269E"/>
    <w:rsid w:val="00652B79"/>
    <w:rsid w:val="006539FD"/>
    <w:rsid w:val="00653F56"/>
    <w:rsid w:val="00660DFA"/>
    <w:rsid w:val="00662137"/>
    <w:rsid w:val="006644C8"/>
    <w:rsid w:val="0066655C"/>
    <w:rsid w:val="00666ECE"/>
    <w:rsid w:val="00670FC9"/>
    <w:rsid w:val="00670FE0"/>
    <w:rsid w:val="006730CC"/>
    <w:rsid w:val="00674619"/>
    <w:rsid w:val="00674AAF"/>
    <w:rsid w:val="00677430"/>
    <w:rsid w:val="006830A6"/>
    <w:rsid w:val="006859E5"/>
    <w:rsid w:val="00685E65"/>
    <w:rsid w:val="00686364"/>
    <w:rsid w:val="00686637"/>
    <w:rsid w:val="006941AA"/>
    <w:rsid w:val="0069548A"/>
    <w:rsid w:val="006971C5"/>
    <w:rsid w:val="006A1406"/>
    <w:rsid w:val="006A2EB8"/>
    <w:rsid w:val="006A3E2E"/>
    <w:rsid w:val="006A4655"/>
    <w:rsid w:val="006A7764"/>
    <w:rsid w:val="006B03CA"/>
    <w:rsid w:val="006B2B3C"/>
    <w:rsid w:val="006B35ED"/>
    <w:rsid w:val="006B4AC1"/>
    <w:rsid w:val="006B683F"/>
    <w:rsid w:val="006B6F5D"/>
    <w:rsid w:val="006C1AC6"/>
    <w:rsid w:val="006C1D81"/>
    <w:rsid w:val="006C2F47"/>
    <w:rsid w:val="006C4495"/>
    <w:rsid w:val="006C6387"/>
    <w:rsid w:val="006C7038"/>
    <w:rsid w:val="006D16D8"/>
    <w:rsid w:val="006E13E3"/>
    <w:rsid w:val="006E1F49"/>
    <w:rsid w:val="006E4442"/>
    <w:rsid w:val="006E4E1C"/>
    <w:rsid w:val="006E73EF"/>
    <w:rsid w:val="006E74BD"/>
    <w:rsid w:val="006E7E40"/>
    <w:rsid w:val="006F04A3"/>
    <w:rsid w:val="006F5077"/>
    <w:rsid w:val="006F605D"/>
    <w:rsid w:val="00700F6C"/>
    <w:rsid w:val="00702ED5"/>
    <w:rsid w:val="00702F3D"/>
    <w:rsid w:val="007034A1"/>
    <w:rsid w:val="007055A8"/>
    <w:rsid w:val="00706592"/>
    <w:rsid w:val="007072F5"/>
    <w:rsid w:val="00707EBD"/>
    <w:rsid w:val="00711273"/>
    <w:rsid w:val="00712ABB"/>
    <w:rsid w:val="00714D4D"/>
    <w:rsid w:val="00715585"/>
    <w:rsid w:val="007238F7"/>
    <w:rsid w:val="007278AC"/>
    <w:rsid w:val="00727C58"/>
    <w:rsid w:val="00732876"/>
    <w:rsid w:val="007340A2"/>
    <w:rsid w:val="007344D0"/>
    <w:rsid w:val="007364E8"/>
    <w:rsid w:val="00736F8F"/>
    <w:rsid w:val="007425CD"/>
    <w:rsid w:val="00742BA6"/>
    <w:rsid w:val="00743FB2"/>
    <w:rsid w:val="00744920"/>
    <w:rsid w:val="00746390"/>
    <w:rsid w:val="00746562"/>
    <w:rsid w:val="007528A0"/>
    <w:rsid w:val="0075742D"/>
    <w:rsid w:val="007604BB"/>
    <w:rsid w:val="007606E4"/>
    <w:rsid w:val="007607B4"/>
    <w:rsid w:val="00764C20"/>
    <w:rsid w:val="00765CF2"/>
    <w:rsid w:val="00770948"/>
    <w:rsid w:val="0077168C"/>
    <w:rsid w:val="00775294"/>
    <w:rsid w:val="007752F5"/>
    <w:rsid w:val="0077694F"/>
    <w:rsid w:val="00776B6F"/>
    <w:rsid w:val="0077781A"/>
    <w:rsid w:val="0078276C"/>
    <w:rsid w:val="00785232"/>
    <w:rsid w:val="00786A9A"/>
    <w:rsid w:val="00787508"/>
    <w:rsid w:val="00790D2B"/>
    <w:rsid w:val="0079117D"/>
    <w:rsid w:val="007A21EB"/>
    <w:rsid w:val="007A73E8"/>
    <w:rsid w:val="007A7568"/>
    <w:rsid w:val="007B1A93"/>
    <w:rsid w:val="007B32D4"/>
    <w:rsid w:val="007B3E7F"/>
    <w:rsid w:val="007B58AF"/>
    <w:rsid w:val="007C0809"/>
    <w:rsid w:val="007C35B5"/>
    <w:rsid w:val="007C36C9"/>
    <w:rsid w:val="007C7E11"/>
    <w:rsid w:val="007D0745"/>
    <w:rsid w:val="007D2391"/>
    <w:rsid w:val="007D293B"/>
    <w:rsid w:val="007D2D50"/>
    <w:rsid w:val="007D6401"/>
    <w:rsid w:val="007E01E4"/>
    <w:rsid w:val="007E226B"/>
    <w:rsid w:val="007E3E6E"/>
    <w:rsid w:val="007E44D6"/>
    <w:rsid w:val="007E6BD3"/>
    <w:rsid w:val="007F30B6"/>
    <w:rsid w:val="007F7107"/>
    <w:rsid w:val="007F7D6B"/>
    <w:rsid w:val="00800D4C"/>
    <w:rsid w:val="0080263C"/>
    <w:rsid w:val="0081030F"/>
    <w:rsid w:val="00810456"/>
    <w:rsid w:val="0082087D"/>
    <w:rsid w:val="008248C6"/>
    <w:rsid w:val="00825189"/>
    <w:rsid w:val="00825838"/>
    <w:rsid w:val="00833807"/>
    <w:rsid w:val="00833B6E"/>
    <w:rsid w:val="0083461E"/>
    <w:rsid w:val="00835771"/>
    <w:rsid w:val="0083643B"/>
    <w:rsid w:val="00841747"/>
    <w:rsid w:val="00842933"/>
    <w:rsid w:val="0084635A"/>
    <w:rsid w:val="008515E1"/>
    <w:rsid w:val="00853939"/>
    <w:rsid w:val="0086082C"/>
    <w:rsid w:val="00864ADC"/>
    <w:rsid w:val="00871957"/>
    <w:rsid w:val="00872F89"/>
    <w:rsid w:val="00875300"/>
    <w:rsid w:val="008753B7"/>
    <w:rsid w:val="0087621E"/>
    <w:rsid w:val="00876EE5"/>
    <w:rsid w:val="008771B2"/>
    <w:rsid w:val="00877681"/>
    <w:rsid w:val="00877F34"/>
    <w:rsid w:val="00880153"/>
    <w:rsid w:val="0088029F"/>
    <w:rsid w:val="0088078A"/>
    <w:rsid w:val="00880F97"/>
    <w:rsid w:val="0088133A"/>
    <w:rsid w:val="00882D6B"/>
    <w:rsid w:val="00884098"/>
    <w:rsid w:val="00887D04"/>
    <w:rsid w:val="00891026"/>
    <w:rsid w:val="00891EF6"/>
    <w:rsid w:val="0089285E"/>
    <w:rsid w:val="00892D0C"/>
    <w:rsid w:val="0089436C"/>
    <w:rsid w:val="00895B0E"/>
    <w:rsid w:val="008A0EEB"/>
    <w:rsid w:val="008A206B"/>
    <w:rsid w:val="008A2153"/>
    <w:rsid w:val="008A307B"/>
    <w:rsid w:val="008A6C2C"/>
    <w:rsid w:val="008B0548"/>
    <w:rsid w:val="008B2F15"/>
    <w:rsid w:val="008B34BD"/>
    <w:rsid w:val="008B7DBB"/>
    <w:rsid w:val="008C39E8"/>
    <w:rsid w:val="008C5CF1"/>
    <w:rsid w:val="008C68AE"/>
    <w:rsid w:val="008C6F9C"/>
    <w:rsid w:val="008D0842"/>
    <w:rsid w:val="008D365C"/>
    <w:rsid w:val="008D3CBD"/>
    <w:rsid w:val="008D4B72"/>
    <w:rsid w:val="008D5A88"/>
    <w:rsid w:val="008D7C76"/>
    <w:rsid w:val="008E1DDC"/>
    <w:rsid w:val="008E56F3"/>
    <w:rsid w:val="008F28FD"/>
    <w:rsid w:val="008F464B"/>
    <w:rsid w:val="008F7EAC"/>
    <w:rsid w:val="0090011D"/>
    <w:rsid w:val="00902108"/>
    <w:rsid w:val="009030BF"/>
    <w:rsid w:val="00904788"/>
    <w:rsid w:val="00905F95"/>
    <w:rsid w:val="009062E8"/>
    <w:rsid w:val="00907066"/>
    <w:rsid w:val="0091032F"/>
    <w:rsid w:val="009108EE"/>
    <w:rsid w:val="009110FE"/>
    <w:rsid w:val="009131A4"/>
    <w:rsid w:val="00914368"/>
    <w:rsid w:val="00914E76"/>
    <w:rsid w:val="00915427"/>
    <w:rsid w:val="009157C6"/>
    <w:rsid w:val="009160CF"/>
    <w:rsid w:val="00921F85"/>
    <w:rsid w:val="009223BC"/>
    <w:rsid w:val="00923B5C"/>
    <w:rsid w:val="00924EB2"/>
    <w:rsid w:val="0092541F"/>
    <w:rsid w:val="00926D58"/>
    <w:rsid w:val="00927DE2"/>
    <w:rsid w:val="00931076"/>
    <w:rsid w:val="0093337F"/>
    <w:rsid w:val="009345D9"/>
    <w:rsid w:val="00934B15"/>
    <w:rsid w:val="00937A93"/>
    <w:rsid w:val="00942105"/>
    <w:rsid w:val="00942B62"/>
    <w:rsid w:val="00945F46"/>
    <w:rsid w:val="00950495"/>
    <w:rsid w:val="009517C4"/>
    <w:rsid w:val="00953C11"/>
    <w:rsid w:val="009560A8"/>
    <w:rsid w:val="00956A0C"/>
    <w:rsid w:val="00956BD9"/>
    <w:rsid w:val="009613EF"/>
    <w:rsid w:val="00962489"/>
    <w:rsid w:val="0096612F"/>
    <w:rsid w:val="00971C91"/>
    <w:rsid w:val="00972691"/>
    <w:rsid w:val="0097269D"/>
    <w:rsid w:val="009738E5"/>
    <w:rsid w:val="00974AA3"/>
    <w:rsid w:val="009762F7"/>
    <w:rsid w:val="00976613"/>
    <w:rsid w:val="00976D0E"/>
    <w:rsid w:val="009807CA"/>
    <w:rsid w:val="009819A6"/>
    <w:rsid w:val="00982591"/>
    <w:rsid w:val="009865F8"/>
    <w:rsid w:val="00986931"/>
    <w:rsid w:val="00990C2C"/>
    <w:rsid w:val="009952FC"/>
    <w:rsid w:val="009A382C"/>
    <w:rsid w:val="009A48EC"/>
    <w:rsid w:val="009A52FC"/>
    <w:rsid w:val="009A760C"/>
    <w:rsid w:val="009A7B9C"/>
    <w:rsid w:val="009B1348"/>
    <w:rsid w:val="009B229E"/>
    <w:rsid w:val="009B36C0"/>
    <w:rsid w:val="009B6671"/>
    <w:rsid w:val="009B7E51"/>
    <w:rsid w:val="009C5BAC"/>
    <w:rsid w:val="009C663F"/>
    <w:rsid w:val="009D7675"/>
    <w:rsid w:val="009D7A8B"/>
    <w:rsid w:val="009D7D07"/>
    <w:rsid w:val="009E05AE"/>
    <w:rsid w:val="009E344D"/>
    <w:rsid w:val="009E3B82"/>
    <w:rsid w:val="009E6DB8"/>
    <w:rsid w:val="009E7B08"/>
    <w:rsid w:val="009F02C7"/>
    <w:rsid w:val="009F0D1B"/>
    <w:rsid w:val="009F2EDB"/>
    <w:rsid w:val="009F46AB"/>
    <w:rsid w:val="009F5910"/>
    <w:rsid w:val="009F696D"/>
    <w:rsid w:val="009F6BC6"/>
    <w:rsid w:val="00A014FB"/>
    <w:rsid w:val="00A01D76"/>
    <w:rsid w:val="00A06D34"/>
    <w:rsid w:val="00A07C80"/>
    <w:rsid w:val="00A1564B"/>
    <w:rsid w:val="00A17328"/>
    <w:rsid w:val="00A1799F"/>
    <w:rsid w:val="00A22968"/>
    <w:rsid w:val="00A23A20"/>
    <w:rsid w:val="00A2582D"/>
    <w:rsid w:val="00A260FF"/>
    <w:rsid w:val="00A268B9"/>
    <w:rsid w:val="00A2703A"/>
    <w:rsid w:val="00A308AF"/>
    <w:rsid w:val="00A31EA8"/>
    <w:rsid w:val="00A32335"/>
    <w:rsid w:val="00A32BA6"/>
    <w:rsid w:val="00A33DFF"/>
    <w:rsid w:val="00A33EA2"/>
    <w:rsid w:val="00A35115"/>
    <w:rsid w:val="00A36D19"/>
    <w:rsid w:val="00A36D9A"/>
    <w:rsid w:val="00A52A90"/>
    <w:rsid w:val="00A554AB"/>
    <w:rsid w:val="00A5566A"/>
    <w:rsid w:val="00A57062"/>
    <w:rsid w:val="00A57CDC"/>
    <w:rsid w:val="00A60072"/>
    <w:rsid w:val="00A60294"/>
    <w:rsid w:val="00A60C5F"/>
    <w:rsid w:val="00A63A4A"/>
    <w:rsid w:val="00A64CBD"/>
    <w:rsid w:val="00A67249"/>
    <w:rsid w:val="00A71945"/>
    <w:rsid w:val="00A721CA"/>
    <w:rsid w:val="00A74D32"/>
    <w:rsid w:val="00A75C27"/>
    <w:rsid w:val="00A83EC3"/>
    <w:rsid w:val="00A878FC"/>
    <w:rsid w:val="00A92B53"/>
    <w:rsid w:val="00A93FFC"/>
    <w:rsid w:val="00A94FA6"/>
    <w:rsid w:val="00A95AB9"/>
    <w:rsid w:val="00A962D0"/>
    <w:rsid w:val="00AA13D7"/>
    <w:rsid w:val="00AA49A0"/>
    <w:rsid w:val="00AA54CA"/>
    <w:rsid w:val="00AA6710"/>
    <w:rsid w:val="00AB0681"/>
    <w:rsid w:val="00AB5749"/>
    <w:rsid w:val="00AC1472"/>
    <w:rsid w:val="00AC21C3"/>
    <w:rsid w:val="00AC290D"/>
    <w:rsid w:val="00AC630B"/>
    <w:rsid w:val="00AD051F"/>
    <w:rsid w:val="00AD520B"/>
    <w:rsid w:val="00AD7FD0"/>
    <w:rsid w:val="00AE1B64"/>
    <w:rsid w:val="00AE5F38"/>
    <w:rsid w:val="00AF0478"/>
    <w:rsid w:val="00AF243E"/>
    <w:rsid w:val="00AF57AE"/>
    <w:rsid w:val="00AF7181"/>
    <w:rsid w:val="00B02190"/>
    <w:rsid w:val="00B03F1B"/>
    <w:rsid w:val="00B06349"/>
    <w:rsid w:val="00B14484"/>
    <w:rsid w:val="00B16437"/>
    <w:rsid w:val="00B20B7A"/>
    <w:rsid w:val="00B20CD1"/>
    <w:rsid w:val="00B261EC"/>
    <w:rsid w:val="00B30D28"/>
    <w:rsid w:val="00B37ED2"/>
    <w:rsid w:val="00B40393"/>
    <w:rsid w:val="00B40709"/>
    <w:rsid w:val="00B410A0"/>
    <w:rsid w:val="00B425C3"/>
    <w:rsid w:val="00B43174"/>
    <w:rsid w:val="00B43CCB"/>
    <w:rsid w:val="00B440AD"/>
    <w:rsid w:val="00B47757"/>
    <w:rsid w:val="00B47A67"/>
    <w:rsid w:val="00B503CF"/>
    <w:rsid w:val="00B507D4"/>
    <w:rsid w:val="00B519CC"/>
    <w:rsid w:val="00B53E7E"/>
    <w:rsid w:val="00B569FC"/>
    <w:rsid w:val="00B57AF2"/>
    <w:rsid w:val="00B60DC3"/>
    <w:rsid w:val="00B6342E"/>
    <w:rsid w:val="00B64C33"/>
    <w:rsid w:val="00B64D68"/>
    <w:rsid w:val="00B651F4"/>
    <w:rsid w:val="00B7113F"/>
    <w:rsid w:val="00B74245"/>
    <w:rsid w:val="00B77624"/>
    <w:rsid w:val="00B85035"/>
    <w:rsid w:val="00B851E4"/>
    <w:rsid w:val="00B95FAF"/>
    <w:rsid w:val="00BA0589"/>
    <w:rsid w:val="00BA1188"/>
    <w:rsid w:val="00BA1348"/>
    <w:rsid w:val="00BA1CEC"/>
    <w:rsid w:val="00BA40CA"/>
    <w:rsid w:val="00BA51F5"/>
    <w:rsid w:val="00BA73B6"/>
    <w:rsid w:val="00BA7E27"/>
    <w:rsid w:val="00BB16A8"/>
    <w:rsid w:val="00BB2603"/>
    <w:rsid w:val="00BB496A"/>
    <w:rsid w:val="00BB4FCD"/>
    <w:rsid w:val="00BB794B"/>
    <w:rsid w:val="00BB7BD8"/>
    <w:rsid w:val="00BC1029"/>
    <w:rsid w:val="00BC3022"/>
    <w:rsid w:val="00BC4CB0"/>
    <w:rsid w:val="00BC5353"/>
    <w:rsid w:val="00BC56E7"/>
    <w:rsid w:val="00BD13EA"/>
    <w:rsid w:val="00BD45B3"/>
    <w:rsid w:val="00BD6059"/>
    <w:rsid w:val="00BD787D"/>
    <w:rsid w:val="00BD78B2"/>
    <w:rsid w:val="00BE3808"/>
    <w:rsid w:val="00BF0352"/>
    <w:rsid w:val="00BF138B"/>
    <w:rsid w:val="00BF18A5"/>
    <w:rsid w:val="00BF47EB"/>
    <w:rsid w:val="00C006D3"/>
    <w:rsid w:val="00C062E9"/>
    <w:rsid w:val="00C066EE"/>
    <w:rsid w:val="00C07B64"/>
    <w:rsid w:val="00C105CC"/>
    <w:rsid w:val="00C11942"/>
    <w:rsid w:val="00C13721"/>
    <w:rsid w:val="00C142E2"/>
    <w:rsid w:val="00C14FE4"/>
    <w:rsid w:val="00C16695"/>
    <w:rsid w:val="00C21900"/>
    <w:rsid w:val="00C24E49"/>
    <w:rsid w:val="00C279A5"/>
    <w:rsid w:val="00C27AEE"/>
    <w:rsid w:val="00C3066D"/>
    <w:rsid w:val="00C30F35"/>
    <w:rsid w:val="00C33B80"/>
    <w:rsid w:val="00C35FD6"/>
    <w:rsid w:val="00C372BF"/>
    <w:rsid w:val="00C40CA7"/>
    <w:rsid w:val="00C4109F"/>
    <w:rsid w:val="00C43085"/>
    <w:rsid w:val="00C43453"/>
    <w:rsid w:val="00C53C42"/>
    <w:rsid w:val="00C543F4"/>
    <w:rsid w:val="00C54EC5"/>
    <w:rsid w:val="00C611A4"/>
    <w:rsid w:val="00C61349"/>
    <w:rsid w:val="00C6291C"/>
    <w:rsid w:val="00C63368"/>
    <w:rsid w:val="00C633CB"/>
    <w:rsid w:val="00C659FE"/>
    <w:rsid w:val="00C70D6F"/>
    <w:rsid w:val="00C73899"/>
    <w:rsid w:val="00C77140"/>
    <w:rsid w:val="00C81D4A"/>
    <w:rsid w:val="00C83FD1"/>
    <w:rsid w:val="00C8762C"/>
    <w:rsid w:val="00C90AD6"/>
    <w:rsid w:val="00C931C6"/>
    <w:rsid w:val="00C97801"/>
    <w:rsid w:val="00CA00F9"/>
    <w:rsid w:val="00CA2961"/>
    <w:rsid w:val="00CA2DA6"/>
    <w:rsid w:val="00CA3C60"/>
    <w:rsid w:val="00CA4833"/>
    <w:rsid w:val="00CA6634"/>
    <w:rsid w:val="00CB2928"/>
    <w:rsid w:val="00CB2D4B"/>
    <w:rsid w:val="00CB50D7"/>
    <w:rsid w:val="00CB7177"/>
    <w:rsid w:val="00CC1998"/>
    <w:rsid w:val="00CC2C02"/>
    <w:rsid w:val="00CC41FD"/>
    <w:rsid w:val="00CC4946"/>
    <w:rsid w:val="00CC6141"/>
    <w:rsid w:val="00CC62BF"/>
    <w:rsid w:val="00CD069F"/>
    <w:rsid w:val="00CD203F"/>
    <w:rsid w:val="00CD275A"/>
    <w:rsid w:val="00CD37BC"/>
    <w:rsid w:val="00CD44D8"/>
    <w:rsid w:val="00CE1968"/>
    <w:rsid w:val="00CE6669"/>
    <w:rsid w:val="00CE740B"/>
    <w:rsid w:val="00CF2310"/>
    <w:rsid w:val="00CF3A4A"/>
    <w:rsid w:val="00CF5D56"/>
    <w:rsid w:val="00D0342A"/>
    <w:rsid w:val="00D03C69"/>
    <w:rsid w:val="00D05BAF"/>
    <w:rsid w:val="00D05D6B"/>
    <w:rsid w:val="00D06782"/>
    <w:rsid w:val="00D07F9F"/>
    <w:rsid w:val="00D26128"/>
    <w:rsid w:val="00D26BF4"/>
    <w:rsid w:val="00D270A4"/>
    <w:rsid w:val="00D304FE"/>
    <w:rsid w:val="00D3193D"/>
    <w:rsid w:val="00D31D27"/>
    <w:rsid w:val="00D31FE9"/>
    <w:rsid w:val="00D34E1B"/>
    <w:rsid w:val="00D376BA"/>
    <w:rsid w:val="00D37E95"/>
    <w:rsid w:val="00D40C7A"/>
    <w:rsid w:val="00D4417E"/>
    <w:rsid w:val="00D45634"/>
    <w:rsid w:val="00D50E8F"/>
    <w:rsid w:val="00D54C12"/>
    <w:rsid w:val="00D5568A"/>
    <w:rsid w:val="00D55908"/>
    <w:rsid w:val="00D576CE"/>
    <w:rsid w:val="00D612DE"/>
    <w:rsid w:val="00D616EC"/>
    <w:rsid w:val="00D62FAA"/>
    <w:rsid w:val="00D63D73"/>
    <w:rsid w:val="00D640FF"/>
    <w:rsid w:val="00D64452"/>
    <w:rsid w:val="00D65B69"/>
    <w:rsid w:val="00D65FA9"/>
    <w:rsid w:val="00D66E1E"/>
    <w:rsid w:val="00D67553"/>
    <w:rsid w:val="00D72057"/>
    <w:rsid w:val="00D75722"/>
    <w:rsid w:val="00D75886"/>
    <w:rsid w:val="00D804E8"/>
    <w:rsid w:val="00D80CF5"/>
    <w:rsid w:val="00D948AA"/>
    <w:rsid w:val="00D94D81"/>
    <w:rsid w:val="00D95AB0"/>
    <w:rsid w:val="00D95E3D"/>
    <w:rsid w:val="00D96599"/>
    <w:rsid w:val="00DA1812"/>
    <w:rsid w:val="00DA4B0D"/>
    <w:rsid w:val="00DA58A9"/>
    <w:rsid w:val="00DA5BBA"/>
    <w:rsid w:val="00DA5DC0"/>
    <w:rsid w:val="00DA7453"/>
    <w:rsid w:val="00DB1157"/>
    <w:rsid w:val="00DB26D2"/>
    <w:rsid w:val="00DB33FC"/>
    <w:rsid w:val="00DB67C9"/>
    <w:rsid w:val="00DC0C95"/>
    <w:rsid w:val="00DC457C"/>
    <w:rsid w:val="00DD03E4"/>
    <w:rsid w:val="00DD0BFF"/>
    <w:rsid w:val="00DD185A"/>
    <w:rsid w:val="00DD215D"/>
    <w:rsid w:val="00DD3B2D"/>
    <w:rsid w:val="00DD6580"/>
    <w:rsid w:val="00DE5FA9"/>
    <w:rsid w:val="00DE74EC"/>
    <w:rsid w:val="00DF3C6E"/>
    <w:rsid w:val="00DF3D27"/>
    <w:rsid w:val="00DF62FE"/>
    <w:rsid w:val="00E04508"/>
    <w:rsid w:val="00E06898"/>
    <w:rsid w:val="00E116EB"/>
    <w:rsid w:val="00E11F24"/>
    <w:rsid w:val="00E14387"/>
    <w:rsid w:val="00E146B7"/>
    <w:rsid w:val="00E15E33"/>
    <w:rsid w:val="00E15EA5"/>
    <w:rsid w:val="00E161F4"/>
    <w:rsid w:val="00E1633E"/>
    <w:rsid w:val="00E163C5"/>
    <w:rsid w:val="00E17C72"/>
    <w:rsid w:val="00E21FC6"/>
    <w:rsid w:val="00E34421"/>
    <w:rsid w:val="00E35297"/>
    <w:rsid w:val="00E35958"/>
    <w:rsid w:val="00E37D60"/>
    <w:rsid w:val="00E431A9"/>
    <w:rsid w:val="00E50987"/>
    <w:rsid w:val="00E51DA8"/>
    <w:rsid w:val="00E51DB5"/>
    <w:rsid w:val="00E55771"/>
    <w:rsid w:val="00E64416"/>
    <w:rsid w:val="00E669E2"/>
    <w:rsid w:val="00E70E0E"/>
    <w:rsid w:val="00E72DBF"/>
    <w:rsid w:val="00E74486"/>
    <w:rsid w:val="00E76135"/>
    <w:rsid w:val="00E81B3E"/>
    <w:rsid w:val="00E81F7F"/>
    <w:rsid w:val="00E82F4F"/>
    <w:rsid w:val="00E82F8E"/>
    <w:rsid w:val="00E842D5"/>
    <w:rsid w:val="00E87EFD"/>
    <w:rsid w:val="00E91307"/>
    <w:rsid w:val="00E91B74"/>
    <w:rsid w:val="00E94201"/>
    <w:rsid w:val="00E96BE1"/>
    <w:rsid w:val="00E97CD0"/>
    <w:rsid w:val="00EA078D"/>
    <w:rsid w:val="00EA56B6"/>
    <w:rsid w:val="00EB0185"/>
    <w:rsid w:val="00EB0190"/>
    <w:rsid w:val="00EB256F"/>
    <w:rsid w:val="00EB34BC"/>
    <w:rsid w:val="00EB4819"/>
    <w:rsid w:val="00EB5241"/>
    <w:rsid w:val="00EB625F"/>
    <w:rsid w:val="00EB7A11"/>
    <w:rsid w:val="00EC06F7"/>
    <w:rsid w:val="00EC1488"/>
    <w:rsid w:val="00EC1693"/>
    <w:rsid w:val="00EC2844"/>
    <w:rsid w:val="00EC2FA3"/>
    <w:rsid w:val="00EC4AB8"/>
    <w:rsid w:val="00EC5500"/>
    <w:rsid w:val="00ED0C51"/>
    <w:rsid w:val="00ED43CC"/>
    <w:rsid w:val="00EE1973"/>
    <w:rsid w:val="00EE475D"/>
    <w:rsid w:val="00EE4BD2"/>
    <w:rsid w:val="00EF142D"/>
    <w:rsid w:val="00EF1CE5"/>
    <w:rsid w:val="00EF2CFB"/>
    <w:rsid w:val="00EF4AA1"/>
    <w:rsid w:val="00EF6C6C"/>
    <w:rsid w:val="00EF78D2"/>
    <w:rsid w:val="00F03AEE"/>
    <w:rsid w:val="00F04B7F"/>
    <w:rsid w:val="00F056FC"/>
    <w:rsid w:val="00F0659D"/>
    <w:rsid w:val="00F10476"/>
    <w:rsid w:val="00F135D8"/>
    <w:rsid w:val="00F230E8"/>
    <w:rsid w:val="00F243DF"/>
    <w:rsid w:val="00F25AA8"/>
    <w:rsid w:val="00F267D1"/>
    <w:rsid w:val="00F26D58"/>
    <w:rsid w:val="00F31299"/>
    <w:rsid w:val="00F3264F"/>
    <w:rsid w:val="00F32C6E"/>
    <w:rsid w:val="00F346D9"/>
    <w:rsid w:val="00F3534A"/>
    <w:rsid w:val="00F405A8"/>
    <w:rsid w:val="00F41385"/>
    <w:rsid w:val="00F41936"/>
    <w:rsid w:val="00F4596F"/>
    <w:rsid w:val="00F46196"/>
    <w:rsid w:val="00F50877"/>
    <w:rsid w:val="00F50B4F"/>
    <w:rsid w:val="00F51609"/>
    <w:rsid w:val="00F52080"/>
    <w:rsid w:val="00F52F4D"/>
    <w:rsid w:val="00F54DD0"/>
    <w:rsid w:val="00F562B5"/>
    <w:rsid w:val="00F567A3"/>
    <w:rsid w:val="00F62857"/>
    <w:rsid w:val="00F63897"/>
    <w:rsid w:val="00F64D20"/>
    <w:rsid w:val="00F65D46"/>
    <w:rsid w:val="00F663D5"/>
    <w:rsid w:val="00F664B3"/>
    <w:rsid w:val="00F670A8"/>
    <w:rsid w:val="00F73140"/>
    <w:rsid w:val="00F751B3"/>
    <w:rsid w:val="00F75D72"/>
    <w:rsid w:val="00F8111F"/>
    <w:rsid w:val="00F81BA3"/>
    <w:rsid w:val="00F8243C"/>
    <w:rsid w:val="00F848EE"/>
    <w:rsid w:val="00F85325"/>
    <w:rsid w:val="00F903EE"/>
    <w:rsid w:val="00F93345"/>
    <w:rsid w:val="00F94A96"/>
    <w:rsid w:val="00F96D38"/>
    <w:rsid w:val="00FA202A"/>
    <w:rsid w:val="00FB33F3"/>
    <w:rsid w:val="00FB47B0"/>
    <w:rsid w:val="00FB4E5A"/>
    <w:rsid w:val="00FB578D"/>
    <w:rsid w:val="00FC28FD"/>
    <w:rsid w:val="00FC2FDF"/>
    <w:rsid w:val="00FC486F"/>
    <w:rsid w:val="00FC5535"/>
    <w:rsid w:val="00FC58DF"/>
    <w:rsid w:val="00FC7ED6"/>
    <w:rsid w:val="00FD0D28"/>
    <w:rsid w:val="00FD22B1"/>
    <w:rsid w:val="00FE1609"/>
    <w:rsid w:val="00FE24C6"/>
    <w:rsid w:val="00FE26EC"/>
    <w:rsid w:val="00FE38EF"/>
    <w:rsid w:val="00FF24CC"/>
    <w:rsid w:val="00FF3391"/>
    <w:rsid w:val="00FF5A8E"/>
    <w:rsid w:val="00FF65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caption" w:qFormat="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223BC"/>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NoteChar">
    <w:name w:val="Note Char"/>
    <w:link w:val="Note"/>
    <w:rsid w:val="00666ECE"/>
    <w:rPr>
      <w:rFonts w:ascii="Arial" w:hAnsi="Arial"/>
      <w:sz w:val="18"/>
    </w:rPr>
  </w:style>
  <w:style w:type="character" w:customStyle="1" w:styleId="Heading1Char">
    <w:name w:val="Heading 1 Char"/>
    <w:link w:val="Heading1"/>
    <w:rsid w:val="00666ECE"/>
    <w:rPr>
      <w:sz w:val="52"/>
    </w:rPr>
  </w:style>
  <w:style w:type="character" w:customStyle="1" w:styleId="ChapterChar">
    <w:name w:val="Chapter Char"/>
    <w:basedOn w:val="Heading1Char"/>
    <w:link w:val="Chapter"/>
    <w:rsid w:val="00666ECE"/>
    <w:rPr>
      <w:sz w:val="52"/>
    </w:rPr>
  </w:style>
  <w:style w:type="character" w:customStyle="1" w:styleId="Heading2Char">
    <w:name w:val="Heading 2 Char"/>
    <w:link w:val="Heading2"/>
    <w:rsid w:val="00666ECE"/>
    <w:rPr>
      <w:rFonts w:ascii="Arial" w:hAnsi="Arial"/>
      <w:b/>
      <w:sz w:val="32"/>
    </w:rPr>
  </w:style>
  <w:style w:type="character" w:customStyle="1" w:styleId="Heading3Char">
    <w:name w:val="Heading 3 Char"/>
    <w:link w:val="Heading3"/>
    <w:rsid w:val="00666ECE"/>
    <w:rPr>
      <w:rFonts w:ascii="Arial" w:hAnsi="Arial"/>
      <w:b/>
      <w:sz w:val="26"/>
    </w:rPr>
  </w:style>
  <w:style w:type="character" w:customStyle="1" w:styleId="SourceChar">
    <w:name w:val="Source Char"/>
    <w:link w:val="Source"/>
    <w:rsid w:val="00666ECE"/>
    <w:rPr>
      <w:rFonts w:ascii="Arial" w:hAnsi="Arial"/>
      <w:sz w:val="18"/>
    </w:rPr>
  </w:style>
  <w:style w:type="character" w:customStyle="1" w:styleId="BoxTitleChar">
    <w:name w:val="Box Title Char"/>
    <w:link w:val="BoxTitle"/>
    <w:rsid w:val="00666ECE"/>
    <w:rPr>
      <w:rFonts w:ascii="Arial" w:hAnsi="Arial"/>
      <w:b/>
      <w:sz w:val="24"/>
      <w:szCs w:val="24"/>
    </w:rPr>
  </w:style>
  <w:style w:type="character" w:customStyle="1" w:styleId="BoxChar">
    <w:name w:val="Box Char"/>
    <w:link w:val="Box"/>
    <w:rsid w:val="00666ECE"/>
    <w:rPr>
      <w:rFonts w:ascii="Arial" w:hAnsi="Arial"/>
      <w:sz w:val="22"/>
    </w:rPr>
  </w:style>
  <w:style w:type="character" w:customStyle="1" w:styleId="BoxListBulletChar">
    <w:name w:val="Box List Bullet Char"/>
    <w:link w:val="BoxListBullet"/>
    <w:rsid w:val="00666ECE"/>
    <w:rPr>
      <w:rFonts w:ascii="Arial" w:hAnsi="Arial"/>
      <w:sz w:val="22"/>
    </w:rPr>
  </w:style>
  <w:style w:type="character" w:styleId="Hyperlink">
    <w:name w:val="Hyperlink"/>
    <w:uiPriority w:val="99"/>
    <w:rsid w:val="00666ECE"/>
    <w:rPr>
      <w:color w:val="0000FF"/>
      <w:u w:val="single"/>
    </w:rPr>
  </w:style>
  <w:style w:type="character" w:customStyle="1" w:styleId="Heading4Char">
    <w:name w:val="Heading 4 Char"/>
    <w:link w:val="Heading4"/>
    <w:rsid w:val="00666ECE"/>
    <w:rPr>
      <w:rFonts w:ascii="Arial" w:hAnsi="Arial"/>
      <w:i/>
      <w:sz w:val="24"/>
    </w:rPr>
  </w:style>
  <w:style w:type="character" w:customStyle="1" w:styleId="Heading5Char">
    <w:name w:val="Heading 5 Char"/>
    <w:link w:val="Heading5"/>
    <w:rsid w:val="00666ECE"/>
    <w:rPr>
      <w:i/>
      <w:sz w:val="26"/>
    </w:rPr>
  </w:style>
  <w:style w:type="character" w:customStyle="1" w:styleId="BoxContinuedChar">
    <w:name w:val="Box Continued Char"/>
    <w:link w:val="BoxContinued"/>
    <w:rsid w:val="00666ECE"/>
    <w:rPr>
      <w:rFonts w:ascii="Arial" w:hAnsi="Arial"/>
      <w:sz w:val="18"/>
    </w:rPr>
  </w:style>
  <w:style w:type="table" w:styleId="TableGrid">
    <w:name w:val="Table Grid"/>
    <w:basedOn w:val="TableNormal"/>
    <w:rsid w:val="00666E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BodyTextChar">
    <w:name w:val="Table Body Text Char"/>
    <w:link w:val="TableBodyText"/>
    <w:rsid w:val="00666ECE"/>
    <w:rPr>
      <w:rFonts w:ascii="Arial" w:hAnsi="Arial"/>
    </w:rPr>
  </w:style>
  <w:style w:type="character" w:customStyle="1" w:styleId="ReferenceChar">
    <w:name w:val="Reference Char"/>
    <w:link w:val="Reference"/>
    <w:rsid w:val="00666ECE"/>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666ECE"/>
    <w:rPr>
      <w:sz w:val="26"/>
    </w:rPr>
  </w:style>
  <w:style w:type="character" w:customStyle="1" w:styleId="BoxListNumberChar">
    <w:name w:val="Box List Number Char"/>
    <w:link w:val="BoxListNumber"/>
    <w:rsid w:val="00666ECE"/>
    <w:rPr>
      <w:rFonts w:ascii="Arial" w:hAnsi="Arial"/>
      <w:sz w:val="22"/>
    </w:rPr>
  </w:style>
  <w:style w:type="character" w:customStyle="1" w:styleId="BoxListNumber2Char">
    <w:name w:val="Box List Number 2 Char"/>
    <w:basedOn w:val="BoxListNumberChar"/>
    <w:link w:val="BoxListNumber2"/>
    <w:rsid w:val="00666ECE"/>
    <w:rPr>
      <w:rFonts w:ascii="Arial" w:hAnsi="Arial"/>
      <w:sz w:val="22"/>
    </w:rPr>
  </w:style>
  <w:style w:type="character" w:styleId="FollowedHyperlink">
    <w:name w:val="FollowedHyperlink"/>
    <w:rsid w:val="00666ECE"/>
    <w:rPr>
      <w:color w:val="800080"/>
      <w:u w:val="single"/>
    </w:rPr>
  </w:style>
  <w:style w:type="character" w:customStyle="1" w:styleId="BoxQuoteChar">
    <w:name w:val="Box Quote Char"/>
    <w:link w:val="BoxQuote"/>
    <w:rsid w:val="00666ECE"/>
    <w:rPr>
      <w:rFonts w:ascii="Arial" w:hAnsi="Arial"/>
    </w:rPr>
  </w:style>
  <w:style w:type="paragraph" w:customStyle="1" w:styleId="jurisdictioncommentsbodytext0">
    <w:name w:val="jurisdictioncommentsbodytext"/>
    <w:basedOn w:val="Normal"/>
    <w:rsid w:val="00666ECE"/>
    <w:pPr>
      <w:spacing w:after="140"/>
      <w:jc w:val="both"/>
    </w:pPr>
    <w:rPr>
      <w:rFonts w:ascii="Arial" w:eastAsia="SimSun" w:hAnsi="Arial" w:cs="Arial"/>
      <w:sz w:val="24"/>
      <w:lang w:eastAsia="zh-CN"/>
    </w:rPr>
  </w:style>
  <w:style w:type="character" w:customStyle="1" w:styleId="BoxHeading1Char">
    <w:name w:val="Box Heading 1 Char"/>
    <w:link w:val="BoxHeading1"/>
    <w:rsid w:val="00666ECE"/>
    <w:rPr>
      <w:rFonts w:ascii="Arial" w:hAnsi="Arial"/>
      <w:b/>
      <w:sz w:val="22"/>
    </w:rPr>
  </w:style>
  <w:style w:type="character" w:customStyle="1" w:styleId="BoxHeading2Char">
    <w:name w:val="Box Heading 2 Char"/>
    <w:link w:val="BoxHeading2"/>
    <w:rsid w:val="00666ECE"/>
    <w:rPr>
      <w:rFonts w:ascii="Arial" w:hAnsi="Arial"/>
      <w:i/>
      <w:sz w:val="22"/>
    </w:rPr>
  </w:style>
  <w:style w:type="character" w:customStyle="1" w:styleId="ListBulletChar">
    <w:name w:val="List Bullet Char"/>
    <w:aliases w:val="List Bullet Char1 Char,List Bullet Char Char Char,List Bullet Char1 Char Char Char,List Bullet1 Char"/>
    <w:basedOn w:val="BodyTextChar"/>
    <w:link w:val="ListBullet"/>
    <w:rsid w:val="00666ECE"/>
    <w:rPr>
      <w:sz w:val="26"/>
    </w:rPr>
  </w:style>
  <w:style w:type="character" w:customStyle="1" w:styleId="CommentTextChar">
    <w:name w:val="Comment Text Char"/>
    <w:link w:val="CommentText"/>
    <w:semiHidden/>
    <w:rsid w:val="00666ECE"/>
    <w:rPr>
      <w:szCs w:val="24"/>
    </w:rPr>
  </w:style>
  <w:style w:type="paragraph" w:styleId="NormalWeb">
    <w:name w:val="Normal (Web)"/>
    <w:basedOn w:val="Normal"/>
    <w:uiPriority w:val="99"/>
    <w:unhideWhenUsed/>
    <w:rsid w:val="00B410A0"/>
    <w:pPr>
      <w:spacing w:before="100" w:beforeAutospacing="1" w:after="100" w:afterAutospacing="1"/>
    </w:pPr>
    <w:rPr>
      <w:rFonts w:eastAsiaTheme="minorHAnsi"/>
      <w:sz w:val="24"/>
    </w:rPr>
  </w:style>
  <w:style w:type="paragraph" w:styleId="CommentSubject">
    <w:name w:val="annotation subject"/>
    <w:basedOn w:val="CommentText"/>
    <w:next w:val="CommentText"/>
    <w:link w:val="CommentSubjectChar"/>
    <w:rsid w:val="00DF3C6E"/>
    <w:pPr>
      <w:spacing w:before="0" w:line="240" w:lineRule="auto"/>
      <w:ind w:left="0" w:firstLine="0"/>
    </w:pPr>
    <w:rPr>
      <w:b/>
      <w:bCs/>
      <w:szCs w:val="20"/>
    </w:rPr>
  </w:style>
  <w:style w:type="character" w:customStyle="1" w:styleId="CommentSubjectChar">
    <w:name w:val="Comment Subject Char"/>
    <w:basedOn w:val="CommentTextChar"/>
    <w:link w:val="CommentSubject"/>
    <w:rsid w:val="00DF3C6E"/>
    <w:rPr>
      <w:b/>
      <w:bCs/>
      <w:szCs w:val="24"/>
    </w:rPr>
  </w:style>
  <w:style w:type="paragraph" w:customStyle="1" w:styleId="Default">
    <w:name w:val="Default"/>
    <w:basedOn w:val="Normal"/>
    <w:rsid w:val="00976D0E"/>
    <w:pPr>
      <w:autoSpaceDE w:val="0"/>
      <w:autoSpaceDN w:val="0"/>
    </w:pPr>
    <w:rPr>
      <w:rFonts w:ascii="Arial" w:eastAsiaTheme="minorHAnsi" w:hAnsi="Arial" w:cs="Arial"/>
      <w:color w:val="000000"/>
      <w:sz w:val="24"/>
    </w:rPr>
  </w:style>
  <w:style w:type="character" w:customStyle="1" w:styleId="FootnoteTextChar">
    <w:name w:val="Footnote Text Char"/>
    <w:basedOn w:val="DefaultParagraphFont"/>
    <w:link w:val="FootnoteText"/>
    <w:uiPriority w:val="99"/>
    <w:rsid w:val="0041139D"/>
    <w:rPr>
      <w:sz w:val="22"/>
    </w:rPr>
  </w:style>
  <w:style w:type="paragraph" w:styleId="ListParagraph">
    <w:name w:val="List Paragraph"/>
    <w:basedOn w:val="Normal"/>
    <w:uiPriority w:val="34"/>
    <w:rsid w:val="009B66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caption" w:qFormat="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223BC"/>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NoteChar">
    <w:name w:val="Note Char"/>
    <w:link w:val="Note"/>
    <w:rsid w:val="00666ECE"/>
    <w:rPr>
      <w:rFonts w:ascii="Arial" w:hAnsi="Arial"/>
      <w:sz w:val="18"/>
    </w:rPr>
  </w:style>
  <w:style w:type="character" w:customStyle="1" w:styleId="Heading1Char">
    <w:name w:val="Heading 1 Char"/>
    <w:link w:val="Heading1"/>
    <w:rsid w:val="00666ECE"/>
    <w:rPr>
      <w:sz w:val="52"/>
    </w:rPr>
  </w:style>
  <w:style w:type="character" w:customStyle="1" w:styleId="ChapterChar">
    <w:name w:val="Chapter Char"/>
    <w:basedOn w:val="Heading1Char"/>
    <w:link w:val="Chapter"/>
    <w:rsid w:val="00666ECE"/>
    <w:rPr>
      <w:sz w:val="52"/>
    </w:rPr>
  </w:style>
  <w:style w:type="character" w:customStyle="1" w:styleId="Heading2Char">
    <w:name w:val="Heading 2 Char"/>
    <w:link w:val="Heading2"/>
    <w:rsid w:val="00666ECE"/>
    <w:rPr>
      <w:rFonts w:ascii="Arial" w:hAnsi="Arial"/>
      <w:b/>
      <w:sz w:val="32"/>
    </w:rPr>
  </w:style>
  <w:style w:type="character" w:customStyle="1" w:styleId="Heading3Char">
    <w:name w:val="Heading 3 Char"/>
    <w:link w:val="Heading3"/>
    <w:rsid w:val="00666ECE"/>
    <w:rPr>
      <w:rFonts w:ascii="Arial" w:hAnsi="Arial"/>
      <w:b/>
      <w:sz w:val="26"/>
    </w:rPr>
  </w:style>
  <w:style w:type="character" w:customStyle="1" w:styleId="SourceChar">
    <w:name w:val="Source Char"/>
    <w:link w:val="Source"/>
    <w:rsid w:val="00666ECE"/>
    <w:rPr>
      <w:rFonts w:ascii="Arial" w:hAnsi="Arial"/>
      <w:sz w:val="18"/>
    </w:rPr>
  </w:style>
  <w:style w:type="character" w:customStyle="1" w:styleId="BoxTitleChar">
    <w:name w:val="Box Title Char"/>
    <w:link w:val="BoxTitle"/>
    <w:rsid w:val="00666ECE"/>
    <w:rPr>
      <w:rFonts w:ascii="Arial" w:hAnsi="Arial"/>
      <w:b/>
      <w:sz w:val="24"/>
      <w:szCs w:val="24"/>
    </w:rPr>
  </w:style>
  <w:style w:type="character" w:customStyle="1" w:styleId="BoxChar">
    <w:name w:val="Box Char"/>
    <w:link w:val="Box"/>
    <w:rsid w:val="00666ECE"/>
    <w:rPr>
      <w:rFonts w:ascii="Arial" w:hAnsi="Arial"/>
      <w:sz w:val="22"/>
    </w:rPr>
  </w:style>
  <w:style w:type="character" w:customStyle="1" w:styleId="BoxListBulletChar">
    <w:name w:val="Box List Bullet Char"/>
    <w:link w:val="BoxListBullet"/>
    <w:rsid w:val="00666ECE"/>
    <w:rPr>
      <w:rFonts w:ascii="Arial" w:hAnsi="Arial"/>
      <w:sz w:val="22"/>
    </w:rPr>
  </w:style>
  <w:style w:type="character" w:styleId="Hyperlink">
    <w:name w:val="Hyperlink"/>
    <w:uiPriority w:val="99"/>
    <w:rsid w:val="00666ECE"/>
    <w:rPr>
      <w:color w:val="0000FF"/>
      <w:u w:val="single"/>
    </w:rPr>
  </w:style>
  <w:style w:type="character" w:customStyle="1" w:styleId="Heading4Char">
    <w:name w:val="Heading 4 Char"/>
    <w:link w:val="Heading4"/>
    <w:rsid w:val="00666ECE"/>
    <w:rPr>
      <w:rFonts w:ascii="Arial" w:hAnsi="Arial"/>
      <w:i/>
      <w:sz w:val="24"/>
    </w:rPr>
  </w:style>
  <w:style w:type="character" w:customStyle="1" w:styleId="Heading5Char">
    <w:name w:val="Heading 5 Char"/>
    <w:link w:val="Heading5"/>
    <w:rsid w:val="00666ECE"/>
    <w:rPr>
      <w:i/>
      <w:sz w:val="26"/>
    </w:rPr>
  </w:style>
  <w:style w:type="character" w:customStyle="1" w:styleId="BoxContinuedChar">
    <w:name w:val="Box Continued Char"/>
    <w:link w:val="BoxContinued"/>
    <w:rsid w:val="00666ECE"/>
    <w:rPr>
      <w:rFonts w:ascii="Arial" w:hAnsi="Arial"/>
      <w:sz w:val="18"/>
    </w:rPr>
  </w:style>
  <w:style w:type="table" w:styleId="TableGrid">
    <w:name w:val="Table Grid"/>
    <w:basedOn w:val="TableNormal"/>
    <w:rsid w:val="00666E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BodyTextChar">
    <w:name w:val="Table Body Text Char"/>
    <w:link w:val="TableBodyText"/>
    <w:rsid w:val="00666ECE"/>
    <w:rPr>
      <w:rFonts w:ascii="Arial" w:hAnsi="Arial"/>
    </w:rPr>
  </w:style>
  <w:style w:type="character" w:customStyle="1" w:styleId="ReferenceChar">
    <w:name w:val="Reference Char"/>
    <w:link w:val="Reference"/>
    <w:rsid w:val="00666ECE"/>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666ECE"/>
    <w:rPr>
      <w:sz w:val="26"/>
    </w:rPr>
  </w:style>
  <w:style w:type="character" w:customStyle="1" w:styleId="BoxListNumberChar">
    <w:name w:val="Box List Number Char"/>
    <w:link w:val="BoxListNumber"/>
    <w:rsid w:val="00666ECE"/>
    <w:rPr>
      <w:rFonts w:ascii="Arial" w:hAnsi="Arial"/>
      <w:sz w:val="22"/>
    </w:rPr>
  </w:style>
  <w:style w:type="character" w:customStyle="1" w:styleId="BoxListNumber2Char">
    <w:name w:val="Box List Number 2 Char"/>
    <w:basedOn w:val="BoxListNumberChar"/>
    <w:link w:val="BoxListNumber2"/>
    <w:rsid w:val="00666ECE"/>
    <w:rPr>
      <w:rFonts w:ascii="Arial" w:hAnsi="Arial"/>
      <w:sz w:val="22"/>
    </w:rPr>
  </w:style>
  <w:style w:type="character" w:styleId="FollowedHyperlink">
    <w:name w:val="FollowedHyperlink"/>
    <w:rsid w:val="00666ECE"/>
    <w:rPr>
      <w:color w:val="800080"/>
      <w:u w:val="single"/>
    </w:rPr>
  </w:style>
  <w:style w:type="character" w:customStyle="1" w:styleId="BoxQuoteChar">
    <w:name w:val="Box Quote Char"/>
    <w:link w:val="BoxQuote"/>
    <w:rsid w:val="00666ECE"/>
    <w:rPr>
      <w:rFonts w:ascii="Arial" w:hAnsi="Arial"/>
    </w:rPr>
  </w:style>
  <w:style w:type="paragraph" w:customStyle="1" w:styleId="jurisdictioncommentsbodytext0">
    <w:name w:val="jurisdictioncommentsbodytext"/>
    <w:basedOn w:val="Normal"/>
    <w:rsid w:val="00666ECE"/>
    <w:pPr>
      <w:spacing w:after="140"/>
      <w:jc w:val="both"/>
    </w:pPr>
    <w:rPr>
      <w:rFonts w:ascii="Arial" w:eastAsia="SimSun" w:hAnsi="Arial" w:cs="Arial"/>
      <w:sz w:val="24"/>
      <w:lang w:eastAsia="zh-CN"/>
    </w:rPr>
  </w:style>
  <w:style w:type="character" w:customStyle="1" w:styleId="BoxHeading1Char">
    <w:name w:val="Box Heading 1 Char"/>
    <w:link w:val="BoxHeading1"/>
    <w:rsid w:val="00666ECE"/>
    <w:rPr>
      <w:rFonts w:ascii="Arial" w:hAnsi="Arial"/>
      <w:b/>
      <w:sz w:val="22"/>
    </w:rPr>
  </w:style>
  <w:style w:type="character" w:customStyle="1" w:styleId="BoxHeading2Char">
    <w:name w:val="Box Heading 2 Char"/>
    <w:link w:val="BoxHeading2"/>
    <w:rsid w:val="00666ECE"/>
    <w:rPr>
      <w:rFonts w:ascii="Arial" w:hAnsi="Arial"/>
      <w:i/>
      <w:sz w:val="22"/>
    </w:rPr>
  </w:style>
  <w:style w:type="character" w:customStyle="1" w:styleId="ListBulletChar">
    <w:name w:val="List Bullet Char"/>
    <w:aliases w:val="List Bullet Char1 Char,List Bullet Char Char Char,List Bullet Char1 Char Char Char,List Bullet1 Char"/>
    <w:basedOn w:val="BodyTextChar"/>
    <w:link w:val="ListBullet"/>
    <w:rsid w:val="00666ECE"/>
    <w:rPr>
      <w:sz w:val="26"/>
    </w:rPr>
  </w:style>
  <w:style w:type="character" w:customStyle="1" w:styleId="CommentTextChar">
    <w:name w:val="Comment Text Char"/>
    <w:link w:val="CommentText"/>
    <w:semiHidden/>
    <w:rsid w:val="00666ECE"/>
    <w:rPr>
      <w:szCs w:val="24"/>
    </w:rPr>
  </w:style>
  <w:style w:type="paragraph" w:styleId="NormalWeb">
    <w:name w:val="Normal (Web)"/>
    <w:basedOn w:val="Normal"/>
    <w:uiPriority w:val="99"/>
    <w:unhideWhenUsed/>
    <w:rsid w:val="00B410A0"/>
    <w:pPr>
      <w:spacing w:before="100" w:beforeAutospacing="1" w:after="100" w:afterAutospacing="1"/>
    </w:pPr>
    <w:rPr>
      <w:rFonts w:eastAsiaTheme="minorHAnsi"/>
      <w:sz w:val="24"/>
    </w:rPr>
  </w:style>
  <w:style w:type="paragraph" w:styleId="CommentSubject">
    <w:name w:val="annotation subject"/>
    <w:basedOn w:val="CommentText"/>
    <w:next w:val="CommentText"/>
    <w:link w:val="CommentSubjectChar"/>
    <w:rsid w:val="00DF3C6E"/>
    <w:pPr>
      <w:spacing w:before="0" w:line="240" w:lineRule="auto"/>
      <w:ind w:left="0" w:firstLine="0"/>
    </w:pPr>
    <w:rPr>
      <w:b/>
      <w:bCs/>
      <w:szCs w:val="20"/>
    </w:rPr>
  </w:style>
  <w:style w:type="character" w:customStyle="1" w:styleId="CommentSubjectChar">
    <w:name w:val="Comment Subject Char"/>
    <w:basedOn w:val="CommentTextChar"/>
    <w:link w:val="CommentSubject"/>
    <w:rsid w:val="00DF3C6E"/>
    <w:rPr>
      <w:b/>
      <w:bCs/>
      <w:szCs w:val="24"/>
    </w:rPr>
  </w:style>
  <w:style w:type="paragraph" w:customStyle="1" w:styleId="Default">
    <w:name w:val="Default"/>
    <w:basedOn w:val="Normal"/>
    <w:rsid w:val="00976D0E"/>
    <w:pPr>
      <w:autoSpaceDE w:val="0"/>
      <w:autoSpaceDN w:val="0"/>
    </w:pPr>
    <w:rPr>
      <w:rFonts w:ascii="Arial" w:eastAsiaTheme="minorHAnsi" w:hAnsi="Arial" w:cs="Arial"/>
      <w:color w:val="000000"/>
      <w:sz w:val="24"/>
    </w:rPr>
  </w:style>
  <w:style w:type="character" w:customStyle="1" w:styleId="FootnoteTextChar">
    <w:name w:val="Footnote Text Char"/>
    <w:basedOn w:val="DefaultParagraphFont"/>
    <w:link w:val="FootnoteText"/>
    <w:uiPriority w:val="99"/>
    <w:rsid w:val="0041139D"/>
    <w:rPr>
      <w:sz w:val="22"/>
    </w:rPr>
  </w:style>
  <w:style w:type="paragraph" w:styleId="ListParagraph">
    <w:name w:val="List Paragraph"/>
    <w:basedOn w:val="Normal"/>
    <w:uiPriority w:val="34"/>
    <w:rsid w:val="009B66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8982">
      <w:bodyDiv w:val="1"/>
      <w:marLeft w:val="0"/>
      <w:marRight w:val="0"/>
      <w:marTop w:val="0"/>
      <w:marBottom w:val="0"/>
      <w:divBdr>
        <w:top w:val="none" w:sz="0" w:space="0" w:color="auto"/>
        <w:left w:val="none" w:sz="0" w:space="0" w:color="auto"/>
        <w:bottom w:val="none" w:sz="0" w:space="0" w:color="auto"/>
        <w:right w:val="none" w:sz="0" w:space="0" w:color="auto"/>
      </w:divBdr>
    </w:div>
    <w:div w:id="48578010">
      <w:bodyDiv w:val="1"/>
      <w:marLeft w:val="0"/>
      <w:marRight w:val="0"/>
      <w:marTop w:val="0"/>
      <w:marBottom w:val="0"/>
      <w:divBdr>
        <w:top w:val="none" w:sz="0" w:space="0" w:color="auto"/>
        <w:left w:val="none" w:sz="0" w:space="0" w:color="auto"/>
        <w:bottom w:val="none" w:sz="0" w:space="0" w:color="auto"/>
        <w:right w:val="none" w:sz="0" w:space="0" w:color="auto"/>
      </w:divBdr>
    </w:div>
    <w:div w:id="289476269">
      <w:bodyDiv w:val="1"/>
      <w:marLeft w:val="0"/>
      <w:marRight w:val="0"/>
      <w:marTop w:val="0"/>
      <w:marBottom w:val="0"/>
      <w:divBdr>
        <w:top w:val="none" w:sz="0" w:space="0" w:color="auto"/>
        <w:left w:val="none" w:sz="0" w:space="0" w:color="auto"/>
        <w:bottom w:val="none" w:sz="0" w:space="0" w:color="auto"/>
        <w:right w:val="none" w:sz="0" w:space="0" w:color="auto"/>
      </w:divBdr>
    </w:div>
    <w:div w:id="308947440">
      <w:bodyDiv w:val="1"/>
      <w:marLeft w:val="0"/>
      <w:marRight w:val="0"/>
      <w:marTop w:val="0"/>
      <w:marBottom w:val="0"/>
      <w:divBdr>
        <w:top w:val="none" w:sz="0" w:space="0" w:color="auto"/>
        <w:left w:val="none" w:sz="0" w:space="0" w:color="auto"/>
        <w:bottom w:val="none" w:sz="0" w:space="0" w:color="auto"/>
        <w:right w:val="none" w:sz="0" w:space="0" w:color="auto"/>
      </w:divBdr>
    </w:div>
    <w:div w:id="321930236">
      <w:bodyDiv w:val="1"/>
      <w:marLeft w:val="0"/>
      <w:marRight w:val="0"/>
      <w:marTop w:val="0"/>
      <w:marBottom w:val="0"/>
      <w:divBdr>
        <w:top w:val="none" w:sz="0" w:space="0" w:color="auto"/>
        <w:left w:val="none" w:sz="0" w:space="0" w:color="auto"/>
        <w:bottom w:val="none" w:sz="0" w:space="0" w:color="auto"/>
        <w:right w:val="none" w:sz="0" w:space="0" w:color="auto"/>
      </w:divBdr>
      <w:divsChild>
        <w:div w:id="936402691">
          <w:marLeft w:val="0"/>
          <w:marRight w:val="0"/>
          <w:marTop w:val="0"/>
          <w:marBottom w:val="0"/>
          <w:divBdr>
            <w:top w:val="none" w:sz="0" w:space="0" w:color="auto"/>
            <w:left w:val="none" w:sz="0" w:space="0" w:color="auto"/>
            <w:bottom w:val="none" w:sz="0" w:space="0" w:color="auto"/>
            <w:right w:val="none" w:sz="0" w:space="0" w:color="auto"/>
          </w:divBdr>
          <w:divsChild>
            <w:div w:id="1412040302">
              <w:marLeft w:val="0"/>
              <w:marRight w:val="0"/>
              <w:marTop w:val="0"/>
              <w:marBottom w:val="0"/>
              <w:divBdr>
                <w:top w:val="none" w:sz="0" w:space="0" w:color="auto"/>
                <w:left w:val="none" w:sz="0" w:space="0" w:color="auto"/>
                <w:bottom w:val="none" w:sz="0" w:space="0" w:color="auto"/>
                <w:right w:val="none" w:sz="0" w:space="0" w:color="auto"/>
              </w:divBdr>
              <w:divsChild>
                <w:div w:id="30227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338173">
      <w:bodyDiv w:val="1"/>
      <w:marLeft w:val="0"/>
      <w:marRight w:val="0"/>
      <w:marTop w:val="0"/>
      <w:marBottom w:val="0"/>
      <w:divBdr>
        <w:top w:val="none" w:sz="0" w:space="0" w:color="auto"/>
        <w:left w:val="none" w:sz="0" w:space="0" w:color="auto"/>
        <w:bottom w:val="none" w:sz="0" w:space="0" w:color="auto"/>
        <w:right w:val="none" w:sz="0" w:space="0" w:color="auto"/>
      </w:divBdr>
    </w:div>
    <w:div w:id="383215548">
      <w:bodyDiv w:val="1"/>
      <w:marLeft w:val="0"/>
      <w:marRight w:val="0"/>
      <w:marTop w:val="0"/>
      <w:marBottom w:val="0"/>
      <w:divBdr>
        <w:top w:val="none" w:sz="0" w:space="0" w:color="auto"/>
        <w:left w:val="none" w:sz="0" w:space="0" w:color="auto"/>
        <w:bottom w:val="none" w:sz="0" w:space="0" w:color="auto"/>
        <w:right w:val="none" w:sz="0" w:space="0" w:color="auto"/>
      </w:divBdr>
    </w:div>
    <w:div w:id="383261610">
      <w:bodyDiv w:val="1"/>
      <w:marLeft w:val="0"/>
      <w:marRight w:val="0"/>
      <w:marTop w:val="0"/>
      <w:marBottom w:val="0"/>
      <w:divBdr>
        <w:top w:val="none" w:sz="0" w:space="0" w:color="auto"/>
        <w:left w:val="none" w:sz="0" w:space="0" w:color="auto"/>
        <w:bottom w:val="none" w:sz="0" w:space="0" w:color="auto"/>
        <w:right w:val="none" w:sz="0" w:space="0" w:color="auto"/>
      </w:divBdr>
    </w:div>
    <w:div w:id="489370254">
      <w:bodyDiv w:val="1"/>
      <w:marLeft w:val="0"/>
      <w:marRight w:val="0"/>
      <w:marTop w:val="0"/>
      <w:marBottom w:val="0"/>
      <w:divBdr>
        <w:top w:val="none" w:sz="0" w:space="0" w:color="auto"/>
        <w:left w:val="none" w:sz="0" w:space="0" w:color="auto"/>
        <w:bottom w:val="none" w:sz="0" w:space="0" w:color="auto"/>
        <w:right w:val="none" w:sz="0" w:space="0" w:color="auto"/>
      </w:divBdr>
    </w:div>
    <w:div w:id="513883359">
      <w:bodyDiv w:val="1"/>
      <w:marLeft w:val="0"/>
      <w:marRight w:val="0"/>
      <w:marTop w:val="0"/>
      <w:marBottom w:val="0"/>
      <w:divBdr>
        <w:top w:val="none" w:sz="0" w:space="0" w:color="auto"/>
        <w:left w:val="none" w:sz="0" w:space="0" w:color="auto"/>
        <w:bottom w:val="none" w:sz="0" w:space="0" w:color="auto"/>
        <w:right w:val="none" w:sz="0" w:space="0" w:color="auto"/>
      </w:divBdr>
    </w:div>
    <w:div w:id="539362584">
      <w:bodyDiv w:val="1"/>
      <w:marLeft w:val="0"/>
      <w:marRight w:val="0"/>
      <w:marTop w:val="0"/>
      <w:marBottom w:val="0"/>
      <w:divBdr>
        <w:top w:val="none" w:sz="0" w:space="0" w:color="auto"/>
        <w:left w:val="none" w:sz="0" w:space="0" w:color="auto"/>
        <w:bottom w:val="none" w:sz="0" w:space="0" w:color="auto"/>
        <w:right w:val="none" w:sz="0" w:space="0" w:color="auto"/>
      </w:divBdr>
    </w:div>
    <w:div w:id="587033485">
      <w:bodyDiv w:val="1"/>
      <w:marLeft w:val="0"/>
      <w:marRight w:val="0"/>
      <w:marTop w:val="0"/>
      <w:marBottom w:val="0"/>
      <w:divBdr>
        <w:top w:val="none" w:sz="0" w:space="0" w:color="auto"/>
        <w:left w:val="none" w:sz="0" w:space="0" w:color="auto"/>
        <w:bottom w:val="none" w:sz="0" w:space="0" w:color="auto"/>
        <w:right w:val="none" w:sz="0" w:space="0" w:color="auto"/>
      </w:divBdr>
    </w:div>
    <w:div w:id="599067387">
      <w:bodyDiv w:val="1"/>
      <w:marLeft w:val="0"/>
      <w:marRight w:val="0"/>
      <w:marTop w:val="0"/>
      <w:marBottom w:val="0"/>
      <w:divBdr>
        <w:top w:val="none" w:sz="0" w:space="0" w:color="auto"/>
        <w:left w:val="none" w:sz="0" w:space="0" w:color="auto"/>
        <w:bottom w:val="none" w:sz="0" w:space="0" w:color="auto"/>
        <w:right w:val="none" w:sz="0" w:space="0" w:color="auto"/>
      </w:divBdr>
    </w:div>
    <w:div w:id="628512741">
      <w:bodyDiv w:val="1"/>
      <w:marLeft w:val="0"/>
      <w:marRight w:val="0"/>
      <w:marTop w:val="0"/>
      <w:marBottom w:val="0"/>
      <w:divBdr>
        <w:top w:val="none" w:sz="0" w:space="0" w:color="auto"/>
        <w:left w:val="none" w:sz="0" w:space="0" w:color="auto"/>
        <w:bottom w:val="none" w:sz="0" w:space="0" w:color="auto"/>
        <w:right w:val="none" w:sz="0" w:space="0" w:color="auto"/>
      </w:divBdr>
    </w:div>
    <w:div w:id="679547479">
      <w:bodyDiv w:val="1"/>
      <w:marLeft w:val="0"/>
      <w:marRight w:val="0"/>
      <w:marTop w:val="0"/>
      <w:marBottom w:val="0"/>
      <w:divBdr>
        <w:top w:val="none" w:sz="0" w:space="0" w:color="auto"/>
        <w:left w:val="none" w:sz="0" w:space="0" w:color="auto"/>
        <w:bottom w:val="none" w:sz="0" w:space="0" w:color="auto"/>
        <w:right w:val="none" w:sz="0" w:space="0" w:color="auto"/>
      </w:divBdr>
    </w:div>
    <w:div w:id="751126342">
      <w:bodyDiv w:val="1"/>
      <w:marLeft w:val="0"/>
      <w:marRight w:val="0"/>
      <w:marTop w:val="0"/>
      <w:marBottom w:val="0"/>
      <w:divBdr>
        <w:top w:val="none" w:sz="0" w:space="0" w:color="auto"/>
        <w:left w:val="none" w:sz="0" w:space="0" w:color="auto"/>
        <w:bottom w:val="none" w:sz="0" w:space="0" w:color="auto"/>
        <w:right w:val="none" w:sz="0" w:space="0" w:color="auto"/>
      </w:divBdr>
    </w:div>
    <w:div w:id="772626035">
      <w:bodyDiv w:val="1"/>
      <w:marLeft w:val="0"/>
      <w:marRight w:val="0"/>
      <w:marTop w:val="0"/>
      <w:marBottom w:val="0"/>
      <w:divBdr>
        <w:top w:val="none" w:sz="0" w:space="0" w:color="auto"/>
        <w:left w:val="none" w:sz="0" w:space="0" w:color="auto"/>
        <w:bottom w:val="none" w:sz="0" w:space="0" w:color="auto"/>
        <w:right w:val="none" w:sz="0" w:space="0" w:color="auto"/>
      </w:divBdr>
    </w:div>
    <w:div w:id="780759897">
      <w:bodyDiv w:val="1"/>
      <w:marLeft w:val="0"/>
      <w:marRight w:val="0"/>
      <w:marTop w:val="0"/>
      <w:marBottom w:val="0"/>
      <w:divBdr>
        <w:top w:val="none" w:sz="0" w:space="0" w:color="auto"/>
        <w:left w:val="none" w:sz="0" w:space="0" w:color="auto"/>
        <w:bottom w:val="none" w:sz="0" w:space="0" w:color="auto"/>
        <w:right w:val="none" w:sz="0" w:space="0" w:color="auto"/>
      </w:divBdr>
    </w:div>
    <w:div w:id="875970278">
      <w:bodyDiv w:val="1"/>
      <w:marLeft w:val="0"/>
      <w:marRight w:val="0"/>
      <w:marTop w:val="0"/>
      <w:marBottom w:val="0"/>
      <w:divBdr>
        <w:top w:val="none" w:sz="0" w:space="0" w:color="auto"/>
        <w:left w:val="none" w:sz="0" w:space="0" w:color="auto"/>
        <w:bottom w:val="none" w:sz="0" w:space="0" w:color="auto"/>
        <w:right w:val="none" w:sz="0" w:space="0" w:color="auto"/>
      </w:divBdr>
    </w:div>
    <w:div w:id="909845487">
      <w:bodyDiv w:val="1"/>
      <w:marLeft w:val="0"/>
      <w:marRight w:val="0"/>
      <w:marTop w:val="0"/>
      <w:marBottom w:val="0"/>
      <w:divBdr>
        <w:top w:val="none" w:sz="0" w:space="0" w:color="auto"/>
        <w:left w:val="none" w:sz="0" w:space="0" w:color="auto"/>
        <w:bottom w:val="none" w:sz="0" w:space="0" w:color="auto"/>
        <w:right w:val="none" w:sz="0" w:space="0" w:color="auto"/>
      </w:divBdr>
    </w:div>
    <w:div w:id="986975300">
      <w:bodyDiv w:val="1"/>
      <w:marLeft w:val="0"/>
      <w:marRight w:val="0"/>
      <w:marTop w:val="0"/>
      <w:marBottom w:val="0"/>
      <w:divBdr>
        <w:top w:val="none" w:sz="0" w:space="0" w:color="auto"/>
        <w:left w:val="none" w:sz="0" w:space="0" w:color="auto"/>
        <w:bottom w:val="none" w:sz="0" w:space="0" w:color="auto"/>
        <w:right w:val="none" w:sz="0" w:space="0" w:color="auto"/>
      </w:divBdr>
    </w:div>
    <w:div w:id="990446169">
      <w:bodyDiv w:val="1"/>
      <w:marLeft w:val="0"/>
      <w:marRight w:val="0"/>
      <w:marTop w:val="0"/>
      <w:marBottom w:val="0"/>
      <w:divBdr>
        <w:top w:val="none" w:sz="0" w:space="0" w:color="auto"/>
        <w:left w:val="none" w:sz="0" w:space="0" w:color="auto"/>
        <w:bottom w:val="none" w:sz="0" w:space="0" w:color="auto"/>
        <w:right w:val="none" w:sz="0" w:space="0" w:color="auto"/>
      </w:divBdr>
    </w:div>
    <w:div w:id="1006522040">
      <w:bodyDiv w:val="1"/>
      <w:marLeft w:val="0"/>
      <w:marRight w:val="0"/>
      <w:marTop w:val="0"/>
      <w:marBottom w:val="0"/>
      <w:divBdr>
        <w:top w:val="none" w:sz="0" w:space="0" w:color="auto"/>
        <w:left w:val="none" w:sz="0" w:space="0" w:color="auto"/>
        <w:bottom w:val="none" w:sz="0" w:space="0" w:color="auto"/>
        <w:right w:val="none" w:sz="0" w:space="0" w:color="auto"/>
      </w:divBdr>
    </w:div>
    <w:div w:id="1065226333">
      <w:bodyDiv w:val="1"/>
      <w:marLeft w:val="0"/>
      <w:marRight w:val="0"/>
      <w:marTop w:val="0"/>
      <w:marBottom w:val="0"/>
      <w:divBdr>
        <w:top w:val="none" w:sz="0" w:space="0" w:color="auto"/>
        <w:left w:val="none" w:sz="0" w:space="0" w:color="auto"/>
        <w:bottom w:val="none" w:sz="0" w:space="0" w:color="auto"/>
        <w:right w:val="none" w:sz="0" w:space="0" w:color="auto"/>
      </w:divBdr>
    </w:div>
    <w:div w:id="1130900208">
      <w:bodyDiv w:val="1"/>
      <w:marLeft w:val="0"/>
      <w:marRight w:val="0"/>
      <w:marTop w:val="0"/>
      <w:marBottom w:val="0"/>
      <w:divBdr>
        <w:top w:val="none" w:sz="0" w:space="0" w:color="auto"/>
        <w:left w:val="none" w:sz="0" w:space="0" w:color="auto"/>
        <w:bottom w:val="none" w:sz="0" w:space="0" w:color="auto"/>
        <w:right w:val="none" w:sz="0" w:space="0" w:color="auto"/>
      </w:divBdr>
    </w:div>
    <w:div w:id="1248076305">
      <w:bodyDiv w:val="1"/>
      <w:marLeft w:val="0"/>
      <w:marRight w:val="0"/>
      <w:marTop w:val="0"/>
      <w:marBottom w:val="0"/>
      <w:divBdr>
        <w:top w:val="none" w:sz="0" w:space="0" w:color="auto"/>
        <w:left w:val="none" w:sz="0" w:space="0" w:color="auto"/>
        <w:bottom w:val="none" w:sz="0" w:space="0" w:color="auto"/>
        <w:right w:val="none" w:sz="0" w:space="0" w:color="auto"/>
      </w:divBdr>
    </w:div>
    <w:div w:id="1256552323">
      <w:bodyDiv w:val="1"/>
      <w:marLeft w:val="0"/>
      <w:marRight w:val="0"/>
      <w:marTop w:val="0"/>
      <w:marBottom w:val="0"/>
      <w:divBdr>
        <w:top w:val="none" w:sz="0" w:space="0" w:color="auto"/>
        <w:left w:val="none" w:sz="0" w:space="0" w:color="auto"/>
        <w:bottom w:val="none" w:sz="0" w:space="0" w:color="auto"/>
        <w:right w:val="none" w:sz="0" w:space="0" w:color="auto"/>
      </w:divBdr>
    </w:div>
    <w:div w:id="1529567643">
      <w:bodyDiv w:val="1"/>
      <w:marLeft w:val="0"/>
      <w:marRight w:val="0"/>
      <w:marTop w:val="0"/>
      <w:marBottom w:val="0"/>
      <w:divBdr>
        <w:top w:val="none" w:sz="0" w:space="0" w:color="auto"/>
        <w:left w:val="none" w:sz="0" w:space="0" w:color="auto"/>
        <w:bottom w:val="none" w:sz="0" w:space="0" w:color="auto"/>
        <w:right w:val="none" w:sz="0" w:space="0" w:color="auto"/>
      </w:divBdr>
    </w:div>
    <w:div w:id="1596788569">
      <w:bodyDiv w:val="1"/>
      <w:marLeft w:val="0"/>
      <w:marRight w:val="0"/>
      <w:marTop w:val="0"/>
      <w:marBottom w:val="0"/>
      <w:divBdr>
        <w:top w:val="none" w:sz="0" w:space="0" w:color="auto"/>
        <w:left w:val="none" w:sz="0" w:space="0" w:color="auto"/>
        <w:bottom w:val="none" w:sz="0" w:space="0" w:color="auto"/>
        <w:right w:val="none" w:sz="0" w:space="0" w:color="auto"/>
      </w:divBdr>
    </w:div>
    <w:div w:id="1609043983">
      <w:bodyDiv w:val="1"/>
      <w:marLeft w:val="0"/>
      <w:marRight w:val="0"/>
      <w:marTop w:val="0"/>
      <w:marBottom w:val="0"/>
      <w:divBdr>
        <w:top w:val="none" w:sz="0" w:space="0" w:color="auto"/>
        <w:left w:val="none" w:sz="0" w:space="0" w:color="auto"/>
        <w:bottom w:val="none" w:sz="0" w:space="0" w:color="auto"/>
        <w:right w:val="none" w:sz="0" w:space="0" w:color="auto"/>
      </w:divBdr>
    </w:div>
    <w:div w:id="165021252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0339584">
      <w:bodyDiv w:val="1"/>
      <w:marLeft w:val="0"/>
      <w:marRight w:val="0"/>
      <w:marTop w:val="0"/>
      <w:marBottom w:val="0"/>
      <w:divBdr>
        <w:top w:val="none" w:sz="0" w:space="0" w:color="auto"/>
        <w:left w:val="none" w:sz="0" w:space="0" w:color="auto"/>
        <w:bottom w:val="none" w:sz="0" w:space="0" w:color="auto"/>
        <w:right w:val="none" w:sz="0" w:space="0" w:color="auto"/>
      </w:divBdr>
    </w:div>
    <w:div w:id="1951164039">
      <w:bodyDiv w:val="1"/>
      <w:marLeft w:val="0"/>
      <w:marRight w:val="0"/>
      <w:marTop w:val="0"/>
      <w:marBottom w:val="0"/>
      <w:divBdr>
        <w:top w:val="none" w:sz="0" w:space="0" w:color="auto"/>
        <w:left w:val="none" w:sz="0" w:space="0" w:color="auto"/>
        <w:bottom w:val="none" w:sz="0" w:space="0" w:color="auto"/>
        <w:right w:val="none" w:sz="0" w:space="0" w:color="auto"/>
      </w:divBdr>
    </w:div>
    <w:div w:id="1972048992">
      <w:bodyDiv w:val="1"/>
      <w:marLeft w:val="0"/>
      <w:marRight w:val="0"/>
      <w:marTop w:val="0"/>
      <w:marBottom w:val="0"/>
      <w:divBdr>
        <w:top w:val="none" w:sz="0" w:space="0" w:color="auto"/>
        <w:left w:val="none" w:sz="0" w:space="0" w:color="auto"/>
        <w:bottom w:val="none" w:sz="0" w:space="0" w:color="auto"/>
        <w:right w:val="none" w:sz="0" w:space="0" w:color="auto"/>
      </w:divBdr>
    </w:div>
    <w:div w:id="1982883361">
      <w:bodyDiv w:val="1"/>
      <w:marLeft w:val="0"/>
      <w:marRight w:val="0"/>
      <w:marTop w:val="0"/>
      <w:marBottom w:val="0"/>
      <w:divBdr>
        <w:top w:val="none" w:sz="0" w:space="0" w:color="auto"/>
        <w:left w:val="none" w:sz="0" w:space="0" w:color="auto"/>
        <w:bottom w:val="none" w:sz="0" w:space="0" w:color="auto"/>
        <w:right w:val="none" w:sz="0" w:space="0" w:color="auto"/>
      </w:divBdr>
    </w:div>
    <w:div w:id="2003657088">
      <w:bodyDiv w:val="1"/>
      <w:marLeft w:val="0"/>
      <w:marRight w:val="0"/>
      <w:marTop w:val="0"/>
      <w:marBottom w:val="0"/>
      <w:divBdr>
        <w:top w:val="none" w:sz="0" w:space="0" w:color="auto"/>
        <w:left w:val="none" w:sz="0" w:space="0" w:color="auto"/>
        <w:bottom w:val="none" w:sz="0" w:space="0" w:color="auto"/>
        <w:right w:val="none" w:sz="0" w:space="0" w:color="auto"/>
      </w:divBdr>
    </w:div>
    <w:div w:id="2047901659">
      <w:bodyDiv w:val="1"/>
      <w:marLeft w:val="0"/>
      <w:marRight w:val="0"/>
      <w:marTop w:val="0"/>
      <w:marBottom w:val="0"/>
      <w:divBdr>
        <w:top w:val="none" w:sz="0" w:space="0" w:color="auto"/>
        <w:left w:val="none" w:sz="0" w:space="0" w:color="auto"/>
        <w:bottom w:val="none" w:sz="0" w:space="0" w:color="auto"/>
        <w:right w:val="none" w:sz="0" w:space="0" w:color="auto"/>
      </w:divBdr>
    </w:div>
    <w:div w:id="2097822626">
      <w:bodyDiv w:val="1"/>
      <w:marLeft w:val="0"/>
      <w:marRight w:val="0"/>
      <w:marTop w:val="0"/>
      <w:marBottom w:val="0"/>
      <w:divBdr>
        <w:top w:val="none" w:sz="0" w:space="0" w:color="auto"/>
        <w:left w:val="none" w:sz="0" w:space="0" w:color="auto"/>
        <w:bottom w:val="none" w:sz="0" w:space="0" w:color="auto"/>
        <w:right w:val="none" w:sz="0" w:space="0" w:color="auto"/>
      </w:divBdr>
    </w:div>
    <w:div w:id="214060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image" Target="media/image47.emf"/><Relationship Id="rId63" Type="http://schemas.openxmlformats.org/officeDocument/2006/relationships/header" Target="header1.xm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image" Target="media/image50.emf"/><Relationship Id="rId66"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image" Target="media/image49.emf"/><Relationship Id="rId61" Type="http://schemas.openxmlformats.org/officeDocument/2006/relationships/image" Target="media/image53.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 Id="rId60" Type="http://schemas.openxmlformats.org/officeDocument/2006/relationships/image" Target="media/image52.emf"/><Relationship Id="rId65"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image" Target="media/image48.emf"/><Relationship Id="rId64"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image" Target="media/image43.emf"/><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59" Type="http://schemas.openxmlformats.org/officeDocument/2006/relationships/image" Target="media/image51.emf"/><Relationship Id="rId67" Type="http://schemas.openxmlformats.org/officeDocument/2006/relationships/fontTable" Target="fontTable.xml"/><Relationship Id="rId20" Type="http://schemas.openxmlformats.org/officeDocument/2006/relationships/image" Target="media/image12.emf"/><Relationship Id="rId41" Type="http://schemas.openxmlformats.org/officeDocument/2006/relationships/image" Target="media/image33.emf"/><Relationship Id="rId54" Type="http://schemas.openxmlformats.org/officeDocument/2006/relationships/image" Target="media/image46.emf"/><Relationship Id="rId62" Type="http://schemas.openxmlformats.org/officeDocument/2006/relationships/image" Target="media/image54.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294D4-547F-44D4-838B-8BF2B1B0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4328</TotalTime>
  <Pages>116</Pages>
  <Words>33866</Words>
  <Characters>186671</Characters>
  <Application>Microsoft Office Word</Application>
  <DocSecurity>0</DocSecurity>
  <Lines>1555</Lines>
  <Paragraphs>440</Paragraphs>
  <ScaleCrop>false</ScaleCrop>
  <HeadingPairs>
    <vt:vector size="2" baseType="variant">
      <vt:variant>
        <vt:lpstr>Title</vt:lpstr>
      </vt:variant>
      <vt:variant>
        <vt:i4>1</vt:i4>
      </vt:variant>
    </vt:vector>
  </HeadingPairs>
  <TitlesOfParts>
    <vt:vector size="1" baseType="lpstr">
      <vt:lpstr>School education</vt:lpstr>
    </vt:vector>
  </TitlesOfParts>
  <Company>Productivity Commission</Company>
  <LinksUpToDate>false</LinksUpToDate>
  <CharactersWithSpaces>220097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education</dc:title>
  <dc:subject>Report on Government Services 2014</dc:subject>
  <dc:creator>Steering Committee for the Review of Government Service Provision</dc:creator>
  <dc:description>4.</dc:description>
  <cp:lastModifiedBy>Garner, David</cp:lastModifiedBy>
  <cp:revision>326</cp:revision>
  <cp:lastPrinted>2014-01-30T05:17:00Z</cp:lastPrinted>
  <dcterms:created xsi:type="dcterms:W3CDTF">2012-10-19T01:21:00Z</dcterms:created>
  <dcterms:modified xsi:type="dcterms:W3CDTF">2014-01-30T23:38:00Z</dcterms:modified>
</cp:coreProperties>
</file>