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91" w:rsidRDefault="00684D95" w:rsidP="00981445">
      <w:pPr>
        <w:pStyle w:val="Heading1"/>
      </w:pPr>
      <w:bookmarkStart w:id="0" w:name="_Toc372899997"/>
      <w:bookmarkStart w:id="1" w:name="_GoBack"/>
      <w:bookmarkEnd w:id="1"/>
      <w:r>
        <w:t>3</w:t>
      </w:r>
      <w:r>
        <w:tab/>
      </w:r>
      <w:r w:rsidR="006137A1">
        <w:t>Early childhood education and care</w:t>
      </w:r>
      <w:bookmarkEnd w:id="0"/>
    </w:p>
    <w:p w:rsidR="00773686" w:rsidRPr="00773686" w:rsidRDefault="00773686">
      <w:pPr>
        <w:pStyle w:val="TOC1"/>
        <w:rPr>
          <w:rFonts w:asciiTheme="minorHAnsi" w:eastAsiaTheme="minorEastAsia" w:hAnsiTheme="minorHAnsi" w:cstheme="minorBidi"/>
          <w:b w:val="0"/>
          <w:caps w:val="0"/>
          <w:noProof/>
          <w:sz w:val="22"/>
          <w:szCs w:val="22"/>
        </w:rPr>
      </w:pPr>
      <w:r w:rsidRPr="00773686">
        <w:rPr>
          <w:rStyle w:val="Hyperlink"/>
          <w:noProof/>
          <w:color w:val="auto"/>
          <w:u w:val="none"/>
        </w:rPr>
        <w:t>contents</w:t>
      </w:r>
    </w:p>
    <w:p w:rsidR="00773686" w:rsidRDefault="00773686">
      <w:pPr>
        <w:pStyle w:val="TOC2"/>
        <w:rPr>
          <w:rFonts w:asciiTheme="minorHAnsi" w:eastAsiaTheme="minorEastAsia" w:hAnsiTheme="minorHAnsi" w:cstheme="minorBidi"/>
          <w:b w:val="0"/>
          <w:noProof/>
          <w:sz w:val="22"/>
          <w:szCs w:val="22"/>
        </w:rPr>
      </w:pPr>
      <w:r w:rsidRPr="003B7A01">
        <w:rPr>
          <w:noProof/>
        </w:rPr>
        <w:t>3.1</w:t>
      </w:r>
      <w:r>
        <w:rPr>
          <w:rFonts w:asciiTheme="minorHAnsi" w:eastAsiaTheme="minorEastAsia" w:hAnsiTheme="minorHAnsi" w:cstheme="minorBidi"/>
          <w:b w:val="0"/>
          <w:noProof/>
          <w:sz w:val="22"/>
          <w:szCs w:val="22"/>
        </w:rPr>
        <w:tab/>
      </w:r>
      <w:r w:rsidRPr="003B7A01">
        <w:rPr>
          <w:noProof/>
        </w:rPr>
        <w:t>Profile of early childhood education and care</w:t>
      </w:r>
      <w:r>
        <w:rPr>
          <w:noProof/>
          <w:webHidden/>
        </w:rPr>
        <w:tab/>
      </w:r>
      <w:r w:rsidR="00675FC4">
        <w:rPr>
          <w:noProof/>
          <w:webHidden/>
        </w:rPr>
        <w:t>3.</w:t>
      </w:r>
      <w:r w:rsidR="002E4BE8">
        <w:rPr>
          <w:noProof/>
          <w:webHidden/>
        </w:rPr>
        <w:t>2</w:t>
      </w:r>
    </w:p>
    <w:p w:rsidR="00773686" w:rsidRDefault="00773686">
      <w:pPr>
        <w:pStyle w:val="TOC2"/>
        <w:rPr>
          <w:rFonts w:asciiTheme="minorHAnsi" w:eastAsiaTheme="minorEastAsia" w:hAnsiTheme="minorHAnsi" w:cstheme="minorBidi"/>
          <w:b w:val="0"/>
          <w:noProof/>
          <w:sz w:val="22"/>
          <w:szCs w:val="22"/>
        </w:rPr>
      </w:pPr>
      <w:r w:rsidRPr="003B7A01">
        <w:rPr>
          <w:noProof/>
        </w:rPr>
        <w:t>3.2</w:t>
      </w:r>
      <w:r>
        <w:rPr>
          <w:rFonts w:asciiTheme="minorHAnsi" w:eastAsiaTheme="minorEastAsia" w:hAnsiTheme="minorHAnsi" w:cstheme="minorBidi"/>
          <w:b w:val="0"/>
          <w:noProof/>
          <w:sz w:val="22"/>
          <w:szCs w:val="22"/>
        </w:rPr>
        <w:tab/>
      </w:r>
      <w:r w:rsidRPr="003B7A01">
        <w:rPr>
          <w:noProof/>
        </w:rPr>
        <w:t>Framework of performance indicators</w:t>
      </w:r>
      <w:r>
        <w:rPr>
          <w:noProof/>
          <w:webHidden/>
        </w:rPr>
        <w:tab/>
      </w:r>
      <w:r w:rsidR="00675FC4">
        <w:rPr>
          <w:noProof/>
          <w:webHidden/>
        </w:rPr>
        <w:t>3.</w:t>
      </w:r>
      <w:r w:rsidR="002E4BE8">
        <w:rPr>
          <w:noProof/>
          <w:webHidden/>
        </w:rPr>
        <w:t>14</w:t>
      </w:r>
    </w:p>
    <w:p w:rsidR="00773686" w:rsidRDefault="00773686">
      <w:pPr>
        <w:pStyle w:val="TOC2"/>
        <w:rPr>
          <w:rFonts w:asciiTheme="minorHAnsi" w:eastAsiaTheme="minorEastAsia" w:hAnsiTheme="minorHAnsi" w:cstheme="minorBidi"/>
          <w:b w:val="0"/>
          <w:noProof/>
          <w:sz w:val="22"/>
          <w:szCs w:val="22"/>
        </w:rPr>
      </w:pPr>
      <w:r w:rsidRPr="003B7A01">
        <w:rPr>
          <w:noProof/>
        </w:rPr>
        <w:t>3.3</w:t>
      </w:r>
      <w:r>
        <w:rPr>
          <w:rFonts w:asciiTheme="minorHAnsi" w:eastAsiaTheme="minorEastAsia" w:hAnsiTheme="minorHAnsi" w:cstheme="minorBidi"/>
          <w:b w:val="0"/>
          <w:noProof/>
          <w:sz w:val="22"/>
          <w:szCs w:val="22"/>
        </w:rPr>
        <w:tab/>
      </w:r>
      <w:r w:rsidRPr="003B7A01">
        <w:rPr>
          <w:noProof/>
        </w:rPr>
        <w:t>Key performance indicator results</w:t>
      </w:r>
      <w:r>
        <w:rPr>
          <w:noProof/>
          <w:webHidden/>
        </w:rPr>
        <w:tab/>
      </w:r>
      <w:r w:rsidR="00675FC4">
        <w:rPr>
          <w:noProof/>
          <w:webHidden/>
        </w:rPr>
        <w:t>3.</w:t>
      </w:r>
      <w:r w:rsidR="002E4BE8">
        <w:rPr>
          <w:noProof/>
          <w:webHidden/>
        </w:rPr>
        <w:t>16</w:t>
      </w:r>
    </w:p>
    <w:p w:rsidR="00773686" w:rsidRDefault="00773686">
      <w:pPr>
        <w:pStyle w:val="TOC2"/>
        <w:rPr>
          <w:rFonts w:asciiTheme="minorHAnsi" w:eastAsiaTheme="minorEastAsia" w:hAnsiTheme="minorHAnsi" w:cstheme="minorBidi"/>
          <w:b w:val="0"/>
          <w:noProof/>
          <w:sz w:val="22"/>
          <w:szCs w:val="22"/>
        </w:rPr>
      </w:pPr>
      <w:r w:rsidRPr="003B7A01">
        <w:rPr>
          <w:noProof/>
        </w:rPr>
        <w:t>3.4</w:t>
      </w:r>
      <w:r>
        <w:rPr>
          <w:rFonts w:asciiTheme="minorHAnsi" w:eastAsiaTheme="minorEastAsia" w:hAnsiTheme="minorHAnsi" w:cstheme="minorBidi"/>
          <w:b w:val="0"/>
          <w:noProof/>
          <w:sz w:val="22"/>
          <w:szCs w:val="22"/>
        </w:rPr>
        <w:tab/>
      </w:r>
      <w:r w:rsidRPr="003B7A01">
        <w:rPr>
          <w:noProof/>
        </w:rPr>
        <w:t>Future directions in performance reporting</w:t>
      </w:r>
      <w:r>
        <w:rPr>
          <w:noProof/>
          <w:webHidden/>
        </w:rPr>
        <w:tab/>
      </w:r>
      <w:r w:rsidR="00675FC4">
        <w:rPr>
          <w:noProof/>
          <w:webHidden/>
        </w:rPr>
        <w:t>3.</w:t>
      </w:r>
      <w:r w:rsidR="002E4BE8">
        <w:rPr>
          <w:noProof/>
          <w:webHidden/>
        </w:rPr>
        <w:t>77</w:t>
      </w:r>
    </w:p>
    <w:p w:rsidR="00773686" w:rsidRDefault="00773686">
      <w:pPr>
        <w:pStyle w:val="TOC2"/>
        <w:rPr>
          <w:rFonts w:asciiTheme="minorHAnsi" w:eastAsiaTheme="minorEastAsia" w:hAnsiTheme="minorHAnsi" w:cstheme="minorBidi"/>
          <w:b w:val="0"/>
          <w:noProof/>
          <w:sz w:val="22"/>
          <w:szCs w:val="22"/>
        </w:rPr>
      </w:pPr>
      <w:r w:rsidRPr="003B7A01">
        <w:rPr>
          <w:noProof/>
        </w:rPr>
        <w:t>3.5</w:t>
      </w:r>
      <w:r>
        <w:rPr>
          <w:rFonts w:asciiTheme="minorHAnsi" w:eastAsiaTheme="minorEastAsia" w:hAnsiTheme="minorHAnsi" w:cstheme="minorBidi"/>
          <w:b w:val="0"/>
          <w:noProof/>
          <w:sz w:val="22"/>
          <w:szCs w:val="22"/>
        </w:rPr>
        <w:tab/>
      </w:r>
      <w:r w:rsidRPr="003B7A01">
        <w:rPr>
          <w:noProof/>
        </w:rPr>
        <w:t>Jurisdictions’ comments</w:t>
      </w:r>
      <w:r>
        <w:rPr>
          <w:noProof/>
          <w:webHidden/>
        </w:rPr>
        <w:tab/>
      </w:r>
      <w:r w:rsidR="00675FC4">
        <w:rPr>
          <w:noProof/>
          <w:webHidden/>
        </w:rPr>
        <w:t>3.</w:t>
      </w:r>
      <w:r w:rsidR="002E4BE8">
        <w:rPr>
          <w:noProof/>
          <w:webHidden/>
        </w:rPr>
        <w:t>78</w:t>
      </w:r>
    </w:p>
    <w:p w:rsidR="00773686" w:rsidRDefault="00773686">
      <w:pPr>
        <w:pStyle w:val="TOC2"/>
        <w:rPr>
          <w:rFonts w:asciiTheme="minorHAnsi" w:eastAsiaTheme="minorEastAsia" w:hAnsiTheme="minorHAnsi" w:cstheme="minorBidi"/>
          <w:b w:val="0"/>
          <w:noProof/>
          <w:sz w:val="22"/>
          <w:szCs w:val="22"/>
        </w:rPr>
      </w:pPr>
      <w:r w:rsidRPr="003B7A01">
        <w:rPr>
          <w:noProof/>
        </w:rPr>
        <w:t>3.6</w:t>
      </w:r>
      <w:r>
        <w:rPr>
          <w:rFonts w:asciiTheme="minorHAnsi" w:eastAsiaTheme="minorEastAsia" w:hAnsiTheme="minorHAnsi" w:cstheme="minorBidi"/>
          <w:b w:val="0"/>
          <w:noProof/>
          <w:sz w:val="22"/>
          <w:szCs w:val="22"/>
        </w:rPr>
        <w:tab/>
      </w:r>
      <w:r w:rsidRPr="003B7A01">
        <w:rPr>
          <w:noProof/>
        </w:rPr>
        <w:t>Definitions of key terms</w:t>
      </w:r>
      <w:r>
        <w:rPr>
          <w:noProof/>
          <w:webHidden/>
        </w:rPr>
        <w:tab/>
      </w:r>
      <w:r w:rsidR="00675FC4">
        <w:rPr>
          <w:noProof/>
          <w:webHidden/>
        </w:rPr>
        <w:t>3.</w:t>
      </w:r>
      <w:r w:rsidR="002E4BE8">
        <w:rPr>
          <w:noProof/>
          <w:webHidden/>
        </w:rPr>
        <w:t>88</w:t>
      </w:r>
    </w:p>
    <w:p w:rsidR="00773686" w:rsidRDefault="00773686">
      <w:pPr>
        <w:pStyle w:val="TOC2"/>
        <w:rPr>
          <w:rFonts w:asciiTheme="minorHAnsi" w:eastAsiaTheme="minorEastAsia" w:hAnsiTheme="minorHAnsi" w:cstheme="minorBidi"/>
          <w:b w:val="0"/>
          <w:noProof/>
          <w:sz w:val="22"/>
          <w:szCs w:val="22"/>
        </w:rPr>
      </w:pPr>
      <w:r w:rsidRPr="003B7A01">
        <w:rPr>
          <w:noProof/>
        </w:rPr>
        <w:t>3.7</w:t>
      </w:r>
      <w:r>
        <w:rPr>
          <w:rFonts w:asciiTheme="minorHAnsi" w:eastAsiaTheme="minorEastAsia" w:hAnsiTheme="minorHAnsi" w:cstheme="minorBidi"/>
          <w:b w:val="0"/>
          <w:noProof/>
          <w:sz w:val="22"/>
          <w:szCs w:val="22"/>
        </w:rPr>
        <w:tab/>
      </w:r>
      <w:r w:rsidRPr="003B7A01">
        <w:rPr>
          <w:noProof/>
        </w:rPr>
        <w:t>List of attachment tables</w:t>
      </w:r>
      <w:r>
        <w:rPr>
          <w:noProof/>
          <w:webHidden/>
        </w:rPr>
        <w:tab/>
      </w:r>
      <w:r w:rsidR="00675FC4">
        <w:rPr>
          <w:noProof/>
          <w:webHidden/>
        </w:rPr>
        <w:t>3.</w:t>
      </w:r>
      <w:r w:rsidR="002E4BE8">
        <w:rPr>
          <w:noProof/>
          <w:webHidden/>
        </w:rPr>
        <w:t>93</w:t>
      </w:r>
    </w:p>
    <w:p w:rsidR="00773686" w:rsidRDefault="00773686">
      <w:pPr>
        <w:pStyle w:val="TOC2"/>
        <w:rPr>
          <w:rFonts w:asciiTheme="minorHAnsi" w:eastAsiaTheme="minorEastAsia" w:hAnsiTheme="minorHAnsi" w:cstheme="minorBidi"/>
          <w:b w:val="0"/>
          <w:noProof/>
          <w:sz w:val="22"/>
          <w:szCs w:val="22"/>
        </w:rPr>
      </w:pPr>
      <w:r w:rsidRPr="003B7A01">
        <w:rPr>
          <w:noProof/>
        </w:rPr>
        <w:t>3.8</w:t>
      </w:r>
      <w:r>
        <w:rPr>
          <w:rFonts w:asciiTheme="minorHAnsi" w:eastAsiaTheme="minorEastAsia" w:hAnsiTheme="minorHAnsi" w:cstheme="minorBidi"/>
          <w:b w:val="0"/>
          <w:noProof/>
          <w:sz w:val="22"/>
          <w:szCs w:val="22"/>
        </w:rPr>
        <w:tab/>
      </w:r>
      <w:r w:rsidRPr="003B7A01">
        <w:rPr>
          <w:noProof/>
        </w:rPr>
        <w:t>References</w:t>
      </w:r>
      <w:r>
        <w:rPr>
          <w:noProof/>
          <w:webHidden/>
        </w:rPr>
        <w:tab/>
      </w:r>
      <w:r w:rsidR="00675FC4">
        <w:rPr>
          <w:noProof/>
          <w:webHidden/>
        </w:rPr>
        <w:t>3.</w:t>
      </w:r>
      <w:r w:rsidR="002E4BE8">
        <w:rPr>
          <w:noProof/>
          <w:webHidden/>
        </w:rPr>
        <w:t>99</w:t>
      </w:r>
    </w:p>
    <w:p w:rsidR="00053D4D" w:rsidRDefault="00053D4D" w:rsidP="00C3586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53D4D" w:rsidTr="00053D4D">
        <w:tc>
          <w:tcPr>
            <w:tcW w:w="8771" w:type="dxa"/>
            <w:tcBorders>
              <w:top w:val="single" w:sz="6" w:space="0" w:color="auto"/>
              <w:bottom w:val="nil"/>
            </w:tcBorders>
            <w:shd w:val="clear" w:color="auto" w:fill="E0E0E0"/>
          </w:tcPr>
          <w:p w:rsidR="00053D4D" w:rsidRDefault="00053D4D" w:rsidP="00C3586E">
            <w:pPr>
              <w:pStyle w:val="BoxTitle"/>
            </w:pPr>
            <w:r>
              <w:t>Attachment tables</w:t>
            </w:r>
          </w:p>
        </w:tc>
      </w:tr>
      <w:tr w:rsidR="00053D4D" w:rsidTr="00053D4D">
        <w:trPr>
          <w:cantSplit/>
        </w:trPr>
        <w:tc>
          <w:tcPr>
            <w:tcW w:w="8771" w:type="dxa"/>
            <w:tcBorders>
              <w:top w:val="nil"/>
              <w:left w:val="single" w:sz="6" w:space="0" w:color="auto"/>
              <w:bottom w:val="nil"/>
              <w:right w:val="single" w:sz="6" w:space="0" w:color="auto"/>
            </w:tcBorders>
            <w:shd w:val="clear" w:color="auto" w:fill="E0E0E0"/>
          </w:tcPr>
          <w:p w:rsidR="00053D4D" w:rsidRPr="006C0F04" w:rsidRDefault="00053D4D" w:rsidP="00C3586E">
            <w:pPr>
              <w:pStyle w:val="Box"/>
            </w:pPr>
            <w:r w:rsidRPr="006C0F04">
              <w:t xml:space="preserve">Attachment tables are identified in references throughout this chapter by a </w:t>
            </w:r>
            <w:r>
              <w:t>‘</w:t>
            </w:r>
            <w:proofErr w:type="spellStart"/>
            <w:r w:rsidR="009D6D5C">
              <w:t>3</w:t>
            </w:r>
            <w:r>
              <w:t>A</w:t>
            </w:r>
            <w:proofErr w:type="spellEnd"/>
            <w:r>
              <w:t xml:space="preserve">’ </w:t>
            </w:r>
            <w:r w:rsidR="006F1A36">
              <w:t>prefix</w:t>
            </w:r>
            <w:r>
              <w:t xml:space="preserve"> (for example, table</w:t>
            </w:r>
            <w:r w:rsidR="00172534">
              <w:t> </w:t>
            </w:r>
            <w:proofErr w:type="spellStart"/>
            <w:r>
              <w:t>3</w:t>
            </w:r>
            <w:r w:rsidRPr="00053D4D">
              <w:t>A</w:t>
            </w:r>
            <w:r w:rsidR="006F1A36">
              <w:t>.1</w:t>
            </w:r>
            <w:proofErr w:type="spellEnd"/>
            <w:r w:rsidRPr="006C0F04">
              <w:t>). A full list of attachment tables is provided at the end of this chapter, and the at</w:t>
            </w:r>
            <w:r w:rsidR="00FB0D06">
              <w:t>tachment tables are available from</w:t>
            </w:r>
            <w:r w:rsidRPr="006C0F04">
              <w:t xml:space="preserve"> the Review web</w:t>
            </w:r>
            <w:r w:rsidR="00DB50B7">
              <w:t>site at</w:t>
            </w:r>
            <w:r w:rsidR="00707DDF">
              <w:t xml:space="preserve"> </w:t>
            </w:r>
            <w:proofErr w:type="spellStart"/>
            <w:r w:rsidR="00707DDF" w:rsidRPr="00707DDF">
              <w:t>www.pc.gov.au</w:t>
            </w:r>
            <w:proofErr w:type="spellEnd"/>
            <w:r w:rsidR="00707DDF" w:rsidRPr="00707DDF">
              <w:t>/</w:t>
            </w:r>
            <w:proofErr w:type="spellStart"/>
            <w:r w:rsidR="00707DDF" w:rsidRPr="00707DDF">
              <w:t>gsp</w:t>
            </w:r>
            <w:proofErr w:type="spellEnd"/>
            <w:r w:rsidRPr="006C0F04">
              <w:t>.</w:t>
            </w:r>
          </w:p>
        </w:tc>
      </w:tr>
      <w:tr w:rsidR="00053D4D" w:rsidTr="00053D4D">
        <w:trPr>
          <w:cantSplit/>
        </w:trPr>
        <w:tc>
          <w:tcPr>
            <w:tcW w:w="8771" w:type="dxa"/>
            <w:tcBorders>
              <w:top w:val="nil"/>
              <w:left w:val="single" w:sz="6" w:space="0" w:color="auto"/>
              <w:bottom w:val="single" w:sz="6" w:space="0" w:color="auto"/>
              <w:right w:val="single" w:sz="6" w:space="0" w:color="auto"/>
            </w:tcBorders>
            <w:shd w:val="clear" w:color="auto" w:fill="E0E0E0"/>
          </w:tcPr>
          <w:p w:rsidR="00053D4D" w:rsidRDefault="00053D4D" w:rsidP="00C3586E">
            <w:pPr>
              <w:pStyle w:val="Box"/>
              <w:spacing w:before="0" w:line="120" w:lineRule="exact"/>
            </w:pPr>
          </w:p>
        </w:tc>
      </w:tr>
      <w:tr w:rsidR="00053D4D" w:rsidTr="00053D4D">
        <w:tc>
          <w:tcPr>
            <w:tcW w:w="8771" w:type="dxa"/>
            <w:tcBorders>
              <w:top w:val="nil"/>
              <w:left w:val="nil"/>
              <w:bottom w:val="nil"/>
              <w:right w:val="nil"/>
            </w:tcBorders>
          </w:tcPr>
          <w:p w:rsidR="00053D4D" w:rsidRDefault="00053D4D" w:rsidP="00C3586E">
            <w:pPr>
              <w:pStyle w:val="Box"/>
              <w:keepNext w:val="0"/>
              <w:spacing w:before="60" w:after="60" w:line="80" w:lineRule="exact"/>
              <w:rPr>
                <w:b/>
                <w:color w:val="FF00FF"/>
                <w:sz w:val="14"/>
              </w:rPr>
            </w:pPr>
          </w:p>
        </w:tc>
      </w:tr>
    </w:tbl>
    <w:p w:rsidR="0003611E" w:rsidRPr="003E0C2E" w:rsidRDefault="0010442E" w:rsidP="00C3586E">
      <w:pPr>
        <w:pStyle w:val="BodyText"/>
      </w:pPr>
      <w:r>
        <w:t>Early childhood education and care</w:t>
      </w:r>
      <w:r w:rsidR="00755090">
        <w:t xml:space="preserve"> aim</w:t>
      </w:r>
      <w:r>
        <w:t>s</w:t>
      </w:r>
      <w:r w:rsidR="00755090">
        <w:t xml:space="preserve"> to meet </w:t>
      </w:r>
      <w:r w:rsidR="0003611E" w:rsidRPr="003E0C2E">
        <w:t>the care, education</w:t>
      </w:r>
      <w:r w:rsidR="0021264F">
        <w:t>al</w:t>
      </w:r>
      <w:r w:rsidR="0003611E" w:rsidRPr="003E0C2E">
        <w:t xml:space="preserve"> and development</w:t>
      </w:r>
      <w:r w:rsidR="0021264F">
        <w:t>al</w:t>
      </w:r>
      <w:r w:rsidR="0003611E" w:rsidRPr="003E0C2E">
        <w:t xml:space="preserve"> needs of c</w:t>
      </w:r>
      <w:r w:rsidR="00C85D95" w:rsidRPr="003E0C2E">
        <w:t>hildren. In this chapter, child care</w:t>
      </w:r>
      <w:r w:rsidR="0003611E" w:rsidRPr="003E0C2E">
        <w:t xml:space="preserve"> services </w:t>
      </w:r>
      <w:r w:rsidR="00AF41C8" w:rsidRPr="003E0C2E">
        <w:t xml:space="preserve">are those </w:t>
      </w:r>
      <w:r w:rsidR="0003611E" w:rsidRPr="003E0C2E">
        <w:t>provided to children aged 0–12 years, usually by someone other than the child’s parents or guardian</w:t>
      </w:r>
      <w:r w:rsidR="002C7409">
        <w:t>(s)</w:t>
      </w:r>
      <w:r w:rsidR="0003611E" w:rsidRPr="003E0C2E">
        <w:t>. Preschool services are provided to children</w:t>
      </w:r>
      <w:r w:rsidR="00246004">
        <w:t>,</w:t>
      </w:r>
      <w:r w:rsidR="0003611E" w:rsidRPr="003E0C2E">
        <w:t xml:space="preserve"> mainly in the year or two before they begin </w:t>
      </w:r>
      <w:r w:rsidR="00397E6E">
        <w:t>full time schooling</w:t>
      </w:r>
      <w:r w:rsidR="00674B6B">
        <w:t>.</w:t>
      </w:r>
    </w:p>
    <w:p w:rsidR="00C040D7" w:rsidRDefault="0003611E" w:rsidP="00C3586E">
      <w:pPr>
        <w:pStyle w:val="ListBullet"/>
        <w:numPr>
          <w:ilvl w:val="0"/>
          <w:numId w:val="0"/>
        </w:numPr>
      </w:pPr>
      <w:r w:rsidRPr="004F78B2">
        <w:t xml:space="preserve">Most of the data in this chapter relate to services that are supported by the Australian, State and Territory governments and provided for children aged </w:t>
      </w:r>
      <w:r w:rsidR="0010442E">
        <w:br/>
      </w:r>
      <w:r w:rsidR="003315A7" w:rsidRPr="003E0C2E">
        <w:t>0–12</w:t>
      </w:r>
      <w:r w:rsidR="0010442E">
        <w:t> </w:t>
      </w:r>
      <w:r w:rsidR="003315A7" w:rsidRPr="003E0C2E">
        <w:t>years</w:t>
      </w:r>
      <w:r w:rsidR="002C7409">
        <w:t xml:space="preserve">. </w:t>
      </w:r>
      <w:r w:rsidRPr="004F78B2">
        <w:t xml:space="preserve">Local governments also plan, fund and deliver </w:t>
      </w:r>
      <w:r w:rsidR="0010442E">
        <w:t>early childhood education and care</w:t>
      </w:r>
      <w:r w:rsidRPr="004F78B2">
        <w:t>. Due to data limitations, the only local government data included are where Aust</w:t>
      </w:r>
      <w:r w:rsidRPr="003E0C2E">
        <w:t>ralian, State and Territory government funding and</w:t>
      </w:r>
      <w:r w:rsidR="00AF41C8" w:rsidRPr="003E0C2E">
        <w:t>/or</w:t>
      </w:r>
      <w:r w:rsidRPr="003E0C2E">
        <w:t xml:space="preserve"> licensing are involved. </w:t>
      </w:r>
    </w:p>
    <w:p w:rsidR="00184438" w:rsidRDefault="008C6323" w:rsidP="00246004">
      <w:pPr>
        <w:pStyle w:val="BodyText"/>
      </w:pPr>
      <w:r>
        <w:lastRenderedPageBreak/>
        <w:t>M</w:t>
      </w:r>
      <w:r w:rsidR="0003611E">
        <w:t xml:space="preserve">ajor improvements to reporting on </w:t>
      </w:r>
      <w:r w:rsidR="0010442E">
        <w:t xml:space="preserve">early childhood education and care </w:t>
      </w:r>
      <w:r w:rsidR="006301FD">
        <w:t xml:space="preserve">in this edition </w:t>
      </w:r>
      <w:r w:rsidR="0003611E">
        <w:t>include</w:t>
      </w:r>
      <w:r w:rsidR="00184438">
        <w:t>:</w:t>
      </w:r>
    </w:p>
    <w:p w:rsidR="001A2C9B" w:rsidRPr="00C927EC" w:rsidRDefault="002C7409" w:rsidP="00684D95">
      <w:pPr>
        <w:pStyle w:val="ListBullet"/>
      </w:pPr>
      <w:r>
        <w:t xml:space="preserve">new and revised </w:t>
      </w:r>
      <w:r w:rsidR="001A2C9B" w:rsidRPr="00C927EC">
        <w:t>preschool performance indicators and measures reported using the National Early Childhood Education and Care (</w:t>
      </w:r>
      <w:proofErr w:type="spellStart"/>
      <w:r w:rsidR="001A2C9B" w:rsidRPr="00C927EC">
        <w:t>ECEC</w:t>
      </w:r>
      <w:proofErr w:type="spellEnd"/>
      <w:r w:rsidR="001A2C9B" w:rsidRPr="00C927EC">
        <w:t>) Collection. The Nation</w:t>
      </w:r>
      <w:r w:rsidR="007D69B0">
        <w:t xml:space="preserve">al </w:t>
      </w:r>
      <w:proofErr w:type="spellStart"/>
      <w:r w:rsidR="007D69B0">
        <w:t>ECEC</w:t>
      </w:r>
      <w:proofErr w:type="spellEnd"/>
      <w:r w:rsidR="007D69B0">
        <w:t xml:space="preserve"> collection expands on </w:t>
      </w:r>
      <w:r w:rsidR="001A2C9B" w:rsidRPr="00C927EC">
        <w:t>much of the material previously supplied on a State and Territory basis, with a</w:t>
      </w:r>
      <w:r w:rsidR="008E4B06" w:rsidRPr="00C927EC">
        <w:t xml:space="preserve"> comparable national data set</w:t>
      </w:r>
      <w:r w:rsidR="007D69B0">
        <w:t xml:space="preserve"> and re</w:t>
      </w:r>
      <w:r w:rsidR="00FD6944">
        <w:t>places previously reported data</w:t>
      </w:r>
    </w:p>
    <w:p w:rsidR="001A2C9B" w:rsidRPr="00C927EC" w:rsidRDefault="00C927EC" w:rsidP="009B7071">
      <w:pPr>
        <w:pStyle w:val="ListBullet"/>
      </w:pPr>
      <w:r w:rsidRPr="00C927EC">
        <w:t>inclusion of a new indicator ‘a</w:t>
      </w:r>
      <w:r w:rsidR="001A2C9B" w:rsidRPr="00C927EC">
        <w:t xml:space="preserve">chievement of the </w:t>
      </w:r>
      <w:r w:rsidR="001A2C9B" w:rsidRPr="002B1F73">
        <w:rPr>
          <w:i/>
        </w:rPr>
        <w:t>National Quality Standard’</w:t>
      </w:r>
      <w:r w:rsidR="001A2C9B" w:rsidRPr="00C927EC">
        <w:t xml:space="preserve"> and seven supporting measures</w:t>
      </w:r>
      <w:r w:rsidR="008E4B06" w:rsidRPr="00C927EC">
        <w:t xml:space="preserve"> with quality ratings data available from the Australian Children’s Education and Care Quality Authority (</w:t>
      </w:r>
      <w:proofErr w:type="spellStart"/>
      <w:r w:rsidR="008E4B06" w:rsidRPr="00C927EC">
        <w:t>ACECQA</w:t>
      </w:r>
      <w:proofErr w:type="spellEnd"/>
      <w:r w:rsidR="008E4B06" w:rsidRPr="00C927EC">
        <w:t>)</w:t>
      </w:r>
    </w:p>
    <w:p w:rsidR="00C630AB" w:rsidRPr="00C927EC" w:rsidRDefault="006301FD" w:rsidP="009B7071">
      <w:pPr>
        <w:pStyle w:val="ListBullet"/>
      </w:pPr>
      <w:r w:rsidRPr="00C927EC">
        <w:t>data quality information (</w:t>
      </w:r>
      <w:proofErr w:type="spellStart"/>
      <w:r w:rsidRPr="00C927EC">
        <w:t>DQI</w:t>
      </w:r>
      <w:proofErr w:type="spellEnd"/>
      <w:r w:rsidRPr="00C927EC">
        <w:t>) available for the first time for the</w:t>
      </w:r>
      <w:r w:rsidR="001B6D95" w:rsidRPr="00C927EC">
        <w:t xml:space="preserve"> indicators </w:t>
      </w:r>
      <w:r w:rsidR="003647F5" w:rsidRPr="00C927EC">
        <w:t xml:space="preserve">‘participation rates for special needs groups in preschool’, </w:t>
      </w:r>
      <w:r w:rsidR="00ED46DA" w:rsidRPr="00C927EC">
        <w:t>‘</w:t>
      </w:r>
      <w:r w:rsidR="003647F5" w:rsidRPr="00C927EC">
        <w:t>children attending preschool’</w:t>
      </w:r>
      <w:r w:rsidR="007D69B0">
        <w:t xml:space="preserve"> (for two of three measures)</w:t>
      </w:r>
      <w:r w:rsidR="003647F5" w:rsidRPr="00C927EC">
        <w:t xml:space="preserve">, </w:t>
      </w:r>
      <w:r w:rsidR="00570F1F">
        <w:t xml:space="preserve">‘staff quality in early childhood education and care’ (for one of two measures), </w:t>
      </w:r>
      <w:r w:rsidR="003647F5" w:rsidRPr="00C927EC">
        <w:t xml:space="preserve">‘achievement of the </w:t>
      </w:r>
      <w:r w:rsidR="003647F5" w:rsidRPr="002B1F73">
        <w:rPr>
          <w:i/>
        </w:rPr>
        <w:t xml:space="preserve">National Quality Standard’ </w:t>
      </w:r>
      <w:r w:rsidR="003647F5" w:rsidRPr="00C927EC">
        <w:t xml:space="preserve">and </w:t>
      </w:r>
      <w:r w:rsidR="003E3AC1" w:rsidRPr="00C927EC">
        <w:t xml:space="preserve">‘total government </w:t>
      </w:r>
      <w:r w:rsidR="003647F5" w:rsidRPr="00C927EC">
        <w:t xml:space="preserve">recurrent </w:t>
      </w:r>
      <w:r w:rsidR="003E3AC1" w:rsidRPr="00C927EC">
        <w:t xml:space="preserve">expenditure </w:t>
      </w:r>
      <w:r w:rsidR="003647F5" w:rsidRPr="00C927EC">
        <w:t xml:space="preserve">on early childhood education and care </w:t>
      </w:r>
      <w:r w:rsidR="003E3AC1" w:rsidRPr="00C927EC">
        <w:t>per child in the community</w:t>
      </w:r>
      <w:r w:rsidR="003647F5" w:rsidRPr="00C927EC">
        <w:t>’.</w:t>
      </w:r>
    </w:p>
    <w:p w:rsidR="00061391" w:rsidRDefault="003E272E" w:rsidP="00C3586E">
      <w:pPr>
        <w:pStyle w:val="Heading2"/>
        <w:ind w:left="0" w:firstLine="0"/>
      </w:pPr>
      <w:bookmarkStart w:id="2" w:name="_Toc372899998"/>
      <w:r>
        <w:t>3.</w:t>
      </w:r>
      <w:r w:rsidR="002E4BE8">
        <w:rPr>
          <w:noProof/>
        </w:rPr>
        <w:t>1</w:t>
      </w:r>
      <w:r w:rsidR="0003611E">
        <w:tab/>
      </w:r>
      <w:r w:rsidR="0003611E" w:rsidRPr="0003611E">
        <w:t xml:space="preserve">Profile of </w:t>
      </w:r>
      <w:r w:rsidR="0010442E">
        <w:t>early childhood education and care</w:t>
      </w:r>
      <w:bookmarkEnd w:id="2"/>
    </w:p>
    <w:p w:rsidR="0003611E" w:rsidRDefault="0003611E" w:rsidP="00C3586E">
      <w:pPr>
        <w:pStyle w:val="Heading3"/>
      </w:pPr>
      <w:r w:rsidRPr="0003611E">
        <w:t>Service overview</w:t>
      </w:r>
      <w:r w:rsidR="00873839">
        <w:t xml:space="preserve"> </w:t>
      </w:r>
    </w:p>
    <w:p w:rsidR="0003611E" w:rsidRDefault="006137A1" w:rsidP="00C3586E">
      <w:pPr>
        <w:pStyle w:val="BodyText"/>
      </w:pPr>
      <w:r>
        <w:t xml:space="preserve">Early childhood education and care services </w:t>
      </w:r>
      <w:r w:rsidR="0003611E">
        <w:t xml:space="preserve">are provided using a variety of service delivery </w:t>
      </w:r>
      <w:r w:rsidR="00E47AF3">
        <w:t>models</w:t>
      </w:r>
      <w:r w:rsidR="0003611E">
        <w:t xml:space="preserve"> that can be grouped into the</w:t>
      </w:r>
      <w:r w:rsidR="00A36DAF">
        <w:t xml:space="preserve"> following six broad categories.</w:t>
      </w:r>
    </w:p>
    <w:p w:rsidR="007628FF" w:rsidRDefault="00960E4F" w:rsidP="00684D95">
      <w:pPr>
        <w:pStyle w:val="BodyText"/>
      </w:pPr>
      <w:r w:rsidRPr="00684D95">
        <w:rPr>
          <w:i/>
        </w:rPr>
        <w:t>L</w:t>
      </w:r>
      <w:r w:rsidR="0003611E" w:rsidRPr="00684D95">
        <w:rPr>
          <w:i/>
        </w:rPr>
        <w:t>ong day care</w:t>
      </w:r>
      <w:r w:rsidR="007628FF" w:rsidRPr="00393376">
        <w:t xml:space="preserve"> — centre based child care </w:t>
      </w:r>
      <w:r w:rsidR="0003611E" w:rsidRPr="00393376">
        <w:t xml:space="preserve">services </w:t>
      </w:r>
      <w:r w:rsidR="007628FF" w:rsidRPr="00393376">
        <w:t>providing all</w:t>
      </w:r>
      <w:r w:rsidR="00172534">
        <w:noBreakHyphen/>
      </w:r>
      <w:r w:rsidR="007628FF" w:rsidRPr="00393376">
        <w:t>day or part</w:t>
      </w:r>
      <w:r w:rsidR="00172534">
        <w:noBreakHyphen/>
      </w:r>
      <w:r w:rsidR="007628FF" w:rsidRPr="00393376">
        <w:t>time care for children (services may cater to specific groups within the genera</w:t>
      </w:r>
      <w:r w:rsidR="00582607" w:rsidRPr="00393376">
        <w:t xml:space="preserve">l </w:t>
      </w:r>
      <w:r w:rsidR="00582607" w:rsidRPr="000A07A9">
        <w:t>community).</w:t>
      </w:r>
      <w:r w:rsidR="00BF31F1" w:rsidRPr="000A07A9">
        <w:t xml:space="preserve"> </w:t>
      </w:r>
      <w:r w:rsidR="007628FF" w:rsidRPr="000A07A9">
        <w:t>Long day care primarily provide</w:t>
      </w:r>
      <w:r w:rsidR="00BF31F1" w:rsidRPr="000A07A9">
        <w:t>s</w:t>
      </w:r>
      <w:r w:rsidR="007628FF" w:rsidRPr="000A07A9">
        <w:t xml:space="preserve"> services for children aged 0</w:t>
      </w:r>
      <w:r w:rsidR="00393376" w:rsidRPr="000A07A9">
        <w:t>–</w:t>
      </w:r>
      <w:r w:rsidR="007628FF" w:rsidRPr="000A07A9">
        <w:t xml:space="preserve">5 years. Some long day care may also provide preschool and kindergarten programs and </w:t>
      </w:r>
      <w:r w:rsidR="009B09B1" w:rsidRPr="000A07A9">
        <w:t>outside</w:t>
      </w:r>
      <w:r w:rsidR="00DE681B" w:rsidRPr="000A07A9">
        <w:t xml:space="preserve"> school hours care (see below)</w:t>
      </w:r>
      <w:r w:rsidR="007628FF" w:rsidRPr="000A07A9">
        <w:t>. The service may operate from stand</w:t>
      </w:r>
      <w:r w:rsidR="00F27AEC" w:rsidRPr="000A07A9">
        <w:noBreakHyphen/>
      </w:r>
      <w:r w:rsidR="007628FF" w:rsidRPr="000A07A9">
        <w:t>alone or</w:t>
      </w:r>
      <w:r w:rsidR="007628FF" w:rsidRPr="00393376">
        <w:t xml:space="preserve"> shared premises, including those on school grounds.</w:t>
      </w:r>
    </w:p>
    <w:p w:rsidR="0003611E" w:rsidRDefault="0003611E" w:rsidP="00171F72">
      <w:pPr>
        <w:pStyle w:val="BodyText"/>
      </w:pPr>
      <w:r w:rsidRPr="0003611E">
        <w:rPr>
          <w:i/>
        </w:rPr>
        <w:t>Family day care</w:t>
      </w:r>
      <w:r w:rsidR="007628FF">
        <w:t xml:space="preserve"> — comprises services providing small group care for children in the home environment of a registered carer. Care is primarily aimed at </w:t>
      </w:r>
      <w:r w:rsidR="00BF31F1">
        <w:t xml:space="preserve">children aged </w:t>
      </w:r>
      <w:r w:rsidR="007628FF">
        <w:t>0</w:t>
      </w:r>
      <w:r w:rsidR="005A0359">
        <w:t>–</w:t>
      </w:r>
      <w:r w:rsidR="007628FF">
        <w:t>5 year</w:t>
      </w:r>
      <w:r w:rsidR="00BF31F1">
        <w:t>s</w:t>
      </w:r>
      <w:r w:rsidR="007628FF">
        <w:t>, but primary school children may also receive care before and after school, and during school holidays. Educators work in partnership with scheme management and coordination unit staff.</w:t>
      </w:r>
    </w:p>
    <w:p w:rsidR="00342A4D" w:rsidRPr="00342A4D" w:rsidRDefault="00342A4D" w:rsidP="00171F72">
      <w:pPr>
        <w:pStyle w:val="BodyText"/>
      </w:pPr>
      <w:r w:rsidRPr="00342A4D">
        <w:rPr>
          <w:i/>
        </w:rPr>
        <w:t>Occasional care</w:t>
      </w:r>
      <w:r w:rsidRPr="00342A4D">
        <w:t xml:space="preserve"> — comprises services usually provided at a centre on an hourly or sessional basis for short periods or at irregular intervals for parents who need time </w:t>
      </w:r>
      <w:r w:rsidRPr="00342A4D">
        <w:lastRenderedPageBreak/>
        <w:t xml:space="preserve">to attend appointments, take care of personal matters, undertake casual and part time employment, study or have temporary respite from full time parenting. These services provide developmental activities for children and are aimed </w:t>
      </w:r>
      <w:r w:rsidR="007628FF">
        <w:t xml:space="preserve">primarily </w:t>
      </w:r>
      <w:r w:rsidRPr="00342A4D">
        <w:t>at</w:t>
      </w:r>
      <w:r w:rsidR="00674B6B">
        <w:t xml:space="preserve"> </w:t>
      </w:r>
      <w:r w:rsidR="00BF31F1">
        <w:t xml:space="preserve">children aged </w:t>
      </w:r>
      <w:r w:rsidRPr="00342A4D">
        <w:t>0</w:t>
      </w:r>
      <w:r w:rsidR="005A0359">
        <w:t>–</w:t>
      </w:r>
      <w:r w:rsidRPr="00342A4D">
        <w:t>5 year</w:t>
      </w:r>
      <w:r w:rsidR="00BF31F1">
        <w:t>s</w:t>
      </w:r>
      <w:r w:rsidRPr="00342A4D">
        <w:t>. Centres providing these services usually employ a mix of qualified and other staff.</w:t>
      </w:r>
    </w:p>
    <w:p w:rsidR="00882D25" w:rsidRPr="00C927EC" w:rsidRDefault="0003611E" w:rsidP="00684D95">
      <w:pPr>
        <w:pStyle w:val="BodyText"/>
        <w:rPr>
          <w:shd w:val="clear" w:color="auto" w:fill="FFFFFF" w:themeFill="background1"/>
        </w:rPr>
      </w:pPr>
      <w:r w:rsidRPr="00342A4D">
        <w:rPr>
          <w:i/>
        </w:rPr>
        <w:t>Preschool</w:t>
      </w:r>
      <w:r w:rsidRPr="00342A4D">
        <w:t xml:space="preserve"> —</w:t>
      </w:r>
      <w:r w:rsidR="0077079E">
        <w:t xml:space="preserve"> </w:t>
      </w:r>
      <w:r w:rsidR="00DB2E63">
        <w:t xml:space="preserve">comprises </w:t>
      </w:r>
      <w:r w:rsidR="0077079E" w:rsidRPr="002352A8">
        <w:t>services delivering a preschool program.</w:t>
      </w:r>
      <w:r w:rsidR="0077079E">
        <w:t xml:space="preserve"> </w:t>
      </w:r>
      <w:r w:rsidR="00EC3CB9" w:rsidRPr="00684D95">
        <w:rPr>
          <w:shd w:val="clear" w:color="auto" w:fill="FFFFFF" w:themeFill="background1"/>
        </w:rPr>
        <w:t>A preschool program is a structured, play</w:t>
      </w:r>
      <w:r w:rsidR="00172534">
        <w:rPr>
          <w:shd w:val="clear" w:color="auto" w:fill="FFFFFF" w:themeFill="background1"/>
        </w:rPr>
        <w:noBreakHyphen/>
      </w:r>
      <w:r w:rsidR="00EC3CB9" w:rsidRPr="00684D95">
        <w:rPr>
          <w:shd w:val="clear" w:color="auto" w:fill="FFFFFF" w:themeFill="background1"/>
        </w:rPr>
        <w:t>based learning program, delivered by a degree qualified teacher, aimed at children in the</w:t>
      </w:r>
      <w:r w:rsidR="00C927EC">
        <w:rPr>
          <w:shd w:val="clear" w:color="auto" w:fill="FFFFFF" w:themeFill="background1"/>
        </w:rPr>
        <w:t xml:space="preserve"> year </w:t>
      </w:r>
      <w:r w:rsidR="0067691B" w:rsidRPr="002352A8">
        <w:t>or two</w:t>
      </w:r>
      <w:r w:rsidR="0067691B">
        <w:rPr>
          <w:shd w:val="clear" w:color="auto" w:fill="FFFFFF" w:themeFill="background1"/>
        </w:rPr>
        <w:t xml:space="preserve"> </w:t>
      </w:r>
      <w:r w:rsidR="00C927EC">
        <w:rPr>
          <w:shd w:val="clear" w:color="auto" w:fill="FFFFFF" w:themeFill="background1"/>
        </w:rPr>
        <w:t xml:space="preserve">before they commence full </w:t>
      </w:r>
      <w:r w:rsidR="00EC3CB9" w:rsidRPr="00684D95">
        <w:rPr>
          <w:shd w:val="clear" w:color="auto" w:fill="FFFFFF" w:themeFill="background1"/>
        </w:rPr>
        <w:t>time schooling. This</w:t>
      </w:r>
      <w:r w:rsidR="00005E7A">
        <w:rPr>
          <w:shd w:val="clear" w:color="auto" w:fill="FFFFFF" w:themeFill="background1"/>
        </w:rPr>
        <w:t xml:space="preserve"> definition of a preschool program</w:t>
      </w:r>
      <w:r w:rsidR="00EC3CB9" w:rsidRPr="00684D95">
        <w:rPr>
          <w:shd w:val="clear" w:color="auto" w:fill="FFFFFF" w:themeFill="background1"/>
        </w:rPr>
        <w:t xml:space="preserve"> is irrespective of the type of institution that provides it or whether it is government funded or privately provided. Programs may be delivered in a variety of service settings including separate preschools or kindergartens, long day care </w:t>
      </w:r>
      <w:r w:rsidR="00EC3CB9" w:rsidRPr="005D7A88">
        <w:rPr>
          <w:shd w:val="clear" w:color="auto" w:fill="FFFFFF" w:themeFill="background1"/>
        </w:rPr>
        <w:t>centres, or in association with a school</w:t>
      </w:r>
      <w:r w:rsidR="003D309A" w:rsidRPr="005D7A88">
        <w:rPr>
          <w:shd w:val="clear" w:color="auto" w:fill="FFFFFF" w:themeFill="background1"/>
        </w:rPr>
        <w:t>.</w:t>
      </w:r>
      <w:r w:rsidR="00DB2E63" w:rsidRPr="00DB2E63">
        <w:t xml:space="preserve"> </w:t>
      </w:r>
      <w:r w:rsidR="00DB2E63" w:rsidRPr="002352A8">
        <w:t xml:space="preserve">The year before full time schooling is a term used to describe the ‘preschool’ </w:t>
      </w:r>
      <w:r w:rsidR="00DB2E63">
        <w:t xml:space="preserve">program </w:t>
      </w:r>
      <w:r w:rsidR="00DB2E63" w:rsidRPr="002352A8">
        <w:t>cohort, due to the varying delivery models of early childhood education in the different jurisdicti</w:t>
      </w:r>
      <w:r w:rsidR="00DB2E63">
        <w:t>ons.</w:t>
      </w:r>
      <w:r w:rsidR="003D309A" w:rsidRPr="005D7A88">
        <w:t xml:space="preserve"> </w:t>
      </w:r>
      <w:r w:rsidR="00882D25" w:rsidRPr="005D7A88">
        <w:t xml:space="preserve">Preschool </w:t>
      </w:r>
      <w:r w:rsidR="00882D25">
        <w:t>program names and star</w:t>
      </w:r>
      <w:r w:rsidR="00F92C51">
        <w:t>t</w:t>
      </w:r>
      <w:r w:rsidR="00882D25">
        <w:t xml:space="preserve">ing ages </w:t>
      </w:r>
      <w:r w:rsidR="00F03477" w:rsidRPr="00BC772B">
        <w:t xml:space="preserve">for each </w:t>
      </w:r>
      <w:r w:rsidR="00DA3914">
        <w:t>S</w:t>
      </w:r>
      <w:r w:rsidR="00F03477" w:rsidRPr="00BC772B">
        <w:t xml:space="preserve">tate and </w:t>
      </w:r>
      <w:r w:rsidR="00DA3914">
        <w:t>T</w:t>
      </w:r>
      <w:r w:rsidR="00F03477" w:rsidRPr="00BC772B">
        <w:t xml:space="preserve">erritory </w:t>
      </w:r>
      <w:r w:rsidR="00450F0F">
        <w:t>are</w:t>
      </w:r>
      <w:r w:rsidR="00486380">
        <w:t xml:space="preserve"> </w:t>
      </w:r>
      <w:r w:rsidR="00882D25" w:rsidRPr="00BC772B">
        <w:t>presented</w:t>
      </w:r>
      <w:r w:rsidR="00882D25">
        <w:t xml:space="preserve"> in table</w:t>
      </w:r>
      <w:r w:rsidR="00690C8A">
        <w:t> </w:t>
      </w:r>
      <w:r w:rsidR="00923A1C">
        <w:t>3.1</w:t>
      </w:r>
      <w:r w:rsidR="0066071B">
        <w:t>.</w:t>
      </w:r>
    </w:p>
    <w:p w:rsidR="00882D25" w:rsidRPr="00C3586E" w:rsidRDefault="00882D25" w:rsidP="00C3586E">
      <w:pPr>
        <w:pStyle w:val="TableTitle"/>
        <w:rPr>
          <w:b w:val="0"/>
        </w:rPr>
      </w:pPr>
      <w:r>
        <w:rPr>
          <w:b w:val="0"/>
        </w:rPr>
        <w:t xml:space="preserve">Table </w:t>
      </w:r>
      <w:bookmarkStart w:id="3" w:name="OLE_LINK29"/>
      <w:r w:rsidR="00923A1C">
        <w:rPr>
          <w:b w:val="0"/>
        </w:rPr>
        <w:t>3.</w:t>
      </w:r>
      <w:r w:rsidR="002E4BE8">
        <w:rPr>
          <w:b w:val="0"/>
          <w:noProof/>
        </w:rPr>
        <w:t>1</w:t>
      </w:r>
      <w:bookmarkEnd w:id="3"/>
      <w:r>
        <w:tab/>
        <w:t>Preschool programs in Australia</w:t>
      </w:r>
      <w:r w:rsidR="00393376" w:rsidRPr="00FB2A0B">
        <w:rPr>
          <w:rStyle w:val="NoteLabel"/>
          <w:b/>
        </w:rPr>
        <w:t>a</w:t>
      </w:r>
    </w:p>
    <w:tbl>
      <w:tblPr>
        <w:tblW w:w="5000" w:type="pct"/>
        <w:tblCellMar>
          <w:left w:w="0" w:type="dxa"/>
          <w:right w:w="0" w:type="dxa"/>
        </w:tblCellMar>
        <w:tblLook w:val="0000" w:firstRow="0" w:lastRow="0" w:firstColumn="0" w:lastColumn="0" w:noHBand="0" w:noVBand="0"/>
      </w:tblPr>
      <w:tblGrid>
        <w:gridCol w:w="1420"/>
        <w:gridCol w:w="2408"/>
        <w:gridCol w:w="2767"/>
        <w:gridCol w:w="2194"/>
      </w:tblGrid>
      <w:tr w:rsidR="005064A7" w:rsidTr="002B06E9">
        <w:tc>
          <w:tcPr>
            <w:tcW w:w="807" w:type="pct"/>
            <w:tcBorders>
              <w:top w:val="single" w:sz="4" w:space="0" w:color="auto"/>
              <w:bottom w:val="single" w:sz="4" w:space="0" w:color="auto"/>
            </w:tcBorders>
            <w:shd w:val="clear" w:color="auto" w:fill="auto"/>
          </w:tcPr>
          <w:p w:rsidR="005064A7" w:rsidRDefault="005064A7" w:rsidP="00C3586E">
            <w:pPr>
              <w:pStyle w:val="TableColumnHeading"/>
              <w:jc w:val="left"/>
            </w:pPr>
            <w:r>
              <w:t>State/Territory</w:t>
            </w:r>
          </w:p>
        </w:tc>
        <w:tc>
          <w:tcPr>
            <w:tcW w:w="1370" w:type="pct"/>
            <w:tcBorders>
              <w:top w:val="single" w:sz="4" w:space="0" w:color="auto"/>
              <w:bottom w:val="single" w:sz="4" w:space="0" w:color="auto"/>
            </w:tcBorders>
            <w:shd w:val="clear" w:color="auto" w:fill="auto"/>
          </w:tcPr>
          <w:p w:rsidR="005064A7" w:rsidRDefault="005064A7" w:rsidP="00C3586E">
            <w:pPr>
              <w:pStyle w:val="TableColumnHeading"/>
              <w:jc w:val="left"/>
            </w:pPr>
            <w:r>
              <w:t>Program name</w:t>
            </w:r>
          </w:p>
        </w:tc>
        <w:tc>
          <w:tcPr>
            <w:tcW w:w="1574" w:type="pct"/>
            <w:tcBorders>
              <w:top w:val="single" w:sz="6" w:space="0" w:color="auto"/>
              <w:bottom w:val="single" w:sz="6" w:space="0" w:color="auto"/>
            </w:tcBorders>
            <w:shd w:val="clear" w:color="auto" w:fill="auto"/>
          </w:tcPr>
          <w:p w:rsidR="005064A7" w:rsidRDefault="005064A7" w:rsidP="005064A7">
            <w:pPr>
              <w:pStyle w:val="TableColumnHeading"/>
              <w:ind w:right="28"/>
              <w:jc w:val="left"/>
            </w:pPr>
            <w:r>
              <w:t xml:space="preserve">Age of entry </w:t>
            </w:r>
            <w:r w:rsidR="00172534">
              <w:noBreakHyphen/>
            </w:r>
            <w:r>
              <w:t xml:space="preserve"> preschool</w:t>
            </w:r>
          </w:p>
        </w:tc>
        <w:tc>
          <w:tcPr>
            <w:tcW w:w="1248" w:type="pct"/>
            <w:tcBorders>
              <w:top w:val="single" w:sz="6" w:space="0" w:color="auto"/>
              <w:bottom w:val="single" w:sz="6" w:space="0" w:color="auto"/>
            </w:tcBorders>
            <w:shd w:val="clear" w:color="auto" w:fill="auto"/>
          </w:tcPr>
          <w:p w:rsidR="005064A7" w:rsidRDefault="005064A7" w:rsidP="005064A7">
            <w:pPr>
              <w:pStyle w:val="TableColumnHeading"/>
              <w:ind w:right="28"/>
              <w:jc w:val="left"/>
            </w:pPr>
            <w:r>
              <w:t xml:space="preserve">Age of entry </w:t>
            </w:r>
            <w:r w:rsidR="00172534">
              <w:noBreakHyphen/>
            </w:r>
            <w:r>
              <w:t xml:space="preserve"> school</w:t>
            </w:r>
          </w:p>
        </w:tc>
      </w:tr>
      <w:tr w:rsidR="005064A7" w:rsidRPr="00737B1D" w:rsidTr="002B06E9">
        <w:tc>
          <w:tcPr>
            <w:tcW w:w="807" w:type="pct"/>
            <w:tcBorders>
              <w:top w:val="single" w:sz="4" w:space="0" w:color="auto"/>
            </w:tcBorders>
          </w:tcPr>
          <w:p w:rsidR="005064A7" w:rsidRPr="00737B1D" w:rsidRDefault="005064A7" w:rsidP="00C3586E">
            <w:pPr>
              <w:pStyle w:val="TableBodyText"/>
              <w:jc w:val="left"/>
            </w:pPr>
            <w:r w:rsidRPr="00737B1D">
              <w:t>NSW</w:t>
            </w:r>
          </w:p>
        </w:tc>
        <w:tc>
          <w:tcPr>
            <w:tcW w:w="1370" w:type="pct"/>
            <w:tcBorders>
              <w:top w:val="single" w:sz="4" w:space="0" w:color="auto"/>
            </w:tcBorders>
          </w:tcPr>
          <w:p w:rsidR="005064A7" w:rsidRPr="00737B1D" w:rsidRDefault="005064A7" w:rsidP="00C3586E">
            <w:pPr>
              <w:pStyle w:val="TableBodyText"/>
              <w:ind w:right="28"/>
              <w:jc w:val="left"/>
            </w:pPr>
            <w:r w:rsidRPr="00737B1D">
              <w:t>Preschool</w:t>
            </w:r>
          </w:p>
        </w:tc>
        <w:tc>
          <w:tcPr>
            <w:tcW w:w="1574" w:type="pct"/>
          </w:tcPr>
          <w:p w:rsidR="005064A7" w:rsidRPr="00737B1D" w:rsidRDefault="005064A7" w:rsidP="00C3586E">
            <w:pPr>
              <w:pStyle w:val="TableBodyText"/>
              <w:ind w:right="28"/>
              <w:jc w:val="left"/>
            </w:pPr>
            <w:r>
              <w:t>G</w:t>
            </w:r>
            <w:r w:rsidRPr="00737B1D">
              <w:t xml:space="preserve">enerally </w:t>
            </w:r>
            <w:r>
              <w:t>aged 3 and 4</w:t>
            </w:r>
          </w:p>
        </w:tc>
        <w:tc>
          <w:tcPr>
            <w:tcW w:w="1248" w:type="pct"/>
            <w:shd w:val="clear" w:color="auto" w:fill="auto"/>
          </w:tcPr>
          <w:p w:rsidR="005064A7" w:rsidRDefault="005064A7" w:rsidP="00C3586E">
            <w:pPr>
              <w:pStyle w:val="TableBodyText"/>
              <w:ind w:right="28"/>
              <w:jc w:val="left"/>
            </w:pPr>
            <w:r w:rsidRPr="005064A7">
              <w:t>5 by 31 July</w:t>
            </w:r>
          </w:p>
        </w:tc>
      </w:tr>
      <w:tr w:rsidR="005064A7" w:rsidRPr="00737B1D" w:rsidTr="002B06E9">
        <w:tc>
          <w:tcPr>
            <w:tcW w:w="807" w:type="pct"/>
          </w:tcPr>
          <w:p w:rsidR="005064A7" w:rsidRPr="00737B1D" w:rsidRDefault="005064A7" w:rsidP="00981A65">
            <w:pPr>
              <w:pStyle w:val="TableBodyText"/>
              <w:jc w:val="left"/>
            </w:pPr>
            <w:r w:rsidRPr="00737B1D">
              <w:t>Vic</w:t>
            </w:r>
          </w:p>
        </w:tc>
        <w:tc>
          <w:tcPr>
            <w:tcW w:w="1370" w:type="pct"/>
          </w:tcPr>
          <w:p w:rsidR="005064A7" w:rsidRPr="00737B1D" w:rsidRDefault="005064A7" w:rsidP="00C3586E">
            <w:pPr>
              <w:pStyle w:val="TableBodyText"/>
              <w:ind w:right="28"/>
              <w:jc w:val="left"/>
            </w:pPr>
            <w:r w:rsidRPr="00737B1D">
              <w:t>Kindergarten</w:t>
            </w:r>
          </w:p>
        </w:tc>
        <w:tc>
          <w:tcPr>
            <w:tcW w:w="1574" w:type="pct"/>
          </w:tcPr>
          <w:p w:rsidR="005064A7" w:rsidRPr="00737B1D" w:rsidRDefault="005064A7" w:rsidP="00C3586E">
            <w:pPr>
              <w:pStyle w:val="TableBodyText"/>
              <w:ind w:right="28"/>
              <w:jc w:val="left"/>
            </w:pPr>
            <w:r w:rsidRPr="00737B1D">
              <w:t>4 by 30 April</w:t>
            </w:r>
          </w:p>
        </w:tc>
        <w:tc>
          <w:tcPr>
            <w:tcW w:w="1248" w:type="pct"/>
            <w:shd w:val="clear" w:color="auto" w:fill="auto"/>
          </w:tcPr>
          <w:p w:rsidR="005064A7" w:rsidRPr="00737B1D" w:rsidRDefault="005064A7" w:rsidP="00C3586E">
            <w:pPr>
              <w:pStyle w:val="TableBodyText"/>
              <w:ind w:right="28"/>
              <w:jc w:val="left"/>
            </w:pPr>
            <w:r w:rsidRPr="005064A7">
              <w:t>5 by 30 April</w:t>
            </w:r>
          </w:p>
        </w:tc>
      </w:tr>
      <w:tr w:rsidR="005064A7" w:rsidRPr="006B6830" w:rsidTr="002B06E9">
        <w:tc>
          <w:tcPr>
            <w:tcW w:w="807" w:type="pct"/>
          </w:tcPr>
          <w:p w:rsidR="005064A7" w:rsidRPr="00737B1D" w:rsidRDefault="005064A7" w:rsidP="00981A65">
            <w:pPr>
              <w:pStyle w:val="TableBodyText"/>
              <w:jc w:val="left"/>
            </w:pPr>
            <w:r w:rsidRPr="00737B1D">
              <w:t>Q</w:t>
            </w:r>
            <w:r>
              <w:t>ld</w:t>
            </w:r>
          </w:p>
        </w:tc>
        <w:tc>
          <w:tcPr>
            <w:tcW w:w="1370" w:type="pct"/>
          </w:tcPr>
          <w:p w:rsidR="005064A7" w:rsidRPr="00737B1D" w:rsidRDefault="005064A7" w:rsidP="00C3586E">
            <w:pPr>
              <w:pStyle w:val="TableBodyText"/>
              <w:ind w:right="28"/>
              <w:jc w:val="left"/>
            </w:pPr>
            <w:r w:rsidRPr="00737B1D">
              <w:t>Kindergar</w:t>
            </w:r>
            <w:r w:rsidR="00B0751D">
              <w:t>ten</w:t>
            </w:r>
          </w:p>
        </w:tc>
        <w:tc>
          <w:tcPr>
            <w:tcW w:w="1574" w:type="pct"/>
          </w:tcPr>
          <w:p w:rsidR="005064A7" w:rsidRPr="00737B1D" w:rsidRDefault="005064A7" w:rsidP="00C3586E">
            <w:pPr>
              <w:pStyle w:val="TableBodyText"/>
              <w:ind w:right="28"/>
              <w:jc w:val="left"/>
            </w:pPr>
            <w:r w:rsidRPr="00737B1D">
              <w:t>4 by 30 June</w:t>
            </w:r>
          </w:p>
        </w:tc>
        <w:tc>
          <w:tcPr>
            <w:tcW w:w="1248" w:type="pct"/>
            <w:shd w:val="clear" w:color="auto" w:fill="auto"/>
          </w:tcPr>
          <w:p w:rsidR="005064A7" w:rsidRPr="00737B1D" w:rsidRDefault="005064A7" w:rsidP="00C3586E">
            <w:pPr>
              <w:pStyle w:val="TableBodyText"/>
              <w:ind w:right="28"/>
              <w:jc w:val="left"/>
            </w:pPr>
            <w:r w:rsidRPr="005064A7">
              <w:t>5 by 30 June</w:t>
            </w:r>
          </w:p>
        </w:tc>
      </w:tr>
      <w:tr w:rsidR="005064A7" w:rsidRPr="006B6830" w:rsidTr="002B06E9">
        <w:tc>
          <w:tcPr>
            <w:tcW w:w="807" w:type="pct"/>
          </w:tcPr>
          <w:p w:rsidR="005064A7" w:rsidRPr="00737B1D" w:rsidRDefault="005064A7" w:rsidP="00C3586E">
            <w:pPr>
              <w:pStyle w:val="TableBodyText"/>
              <w:jc w:val="left"/>
            </w:pPr>
            <w:r>
              <w:t>WA</w:t>
            </w:r>
          </w:p>
        </w:tc>
        <w:tc>
          <w:tcPr>
            <w:tcW w:w="1370" w:type="pct"/>
          </w:tcPr>
          <w:p w:rsidR="005064A7" w:rsidRPr="00737B1D" w:rsidRDefault="005064A7" w:rsidP="00C3586E">
            <w:pPr>
              <w:pStyle w:val="TableBodyText"/>
              <w:ind w:right="28"/>
              <w:jc w:val="left"/>
            </w:pPr>
            <w:r w:rsidRPr="00737B1D">
              <w:t>Kindergarten</w:t>
            </w:r>
          </w:p>
        </w:tc>
        <w:tc>
          <w:tcPr>
            <w:tcW w:w="1574" w:type="pct"/>
          </w:tcPr>
          <w:p w:rsidR="005064A7" w:rsidRPr="00737B1D" w:rsidRDefault="005064A7" w:rsidP="00C3586E">
            <w:pPr>
              <w:pStyle w:val="TableBodyText"/>
              <w:ind w:right="28"/>
              <w:jc w:val="left"/>
            </w:pPr>
            <w:r>
              <w:t>4 by 30 June</w:t>
            </w:r>
          </w:p>
        </w:tc>
        <w:tc>
          <w:tcPr>
            <w:tcW w:w="1248" w:type="pct"/>
            <w:shd w:val="clear" w:color="auto" w:fill="auto"/>
          </w:tcPr>
          <w:p w:rsidR="005064A7" w:rsidRDefault="005064A7" w:rsidP="00C3586E">
            <w:pPr>
              <w:pStyle w:val="TableBodyText"/>
              <w:ind w:right="28"/>
              <w:jc w:val="left"/>
            </w:pPr>
            <w:r w:rsidRPr="005064A7">
              <w:t>5 by 30 June</w:t>
            </w:r>
          </w:p>
        </w:tc>
      </w:tr>
      <w:tr w:rsidR="005064A7" w:rsidRPr="006B6830" w:rsidTr="002B06E9">
        <w:tc>
          <w:tcPr>
            <w:tcW w:w="807" w:type="pct"/>
          </w:tcPr>
          <w:p w:rsidR="005064A7" w:rsidRPr="00737B1D" w:rsidRDefault="005064A7" w:rsidP="00C3586E">
            <w:pPr>
              <w:pStyle w:val="TableBodyText"/>
              <w:jc w:val="left"/>
            </w:pPr>
            <w:r>
              <w:t>SA</w:t>
            </w:r>
          </w:p>
        </w:tc>
        <w:tc>
          <w:tcPr>
            <w:tcW w:w="1370" w:type="pct"/>
          </w:tcPr>
          <w:p w:rsidR="005064A7" w:rsidRPr="00737B1D" w:rsidRDefault="005064A7" w:rsidP="00C3586E">
            <w:pPr>
              <w:pStyle w:val="TableBodyText"/>
              <w:ind w:right="28"/>
              <w:jc w:val="left"/>
            </w:pPr>
            <w:r w:rsidRPr="00737B1D">
              <w:t>Preschool and Kindergarten</w:t>
            </w:r>
          </w:p>
        </w:tc>
        <w:tc>
          <w:tcPr>
            <w:tcW w:w="1574" w:type="pct"/>
          </w:tcPr>
          <w:p w:rsidR="005064A7" w:rsidRPr="00737B1D" w:rsidRDefault="005064A7" w:rsidP="00C3586E">
            <w:pPr>
              <w:pStyle w:val="TableBodyText"/>
              <w:ind w:right="28"/>
              <w:jc w:val="left"/>
            </w:pPr>
            <w:r>
              <w:t>E</w:t>
            </w:r>
            <w:r w:rsidRPr="00737B1D">
              <w:t xml:space="preserve">ntry after 4th birthday </w:t>
            </w:r>
          </w:p>
        </w:tc>
        <w:tc>
          <w:tcPr>
            <w:tcW w:w="1248" w:type="pct"/>
            <w:shd w:val="clear" w:color="auto" w:fill="auto"/>
          </w:tcPr>
          <w:p w:rsidR="005064A7" w:rsidRDefault="00690C8A" w:rsidP="00C3586E">
            <w:pPr>
              <w:pStyle w:val="TableBodyText"/>
              <w:ind w:right="28"/>
              <w:jc w:val="left"/>
            </w:pPr>
            <w:r>
              <w:t>E</w:t>
            </w:r>
            <w:r w:rsidR="005064A7" w:rsidRPr="005064A7">
              <w:t>ntry after 5th birthday</w:t>
            </w:r>
          </w:p>
        </w:tc>
      </w:tr>
      <w:tr w:rsidR="005064A7" w:rsidRPr="00737B1D" w:rsidTr="002B06E9">
        <w:tc>
          <w:tcPr>
            <w:tcW w:w="807" w:type="pct"/>
          </w:tcPr>
          <w:p w:rsidR="005064A7" w:rsidRPr="00737B1D" w:rsidRDefault="005064A7" w:rsidP="00981A65">
            <w:pPr>
              <w:pStyle w:val="TableBodyText"/>
              <w:jc w:val="left"/>
            </w:pPr>
            <w:proofErr w:type="spellStart"/>
            <w:r w:rsidRPr="00737B1D">
              <w:t>Tas</w:t>
            </w:r>
            <w:proofErr w:type="spellEnd"/>
          </w:p>
        </w:tc>
        <w:tc>
          <w:tcPr>
            <w:tcW w:w="1370" w:type="pct"/>
          </w:tcPr>
          <w:p w:rsidR="005064A7" w:rsidRPr="00737B1D" w:rsidRDefault="005064A7" w:rsidP="00C3586E">
            <w:pPr>
              <w:pStyle w:val="TableBodyText"/>
              <w:ind w:right="28"/>
              <w:jc w:val="left"/>
            </w:pPr>
            <w:r w:rsidRPr="00737B1D">
              <w:t>Kindergarten</w:t>
            </w:r>
          </w:p>
        </w:tc>
        <w:tc>
          <w:tcPr>
            <w:tcW w:w="1574" w:type="pct"/>
          </w:tcPr>
          <w:p w:rsidR="005064A7" w:rsidRPr="00737B1D" w:rsidRDefault="005064A7" w:rsidP="00C3586E">
            <w:pPr>
              <w:pStyle w:val="TableBodyText"/>
              <w:ind w:right="28"/>
              <w:jc w:val="left"/>
            </w:pPr>
            <w:r w:rsidRPr="00737B1D">
              <w:t>4 by 1 January</w:t>
            </w:r>
          </w:p>
        </w:tc>
        <w:tc>
          <w:tcPr>
            <w:tcW w:w="1248" w:type="pct"/>
            <w:shd w:val="clear" w:color="auto" w:fill="auto"/>
          </w:tcPr>
          <w:p w:rsidR="005064A7" w:rsidRPr="00737B1D" w:rsidRDefault="005064A7" w:rsidP="00C3586E">
            <w:pPr>
              <w:pStyle w:val="TableBodyText"/>
              <w:ind w:right="28"/>
              <w:jc w:val="left"/>
            </w:pPr>
            <w:r w:rsidRPr="005064A7">
              <w:t>5 by 1 January</w:t>
            </w:r>
          </w:p>
        </w:tc>
      </w:tr>
      <w:tr w:rsidR="005064A7" w:rsidRPr="00737B1D" w:rsidTr="002B06E9">
        <w:tc>
          <w:tcPr>
            <w:tcW w:w="807" w:type="pct"/>
          </w:tcPr>
          <w:p w:rsidR="005064A7" w:rsidRPr="00737B1D" w:rsidRDefault="005064A7" w:rsidP="00C3586E">
            <w:pPr>
              <w:pStyle w:val="TableBodyText"/>
              <w:jc w:val="left"/>
            </w:pPr>
            <w:r>
              <w:t>ACT</w:t>
            </w:r>
          </w:p>
        </w:tc>
        <w:tc>
          <w:tcPr>
            <w:tcW w:w="1370" w:type="pct"/>
          </w:tcPr>
          <w:p w:rsidR="005064A7" w:rsidRPr="00737B1D" w:rsidRDefault="005064A7" w:rsidP="00C3586E">
            <w:pPr>
              <w:pStyle w:val="TableBodyText"/>
              <w:ind w:right="28"/>
              <w:jc w:val="left"/>
            </w:pPr>
            <w:r w:rsidRPr="00737B1D">
              <w:t>Preschool</w:t>
            </w:r>
          </w:p>
        </w:tc>
        <w:tc>
          <w:tcPr>
            <w:tcW w:w="1574" w:type="pct"/>
          </w:tcPr>
          <w:p w:rsidR="005064A7" w:rsidRPr="00737B1D" w:rsidRDefault="005064A7" w:rsidP="00C3586E">
            <w:pPr>
              <w:pStyle w:val="TableBodyText"/>
              <w:ind w:right="28"/>
              <w:jc w:val="left"/>
            </w:pPr>
            <w:r w:rsidRPr="00737B1D">
              <w:t>4 by 30 April</w:t>
            </w:r>
          </w:p>
        </w:tc>
        <w:tc>
          <w:tcPr>
            <w:tcW w:w="1248" w:type="pct"/>
            <w:shd w:val="clear" w:color="auto" w:fill="auto"/>
          </w:tcPr>
          <w:p w:rsidR="005064A7" w:rsidRPr="00737B1D" w:rsidRDefault="005064A7" w:rsidP="00C3586E">
            <w:pPr>
              <w:pStyle w:val="TableBodyText"/>
              <w:ind w:right="28"/>
              <w:jc w:val="left"/>
            </w:pPr>
            <w:r w:rsidRPr="005064A7">
              <w:t>5 by 30 April</w:t>
            </w:r>
          </w:p>
        </w:tc>
      </w:tr>
      <w:tr w:rsidR="005064A7" w:rsidTr="002B06E9">
        <w:tc>
          <w:tcPr>
            <w:tcW w:w="807" w:type="pct"/>
            <w:tcBorders>
              <w:bottom w:val="single" w:sz="4" w:space="0" w:color="auto"/>
            </w:tcBorders>
            <w:shd w:val="clear" w:color="auto" w:fill="auto"/>
          </w:tcPr>
          <w:p w:rsidR="005064A7" w:rsidRPr="00737B1D" w:rsidRDefault="005064A7" w:rsidP="00C3586E">
            <w:pPr>
              <w:pStyle w:val="TableBodyText"/>
              <w:jc w:val="left"/>
            </w:pPr>
            <w:r>
              <w:t>NT</w:t>
            </w:r>
          </w:p>
        </w:tc>
        <w:tc>
          <w:tcPr>
            <w:tcW w:w="1370" w:type="pct"/>
            <w:tcBorders>
              <w:bottom w:val="single" w:sz="4" w:space="0" w:color="auto"/>
            </w:tcBorders>
            <w:shd w:val="clear" w:color="auto" w:fill="auto"/>
          </w:tcPr>
          <w:p w:rsidR="005064A7" w:rsidRPr="00737B1D" w:rsidRDefault="005064A7" w:rsidP="00C3586E">
            <w:pPr>
              <w:pStyle w:val="TableBodyText"/>
              <w:ind w:right="28"/>
              <w:jc w:val="left"/>
            </w:pPr>
            <w:r w:rsidRPr="00737B1D">
              <w:t>Preschool</w:t>
            </w:r>
          </w:p>
        </w:tc>
        <w:tc>
          <w:tcPr>
            <w:tcW w:w="1574" w:type="pct"/>
            <w:tcBorders>
              <w:bottom w:val="single" w:sz="6" w:space="0" w:color="auto"/>
            </w:tcBorders>
            <w:shd w:val="clear" w:color="auto" w:fill="auto"/>
          </w:tcPr>
          <w:p w:rsidR="005064A7" w:rsidRPr="00D800AE" w:rsidRDefault="005064A7" w:rsidP="00C3586E">
            <w:pPr>
              <w:pStyle w:val="TableBodyText"/>
              <w:ind w:right="28"/>
              <w:jc w:val="left"/>
            </w:pPr>
            <w:r>
              <w:t>4 by 30 June</w:t>
            </w:r>
            <w:r w:rsidDel="00576A9D">
              <w:t xml:space="preserve"> </w:t>
            </w:r>
            <w:r>
              <w:t xml:space="preserve">or 3 for Indigenous children in remote </w:t>
            </w:r>
            <w:r w:rsidRPr="00737B1D">
              <w:t>areas</w:t>
            </w:r>
          </w:p>
        </w:tc>
        <w:tc>
          <w:tcPr>
            <w:tcW w:w="1248" w:type="pct"/>
            <w:tcBorders>
              <w:bottom w:val="single" w:sz="6" w:space="0" w:color="auto"/>
            </w:tcBorders>
            <w:shd w:val="clear" w:color="auto" w:fill="auto"/>
          </w:tcPr>
          <w:p w:rsidR="005064A7" w:rsidRDefault="005064A7" w:rsidP="00C3586E">
            <w:pPr>
              <w:pStyle w:val="TableBodyText"/>
              <w:ind w:right="28"/>
              <w:jc w:val="left"/>
            </w:pPr>
            <w:r w:rsidRPr="005064A7">
              <w:t>5 by 30 June</w:t>
            </w:r>
          </w:p>
        </w:tc>
      </w:tr>
    </w:tbl>
    <w:p w:rsidR="00682FC6" w:rsidRDefault="00682FC6" w:rsidP="002B06E9">
      <w:pPr>
        <w:pStyle w:val="Source"/>
      </w:pPr>
      <w:r w:rsidRPr="00B85232">
        <w:rPr>
          <w:rStyle w:val="NoteLabel"/>
        </w:rPr>
        <w:t>a</w:t>
      </w:r>
      <w:r>
        <w:t xml:space="preserve"> </w:t>
      </w:r>
      <w:r w:rsidRPr="00C6088D">
        <w:rPr>
          <w:rStyle w:val="NoteChar"/>
        </w:rPr>
        <w:t xml:space="preserve">Preschool programs are </w:t>
      </w:r>
      <w:r w:rsidR="00EA07B5" w:rsidRPr="00C6088D">
        <w:rPr>
          <w:rStyle w:val="NoteChar"/>
        </w:rPr>
        <w:t xml:space="preserve">also provided in </w:t>
      </w:r>
      <w:r w:rsidR="008061B2" w:rsidRPr="00C6088D">
        <w:rPr>
          <w:rStyle w:val="NoteChar"/>
        </w:rPr>
        <w:t xml:space="preserve">some </w:t>
      </w:r>
      <w:r w:rsidR="00180AA4" w:rsidRPr="00C6088D">
        <w:rPr>
          <w:rStyle w:val="NoteChar"/>
        </w:rPr>
        <w:t>l</w:t>
      </w:r>
      <w:r w:rsidR="00EA07B5" w:rsidRPr="00C6088D">
        <w:rPr>
          <w:rStyle w:val="NoteChar"/>
        </w:rPr>
        <w:t xml:space="preserve">ong </w:t>
      </w:r>
      <w:r w:rsidR="00180AA4" w:rsidRPr="00C6088D">
        <w:rPr>
          <w:rStyle w:val="NoteChar"/>
        </w:rPr>
        <w:t>d</w:t>
      </w:r>
      <w:r w:rsidR="00EA07B5" w:rsidRPr="00C6088D">
        <w:rPr>
          <w:rStyle w:val="NoteChar"/>
        </w:rPr>
        <w:t xml:space="preserve">ay </w:t>
      </w:r>
      <w:r w:rsidR="00180AA4" w:rsidRPr="00C6088D">
        <w:rPr>
          <w:rStyle w:val="NoteChar"/>
        </w:rPr>
        <w:t>c</w:t>
      </w:r>
      <w:r w:rsidR="003F3076" w:rsidRPr="00C6088D">
        <w:rPr>
          <w:rStyle w:val="NoteChar"/>
        </w:rPr>
        <w:t>are centres. These are classified predominantly as child care services in this Report. However, long day care centre services that deliver a preschool program are included in preschool data, unless otherwise specified.</w:t>
      </w:r>
      <w:r w:rsidR="003F3076">
        <w:t xml:space="preserve"> </w:t>
      </w:r>
    </w:p>
    <w:p w:rsidR="00882D25" w:rsidRDefault="00882D25" w:rsidP="00C3586E">
      <w:pPr>
        <w:pStyle w:val="Source"/>
      </w:pPr>
      <w:r>
        <w:rPr>
          <w:i/>
        </w:rPr>
        <w:t>Source</w:t>
      </w:r>
      <w:r>
        <w:t xml:space="preserve">: </w:t>
      </w:r>
      <w:r w:rsidRPr="00882D25">
        <w:t>State and Terr</w:t>
      </w:r>
      <w:r>
        <w:t>itory governments (unpublished); table</w:t>
      </w:r>
      <w:r w:rsidR="00172534">
        <w:t> </w:t>
      </w:r>
      <w:proofErr w:type="spellStart"/>
      <w:r>
        <w:t>3A.1</w:t>
      </w:r>
      <w:proofErr w:type="spellEnd"/>
      <w:r w:rsidR="00465E62">
        <w:t>.</w:t>
      </w:r>
    </w:p>
    <w:p w:rsidR="00FF6B2C" w:rsidRDefault="0003611E" w:rsidP="00171F72">
      <w:pPr>
        <w:pStyle w:val="BodyText"/>
      </w:pPr>
      <w:r w:rsidRPr="0003611E">
        <w:rPr>
          <w:i/>
        </w:rPr>
        <w:t>Outside school hours care</w:t>
      </w:r>
      <w:r>
        <w:t xml:space="preserve"> — comprises services </w:t>
      </w:r>
      <w:r w:rsidR="00FF6B2C">
        <w:t xml:space="preserve">that provide care for </w:t>
      </w:r>
      <w:r w:rsidR="003A144D">
        <w:t>school aged children before school, after</w:t>
      </w:r>
      <w:r w:rsidR="00F27AEC">
        <w:t xml:space="preserve"> school, during school holidays</w:t>
      </w:r>
      <w:r w:rsidR="003A144D">
        <w:t xml:space="preserve"> and on pupil free days. Outside school hours care may use stand</w:t>
      </w:r>
      <w:r w:rsidR="00172534">
        <w:noBreakHyphen/>
      </w:r>
      <w:r w:rsidR="003A144D">
        <w:t>alone facilities, share school buildings and grounds and/or share facilities such as community halls.</w:t>
      </w:r>
    </w:p>
    <w:p w:rsidR="0003611E" w:rsidRDefault="0003611E" w:rsidP="00171F72">
      <w:pPr>
        <w:pStyle w:val="BodyText"/>
      </w:pPr>
      <w:r w:rsidRPr="0003611E">
        <w:rPr>
          <w:i/>
        </w:rPr>
        <w:t>Other services</w:t>
      </w:r>
      <w:r>
        <w:t xml:space="preserve"> — comprise government funded services to support children with additional nee</w:t>
      </w:r>
      <w:r w:rsidR="00C711A3">
        <w:t xml:space="preserve">ds or in particular situations </w:t>
      </w:r>
      <w:r w:rsidR="001D596D">
        <w:t>(</w:t>
      </w:r>
      <w:r>
        <w:t xml:space="preserve">including </w:t>
      </w:r>
      <w:r w:rsidR="00C711A3">
        <w:t xml:space="preserve">Indigenous </w:t>
      </w:r>
      <w:r>
        <w:t>children</w:t>
      </w:r>
      <w:r w:rsidR="00C711A3">
        <w:t xml:space="preserve">, children from </w:t>
      </w:r>
      <w:r>
        <w:t>non</w:t>
      </w:r>
      <w:r w:rsidR="00172534">
        <w:noBreakHyphen/>
      </w:r>
      <w:r>
        <w:t>English speaking background</w:t>
      </w:r>
      <w:r w:rsidR="00C711A3">
        <w:t>s (</w:t>
      </w:r>
      <w:proofErr w:type="spellStart"/>
      <w:r w:rsidR="00C711A3">
        <w:t>NESB</w:t>
      </w:r>
      <w:proofErr w:type="spellEnd"/>
      <w:r w:rsidR="00C711A3">
        <w:t>)</w:t>
      </w:r>
      <w:r>
        <w:t xml:space="preserve">, children </w:t>
      </w:r>
      <w:r w:rsidR="00D51DEF">
        <w:t>with disability</w:t>
      </w:r>
      <w:r>
        <w:t xml:space="preserve"> or of </w:t>
      </w:r>
      <w:r>
        <w:lastRenderedPageBreak/>
        <w:t xml:space="preserve">parents </w:t>
      </w:r>
      <w:r w:rsidR="00D51DEF">
        <w:t>with disability</w:t>
      </w:r>
      <w:r>
        <w:t>, and children living in regional and remote areas).</w:t>
      </w:r>
      <w:r w:rsidR="00FF6B2C">
        <w:t xml:space="preserve"> </w:t>
      </w:r>
      <w:r w:rsidR="00084DB4">
        <w:t>Other services</w:t>
      </w:r>
      <w:r w:rsidR="003A144D">
        <w:t xml:space="preserve"> include in</w:t>
      </w:r>
      <w:r w:rsidR="00172534">
        <w:noBreakHyphen/>
      </w:r>
      <w:r w:rsidR="003A144D">
        <w:t>home care where an approved carer provides care in the child’s home.</w:t>
      </w:r>
    </w:p>
    <w:p w:rsidR="0003611E" w:rsidRDefault="0003611E" w:rsidP="00C3586E">
      <w:pPr>
        <w:pStyle w:val="Heading3"/>
      </w:pPr>
      <w:r w:rsidRPr="00C941CD">
        <w:t>Roles and responsibilities</w:t>
      </w:r>
    </w:p>
    <w:p w:rsidR="0003611E" w:rsidRDefault="0003611E" w:rsidP="00C3586E">
      <w:pPr>
        <w:pStyle w:val="BodyText"/>
      </w:pPr>
      <w:r>
        <w:t>The Australian Government and the State</w:t>
      </w:r>
      <w:r w:rsidR="007F143B">
        <w:t xml:space="preserve"> and </w:t>
      </w:r>
      <w:r>
        <w:t>Territory governments ha</w:t>
      </w:r>
      <w:r w:rsidR="0050339C">
        <w:t>ve different</w:t>
      </w:r>
      <w:r w:rsidR="00F27AEC">
        <w:t xml:space="preserve"> but complementary</w:t>
      </w:r>
      <w:r>
        <w:t xml:space="preserve"> roles in supporting </w:t>
      </w:r>
      <w:r w:rsidR="006137A1">
        <w:t xml:space="preserve">early childhood education and care </w:t>
      </w:r>
      <w:r>
        <w:t xml:space="preserve">services. Both levels of government </w:t>
      </w:r>
      <w:r w:rsidR="00A06BE5">
        <w:t xml:space="preserve">contribute funding to </w:t>
      </w:r>
      <w:r>
        <w:t>services, provide information and advice to parents and service providers, and help plan, set and maintain operating standards.</w:t>
      </w:r>
    </w:p>
    <w:p w:rsidR="0003611E" w:rsidRDefault="0003611E" w:rsidP="000564F6">
      <w:pPr>
        <w:pStyle w:val="BodyText"/>
        <w:keepNext/>
      </w:pPr>
      <w:r>
        <w:t>The Australian Government’s roles</w:t>
      </w:r>
      <w:r w:rsidR="00C85D95">
        <w:t xml:space="preserve"> and responsibilities for child care</w:t>
      </w:r>
      <w:r>
        <w:t xml:space="preserve"> include:</w:t>
      </w:r>
    </w:p>
    <w:p w:rsidR="0003611E" w:rsidRDefault="0003611E" w:rsidP="00C3586E">
      <w:pPr>
        <w:pStyle w:val="ListBullet"/>
      </w:pPr>
      <w:r>
        <w:t>paying Child Care Benefit</w:t>
      </w:r>
      <w:r w:rsidR="00152D04">
        <w:t xml:space="preserve"> (</w:t>
      </w:r>
      <w:proofErr w:type="spellStart"/>
      <w:r w:rsidR="00152D04">
        <w:t>CCB</w:t>
      </w:r>
      <w:proofErr w:type="spellEnd"/>
      <w:r w:rsidR="00152D04">
        <w:t>)</w:t>
      </w:r>
      <w:r>
        <w:t xml:space="preserve"> to </w:t>
      </w:r>
      <w:r w:rsidR="003A144D">
        <w:t xml:space="preserve">eligible </w:t>
      </w:r>
      <w:r>
        <w:t xml:space="preserve">families using approved </w:t>
      </w:r>
      <w:r w:rsidR="00C85D95">
        <w:t>child care</w:t>
      </w:r>
      <w:r>
        <w:t xml:space="preserve"> services or registered carers </w:t>
      </w:r>
    </w:p>
    <w:p w:rsidR="00957BC6" w:rsidRDefault="00957BC6" w:rsidP="00C3586E">
      <w:pPr>
        <w:pStyle w:val="ListBullet"/>
      </w:pPr>
      <w:r>
        <w:t>paying Child Care Rebate (</w:t>
      </w:r>
      <w:proofErr w:type="spellStart"/>
      <w:r>
        <w:t>CCR</w:t>
      </w:r>
      <w:proofErr w:type="spellEnd"/>
      <w:r>
        <w:t>)</w:t>
      </w:r>
      <w:r w:rsidR="00A802FF">
        <w:t>,</w:t>
      </w:r>
      <w:r>
        <w:t xml:space="preserve"> </w:t>
      </w:r>
      <w:r w:rsidR="005004EE">
        <w:t>formerly the Child Care Tax Rebate</w:t>
      </w:r>
      <w:r w:rsidR="00A802FF">
        <w:t xml:space="preserve"> (</w:t>
      </w:r>
      <w:proofErr w:type="spellStart"/>
      <w:r w:rsidR="00A802FF">
        <w:t>CCTR</w:t>
      </w:r>
      <w:proofErr w:type="spellEnd"/>
      <w:r w:rsidR="00A802FF">
        <w:t>),</w:t>
      </w:r>
      <w:r w:rsidR="005004EE">
        <w:t xml:space="preserve"> </w:t>
      </w:r>
      <w:r>
        <w:t>to eligible families using approved child care services</w:t>
      </w:r>
    </w:p>
    <w:p w:rsidR="00D057C3" w:rsidRDefault="00D057C3" w:rsidP="002B06E9">
      <w:pPr>
        <w:pStyle w:val="ListBullet"/>
      </w:pPr>
      <w:r>
        <w:t xml:space="preserve">providing funding to State and Territory governments </w:t>
      </w:r>
      <w:r w:rsidR="00986CC4">
        <w:t xml:space="preserve">through the </w:t>
      </w:r>
      <w:r w:rsidR="00986CC4" w:rsidRPr="001D596D">
        <w:rPr>
          <w:i/>
        </w:rPr>
        <w:t>National Partnership</w:t>
      </w:r>
      <w:r w:rsidR="00CE683D" w:rsidRPr="001D596D">
        <w:rPr>
          <w:i/>
        </w:rPr>
        <w:t xml:space="preserve"> Agreement</w:t>
      </w:r>
      <w:r w:rsidR="00986CC4" w:rsidRPr="001D596D">
        <w:rPr>
          <w:i/>
        </w:rPr>
        <w:t xml:space="preserve"> on Early Childhood Education</w:t>
      </w:r>
      <w:r w:rsidR="00986CC4">
        <w:t xml:space="preserve"> </w:t>
      </w:r>
      <w:r w:rsidR="001D596D">
        <w:t xml:space="preserve">(NP </w:t>
      </w:r>
      <w:proofErr w:type="spellStart"/>
      <w:r w:rsidR="001D596D">
        <w:t>ECE</w:t>
      </w:r>
      <w:proofErr w:type="spellEnd"/>
      <w:r w:rsidR="001D596D">
        <w:t xml:space="preserve">) </w:t>
      </w:r>
      <w:r>
        <w:t>to support the achievement of universal access to early childhood education</w:t>
      </w:r>
    </w:p>
    <w:p w:rsidR="0003611E" w:rsidRDefault="00DE681B" w:rsidP="002B06E9">
      <w:pPr>
        <w:pStyle w:val="ListBullet"/>
      </w:pPr>
      <w:r w:rsidRPr="002B06E9">
        <w:t xml:space="preserve">providing funding and support to implement the </w:t>
      </w:r>
      <w:r w:rsidRPr="00547D79">
        <w:rPr>
          <w:i/>
        </w:rPr>
        <w:t>National Quality Framework</w:t>
      </w:r>
      <w:r w:rsidRPr="002B06E9">
        <w:t xml:space="preserve"> (</w:t>
      </w:r>
      <w:proofErr w:type="spellStart"/>
      <w:r w:rsidRPr="002B06E9">
        <w:t>NQF</w:t>
      </w:r>
      <w:proofErr w:type="spellEnd"/>
      <w:r w:rsidRPr="002B06E9">
        <w:t xml:space="preserve">) through the </w:t>
      </w:r>
      <w:r w:rsidRPr="001D596D">
        <w:rPr>
          <w:i/>
        </w:rPr>
        <w:t>National Partnership Agreement on the National Quality Agenda for Early Childhood Education and Care</w:t>
      </w:r>
    </w:p>
    <w:p w:rsidR="0003611E" w:rsidRDefault="0003611E" w:rsidP="00884138">
      <w:pPr>
        <w:pStyle w:val="ListBullet"/>
      </w:pPr>
      <w:r>
        <w:t>funding organisations to provide information, support and training to service providers</w:t>
      </w:r>
    </w:p>
    <w:p w:rsidR="0003611E" w:rsidRDefault="0003611E" w:rsidP="00884138">
      <w:pPr>
        <w:pStyle w:val="ListBullet"/>
      </w:pPr>
      <w:r>
        <w:t>providing operational and capital funding to some providers.</w:t>
      </w:r>
    </w:p>
    <w:p w:rsidR="0003611E" w:rsidRDefault="0003611E" w:rsidP="002B06E9">
      <w:pPr>
        <w:pStyle w:val="BodyText"/>
      </w:pPr>
      <w:r w:rsidRPr="0003611E">
        <w:t xml:space="preserve">State and Territory governments’ roles and responsibilities vary across jurisdictions. Generally, State and Territory governments are responsible for </w:t>
      </w:r>
      <w:r w:rsidR="00442233">
        <w:t xml:space="preserve">funding and/or providing </w:t>
      </w:r>
      <w:r w:rsidRPr="0003611E">
        <w:t xml:space="preserve">preschool services. Other roles and responsibilities </w:t>
      </w:r>
      <w:r w:rsidR="00922771">
        <w:t>can</w:t>
      </w:r>
      <w:r w:rsidRPr="0003611E">
        <w:t xml:space="preserve"> include:</w:t>
      </w:r>
    </w:p>
    <w:p w:rsidR="007073D9" w:rsidRDefault="007073D9" w:rsidP="002B06E9">
      <w:pPr>
        <w:pStyle w:val="ListBullet"/>
      </w:pPr>
      <w:r>
        <w:t>providing a legis</w:t>
      </w:r>
      <w:r w:rsidR="00802A0F">
        <w:t xml:space="preserve">lative framework in which </w:t>
      </w:r>
      <w:r w:rsidR="00802A0F" w:rsidRPr="002352A8">
        <w:t xml:space="preserve">early childhood education and </w:t>
      </w:r>
      <w:r w:rsidRPr="002352A8">
        <w:t>care</w:t>
      </w:r>
      <w:r>
        <w:t xml:space="preserve"> services are provided</w:t>
      </w:r>
      <w:r w:rsidR="006A3AA6">
        <w:t xml:space="preserve"> where not </w:t>
      </w:r>
      <w:r w:rsidR="006A3AA6" w:rsidRPr="00F53ABB">
        <w:t xml:space="preserve">covered under the </w:t>
      </w:r>
      <w:proofErr w:type="spellStart"/>
      <w:r w:rsidR="006A3AA6" w:rsidRPr="00F53ABB">
        <w:t>NQF</w:t>
      </w:r>
      <w:proofErr w:type="spellEnd"/>
    </w:p>
    <w:p w:rsidR="00DE681B" w:rsidRDefault="00CA409C" w:rsidP="002B06E9">
      <w:pPr>
        <w:pStyle w:val="ListBullet"/>
      </w:pPr>
      <w:r>
        <w:t>approval or licensing</w:t>
      </w:r>
      <w:r w:rsidR="00DE681B" w:rsidRPr="00DE681B">
        <w:t xml:space="preserve">, monitoring and quality assessment of services in accordance with the </w:t>
      </w:r>
      <w:proofErr w:type="spellStart"/>
      <w:r w:rsidR="006D4696">
        <w:t>NQF</w:t>
      </w:r>
      <w:proofErr w:type="spellEnd"/>
      <w:r>
        <w:t xml:space="preserve"> and other relevant regulations</w:t>
      </w:r>
    </w:p>
    <w:p w:rsidR="007C6ECE" w:rsidRDefault="007C6ECE" w:rsidP="002B06E9">
      <w:pPr>
        <w:pStyle w:val="ListBullet"/>
      </w:pPr>
      <w:r>
        <w:t xml:space="preserve">monitoring and resourcing licensed </w:t>
      </w:r>
      <w:r w:rsidRPr="002B06E9">
        <w:t>and</w:t>
      </w:r>
      <w:r w:rsidR="00597EE7" w:rsidRPr="002B06E9">
        <w:t xml:space="preserve"> approved</w:t>
      </w:r>
      <w:r>
        <w:t xml:space="preserve"> </w:t>
      </w:r>
      <w:r w:rsidR="00F74754">
        <w:t xml:space="preserve">early childhood education and care </w:t>
      </w:r>
      <w:r>
        <w:t>providers</w:t>
      </w:r>
    </w:p>
    <w:p w:rsidR="0003611E" w:rsidRDefault="0003611E" w:rsidP="00C3586E">
      <w:pPr>
        <w:pStyle w:val="ListBullet"/>
      </w:pPr>
      <w:r>
        <w:t>providing operational and capital funding to non</w:t>
      </w:r>
      <w:r w:rsidR="00172534">
        <w:noBreakHyphen/>
      </w:r>
      <w:r>
        <w:t>government service providers</w:t>
      </w:r>
    </w:p>
    <w:p w:rsidR="0003611E" w:rsidRDefault="0003611E" w:rsidP="00C3586E">
      <w:pPr>
        <w:pStyle w:val="ListBullet"/>
      </w:pPr>
      <w:r>
        <w:lastRenderedPageBreak/>
        <w:t>delivering services directly (especially preschool services)</w:t>
      </w:r>
    </w:p>
    <w:p w:rsidR="0003611E" w:rsidRDefault="00C85D95" w:rsidP="00C3586E">
      <w:pPr>
        <w:pStyle w:val="ListBullet"/>
      </w:pPr>
      <w:r>
        <w:t xml:space="preserve">developing new </w:t>
      </w:r>
      <w:r w:rsidR="00802A0F" w:rsidRPr="002352A8">
        <w:t>early childhood education and care</w:t>
      </w:r>
      <w:r w:rsidR="00802A0F">
        <w:t xml:space="preserve"> </w:t>
      </w:r>
      <w:r w:rsidR="0003611E">
        <w:t>services</w:t>
      </w:r>
    </w:p>
    <w:p w:rsidR="0003611E" w:rsidRDefault="0003611E" w:rsidP="00C3586E">
      <w:pPr>
        <w:pStyle w:val="ListBullet"/>
      </w:pPr>
      <w:r>
        <w:t xml:space="preserve">providing information, support, training and development opportunities for </w:t>
      </w:r>
      <w:r w:rsidR="00F74754">
        <w:t xml:space="preserve">early childhood education and care </w:t>
      </w:r>
      <w:r>
        <w:t>providers</w:t>
      </w:r>
    </w:p>
    <w:p w:rsidR="0003611E" w:rsidRDefault="0003611E" w:rsidP="00C3586E">
      <w:pPr>
        <w:pStyle w:val="ListBullet"/>
      </w:pPr>
      <w:r>
        <w:t>providing curriculum and policy support and advice, as well as training and development for management and staff</w:t>
      </w:r>
    </w:p>
    <w:p w:rsidR="0003611E" w:rsidRDefault="0003611E" w:rsidP="00C3586E">
      <w:pPr>
        <w:pStyle w:val="ListBullet"/>
      </w:pPr>
      <w:r>
        <w:t>planning to ensure the appropriate mix of services is available to meet the needs of the community</w:t>
      </w:r>
    </w:p>
    <w:p w:rsidR="0003611E" w:rsidRDefault="0003611E" w:rsidP="00C3586E">
      <w:pPr>
        <w:pStyle w:val="ListBullet"/>
      </w:pPr>
      <w:r>
        <w:t>providing information and advice to parents and others about operating standards and the availability of services</w:t>
      </w:r>
    </w:p>
    <w:p w:rsidR="0003611E" w:rsidRDefault="0003611E" w:rsidP="00C3586E">
      <w:pPr>
        <w:pStyle w:val="ListBullet"/>
      </w:pPr>
      <w:r>
        <w:t>providing dispute resolution and complaints management processes.</w:t>
      </w:r>
    </w:p>
    <w:p w:rsidR="00C155EE" w:rsidRDefault="00C155EE" w:rsidP="00C3586E">
      <w:pPr>
        <w:pStyle w:val="BodyText"/>
      </w:pPr>
      <w:r>
        <w:t xml:space="preserve">The </w:t>
      </w:r>
      <w:r w:rsidR="002F099E">
        <w:t>arrangements for departmental responsibility</w:t>
      </w:r>
      <w:r w:rsidR="003138CE">
        <w:t xml:space="preserve"> </w:t>
      </w:r>
      <w:r w:rsidR="00301B0A">
        <w:t xml:space="preserve">for </w:t>
      </w:r>
      <w:r>
        <w:t xml:space="preserve">early childhood education </w:t>
      </w:r>
      <w:r w:rsidR="004E5D5E">
        <w:t xml:space="preserve">and care </w:t>
      </w:r>
      <w:r w:rsidR="00301B0A">
        <w:t>var</w:t>
      </w:r>
      <w:r w:rsidR="000C4D68">
        <w:t>y</w:t>
      </w:r>
      <w:r w:rsidR="00301B0A">
        <w:t xml:space="preserve"> </w:t>
      </w:r>
      <w:r w:rsidR="000564F6">
        <w:t xml:space="preserve">across </w:t>
      </w:r>
      <w:r w:rsidR="00380FC2">
        <w:t>S</w:t>
      </w:r>
      <w:r w:rsidR="002F099E">
        <w:t xml:space="preserve">tate and </w:t>
      </w:r>
      <w:r w:rsidR="00380FC2">
        <w:t>T</w:t>
      </w:r>
      <w:r w:rsidR="002F099E">
        <w:t xml:space="preserve">erritory governments. </w:t>
      </w:r>
      <w:r w:rsidR="00E92DFB">
        <w:t>There are also differences across state</w:t>
      </w:r>
      <w:r w:rsidR="007073D9">
        <w:t>s and territories</w:t>
      </w:r>
      <w:r w:rsidR="00E92DFB">
        <w:t xml:space="preserve"> </w:t>
      </w:r>
      <w:r w:rsidR="005A0359">
        <w:t>in</w:t>
      </w:r>
      <w:r w:rsidR="00E92DFB">
        <w:t xml:space="preserve"> </w:t>
      </w:r>
      <w:r w:rsidR="00301B0A">
        <w:t>early</w:t>
      </w:r>
      <w:r w:rsidR="004E5D5E">
        <w:t xml:space="preserve"> </w:t>
      </w:r>
      <w:r w:rsidR="00301B0A">
        <w:t xml:space="preserve">childhood education program </w:t>
      </w:r>
      <w:r w:rsidR="00E92DFB">
        <w:t xml:space="preserve">names </w:t>
      </w:r>
      <w:r w:rsidR="00301B0A">
        <w:t xml:space="preserve">and starting ages. </w:t>
      </w:r>
      <w:r w:rsidR="00246004">
        <w:t>T</w:t>
      </w:r>
      <w:r w:rsidR="00486380">
        <w:t>able</w:t>
      </w:r>
      <w:r w:rsidR="00172534">
        <w:t> </w:t>
      </w:r>
      <w:proofErr w:type="spellStart"/>
      <w:r w:rsidR="00486380">
        <w:t>3A.1</w:t>
      </w:r>
      <w:proofErr w:type="spellEnd"/>
      <w:r w:rsidR="00486380">
        <w:t xml:space="preserve"> show</w:t>
      </w:r>
      <w:r w:rsidR="002C0F98">
        <w:t>s</w:t>
      </w:r>
      <w:r w:rsidR="004E5D5E">
        <w:t xml:space="preserve"> basic information </w:t>
      </w:r>
      <w:r w:rsidR="00766756">
        <w:t xml:space="preserve">on child care and preschool education programs, such as </w:t>
      </w:r>
      <w:r w:rsidR="004E5D5E">
        <w:t>agency responsibility, program names and starting ages</w:t>
      </w:r>
      <w:r w:rsidR="00486380">
        <w:t>.</w:t>
      </w:r>
    </w:p>
    <w:p w:rsidR="00ED1E33" w:rsidRDefault="005004EE" w:rsidP="00C3586E">
      <w:pPr>
        <w:pStyle w:val="BodyText"/>
      </w:pPr>
      <w:r w:rsidRPr="001C559F">
        <w:t xml:space="preserve">The Australian Government and State and Territory governments are </w:t>
      </w:r>
      <w:r w:rsidR="00C23F0C" w:rsidRPr="001C559F">
        <w:t xml:space="preserve">working cooperatively </w:t>
      </w:r>
      <w:r w:rsidR="00B81F3C" w:rsidRPr="001C559F">
        <w:t>to undertake national reforms in the area of early childhood</w:t>
      </w:r>
      <w:r w:rsidR="00C23F0C" w:rsidRPr="001C559F">
        <w:t xml:space="preserve"> education and care</w:t>
      </w:r>
      <w:r w:rsidR="00B81F3C" w:rsidRPr="001C559F">
        <w:t xml:space="preserve">. </w:t>
      </w:r>
      <w:r w:rsidR="005A0359">
        <w:t>Through</w:t>
      </w:r>
      <w:r w:rsidR="00246004">
        <w:t xml:space="preserve"> </w:t>
      </w:r>
      <w:r w:rsidR="005E4B28">
        <w:t>Council of Australian Governments (</w:t>
      </w:r>
      <w:proofErr w:type="spellStart"/>
      <w:r w:rsidR="00921663" w:rsidRPr="001C559F">
        <w:t>COAG</w:t>
      </w:r>
      <w:proofErr w:type="spellEnd"/>
      <w:r w:rsidR="005E4B28">
        <w:t>)</w:t>
      </w:r>
      <w:r w:rsidR="00921663" w:rsidRPr="001C559F">
        <w:t>, governments have endorsed a number of major funding agreements</w:t>
      </w:r>
      <w:r w:rsidR="00ED1E33" w:rsidRPr="001C559F">
        <w:t xml:space="preserve"> and initiatives as part of a wider early childhood reform agenda (box </w:t>
      </w:r>
      <w:r w:rsidR="00824FB8">
        <w:t>3.1</w:t>
      </w:r>
      <w:r w:rsidR="00ED1E33" w:rsidRPr="001C559F">
        <w:t>).</w:t>
      </w:r>
      <w:r w:rsidR="00ED1E33">
        <w:t xml:space="preserve"> </w:t>
      </w:r>
    </w:p>
    <w:p w:rsidR="00824FB8" w:rsidRDefault="00824FB8">
      <w:pPr>
        <w:pStyle w:val="BoxSpace"/>
      </w:pPr>
    </w:p>
    <w:tbl>
      <w:tblPr>
        <w:tblW w:w="9075"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9075"/>
      </w:tblGrid>
      <w:tr w:rsidR="00824FB8" w:rsidTr="003E3AC1">
        <w:tc>
          <w:tcPr>
            <w:tcW w:w="9075" w:type="dxa"/>
            <w:tcBorders>
              <w:top w:val="single" w:sz="6" w:space="0" w:color="auto"/>
              <w:bottom w:val="nil"/>
            </w:tcBorders>
          </w:tcPr>
          <w:p w:rsidR="00824FB8" w:rsidRDefault="00824FB8">
            <w:pPr>
              <w:pStyle w:val="BoxTitle"/>
            </w:pPr>
            <w:r>
              <w:rPr>
                <w:b w:val="0"/>
              </w:rPr>
              <w:t xml:space="preserve">Box </w:t>
            </w:r>
            <w:bookmarkStart w:id="4" w:name="OLE_LINK11"/>
            <w:r>
              <w:rPr>
                <w:b w:val="0"/>
              </w:rPr>
              <w:t>3.</w:t>
            </w:r>
            <w:r w:rsidR="002E4BE8">
              <w:rPr>
                <w:b w:val="0"/>
                <w:noProof/>
              </w:rPr>
              <w:t>1</w:t>
            </w:r>
            <w:bookmarkEnd w:id="4"/>
            <w:r>
              <w:tab/>
            </w:r>
            <w:r w:rsidRPr="001C559F">
              <w:t xml:space="preserve">The </w:t>
            </w:r>
            <w:proofErr w:type="spellStart"/>
            <w:r w:rsidRPr="001C559F">
              <w:t>COAG</w:t>
            </w:r>
            <w:proofErr w:type="spellEnd"/>
            <w:r w:rsidRPr="001C559F">
              <w:t xml:space="preserve"> Early Childhood Reform Agenda</w:t>
            </w:r>
            <w:r>
              <w:t xml:space="preserve"> </w:t>
            </w:r>
          </w:p>
        </w:tc>
      </w:tr>
      <w:tr w:rsidR="00824FB8" w:rsidTr="003E3AC1">
        <w:trPr>
          <w:cantSplit/>
        </w:trPr>
        <w:tc>
          <w:tcPr>
            <w:tcW w:w="9075" w:type="dxa"/>
            <w:tcBorders>
              <w:top w:val="nil"/>
              <w:left w:val="single" w:sz="6" w:space="0" w:color="auto"/>
              <w:bottom w:val="nil"/>
              <w:right w:val="single" w:sz="6" w:space="0" w:color="auto"/>
            </w:tcBorders>
          </w:tcPr>
          <w:p w:rsidR="00824FB8" w:rsidRPr="001C559F" w:rsidRDefault="00824FB8" w:rsidP="007A2FF4">
            <w:pPr>
              <w:pStyle w:val="Box"/>
            </w:pPr>
            <w:r w:rsidRPr="001C559F">
              <w:t xml:space="preserve">The </w:t>
            </w:r>
            <w:r>
              <w:t xml:space="preserve">main </w:t>
            </w:r>
            <w:proofErr w:type="spellStart"/>
            <w:r w:rsidRPr="001C559F">
              <w:t>COAG</w:t>
            </w:r>
            <w:proofErr w:type="spellEnd"/>
            <w:r w:rsidRPr="001C559F">
              <w:t xml:space="preserve"> national reform initiatives linked specifically to early childhood</w:t>
            </w:r>
            <w:r>
              <w:t xml:space="preserve"> development</w:t>
            </w:r>
            <w:r w:rsidR="00FB2A0B">
              <w:t>, education and care</w:t>
            </w:r>
            <w:r w:rsidRPr="001C559F">
              <w:t xml:space="preserve"> include:</w:t>
            </w:r>
          </w:p>
          <w:p w:rsidR="00824FB8" w:rsidRPr="004F7379" w:rsidRDefault="00824FB8" w:rsidP="00751B02">
            <w:pPr>
              <w:pStyle w:val="BoxListBullet"/>
            </w:pPr>
            <w:r w:rsidRPr="004F7379">
              <w:t xml:space="preserve">the National Early Childhood Development Strategy </w:t>
            </w:r>
            <w:r w:rsidR="005A0359" w:rsidRPr="004F7379">
              <w:t>—</w:t>
            </w:r>
            <w:r w:rsidRPr="004F7379">
              <w:t xml:space="preserve"> Investing in the Early Years</w:t>
            </w:r>
            <w:r w:rsidR="005A0359" w:rsidRPr="004F7379">
              <w:t>,</w:t>
            </w:r>
            <w:r w:rsidRPr="004F7379">
              <w:t xml:space="preserve"> a collaboration between the Australian, State and Territory </w:t>
            </w:r>
            <w:r w:rsidR="000564F6" w:rsidRPr="004F7379">
              <w:t>g</w:t>
            </w:r>
            <w:r w:rsidRPr="004F7379">
              <w:t>overnments. The strategy broadly covers children from before birth to 8 years of age, and aims to improve outcomes for all children and their families, including reducing inequalities in outcomes between groups of children. The strategy</w:t>
            </w:r>
            <w:r w:rsidR="00246004" w:rsidRPr="004F7379">
              <w:t>,</w:t>
            </w:r>
            <w:r w:rsidRPr="004F7379">
              <w:t xml:space="preserve"> endorsed by </w:t>
            </w:r>
            <w:proofErr w:type="spellStart"/>
            <w:r w:rsidRPr="004F7379">
              <w:t>COAG</w:t>
            </w:r>
            <w:proofErr w:type="spellEnd"/>
            <w:r w:rsidRPr="004F7379">
              <w:t xml:space="preserve"> </w:t>
            </w:r>
            <w:r w:rsidR="00246004" w:rsidRPr="004F7379">
              <w:t xml:space="preserve">in </w:t>
            </w:r>
            <w:r w:rsidRPr="004F7379">
              <w:t>July 2009</w:t>
            </w:r>
            <w:r w:rsidR="00246004" w:rsidRPr="004F7379">
              <w:t>,</w:t>
            </w:r>
            <w:r w:rsidRPr="004F7379">
              <w:t xml:space="preserve"> includes a range of long term national reform initiatives in the areas of education and care, health, protection, family support and housing that seek to improve early childhood outcomes</w:t>
            </w:r>
          </w:p>
          <w:p w:rsidR="00824FB8" w:rsidRPr="00A4797E" w:rsidRDefault="00824FB8" w:rsidP="00751B02">
            <w:pPr>
              <w:pStyle w:val="BoxListBullet"/>
            </w:pPr>
            <w:r w:rsidRPr="00B269EA">
              <w:t xml:space="preserve">the </w:t>
            </w:r>
            <w:r w:rsidRPr="00B269EA">
              <w:rPr>
                <w:i/>
              </w:rPr>
              <w:t>National Partnership Agreement on Early Childhood Education</w:t>
            </w:r>
            <w:r w:rsidRPr="00B269EA">
              <w:t xml:space="preserve"> </w:t>
            </w:r>
            <w:r w:rsidR="001D596D">
              <w:t xml:space="preserve">(NP </w:t>
            </w:r>
            <w:proofErr w:type="spellStart"/>
            <w:r w:rsidR="001D596D">
              <w:t>ECE</w:t>
            </w:r>
            <w:proofErr w:type="spellEnd"/>
            <w:r w:rsidR="001D596D">
              <w:t xml:space="preserve">) </w:t>
            </w:r>
            <w:r w:rsidR="005A0359" w:rsidRPr="00B269EA">
              <w:t>which</w:t>
            </w:r>
            <w:r w:rsidR="000564F6" w:rsidRPr="00B269EA">
              <w:t xml:space="preserve"> </w:t>
            </w:r>
            <w:r w:rsidRPr="00B269EA">
              <w:t>aims to achieve universal access to quality early childhood education for all c</w:t>
            </w:r>
            <w:r w:rsidR="00397E6E" w:rsidRPr="00B269EA">
              <w:t xml:space="preserve">hildren in the year before full </w:t>
            </w:r>
            <w:r w:rsidRPr="00B269EA">
              <w:t>time school b</w:t>
            </w:r>
            <w:r w:rsidR="00B269EA" w:rsidRPr="00B269EA">
              <w:t xml:space="preserve">y 2013. These </w:t>
            </w:r>
            <w:r w:rsidR="00B269EA" w:rsidRPr="00DB2E63">
              <w:t xml:space="preserve">reforms have been </w:t>
            </w:r>
            <w:r w:rsidRPr="00DB2E63">
              <w:t>impl</w:t>
            </w:r>
            <w:r w:rsidR="00B269EA" w:rsidRPr="00DB2E63">
              <w:t xml:space="preserve">emented progressively from 2009 to June </w:t>
            </w:r>
            <w:r w:rsidRPr="00DB2E63">
              <w:t>2013</w:t>
            </w:r>
            <w:r w:rsidR="0050339C" w:rsidRPr="00DB2E63">
              <w:t>.</w:t>
            </w:r>
            <w:r w:rsidR="0013108B" w:rsidRPr="00DB2E63">
              <w:t xml:space="preserve"> A new </w:t>
            </w:r>
            <w:r w:rsidR="0013108B" w:rsidRPr="00DB2E63">
              <w:rPr>
                <w:i/>
              </w:rPr>
              <w:t>National Partnership Agreement on Universal Access to Early Chil</w:t>
            </w:r>
            <w:r w:rsidR="00005E7A" w:rsidRPr="00DB2E63">
              <w:rPr>
                <w:i/>
              </w:rPr>
              <w:t xml:space="preserve">dhood Education </w:t>
            </w:r>
            <w:r w:rsidR="00005E7A" w:rsidRPr="001D596D">
              <w:t xml:space="preserve">for </w:t>
            </w:r>
            <w:r w:rsidR="00B269EA" w:rsidRPr="001D596D">
              <w:t>the period July 2013 to December 2014</w:t>
            </w:r>
            <w:r w:rsidR="0013108B" w:rsidRPr="00B269EA">
              <w:t xml:space="preserve"> supports universal access to and improved participation by children in quality early childhood education in the year before full time school</w:t>
            </w:r>
            <w:r w:rsidR="00005E7A" w:rsidRPr="00B269EA">
              <w:t>ing</w:t>
            </w:r>
            <w:r w:rsidR="0013108B" w:rsidRPr="00B269EA">
              <w:t xml:space="preserve">, with a focus on vulnerable and disadvantaged children. These include </w:t>
            </w:r>
            <w:r w:rsidR="00DE0955" w:rsidRPr="00B269EA">
              <w:t xml:space="preserve">a range of </w:t>
            </w:r>
            <w:r w:rsidR="0013108B" w:rsidRPr="00B269EA">
              <w:t xml:space="preserve">performance indicators </w:t>
            </w:r>
            <w:r w:rsidR="00DE0955" w:rsidRPr="00B269EA">
              <w:t>against which progress is measured</w:t>
            </w:r>
            <w:r w:rsidR="00273FFE" w:rsidRPr="002352A8">
              <w:t xml:space="preserve">. </w:t>
            </w:r>
            <w:r w:rsidR="00DB2E63" w:rsidRPr="0083733E">
              <w:t>The results published from measuring performance again</w:t>
            </w:r>
            <w:r w:rsidR="00A4797E" w:rsidRPr="0083733E">
              <w:t xml:space="preserve">st these agreements </w:t>
            </w:r>
            <w:r w:rsidR="00DB2E63" w:rsidRPr="0083733E">
              <w:t>may differ in some cases, to those presented in this Report</w:t>
            </w:r>
            <w:r w:rsidR="00A4797E" w:rsidRPr="0083733E">
              <w:t>,</w:t>
            </w:r>
            <w:r w:rsidR="00DB2E63" w:rsidRPr="0083733E">
              <w:t xml:space="preserve"> due to differing definitions adopted for </w:t>
            </w:r>
            <w:r w:rsidR="00C73018">
              <w:t>calculating national indicators</w:t>
            </w:r>
          </w:p>
          <w:p w:rsidR="00824FB8" w:rsidRPr="00B269EA" w:rsidRDefault="00824FB8" w:rsidP="00751B02">
            <w:pPr>
              <w:pStyle w:val="BoxListBullet"/>
            </w:pPr>
            <w:r w:rsidRPr="00B269EA">
              <w:t xml:space="preserve">the </w:t>
            </w:r>
            <w:r w:rsidRPr="00B269EA">
              <w:rPr>
                <w:i/>
              </w:rPr>
              <w:t>National Indigenous Reform Agreement</w:t>
            </w:r>
            <w:r w:rsidRPr="00B269EA">
              <w:t xml:space="preserve"> </w:t>
            </w:r>
            <w:r w:rsidR="001D596D">
              <w:t>(</w:t>
            </w:r>
            <w:proofErr w:type="spellStart"/>
            <w:r w:rsidR="001D596D">
              <w:t>NIRA</w:t>
            </w:r>
            <w:proofErr w:type="spellEnd"/>
            <w:r w:rsidR="001D596D">
              <w:t xml:space="preserve">) </w:t>
            </w:r>
            <w:r w:rsidR="005A0359" w:rsidRPr="00B269EA">
              <w:t>which</w:t>
            </w:r>
            <w:r w:rsidR="000564F6" w:rsidRPr="00B269EA">
              <w:t xml:space="preserve"> </w:t>
            </w:r>
            <w:r w:rsidRPr="00B269EA">
              <w:t xml:space="preserve">includes a target to ensure all Indigenous </w:t>
            </w:r>
            <w:r w:rsidR="00674B6B" w:rsidRPr="00B269EA">
              <w:t xml:space="preserve">children aged </w:t>
            </w:r>
            <w:r w:rsidRPr="00B269EA">
              <w:t>4 year</w:t>
            </w:r>
            <w:r w:rsidR="00674B6B" w:rsidRPr="00B269EA">
              <w:t>s</w:t>
            </w:r>
            <w:r w:rsidRPr="00B269EA">
              <w:t xml:space="preserve"> in remote communities have access to early childhood education by 2013. Th</w:t>
            </w:r>
            <w:r w:rsidR="003A144D" w:rsidRPr="00B269EA">
              <w:t>ese</w:t>
            </w:r>
            <w:r w:rsidRPr="00B269EA">
              <w:t xml:space="preserve"> reform</w:t>
            </w:r>
            <w:r w:rsidR="003A144D" w:rsidRPr="00B269EA">
              <w:t>s</w:t>
            </w:r>
            <w:r w:rsidR="001D596D">
              <w:t xml:space="preserve"> have been</w:t>
            </w:r>
            <w:r w:rsidRPr="00B269EA">
              <w:t xml:space="preserve"> implemented progressively from 2009–2013</w:t>
            </w:r>
          </w:p>
          <w:p w:rsidR="00E866D2" w:rsidRPr="001C559F" w:rsidRDefault="00E866D2" w:rsidP="00751B02">
            <w:pPr>
              <w:pStyle w:val="BoxListBullet"/>
            </w:pPr>
            <w:r w:rsidRPr="001C559F">
              <w:t xml:space="preserve">the </w:t>
            </w:r>
            <w:r w:rsidRPr="001C559F">
              <w:rPr>
                <w:i/>
              </w:rPr>
              <w:t>National Partnership Agreement on Indigenous Early Childhood Development</w:t>
            </w:r>
            <w:r w:rsidRPr="001C559F">
              <w:t xml:space="preserve"> </w:t>
            </w:r>
            <w:r w:rsidR="005A0359">
              <w:t>which</w:t>
            </w:r>
            <w:r w:rsidR="000564F6">
              <w:t xml:space="preserve"> </w:t>
            </w:r>
            <w:r w:rsidRPr="001C559F">
              <w:t xml:space="preserve">aims </w:t>
            </w:r>
            <w:r w:rsidRPr="001C559F">
              <w:rPr>
                <w:szCs w:val="21"/>
              </w:rPr>
              <w:t xml:space="preserve">to establish 35 new Children and Family Centres (CFCs). The locations for 38 CFCs have been agreed, exceeding the original target of 35. </w:t>
            </w:r>
            <w:r>
              <w:rPr>
                <w:szCs w:val="21"/>
              </w:rPr>
              <w:t>Th</w:t>
            </w:r>
            <w:r w:rsidR="00A16E72">
              <w:rPr>
                <w:szCs w:val="21"/>
              </w:rPr>
              <w:t>ese</w:t>
            </w:r>
            <w:r>
              <w:rPr>
                <w:szCs w:val="21"/>
              </w:rPr>
              <w:t xml:space="preserve"> reform</w:t>
            </w:r>
            <w:r w:rsidR="00A16E72">
              <w:rPr>
                <w:szCs w:val="21"/>
              </w:rPr>
              <w:t>s</w:t>
            </w:r>
            <w:r w:rsidRPr="001C559F">
              <w:rPr>
                <w:szCs w:val="21"/>
              </w:rPr>
              <w:t xml:space="preserve"> </w:t>
            </w:r>
            <w:r w:rsidR="00C84041">
              <w:rPr>
                <w:szCs w:val="21"/>
              </w:rPr>
              <w:t xml:space="preserve">are </w:t>
            </w:r>
            <w:r w:rsidRPr="001C559F">
              <w:rPr>
                <w:szCs w:val="21"/>
              </w:rPr>
              <w:t>be</w:t>
            </w:r>
            <w:r w:rsidR="00C84041">
              <w:rPr>
                <w:szCs w:val="21"/>
              </w:rPr>
              <w:t>ing</w:t>
            </w:r>
            <w:r w:rsidRPr="001C559F">
              <w:rPr>
                <w:szCs w:val="21"/>
              </w:rPr>
              <w:t xml:space="preserve"> implemented progressively until June 2014</w:t>
            </w:r>
          </w:p>
          <w:p w:rsidR="00E866D2" w:rsidRDefault="00E866D2" w:rsidP="00751B02">
            <w:pPr>
              <w:pStyle w:val="BoxListBullet"/>
            </w:pPr>
            <w:r w:rsidRPr="001C559F">
              <w:t>national workforce initiatives to improve the quality and supply of the early childho</w:t>
            </w:r>
            <w:r>
              <w:t>od education and care workforce</w:t>
            </w:r>
          </w:p>
          <w:p w:rsidR="003E3AC1" w:rsidRPr="00B77CA0" w:rsidRDefault="003E3AC1" w:rsidP="00751B02">
            <w:pPr>
              <w:pStyle w:val="BoxListBullet"/>
            </w:pPr>
            <w:r w:rsidRPr="00B77CA0">
              <w:t xml:space="preserve">the </w:t>
            </w:r>
            <w:r w:rsidRPr="003E3AC1">
              <w:rPr>
                <w:i/>
              </w:rPr>
              <w:t>National Partnership Agreement on the National</w:t>
            </w:r>
            <w:r>
              <w:rPr>
                <w:i/>
              </w:rPr>
              <w:t xml:space="preserve"> </w:t>
            </w:r>
            <w:r w:rsidRPr="003E3AC1">
              <w:rPr>
                <w:i/>
              </w:rPr>
              <w:t>Quality Agenda for Early Childhood Education and Care</w:t>
            </w:r>
            <w:r>
              <w:t xml:space="preserve">. This incorporates </w:t>
            </w:r>
            <w:r w:rsidRPr="00B77CA0">
              <w:t xml:space="preserve">a </w:t>
            </w:r>
            <w:r w:rsidRPr="003E3AC1">
              <w:rPr>
                <w:i/>
              </w:rPr>
              <w:t>National Quality Framework</w:t>
            </w:r>
            <w:r w:rsidR="0063744B">
              <w:rPr>
                <w:i/>
              </w:rPr>
              <w:t xml:space="preserve"> </w:t>
            </w:r>
            <w:r w:rsidR="0063744B" w:rsidRPr="00312A3A">
              <w:t>(</w:t>
            </w:r>
            <w:proofErr w:type="spellStart"/>
            <w:r w:rsidR="0063744B" w:rsidRPr="00312A3A">
              <w:rPr>
                <w:i/>
              </w:rPr>
              <w:t>NQF</w:t>
            </w:r>
            <w:proofErr w:type="spellEnd"/>
            <w:r w:rsidR="0063744B" w:rsidRPr="00312A3A">
              <w:t>)</w:t>
            </w:r>
            <w:r w:rsidRPr="00B77CA0">
              <w:t xml:space="preserve"> </w:t>
            </w:r>
            <w:r w:rsidRPr="003E3AC1">
              <w:rPr>
                <w:i/>
              </w:rPr>
              <w:t>for Early Childhood Education and Care</w:t>
            </w:r>
            <w:r>
              <w:t xml:space="preserve"> and </w:t>
            </w:r>
            <w:r w:rsidRPr="00B77CA0">
              <w:t xml:space="preserve">a </w:t>
            </w:r>
            <w:r w:rsidRPr="0063744B">
              <w:rPr>
                <w:i/>
              </w:rPr>
              <w:t>National Quality Standard</w:t>
            </w:r>
            <w:r w:rsidRPr="00B77CA0">
              <w:t xml:space="preserve"> </w:t>
            </w:r>
            <w:r w:rsidR="00AC7255">
              <w:t>(</w:t>
            </w:r>
            <w:proofErr w:type="spellStart"/>
            <w:r w:rsidR="00AC7255">
              <w:t>NQS</w:t>
            </w:r>
            <w:proofErr w:type="spellEnd"/>
            <w:r w:rsidR="00AC7255">
              <w:t xml:space="preserve">) </w:t>
            </w:r>
            <w:r w:rsidRPr="00B77CA0">
              <w:t>to ensure high quality and consistent early childhood education and care across Australia</w:t>
            </w:r>
            <w:r>
              <w:t>, including</w:t>
            </w:r>
            <w:r w:rsidRPr="00B77CA0">
              <w:t xml:space="preserve"> streamlined regulatory approaches, a</w:t>
            </w:r>
            <w:r>
              <w:t xml:space="preserve">n assessment and </w:t>
            </w:r>
            <w:r w:rsidRPr="00B77CA0">
              <w:t xml:space="preserve">rating system and an </w:t>
            </w:r>
            <w:r w:rsidRPr="003E3AC1">
              <w:rPr>
                <w:i/>
              </w:rPr>
              <w:t>Early Years Learning Framework</w:t>
            </w:r>
            <w:r>
              <w:t xml:space="preserve"> and a </w:t>
            </w:r>
            <w:r w:rsidRPr="003E3AC1">
              <w:rPr>
                <w:i/>
              </w:rPr>
              <w:t>Framework for School Age Care.</w:t>
            </w:r>
          </w:p>
          <w:p w:rsidR="003E3AC1" w:rsidRPr="007008D2" w:rsidRDefault="003E3AC1" w:rsidP="00273FFE">
            <w:pPr>
              <w:pStyle w:val="BoxListBullet"/>
              <w:numPr>
                <w:ilvl w:val="0"/>
                <w:numId w:val="0"/>
              </w:numPr>
              <w:tabs>
                <w:tab w:val="left" w:pos="720"/>
              </w:tabs>
              <w:rPr>
                <w:color w:val="FF0000"/>
              </w:rPr>
            </w:pPr>
            <w:r w:rsidRPr="00B77CA0">
              <w:t xml:space="preserve">The Australian Government </w:t>
            </w:r>
            <w:r>
              <w:t xml:space="preserve">is </w:t>
            </w:r>
            <w:r w:rsidRPr="00B77CA0">
              <w:t>implement</w:t>
            </w:r>
            <w:r>
              <w:t>ing</w:t>
            </w:r>
            <w:r w:rsidRPr="00B77CA0">
              <w:t xml:space="preserve"> </w:t>
            </w:r>
            <w:r>
              <w:t xml:space="preserve">these </w:t>
            </w:r>
            <w:r w:rsidRPr="00B77CA0">
              <w:t>changes in partnership with each of the State and Territory governments</w:t>
            </w:r>
            <w:r w:rsidR="005A0359">
              <w:t>.</w:t>
            </w:r>
            <w:r w:rsidR="007008D2">
              <w:rPr>
                <w:color w:val="FF0000"/>
              </w:rPr>
              <w:t xml:space="preserve"> </w:t>
            </w:r>
          </w:p>
        </w:tc>
      </w:tr>
      <w:tr w:rsidR="00824FB8" w:rsidTr="003E3AC1">
        <w:trPr>
          <w:cantSplit/>
        </w:trPr>
        <w:tc>
          <w:tcPr>
            <w:tcW w:w="9075" w:type="dxa"/>
            <w:tcBorders>
              <w:top w:val="nil"/>
              <w:left w:val="single" w:sz="6" w:space="0" w:color="auto"/>
              <w:bottom w:val="nil"/>
              <w:right w:val="single" w:sz="6" w:space="0" w:color="auto"/>
            </w:tcBorders>
          </w:tcPr>
          <w:p w:rsidR="00824FB8" w:rsidRDefault="003E3AC1" w:rsidP="003E3AC1">
            <w:pPr>
              <w:pStyle w:val="Continued"/>
              <w:jc w:val="left"/>
            </w:pPr>
            <w:r w:rsidRPr="001C559F">
              <w:rPr>
                <w:i/>
              </w:rPr>
              <w:t>Source</w:t>
            </w:r>
            <w:r w:rsidRPr="001C559F">
              <w:t xml:space="preserve">: </w:t>
            </w:r>
            <w:proofErr w:type="spellStart"/>
            <w:r w:rsidRPr="001C559F">
              <w:rPr>
                <w:rStyle w:val="SourceChar"/>
              </w:rPr>
              <w:t>COAG</w:t>
            </w:r>
            <w:proofErr w:type="spellEnd"/>
            <w:r w:rsidRPr="001C559F">
              <w:rPr>
                <w:rStyle w:val="SourceChar"/>
              </w:rPr>
              <w:t xml:space="preserve"> (</w:t>
            </w:r>
            <w:proofErr w:type="spellStart"/>
            <w:r w:rsidRPr="001C559F">
              <w:rPr>
                <w:rStyle w:val="SourceChar"/>
              </w:rPr>
              <w:t>2009a</w:t>
            </w:r>
            <w:proofErr w:type="spellEnd"/>
            <w:r w:rsidRPr="001C559F">
              <w:rPr>
                <w:rStyle w:val="SourceChar"/>
              </w:rPr>
              <w:t xml:space="preserve"> and </w:t>
            </w:r>
            <w:proofErr w:type="spellStart"/>
            <w:r w:rsidRPr="001C559F">
              <w:rPr>
                <w:rStyle w:val="SourceChar"/>
              </w:rPr>
              <w:t>2009b</w:t>
            </w:r>
            <w:proofErr w:type="spellEnd"/>
            <w:r w:rsidRPr="001C559F">
              <w:rPr>
                <w:rStyle w:val="SourceChar"/>
              </w:rPr>
              <w:t>)</w:t>
            </w:r>
            <w:r>
              <w:rPr>
                <w:rStyle w:val="SourceChar"/>
              </w:rPr>
              <w:t xml:space="preserve">; </w:t>
            </w:r>
            <w:r w:rsidR="00E318F3">
              <w:rPr>
                <w:rStyle w:val="SourceChar"/>
              </w:rPr>
              <w:t>Department of Education</w:t>
            </w:r>
            <w:r w:rsidRPr="001C559F">
              <w:rPr>
                <w:rStyle w:val="SourceChar"/>
              </w:rPr>
              <w:t xml:space="preserve"> (unpublished)</w:t>
            </w:r>
            <w:r>
              <w:rPr>
                <w:rStyle w:val="SourceChar"/>
              </w:rPr>
              <w:t>.</w:t>
            </w:r>
            <w:r>
              <w:t xml:space="preserve"> </w:t>
            </w:r>
          </w:p>
        </w:tc>
      </w:tr>
      <w:tr w:rsidR="00824FB8" w:rsidTr="003E3AC1">
        <w:trPr>
          <w:cantSplit/>
        </w:trPr>
        <w:tc>
          <w:tcPr>
            <w:tcW w:w="9075" w:type="dxa"/>
            <w:tcBorders>
              <w:top w:val="nil"/>
              <w:left w:val="single" w:sz="6" w:space="0" w:color="auto"/>
              <w:bottom w:val="single" w:sz="6" w:space="0" w:color="auto"/>
              <w:right w:val="single" w:sz="6" w:space="0" w:color="auto"/>
            </w:tcBorders>
          </w:tcPr>
          <w:p w:rsidR="00824FB8" w:rsidRDefault="00824FB8">
            <w:pPr>
              <w:pStyle w:val="Box"/>
              <w:spacing w:before="0" w:line="120" w:lineRule="exact"/>
            </w:pPr>
          </w:p>
        </w:tc>
      </w:tr>
      <w:tr w:rsidR="00824FB8" w:rsidTr="003E3AC1">
        <w:tc>
          <w:tcPr>
            <w:tcW w:w="9075" w:type="dxa"/>
            <w:tcBorders>
              <w:top w:val="nil"/>
              <w:left w:val="nil"/>
              <w:bottom w:val="nil"/>
              <w:right w:val="nil"/>
            </w:tcBorders>
          </w:tcPr>
          <w:p w:rsidR="00824FB8" w:rsidRDefault="00824FB8">
            <w:pPr>
              <w:pStyle w:val="Box"/>
              <w:keepNext w:val="0"/>
              <w:spacing w:before="60" w:after="60" w:line="80" w:lineRule="exact"/>
              <w:rPr>
                <w:b/>
                <w:color w:val="FF00FF"/>
                <w:sz w:val="14"/>
              </w:rPr>
            </w:pPr>
          </w:p>
        </w:tc>
      </w:tr>
    </w:tbl>
    <w:p w:rsidR="0003611E" w:rsidRPr="008B42D1" w:rsidRDefault="0003611E" w:rsidP="003E3AC1">
      <w:pPr>
        <w:pStyle w:val="Heading4"/>
        <w:rPr>
          <w:rStyle w:val="BoxChar"/>
        </w:rPr>
      </w:pPr>
      <w:r w:rsidRPr="0003611E">
        <w:lastRenderedPageBreak/>
        <w:t xml:space="preserve">Quality of </w:t>
      </w:r>
      <w:r w:rsidR="006137A1">
        <w:t>services</w:t>
      </w:r>
    </w:p>
    <w:p w:rsidR="0003611E" w:rsidRDefault="0003611E" w:rsidP="003E3AC1">
      <w:pPr>
        <w:pStyle w:val="BodyText"/>
      </w:pPr>
      <w:r w:rsidRPr="0003611E">
        <w:t xml:space="preserve">Governments seek to ensure that </w:t>
      </w:r>
      <w:r w:rsidR="006137A1">
        <w:t>early childhood education and care service</w:t>
      </w:r>
      <w:r w:rsidR="005A0359">
        <w:t>s are of</w:t>
      </w:r>
      <w:r w:rsidRPr="0003611E">
        <w:t xml:space="preserve"> a satisfactory quality through:</w:t>
      </w:r>
    </w:p>
    <w:p w:rsidR="0003611E" w:rsidRDefault="005A0359" w:rsidP="003E3AC1">
      <w:pPr>
        <w:pStyle w:val="ListBullet"/>
      </w:pPr>
      <w:r>
        <w:t>a</w:t>
      </w:r>
      <w:r w:rsidR="008A1CBD">
        <w:t xml:space="preserve">pprovals, </w:t>
      </w:r>
      <w:r w:rsidR="0003611E">
        <w:t xml:space="preserve">licensing, quality assurance, measuring performance against standards, and </w:t>
      </w:r>
      <w:r w:rsidR="007F143B">
        <w:t xml:space="preserve">funding linked to </w:t>
      </w:r>
      <w:r w:rsidR="0003611E">
        <w:t xml:space="preserve">outcomes </w:t>
      </w:r>
    </w:p>
    <w:p w:rsidR="00CF1088" w:rsidRDefault="00CF1088" w:rsidP="003E3AC1">
      <w:pPr>
        <w:pStyle w:val="ListBullet"/>
      </w:pPr>
      <w:r>
        <w:t>monitoring compliance with the legislation</w:t>
      </w:r>
    </w:p>
    <w:p w:rsidR="0003611E" w:rsidRDefault="0003611E" w:rsidP="00C3586E">
      <w:pPr>
        <w:pStyle w:val="ListBullet"/>
      </w:pPr>
      <w:r>
        <w:t xml:space="preserve">providing curriculum and policy support and advice </w:t>
      </w:r>
    </w:p>
    <w:p w:rsidR="0003611E" w:rsidRPr="00CF1088" w:rsidRDefault="00CF1088" w:rsidP="00C3586E">
      <w:pPr>
        <w:pStyle w:val="ListBullet"/>
      </w:pPr>
      <w:r w:rsidRPr="00CF1088">
        <w:t>information sessions and sector engagement opportunities</w:t>
      </w:r>
      <w:r w:rsidR="0003611E" w:rsidRPr="00CF1088">
        <w:t>.</w:t>
      </w:r>
    </w:p>
    <w:p w:rsidR="008A1CBD" w:rsidRPr="00454B6D" w:rsidRDefault="00D31A16" w:rsidP="002B06E9">
      <w:pPr>
        <w:pStyle w:val="Heading5"/>
        <w:rPr>
          <w:b/>
          <w:sz w:val="20"/>
        </w:rPr>
      </w:pPr>
      <w:r w:rsidRPr="002C6A7B">
        <w:t>Licensing</w:t>
      </w:r>
      <w:r w:rsidR="00DE681B">
        <w:t xml:space="preserve"> </w:t>
      </w:r>
      <w:r w:rsidR="00DE681B" w:rsidRPr="002B06E9">
        <w:t>and approvals</w:t>
      </w:r>
    </w:p>
    <w:p w:rsidR="009F379E" w:rsidRDefault="009F379E" w:rsidP="009F379E">
      <w:pPr>
        <w:pStyle w:val="BodyText"/>
      </w:pPr>
      <w:r>
        <w:t xml:space="preserve">State and </w:t>
      </w:r>
      <w:r w:rsidR="005A0359">
        <w:t>T</w:t>
      </w:r>
      <w:r>
        <w:t>erritory governments are responsible for the regulation of most early childhood education and care services. These regulatory responsibilities include the approval or licensing, m</w:t>
      </w:r>
      <w:r w:rsidR="00E84D53">
        <w:t>onitoring, assessment and rating</w:t>
      </w:r>
      <w:r>
        <w:t xml:space="preserve"> of services in accordance with the relevant regulations. Most long day care, preschool/kindergarten, family day care and outside school hours care services fall within the scope of the </w:t>
      </w:r>
      <w:proofErr w:type="spellStart"/>
      <w:r w:rsidR="00656EE3" w:rsidRPr="00656EE3">
        <w:t>NQF</w:t>
      </w:r>
      <w:proofErr w:type="spellEnd"/>
      <w:r>
        <w:t xml:space="preserve"> and are regulated in accordance with the requirements of the Education and Care Services National Law and National Regulations. </w:t>
      </w:r>
      <w:r w:rsidR="005A0359">
        <w:t>A</w:t>
      </w:r>
      <w:r>
        <w:t xml:space="preserve"> small number of services continue to be licensed by other relevant jurisdiction legislation, for example mobile preschools.</w:t>
      </w:r>
    </w:p>
    <w:p w:rsidR="009F379E" w:rsidRDefault="009F379E" w:rsidP="002B06E9">
      <w:pPr>
        <w:pStyle w:val="BodyText"/>
      </w:pPr>
      <w:r>
        <w:t xml:space="preserve">Providers of </w:t>
      </w:r>
      <w:r w:rsidR="00D03DC0">
        <w:t xml:space="preserve">early childhood education and care services </w:t>
      </w:r>
      <w:r>
        <w:t xml:space="preserve">must meet legislative and regulatory requirements </w:t>
      </w:r>
      <w:r w:rsidR="00E84D53">
        <w:t xml:space="preserve">in relation to the premises, policies and procedures, to obtain a service approval or license to operate. </w:t>
      </w:r>
    </w:p>
    <w:p w:rsidR="00CC1151" w:rsidRDefault="00985C83" w:rsidP="00171F72">
      <w:pPr>
        <w:pStyle w:val="BodyText"/>
      </w:pPr>
      <w:r w:rsidRPr="00985C83">
        <w:t xml:space="preserve">To operate an education and care service under the </w:t>
      </w:r>
      <w:proofErr w:type="spellStart"/>
      <w:r w:rsidRPr="00985C83">
        <w:t>NQF</w:t>
      </w:r>
      <w:proofErr w:type="spellEnd"/>
      <w:r w:rsidRPr="00985C83">
        <w:t xml:space="preserve"> a person or entity must first apply to the relevant State or Territory Regulatory Authority to become an Approved Provider. An Approved Provider must then apply for a Service Approval to operate an education and care service.</w:t>
      </w:r>
    </w:p>
    <w:p w:rsidR="008A1CBD" w:rsidRPr="00454B6D" w:rsidRDefault="00C179F7" w:rsidP="008A1CBD">
      <w:pPr>
        <w:pStyle w:val="Heading5"/>
        <w:rPr>
          <w:b/>
          <w:sz w:val="20"/>
        </w:rPr>
      </w:pPr>
      <w:r>
        <w:t xml:space="preserve">Quality </w:t>
      </w:r>
      <w:r w:rsidRPr="002352A8">
        <w:t>improvement</w:t>
      </w:r>
    </w:p>
    <w:p w:rsidR="00C15186" w:rsidRDefault="007008D2" w:rsidP="002B06E9">
      <w:pPr>
        <w:pStyle w:val="BodyText"/>
      </w:pPr>
      <w:r w:rsidRPr="002352A8">
        <w:t>Since 1</w:t>
      </w:r>
      <w:r w:rsidR="00172534">
        <w:t> </w:t>
      </w:r>
      <w:r w:rsidRPr="002352A8">
        <w:t>January 2012, t</w:t>
      </w:r>
      <w:r w:rsidR="00356610" w:rsidRPr="002352A8">
        <w:t xml:space="preserve">he </w:t>
      </w:r>
      <w:proofErr w:type="spellStart"/>
      <w:r w:rsidRPr="002352A8">
        <w:t>NQF</w:t>
      </w:r>
      <w:proofErr w:type="spellEnd"/>
      <w:r w:rsidRPr="002352A8">
        <w:t xml:space="preserve"> has provided the </w:t>
      </w:r>
      <w:r w:rsidR="00356610" w:rsidRPr="002352A8">
        <w:t>a</w:t>
      </w:r>
      <w:r w:rsidRPr="002352A8">
        <w:t>pproach to quality improvement</w:t>
      </w:r>
      <w:r w:rsidR="00A047C3" w:rsidRPr="002352A8">
        <w:t xml:space="preserve">. </w:t>
      </w:r>
      <w:r w:rsidR="00273FFE" w:rsidRPr="002352A8">
        <w:t>The</w:t>
      </w:r>
      <w:r w:rsidRPr="002352A8">
        <w:t xml:space="preserve"> previous </w:t>
      </w:r>
      <w:r w:rsidR="00C15186" w:rsidRPr="002352A8">
        <w:t xml:space="preserve">quality assurance system </w:t>
      </w:r>
      <w:r w:rsidR="00E475A1">
        <w:t>(National Childc</w:t>
      </w:r>
      <w:r w:rsidR="00273FFE" w:rsidRPr="002352A8">
        <w:t xml:space="preserve">are Accreditation Council) </w:t>
      </w:r>
      <w:r w:rsidR="00C15186" w:rsidRPr="002352A8">
        <w:t>ceas</w:t>
      </w:r>
      <w:r w:rsidR="00A047C3" w:rsidRPr="002352A8">
        <w:t>ed on 31</w:t>
      </w:r>
      <w:r w:rsidR="00172534">
        <w:t> </w:t>
      </w:r>
      <w:r w:rsidR="00A047C3" w:rsidRPr="002352A8">
        <w:t>December 2011.</w:t>
      </w:r>
      <w:r w:rsidR="00A047C3">
        <w:t xml:space="preserve"> </w:t>
      </w:r>
      <w:r w:rsidR="00C15186" w:rsidRPr="00985C83">
        <w:t>Box 3.15</w:t>
      </w:r>
      <w:r w:rsidR="00C15186" w:rsidRPr="00C15186">
        <w:t xml:space="preserve"> provides additional information on the </w:t>
      </w:r>
      <w:proofErr w:type="spellStart"/>
      <w:r w:rsidR="00C15186" w:rsidRPr="00C15186">
        <w:t>NQF</w:t>
      </w:r>
      <w:proofErr w:type="spellEnd"/>
      <w:r w:rsidR="00C15186" w:rsidRPr="00C15186">
        <w:t>.</w:t>
      </w:r>
    </w:p>
    <w:p w:rsidR="00985C83" w:rsidRDefault="00656EE3" w:rsidP="00985C83">
      <w:pPr>
        <w:pStyle w:val="BodyText"/>
      </w:pPr>
      <w:r>
        <w:t xml:space="preserve">The </w:t>
      </w:r>
      <w:proofErr w:type="spellStart"/>
      <w:r>
        <w:t>NQS</w:t>
      </w:r>
      <w:proofErr w:type="spellEnd"/>
      <w:r w:rsidR="00C15186" w:rsidRPr="00C15186">
        <w:t xml:space="preserve"> sets a national benchmark for the quality </w:t>
      </w:r>
      <w:r w:rsidR="002C5241">
        <w:t xml:space="preserve">of </w:t>
      </w:r>
      <w:r w:rsidR="00C15186" w:rsidRPr="00C15186">
        <w:t xml:space="preserve">services, </w:t>
      </w:r>
      <w:r w:rsidR="002C5241">
        <w:t>in seven key quality areas</w:t>
      </w:r>
      <w:r w:rsidR="00C15186" w:rsidRPr="00C15186">
        <w:t xml:space="preserve">. </w:t>
      </w:r>
      <w:r w:rsidR="00985C83">
        <w:t xml:space="preserve">Across </w:t>
      </w:r>
      <w:r w:rsidR="00C15186" w:rsidRPr="00C15186">
        <w:t>these seven quality areas there are 18 standards</w:t>
      </w:r>
      <w:r w:rsidR="002C5241">
        <w:t>.</w:t>
      </w:r>
      <w:r w:rsidR="00CE683D">
        <w:t xml:space="preserve"> </w:t>
      </w:r>
      <w:r w:rsidR="00C15186" w:rsidRPr="00C15186">
        <w:t xml:space="preserve">Each standard </w:t>
      </w:r>
      <w:r w:rsidR="00C15186" w:rsidRPr="00C15186">
        <w:lastRenderedPageBreak/>
        <w:t>contains a number of elements that describe the outcomes that contribute to the standard being achieved. There are 58 elements in total.</w:t>
      </w:r>
      <w:r w:rsidR="00985C83" w:rsidRPr="00985C83">
        <w:t xml:space="preserve"> </w:t>
      </w:r>
    </w:p>
    <w:p w:rsidR="00985C83" w:rsidRPr="002C5241" w:rsidRDefault="00985C83" w:rsidP="00985C83">
      <w:pPr>
        <w:pStyle w:val="BodyText"/>
      </w:pPr>
      <w:r w:rsidRPr="00C15186">
        <w:t xml:space="preserve">The </w:t>
      </w:r>
      <w:proofErr w:type="spellStart"/>
      <w:r w:rsidRPr="00C15186">
        <w:t>NQS</w:t>
      </w:r>
      <w:proofErr w:type="spellEnd"/>
      <w:r w:rsidRPr="00C15186">
        <w:t xml:space="preserve"> is accompanied by a national assessment and rating process reporting the quali</w:t>
      </w:r>
      <w:r>
        <w:t xml:space="preserve">ty of each service, against five rating levels which are ‘Significant </w:t>
      </w:r>
      <w:r w:rsidR="004C4235">
        <w:t>Improvement R</w:t>
      </w:r>
      <w:r>
        <w:t>equired’, ‘W</w:t>
      </w:r>
      <w:r w:rsidR="004C4235">
        <w:t>orking T</w:t>
      </w:r>
      <w:r>
        <w:t xml:space="preserve">owards </w:t>
      </w:r>
      <w:proofErr w:type="spellStart"/>
      <w:r>
        <w:t>NQS</w:t>
      </w:r>
      <w:proofErr w:type="spellEnd"/>
      <w:r>
        <w:t xml:space="preserve">’, ‘Meeting </w:t>
      </w:r>
      <w:proofErr w:type="spellStart"/>
      <w:r>
        <w:t>NQS</w:t>
      </w:r>
      <w:proofErr w:type="spellEnd"/>
      <w:r>
        <w:t xml:space="preserve">’, ‘Exceeding </w:t>
      </w:r>
      <w:proofErr w:type="spellStart"/>
      <w:r>
        <w:t>NQS</w:t>
      </w:r>
      <w:proofErr w:type="spellEnd"/>
      <w:r>
        <w:t>’ and ‘Excellent’. The ‘Excellent’ rating can only be awarded by the national body, the Australian Children’s Education and Care Quality Authority (</w:t>
      </w:r>
      <w:proofErr w:type="spellStart"/>
      <w:r>
        <w:t>ACECQA</w:t>
      </w:r>
      <w:proofErr w:type="spellEnd"/>
      <w:r>
        <w:t xml:space="preserve">), </w:t>
      </w:r>
      <w:r w:rsidR="004C4235">
        <w:t xml:space="preserve">on application by the Approved Provider. The other </w:t>
      </w:r>
      <w:r>
        <w:t>four ratings result from the assessment and ratings process.</w:t>
      </w:r>
      <w:r w:rsidRPr="00C15186">
        <w:t xml:space="preserve"> </w:t>
      </w:r>
      <w:r w:rsidR="00B3008B">
        <w:t xml:space="preserve">Until a service is assessed and rated, it is taken to have the prescribed provisional rating of ‘Provisional – Not </w:t>
      </w:r>
      <w:r w:rsidR="00C33282">
        <w:t>Y</w:t>
      </w:r>
      <w:r w:rsidR="00B3008B">
        <w:t xml:space="preserve">et </w:t>
      </w:r>
      <w:r w:rsidR="00C33282">
        <w:t>A</w:t>
      </w:r>
      <w:r w:rsidR="00B3008B">
        <w:t>ssessed’.</w:t>
      </w:r>
    </w:p>
    <w:p w:rsidR="00D31A16" w:rsidRDefault="00516ACC" w:rsidP="00C3586E">
      <w:pPr>
        <w:pStyle w:val="Heading5"/>
      </w:pPr>
      <w:r w:rsidRPr="00516ACC">
        <w:t>Funding performance standards and outcomes</w:t>
      </w:r>
    </w:p>
    <w:p w:rsidR="00516ACC" w:rsidRDefault="00516ACC" w:rsidP="00C3586E">
      <w:pPr>
        <w:pStyle w:val="BodyText"/>
      </w:pPr>
      <w:r w:rsidRPr="00516ACC">
        <w:t xml:space="preserve">State and Territory governments impose varying performance requirements for funding </w:t>
      </w:r>
      <w:r w:rsidR="00D03DC0">
        <w:t>early childhood education and care</w:t>
      </w:r>
      <w:r w:rsidRPr="00516ACC">
        <w:t xml:space="preserve"> services. These requirements </w:t>
      </w:r>
      <w:r w:rsidR="00922771">
        <w:t>can</w:t>
      </w:r>
      <w:r w:rsidRPr="00516ACC">
        <w:t xml:space="preserve"> include:</w:t>
      </w:r>
    </w:p>
    <w:p w:rsidR="00516ACC" w:rsidRDefault="00516ACC" w:rsidP="00C3586E">
      <w:pPr>
        <w:pStyle w:val="ListBullet"/>
      </w:pPr>
      <w:r>
        <w:t>the employment of higher qualified staff than required by licensing or minimum standards</w:t>
      </w:r>
    </w:p>
    <w:p w:rsidR="00516ACC" w:rsidRDefault="00516ACC" w:rsidP="00C3586E">
      <w:pPr>
        <w:pStyle w:val="ListBullet"/>
      </w:pPr>
      <w:proofErr w:type="spellStart"/>
      <w:r>
        <w:t>self assessment</w:t>
      </w:r>
      <w:proofErr w:type="spellEnd"/>
      <w:r>
        <w:t xml:space="preserve"> of quality</w:t>
      </w:r>
    </w:p>
    <w:p w:rsidR="00516ACC" w:rsidRDefault="00516ACC" w:rsidP="00C3586E">
      <w:pPr>
        <w:pStyle w:val="ListBullet"/>
      </w:pPr>
      <w:r>
        <w:t>a demonstration of the delivery of quality educational and recreational programs.</w:t>
      </w:r>
    </w:p>
    <w:p w:rsidR="00516ACC" w:rsidRDefault="00516ACC" w:rsidP="00C3586E">
      <w:pPr>
        <w:pStyle w:val="Heading3"/>
      </w:pPr>
      <w:r w:rsidRPr="00516ACC">
        <w:t>Funding</w:t>
      </w:r>
    </w:p>
    <w:p w:rsidR="00851718" w:rsidRPr="00E9688A" w:rsidRDefault="00516ACC" w:rsidP="002B06E9">
      <w:pPr>
        <w:pStyle w:val="BodyText"/>
      </w:pPr>
      <w:r w:rsidRPr="00C127A4">
        <w:t xml:space="preserve">Total Australian, State and Territory government expenditure on </w:t>
      </w:r>
      <w:r w:rsidR="006137A1" w:rsidRPr="00C127A4">
        <w:t xml:space="preserve">early childhood education and care services </w:t>
      </w:r>
      <w:r w:rsidRPr="00C127A4">
        <w:t>was $</w:t>
      </w:r>
      <w:r w:rsidR="007F6244">
        <w:t>6.8</w:t>
      </w:r>
      <w:r w:rsidR="00423619" w:rsidRPr="00C127A4">
        <w:t xml:space="preserve"> </w:t>
      </w:r>
      <w:r w:rsidRPr="00C127A4">
        <w:t xml:space="preserve">billion in </w:t>
      </w:r>
      <w:r w:rsidR="00E1679B" w:rsidRPr="00C127A4">
        <w:t>20</w:t>
      </w:r>
      <w:r w:rsidR="00C127A4" w:rsidRPr="00C127A4">
        <w:t>12</w:t>
      </w:r>
      <w:r w:rsidR="00172534">
        <w:noBreakHyphen/>
      </w:r>
      <w:r w:rsidR="00E866D2" w:rsidRPr="00C127A4">
        <w:t>1</w:t>
      </w:r>
      <w:r w:rsidR="00C127A4" w:rsidRPr="00C127A4">
        <w:t>3</w:t>
      </w:r>
      <w:r w:rsidRPr="00C127A4">
        <w:t>, compared with $</w:t>
      </w:r>
      <w:r w:rsidR="00C127A4" w:rsidRPr="00C127A4">
        <w:t>6.1</w:t>
      </w:r>
      <w:r w:rsidR="00423619" w:rsidRPr="00C127A4">
        <w:t> </w:t>
      </w:r>
      <w:r w:rsidRPr="00C127A4">
        <w:t>billion (</w:t>
      </w:r>
      <w:r w:rsidR="002D4980" w:rsidRPr="002352A8">
        <w:t>an increase of $642 million, or 10.5</w:t>
      </w:r>
      <w:r w:rsidR="000C4B6A" w:rsidRPr="002352A8">
        <w:t xml:space="preserve"> per cent</w:t>
      </w:r>
      <w:r w:rsidR="000C4B6A">
        <w:t xml:space="preserve"> </w:t>
      </w:r>
      <w:r w:rsidRPr="00C127A4">
        <w:t xml:space="preserve">in real terms) in </w:t>
      </w:r>
      <w:r w:rsidR="004B50AB" w:rsidRPr="00C127A4">
        <w:t>2</w:t>
      </w:r>
      <w:r w:rsidR="00E866D2" w:rsidRPr="00C127A4">
        <w:t>01</w:t>
      </w:r>
      <w:r w:rsidR="00C127A4" w:rsidRPr="00C127A4">
        <w:t>1</w:t>
      </w:r>
      <w:r w:rsidR="00172534">
        <w:noBreakHyphen/>
      </w:r>
      <w:r w:rsidR="00C127A4" w:rsidRPr="00C127A4">
        <w:t>12</w:t>
      </w:r>
      <w:r w:rsidR="004A2D00" w:rsidRPr="00C127A4">
        <w:t>.</w:t>
      </w:r>
      <w:r w:rsidRPr="00C127A4">
        <w:t xml:space="preserve"> </w:t>
      </w:r>
      <w:r w:rsidR="00851718" w:rsidRPr="00E9688A">
        <w:t xml:space="preserve">Nationally, the average annual growth </w:t>
      </w:r>
      <w:r w:rsidR="002D4980">
        <w:t xml:space="preserve">rate of real expenditure was </w:t>
      </w:r>
      <w:r w:rsidR="002D4980" w:rsidRPr="002352A8">
        <w:t>7.9</w:t>
      </w:r>
      <w:r w:rsidR="00851718" w:rsidRPr="002352A8">
        <w:t xml:space="preserve"> </w:t>
      </w:r>
      <w:r w:rsidR="00851718" w:rsidRPr="00E9688A">
        <w:t xml:space="preserve">per cent between </w:t>
      </w:r>
      <w:r w:rsidR="00273FFE">
        <w:br/>
      </w:r>
      <w:r w:rsidR="00851718" w:rsidRPr="00E9688A">
        <w:t>2008</w:t>
      </w:r>
      <w:r w:rsidR="00172534">
        <w:noBreakHyphen/>
      </w:r>
      <w:r w:rsidR="00851718" w:rsidRPr="00E9688A">
        <w:t>09 and 2012</w:t>
      </w:r>
      <w:r w:rsidR="00172534">
        <w:noBreakHyphen/>
      </w:r>
      <w:r w:rsidR="00851718" w:rsidRPr="00E9688A">
        <w:t>13 (table</w:t>
      </w:r>
      <w:r w:rsidR="00172534">
        <w:t> </w:t>
      </w:r>
      <w:proofErr w:type="spellStart"/>
      <w:r w:rsidR="00851718" w:rsidRPr="00E9688A">
        <w:t>3A.3</w:t>
      </w:r>
      <w:proofErr w:type="spellEnd"/>
      <w:r w:rsidR="00851718" w:rsidRPr="00E9688A">
        <w:t>)</w:t>
      </w:r>
      <w:r w:rsidR="00E9688A" w:rsidRPr="00E9688A">
        <w:t>.</w:t>
      </w:r>
    </w:p>
    <w:p w:rsidR="00516ACC" w:rsidRPr="00BA0D1F" w:rsidRDefault="00516ACC" w:rsidP="002B06E9">
      <w:pPr>
        <w:pStyle w:val="BodyText"/>
      </w:pPr>
      <w:r w:rsidRPr="00BA0D1F">
        <w:t xml:space="preserve">Australian Government expenditure accounted for </w:t>
      </w:r>
      <w:r w:rsidR="004B50AB" w:rsidRPr="002352A8">
        <w:t>79.</w:t>
      </w:r>
      <w:r w:rsidR="002D4980" w:rsidRPr="002352A8">
        <w:t>5</w:t>
      </w:r>
      <w:r w:rsidR="00850E12" w:rsidRPr="00BA0D1F">
        <w:t xml:space="preserve"> </w:t>
      </w:r>
      <w:r w:rsidRPr="00BA0D1F">
        <w:t>per cent ($</w:t>
      </w:r>
      <w:r w:rsidR="00BA0D1F" w:rsidRPr="00BA0D1F">
        <w:t>5</w:t>
      </w:r>
      <w:r w:rsidR="006B6830" w:rsidRPr="00BA0D1F">
        <w:t>.</w:t>
      </w:r>
      <w:r w:rsidR="00BA0D1F" w:rsidRPr="00BA0D1F">
        <w:t>4</w:t>
      </w:r>
      <w:r w:rsidRPr="00BA0D1F">
        <w:t xml:space="preserve"> billion) of total government expenditure on </w:t>
      </w:r>
      <w:r w:rsidR="006137A1" w:rsidRPr="00BA0D1F">
        <w:t xml:space="preserve">early childhood education and care </w:t>
      </w:r>
      <w:r w:rsidRPr="00BA0D1F">
        <w:t xml:space="preserve">services in </w:t>
      </w:r>
      <w:r w:rsidR="00AE5B8B" w:rsidRPr="00BA0D1F">
        <w:t>201</w:t>
      </w:r>
      <w:r w:rsidR="00C127A4" w:rsidRPr="00BA0D1F">
        <w:t>2</w:t>
      </w:r>
      <w:r w:rsidR="00172534">
        <w:noBreakHyphen/>
      </w:r>
      <w:r w:rsidR="00C10D09" w:rsidRPr="00BA0D1F">
        <w:t>1</w:t>
      </w:r>
      <w:r w:rsidR="00C127A4" w:rsidRPr="00BA0D1F">
        <w:t>3</w:t>
      </w:r>
      <w:r w:rsidRPr="00BA0D1F">
        <w:t xml:space="preserve"> (tabl</w:t>
      </w:r>
      <w:r w:rsidR="002217B2" w:rsidRPr="00BA0D1F">
        <w:t>e</w:t>
      </w:r>
      <w:r w:rsidR="00651EE3" w:rsidRPr="00BA0D1F">
        <w:t>s</w:t>
      </w:r>
      <w:r w:rsidR="00172534">
        <w:t> </w:t>
      </w:r>
      <w:proofErr w:type="spellStart"/>
      <w:r w:rsidR="00D30CA2" w:rsidRPr="00BA0D1F">
        <w:t>3A.3</w:t>
      </w:r>
      <w:proofErr w:type="spellEnd"/>
      <w:r w:rsidR="00651EE3" w:rsidRPr="00BA0D1F">
        <w:t xml:space="preserve"> and </w:t>
      </w:r>
      <w:proofErr w:type="spellStart"/>
      <w:r w:rsidR="00651EE3" w:rsidRPr="00BA0D1F">
        <w:t>3A.4</w:t>
      </w:r>
      <w:proofErr w:type="spellEnd"/>
      <w:r w:rsidRPr="00BA0D1F">
        <w:t xml:space="preserve">). State and Territory government expenditure on </w:t>
      </w:r>
      <w:r w:rsidR="006137A1" w:rsidRPr="00BA0D1F">
        <w:t xml:space="preserve">early childhood education and care </w:t>
      </w:r>
      <w:r w:rsidRPr="00BA0D1F">
        <w:t xml:space="preserve">services in </w:t>
      </w:r>
      <w:r w:rsidR="00AE5B8B" w:rsidRPr="00BA0D1F">
        <w:t>201</w:t>
      </w:r>
      <w:r w:rsidR="00BA0D1F" w:rsidRPr="00BA0D1F">
        <w:t>2</w:t>
      </w:r>
      <w:r w:rsidR="00DB50B7" w:rsidRPr="00BA0D1F">
        <w:noBreakHyphen/>
      </w:r>
      <w:r w:rsidR="00C10D09" w:rsidRPr="00BA0D1F">
        <w:t>1</w:t>
      </w:r>
      <w:r w:rsidR="00BA0D1F" w:rsidRPr="00BA0D1F">
        <w:t>3</w:t>
      </w:r>
      <w:r w:rsidRPr="00BA0D1F">
        <w:t xml:space="preserve"> was $</w:t>
      </w:r>
      <w:r w:rsidR="001D1A4A" w:rsidRPr="00BA0D1F">
        <w:t>1.</w:t>
      </w:r>
      <w:r w:rsidR="00BA0D1F" w:rsidRPr="00BA0D1F">
        <w:t>4</w:t>
      </w:r>
      <w:r w:rsidR="001D1A4A" w:rsidRPr="00BA0D1F">
        <w:t xml:space="preserve"> </w:t>
      </w:r>
      <w:r w:rsidR="00AE5B8B" w:rsidRPr="00BA0D1F">
        <w:t>billion</w:t>
      </w:r>
      <w:r w:rsidR="00D30578" w:rsidRPr="00BA0D1F">
        <w:t xml:space="preserve"> </w:t>
      </w:r>
      <w:r w:rsidR="00507F63">
        <w:br/>
      </w:r>
      <w:r w:rsidR="00D30578" w:rsidRPr="00BA0D1F">
        <w:t>(table</w:t>
      </w:r>
      <w:r w:rsidR="0064552C">
        <w:t>s</w:t>
      </w:r>
      <w:r w:rsidR="00172534">
        <w:t> </w:t>
      </w:r>
      <w:proofErr w:type="spellStart"/>
      <w:r w:rsidR="0064552C">
        <w:t>3A.3</w:t>
      </w:r>
      <w:proofErr w:type="spellEnd"/>
      <w:r w:rsidR="0064552C">
        <w:t xml:space="preserve"> and </w:t>
      </w:r>
      <w:proofErr w:type="spellStart"/>
      <w:r w:rsidR="00D30578" w:rsidRPr="00BA0D1F">
        <w:t>3A.5</w:t>
      </w:r>
      <w:proofErr w:type="spellEnd"/>
      <w:r w:rsidR="006D2581" w:rsidRPr="00BA0D1F">
        <w:t>)</w:t>
      </w:r>
      <w:r w:rsidR="004A2D00" w:rsidRPr="00BA0D1F">
        <w:t>. Total Australian, State and Territory government expenditure</w:t>
      </w:r>
      <w:r w:rsidR="00BF31F1" w:rsidRPr="00BA0D1F">
        <w:t xml:space="preserve"> reporting</w:t>
      </w:r>
      <w:r w:rsidR="004A2D00" w:rsidRPr="00BA0D1F">
        <w:t xml:space="preserve"> on </w:t>
      </w:r>
      <w:r w:rsidR="006137A1" w:rsidRPr="00BA0D1F">
        <w:t xml:space="preserve">early childhood education and care </w:t>
      </w:r>
      <w:r w:rsidR="004A2D00" w:rsidRPr="00BA0D1F">
        <w:t xml:space="preserve">services is also available by jurisdiction </w:t>
      </w:r>
      <w:r w:rsidRPr="00BA0D1F">
        <w:t>(tables</w:t>
      </w:r>
      <w:r w:rsidR="00172534">
        <w:t> </w:t>
      </w:r>
      <w:proofErr w:type="spellStart"/>
      <w:r w:rsidR="004A2D00" w:rsidRPr="00BA0D1F">
        <w:t>3A.</w:t>
      </w:r>
      <w:r w:rsidR="00D30578" w:rsidRPr="00BA0D1F">
        <w:t>3</w:t>
      </w:r>
      <w:proofErr w:type="spellEnd"/>
      <w:r w:rsidR="00666160" w:rsidRPr="00BA0D1F">
        <w:t>–</w:t>
      </w:r>
      <w:r w:rsidR="008C57CB" w:rsidRPr="00BA0D1F">
        <w:t>6</w:t>
      </w:r>
      <w:r w:rsidR="004A2D00" w:rsidRPr="00BA0D1F">
        <w:t xml:space="preserve">, </w:t>
      </w:r>
      <w:proofErr w:type="spellStart"/>
      <w:r w:rsidR="009C5A89" w:rsidRPr="00BA0D1F">
        <w:t>3A.</w:t>
      </w:r>
      <w:r w:rsidR="002E5ED2">
        <w:t>59</w:t>
      </w:r>
      <w:proofErr w:type="spellEnd"/>
      <w:r w:rsidR="009C5A89" w:rsidRPr="00BA0D1F">
        <w:t xml:space="preserve">, </w:t>
      </w:r>
      <w:proofErr w:type="spellStart"/>
      <w:r w:rsidR="009C5A89" w:rsidRPr="00BA0D1F">
        <w:t>3A.</w:t>
      </w:r>
      <w:r w:rsidR="002E5ED2">
        <w:t>66</w:t>
      </w:r>
      <w:proofErr w:type="spellEnd"/>
      <w:r w:rsidR="009C5A89" w:rsidRPr="00BA0D1F">
        <w:t xml:space="preserve">, </w:t>
      </w:r>
      <w:proofErr w:type="spellStart"/>
      <w:r w:rsidR="009C5A89" w:rsidRPr="00BA0D1F">
        <w:t>3A.</w:t>
      </w:r>
      <w:r w:rsidR="002E5ED2">
        <w:t>73</w:t>
      </w:r>
      <w:proofErr w:type="spellEnd"/>
      <w:r w:rsidR="009C5A89" w:rsidRPr="00BA0D1F">
        <w:t xml:space="preserve">, </w:t>
      </w:r>
      <w:proofErr w:type="spellStart"/>
      <w:r w:rsidR="009C5A89" w:rsidRPr="00BA0D1F">
        <w:t>3A.</w:t>
      </w:r>
      <w:r w:rsidR="002E5ED2">
        <w:t>80</w:t>
      </w:r>
      <w:proofErr w:type="spellEnd"/>
      <w:r w:rsidR="009C5A89" w:rsidRPr="00BA0D1F">
        <w:t>,</w:t>
      </w:r>
      <w:r w:rsidR="00234441" w:rsidRPr="00BA0D1F">
        <w:t xml:space="preserve"> </w:t>
      </w:r>
      <w:proofErr w:type="spellStart"/>
      <w:r w:rsidR="00234441" w:rsidRPr="00BA0D1F">
        <w:t>3A.</w:t>
      </w:r>
      <w:r w:rsidR="002E5ED2">
        <w:t>87</w:t>
      </w:r>
      <w:proofErr w:type="spellEnd"/>
      <w:r w:rsidR="009C5A89" w:rsidRPr="00BA0D1F">
        <w:t xml:space="preserve">, </w:t>
      </w:r>
      <w:proofErr w:type="spellStart"/>
      <w:r w:rsidR="009C5A89" w:rsidRPr="00BA0D1F">
        <w:t>3A.</w:t>
      </w:r>
      <w:r w:rsidR="002E5ED2">
        <w:t>94</w:t>
      </w:r>
      <w:proofErr w:type="spellEnd"/>
      <w:r w:rsidR="009C5A89" w:rsidRPr="00BA0D1F">
        <w:t xml:space="preserve">, </w:t>
      </w:r>
      <w:proofErr w:type="spellStart"/>
      <w:r w:rsidR="009C5A89" w:rsidRPr="00BA0D1F">
        <w:t>3A.</w:t>
      </w:r>
      <w:r w:rsidR="002E5ED2">
        <w:t>101</w:t>
      </w:r>
      <w:proofErr w:type="spellEnd"/>
      <w:r w:rsidR="008C57CB" w:rsidRPr="00BA0D1F">
        <w:t xml:space="preserve"> </w:t>
      </w:r>
      <w:r w:rsidR="009C5A89" w:rsidRPr="00BA0D1F">
        <w:t xml:space="preserve">and </w:t>
      </w:r>
      <w:proofErr w:type="spellStart"/>
      <w:r w:rsidR="009C5A89" w:rsidRPr="00BA0D1F">
        <w:t>3A.</w:t>
      </w:r>
      <w:r w:rsidR="002E5ED2">
        <w:t>108</w:t>
      </w:r>
      <w:proofErr w:type="spellEnd"/>
      <w:r w:rsidR="00392701" w:rsidRPr="00BA0D1F">
        <w:t>).</w:t>
      </w:r>
    </w:p>
    <w:p w:rsidR="00E97CD1" w:rsidRPr="00BA0D1F" w:rsidRDefault="00E97CD1" w:rsidP="00171F72">
      <w:pPr>
        <w:pStyle w:val="BodyText"/>
      </w:pPr>
      <w:r w:rsidRPr="00BA0D1F">
        <w:lastRenderedPageBreak/>
        <w:t>The Australian Governme</w:t>
      </w:r>
      <w:r w:rsidR="00BA0D1F" w:rsidRPr="00BA0D1F">
        <w:t>nt provided $447 million in 2012</w:t>
      </w:r>
      <w:r w:rsidR="00172534">
        <w:noBreakHyphen/>
      </w:r>
      <w:r w:rsidR="00BA0D1F" w:rsidRPr="00BA0D1F">
        <w:t>13</w:t>
      </w:r>
      <w:r w:rsidRPr="00BA0D1F">
        <w:t xml:space="preserve"> to State and </w:t>
      </w:r>
      <w:r w:rsidR="00D03DC0" w:rsidRPr="00BA0D1F">
        <w:t>T</w:t>
      </w:r>
      <w:r w:rsidRPr="00BA0D1F">
        <w:t xml:space="preserve">erritory governments through the </w:t>
      </w:r>
      <w:r w:rsidR="001D596D">
        <w:t xml:space="preserve">NP </w:t>
      </w:r>
      <w:proofErr w:type="spellStart"/>
      <w:r w:rsidR="001D596D">
        <w:t>ECE</w:t>
      </w:r>
      <w:proofErr w:type="spellEnd"/>
      <w:r w:rsidR="00656EE3" w:rsidRPr="00BA0D1F">
        <w:t xml:space="preserve"> </w:t>
      </w:r>
      <w:r w:rsidR="00090AF6" w:rsidRPr="00BA0D1F">
        <w:t>(table </w:t>
      </w:r>
      <w:proofErr w:type="spellStart"/>
      <w:r w:rsidR="00090AF6" w:rsidRPr="00BA0D1F">
        <w:t>3A.6</w:t>
      </w:r>
      <w:proofErr w:type="spellEnd"/>
      <w:r w:rsidR="00090AF6" w:rsidRPr="00BA0D1F">
        <w:t>)</w:t>
      </w:r>
      <w:r w:rsidRPr="00BA0D1F">
        <w:t xml:space="preserve">. This expenditure is reflected in the data for </w:t>
      </w:r>
      <w:r w:rsidR="00090AF6" w:rsidRPr="00BA0D1F">
        <w:t>State and Territory government recurrent expenditure (table</w:t>
      </w:r>
      <w:r w:rsidR="00172534">
        <w:t> </w:t>
      </w:r>
      <w:proofErr w:type="spellStart"/>
      <w:r w:rsidR="00090AF6" w:rsidRPr="00BA0D1F">
        <w:t>3A.5</w:t>
      </w:r>
      <w:proofErr w:type="spellEnd"/>
      <w:r w:rsidR="00090AF6" w:rsidRPr="00BA0D1F">
        <w:t>)</w:t>
      </w:r>
      <w:r w:rsidRPr="00BA0D1F">
        <w:t xml:space="preserve">. </w:t>
      </w:r>
    </w:p>
    <w:p w:rsidR="00516ACC" w:rsidRPr="0071093E" w:rsidRDefault="00516ACC" w:rsidP="002B06E9">
      <w:pPr>
        <w:pStyle w:val="BodyText"/>
      </w:pPr>
      <w:r w:rsidRPr="0071093E">
        <w:t>In</w:t>
      </w:r>
      <w:r w:rsidR="00482C53" w:rsidRPr="0071093E">
        <w:t xml:space="preserve"> </w:t>
      </w:r>
      <w:r w:rsidR="00AE5B8B" w:rsidRPr="0071093E">
        <w:t>20</w:t>
      </w:r>
      <w:r w:rsidR="00C27803">
        <w:t>12</w:t>
      </w:r>
      <w:r w:rsidR="00172534">
        <w:noBreakHyphen/>
      </w:r>
      <w:r w:rsidR="00C10D09" w:rsidRPr="0071093E">
        <w:t>1</w:t>
      </w:r>
      <w:r w:rsidR="00C27803">
        <w:t>3</w:t>
      </w:r>
      <w:r w:rsidR="00482C53" w:rsidRPr="0071093E">
        <w:t>,</w:t>
      </w:r>
      <w:r w:rsidRPr="0071093E">
        <w:t xml:space="preserve"> </w:t>
      </w:r>
      <w:r w:rsidR="00482C53" w:rsidRPr="0071093E">
        <w:t xml:space="preserve">the provision of preschool services accounted for the largest proportion </w:t>
      </w:r>
      <w:r w:rsidRPr="0071093E">
        <w:t>of total State and Territory g</w:t>
      </w:r>
      <w:r w:rsidR="0064552C">
        <w:t>overnment expenditure across most</w:t>
      </w:r>
      <w:r w:rsidRPr="0071093E">
        <w:t xml:space="preserve"> </w:t>
      </w:r>
      <w:r w:rsidR="00482C53" w:rsidRPr="0071093E">
        <w:t xml:space="preserve">service </w:t>
      </w:r>
      <w:r w:rsidR="00E47AF3" w:rsidRPr="0071093E">
        <w:t>model</w:t>
      </w:r>
      <w:r w:rsidR="00482C53" w:rsidRPr="0071093E">
        <w:t>s</w:t>
      </w:r>
      <w:r w:rsidRPr="0071093E">
        <w:t xml:space="preserve"> (</w:t>
      </w:r>
      <w:r w:rsidR="002D4980" w:rsidRPr="002352A8">
        <w:t>81</w:t>
      </w:r>
      <w:r w:rsidR="001D1A4A" w:rsidRPr="002352A8">
        <w:t>.</w:t>
      </w:r>
      <w:r w:rsidR="002D4980" w:rsidRPr="002352A8">
        <w:t>8</w:t>
      </w:r>
      <w:r w:rsidR="001D1A4A" w:rsidRPr="0071093E">
        <w:t> </w:t>
      </w:r>
      <w:r w:rsidRPr="0071093E">
        <w:t>per cent, or $</w:t>
      </w:r>
      <w:r w:rsidR="001D1A4A" w:rsidRPr="0071093E">
        <w:t>1.</w:t>
      </w:r>
      <w:r w:rsidR="00884138" w:rsidRPr="0071093E">
        <w:t>1</w:t>
      </w:r>
      <w:r w:rsidRPr="0071093E">
        <w:t xml:space="preserve"> </w:t>
      </w:r>
      <w:r w:rsidR="001D1A4A" w:rsidRPr="0071093E">
        <w:t>b</w:t>
      </w:r>
      <w:r w:rsidRPr="0071093E">
        <w:t>illion</w:t>
      </w:r>
      <w:r w:rsidR="00D73033" w:rsidRPr="0071093E">
        <w:t xml:space="preserve"> nationally</w:t>
      </w:r>
      <w:r w:rsidRPr="0071093E">
        <w:t>) (table</w:t>
      </w:r>
      <w:r w:rsidR="00172534">
        <w:t> </w:t>
      </w:r>
      <w:proofErr w:type="spellStart"/>
      <w:r w:rsidRPr="0071093E">
        <w:t>3A.</w:t>
      </w:r>
      <w:r w:rsidR="00D30578" w:rsidRPr="0071093E">
        <w:t>5</w:t>
      </w:r>
      <w:proofErr w:type="spellEnd"/>
      <w:r w:rsidRPr="0071093E">
        <w:t>).</w:t>
      </w:r>
    </w:p>
    <w:p w:rsidR="00516ACC" w:rsidRPr="00CB5BB7" w:rsidRDefault="00567BA4" w:rsidP="00171F72">
      <w:pPr>
        <w:pStyle w:val="BodyText"/>
        <w:rPr>
          <w:color w:val="FF0000"/>
        </w:rPr>
      </w:pPr>
      <w:r w:rsidRPr="00484781">
        <w:t>The Australian Government provides supplementary funding to support the participation of Indigenous children in</w:t>
      </w:r>
      <w:r w:rsidR="00B52E16" w:rsidRPr="00484781">
        <w:t xml:space="preserve"> eligible</w:t>
      </w:r>
      <w:r w:rsidRPr="00484781">
        <w:t xml:space="preserve"> preschool programs. In 20</w:t>
      </w:r>
      <w:r w:rsidR="00C10D09" w:rsidRPr="00484781">
        <w:t>1</w:t>
      </w:r>
      <w:r w:rsidR="00484781" w:rsidRPr="00484781">
        <w:t>2</w:t>
      </w:r>
      <w:r w:rsidR="00516215" w:rsidRPr="00484781">
        <w:t>,</w:t>
      </w:r>
      <w:r w:rsidRPr="00484781">
        <w:t xml:space="preserve"> $</w:t>
      </w:r>
      <w:r w:rsidR="002F025B" w:rsidRPr="00484781">
        <w:t>1</w:t>
      </w:r>
      <w:r w:rsidR="00484781" w:rsidRPr="00484781">
        <w:t>4</w:t>
      </w:r>
      <w:r w:rsidR="0030476C" w:rsidRPr="00484781">
        <w:t>.</w:t>
      </w:r>
      <w:r w:rsidR="00484781" w:rsidRPr="00484781">
        <w:t>2</w:t>
      </w:r>
      <w:r w:rsidR="00BF31F1" w:rsidRPr="00484781">
        <w:t> </w:t>
      </w:r>
      <w:r w:rsidRPr="00484781">
        <w:t>million was provided on a per</w:t>
      </w:r>
      <w:r w:rsidR="0000668F" w:rsidRPr="00484781">
        <w:t xml:space="preserve"> person</w:t>
      </w:r>
      <w:r w:rsidRPr="00484781">
        <w:t xml:space="preserve"> and project basis to </w:t>
      </w:r>
      <w:r w:rsidR="00484781" w:rsidRPr="00484781">
        <w:t>1761</w:t>
      </w:r>
      <w:r w:rsidR="00B52E16" w:rsidRPr="00484781">
        <w:t xml:space="preserve"> government and non</w:t>
      </w:r>
      <w:r w:rsidR="00172534">
        <w:noBreakHyphen/>
      </w:r>
      <w:r w:rsidR="00B52E16" w:rsidRPr="00484781">
        <w:t>government preschools. The funding covered</w:t>
      </w:r>
      <w:r w:rsidRPr="00484781">
        <w:t xml:space="preserve"> </w:t>
      </w:r>
      <w:r w:rsidR="00484781" w:rsidRPr="00484781">
        <w:t>10</w:t>
      </w:r>
      <w:r w:rsidR="00CC43FD">
        <w:t> </w:t>
      </w:r>
      <w:r w:rsidR="00484781" w:rsidRPr="00484781">
        <w:t>679</w:t>
      </w:r>
      <w:r w:rsidR="00B52E16" w:rsidRPr="00484781">
        <w:t xml:space="preserve"> </w:t>
      </w:r>
      <w:r w:rsidRPr="00484781">
        <w:t>full time equivalent Indigenous preschool enrolments (</w:t>
      </w:r>
      <w:r w:rsidR="00E318F3" w:rsidRPr="00484781">
        <w:t xml:space="preserve">Department of Education </w:t>
      </w:r>
      <w:r w:rsidRPr="00484781">
        <w:t>unpublished).</w:t>
      </w:r>
      <w:r w:rsidR="00777C04" w:rsidRPr="008B42D1">
        <w:rPr>
          <w:rStyle w:val="BoxChar"/>
        </w:rPr>
        <w:t xml:space="preserve"> </w:t>
      </w:r>
    </w:p>
    <w:p w:rsidR="009E65C4" w:rsidRDefault="009E65C4" w:rsidP="00C3586E">
      <w:pPr>
        <w:pStyle w:val="Heading3"/>
      </w:pPr>
      <w:r w:rsidRPr="009E65C4">
        <w:t>Size and scope</w:t>
      </w:r>
    </w:p>
    <w:p w:rsidR="000D35F3" w:rsidRDefault="000D35F3" w:rsidP="00C3586E">
      <w:pPr>
        <w:pStyle w:val="Heading4"/>
      </w:pPr>
      <w:r w:rsidRPr="000F4843">
        <w:t>Services by management type</w:t>
      </w:r>
    </w:p>
    <w:p w:rsidR="00651EE3" w:rsidRDefault="00D03DC0" w:rsidP="00C3586E">
      <w:pPr>
        <w:pStyle w:val="BodyText"/>
      </w:pPr>
      <w:r>
        <w:t>Early childhood education and care</w:t>
      </w:r>
      <w:r w:rsidR="000D35F3" w:rsidRPr="000F4843">
        <w:t xml:space="preserve"> services </w:t>
      </w:r>
      <w:r w:rsidR="00D73033">
        <w:t>may be</w:t>
      </w:r>
      <w:r w:rsidR="000D35F3" w:rsidRPr="000F4843">
        <w:t xml:space="preserve"> managed by government</w:t>
      </w:r>
      <w:r w:rsidR="00DB50B7">
        <w:t>s</w:t>
      </w:r>
      <w:r w:rsidR="000D35F3" w:rsidRPr="000F4843">
        <w:t xml:space="preserve"> (State, Territory and local), </w:t>
      </w:r>
      <w:r w:rsidR="00486380">
        <w:t xml:space="preserve">the </w:t>
      </w:r>
      <w:r w:rsidR="000D35F3" w:rsidRPr="000F4843">
        <w:t>community</w:t>
      </w:r>
      <w:r w:rsidR="00CD3627">
        <w:t xml:space="preserve"> sector, </w:t>
      </w:r>
      <w:r w:rsidR="00486380">
        <w:t xml:space="preserve">the </w:t>
      </w:r>
      <w:r w:rsidR="00CD3627">
        <w:t xml:space="preserve">private sector and </w:t>
      </w:r>
      <w:r w:rsidR="00AE42A6">
        <w:t>non</w:t>
      </w:r>
      <w:r w:rsidR="006D4696">
        <w:noBreakHyphen/>
      </w:r>
      <w:r w:rsidR="00AE42A6">
        <w:t>government</w:t>
      </w:r>
      <w:r w:rsidR="00CD3627">
        <w:t xml:space="preserve"> schools</w:t>
      </w:r>
      <w:r w:rsidR="000D35F3" w:rsidRPr="000F4843">
        <w:t xml:space="preserve">. </w:t>
      </w:r>
      <w:r w:rsidR="00666160">
        <w:t>D</w:t>
      </w:r>
      <w:r w:rsidR="000D35F3" w:rsidRPr="000F4843">
        <w:t xml:space="preserve">ata </w:t>
      </w:r>
      <w:r w:rsidR="000D35F3">
        <w:t>on the management type of child care</w:t>
      </w:r>
      <w:r w:rsidR="000D35F3" w:rsidRPr="000F4843">
        <w:t xml:space="preserve"> </w:t>
      </w:r>
      <w:r w:rsidR="00016761">
        <w:t xml:space="preserve">and preschool </w:t>
      </w:r>
      <w:r w:rsidR="000D35F3">
        <w:t xml:space="preserve">services </w:t>
      </w:r>
      <w:r w:rsidR="00666160">
        <w:t xml:space="preserve">are incomplete and </w:t>
      </w:r>
      <w:r w:rsidR="000D35F3" w:rsidRPr="000F4843">
        <w:t>the scope of data collecti</w:t>
      </w:r>
      <w:r w:rsidR="00016761">
        <w:t xml:space="preserve">on varies across jurisdictions </w:t>
      </w:r>
      <w:r w:rsidR="000D35F3" w:rsidRPr="000F4843">
        <w:t>(table</w:t>
      </w:r>
      <w:r w:rsidR="000D35F3">
        <w:t> </w:t>
      </w:r>
      <w:r w:rsidR="00923A1C">
        <w:t>3.2</w:t>
      </w:r>
      <w:r w:rsidR="000D35F3" w:rsidRPr="000F4843">
        <w:t>).</w:t>
      </w:r>
    </w:p>
    <w:p w:rsidR="00651EE3" w:rsidRPr="008B42D1" w:rsidRDefault="00651EE3" w:rsidP="00C3586E">
      <w:pPr>
        <w:pStyle w:val="TableTitle"/>
        <w:rPr>
          <w:rStyle w:val="BoxChar"/>
        </w:rPr>
      </w:pPr>
      <w:r w:rsidRPr="00D005A2">
        <w:rPr>
          <w:b w:val="0"/>
        </w:rPr>
        <w:lastRenderedPageBreak/>
        <w:t>Table 3.</w:t>
      </w:r>
      <w:r w:rsidR="002E4BE8">
        <w:rPr>
          <w:b w:val="0"/>
          <w:noProof/>
        </w:rPr>
        <w:t>2</w:t>
      </w:r>
      <w:r w:rsidR="00B531B4" w:rsidRPr="00D005A2">
        <w:tab/>
        <w:t xml:space="preserve">Proportion </w:t>
      </w:r>
      <w:r w:rsidR="00A53839" w:rsidRPr="00D005A2">
        <w:t>of State and Territory approved and/or licensed</w:t>
      </w:r>
      <w:r w:rsidR="00B531B4" w:rsidRPr="00D005A2">
        <w:t xml:space="preserve"> </w:t>
      </w:r>
      <w:r w:rsidR="00D03DC0" w:rsidRPr="00D005A2">
        <w:t>early childhood education and care</w:t>
      </w:r>
      <w:r w:rsidR="00B531B4" w:rsidRPr="00D005A2">
        <w:t xml:space="preserve"> s</w:t>
      </w:r>
      <w:r w:rsidR="00C90608" w:rsidRPr="00D005A2">
        <w:t>ervices, by management type, 201</w:t>
      </w:r>
      <w:r w:rsidR="003F3076" w:rsidRPr="00D005A2">
        <w:t>2</w:t>
      </w:r>
      <w:r w:rsidR="00C90608" w:rsidRPr="00D005A2">
        <w:noBreakHyphen/>
        <w:t>1</w:t>
      </w:r>
      <w:r w:rsidR="003F3076" w:rsidRPr="00D005A2">
        <w:t>3</w:t>
      </w:r>
      <w:r w:rsidR="00D03DC0" w:rsidRPr="00D005A2">
        <w:t xml:space="preserve"> </w:t>
      </w:r>
      <w:r w:rsidR="00B531B4" w:rsidRPr="00D005A2">
        <w:t>(per cent)</w:t>
      </w:r>
      <w:r w:rsidR="00B531B4" w:rsidRPr="00D005A2">
        <w:rPr>
          <w:rStyle w:val="NoteLabel"/>
          <w:b/>
        </w:rPr>
        <w:t>a, b</w:t>
      </w:r>
    </w:p>
    <w:tbl>
      <w:tblPr>
        <w:tblW w:w="5000" w:type="pct"/>
        <w:tblCellMar>
          <w:left w:w="0" w:type="dxa"/>
          <w:right w:w="0" w:type="dxa"/>
        </w:tblCellMar>
        <w:tblLook w:val="0000" w:firstRow="0" w:lastRow="0" w:firstColumn="0" w:lastColumn="0" w:noHBand="0" w:noVBand="0"/>
      </w:tblPr>
      <w:tblGrid>
        <w:gridCol w:w="2697"/>
        <w:gridCol w:w="708"/>
        <w:gridCol w:w="708"/>
        <w:gridCol w:w="849"/>
        <w:gridCol w:w="851"/>
        <w:gridCol w:w="851"/>
        <w:gridCol w:w="708"/>
        <w:gridCol w:w="710"/>
        <w:gridCol w:w="707"/>
      </w:tblGrid>
      <w:tr w:rsidR="00B531B4" w:rsidRPr="00D005A2" w:rsidTr="004516FF">
        <w:tc>
          <w:tcPr>
            <w:tcW w:w="1534" w:type="pct"/>
            <w:tcBorders>
              <w:top w:val="single" w:sz="6" w:space="0" w:color="auto"/>
              <w:bottom w:val="single" w:sz="6" w:space="0" w:color="auto"/>
            </w:tcBorders>
            <w:shd w:val="clear" w:color="auto" w:fill="auto"/>
          </w:tcPr>
          <w:p w:rsidR="00651EE3" w:rsidRPr="00D005A2" w:rsidRDefault="00651EE3" w:rsidP="00C3586E">
            <w:pPr>
              <w:pStyle w:val="TableColumnHeading"/>
              <w:jc w:val="left"/>
              <w:rPr>
                <w:rStyle w:val="DraftingNote"/>
                <w:color w:val="auto"/>
                <w:sz w:val="20"/>
              </w:rPr>
            </w:pPr>
          </w:p>
        </w:tc>
        <w:tc>
          <w:tcPr>
            <w:tcW w:w="403" w:type="pct"/>
            <w:tcBorders>
              <w:top w:val="single" w:sz="6" w:space="0" w:color="auto"/>
              <w:bottom w:val="single" w:sz="6" w:space="0" w:color="auto"/>
            </w:tcBorders>
            <w:shd w:val="clear" w:color="auto" w:fill="auto"/>
            <w:vAlign w:val="center"/>
          </w:tcPr>
          <w:p w:rsidR="00651EE3" w:rsidRPr="00D005A2" w:rsidRDefault="00651EE3" w:rsidP="00FB2A0B">
            <w:pPr>
              <w:pStyle w:val="TableColumnHeading"/>
              <w:jc w:val="center"/>
              <w:rPr>
                <w:b/>
              </w:rPr>
            </w:pPr>
            <w:r w:rsidRPr="00D005A2">
              <w:t>NSW</w:t>
            </w:r>
            <w:r w:rsidR="0075299B" w:rsidRPr="00D005A2">
              <w:rPr>
                <w:rStyle w:val="NoteLabel"/>
                <w:i w:val="0"/>
              </w:rPr>
              <w:t>c</w:t>
            </w:r>
          </w:p>
        </w:tc>
        <w:tc>
          <w:tcPr>
            <w:tcW w:w="403" w:type="pct"/>
            <w:tcBorders>
              <w:top w:val="single" w:sz="6" w:space="0" w:color="auto"/>
              <w:bottom w:val="single" w:sz="6" w:space="0" w:color="auto"/>
            </w:tcBorders>
            <w:shd w:val="clear" w:color="auto" w:fill="auto"/>
            <w:vAlign w:val="center"/>
          </w:tcPr>
          <w:p w:rsidR="00651EE3" w:rsidRPr="00D005A2" w:rsidRDefault="00651EE3" w:rsidP="005D012C">
            <w:pPr>
              <w:pStyle w:val="TableColumnHeading"/>
              <w:jc w:val="center"/>
              <w:rPr>
                <w:rStyle w:val="NoteLabel"/>
              </w:rPr>
            </w:pPr>
            <w:r w:rsidRPr="00D005A2">
              <w:t>Vic</w:t>
            </w:r>
          </w:p>
        </w:tc>
        <w:tc>
          <w:tcPr>
            <w:tcW w:w="483" w:type="pct"/>
            <w:tcBorders>
              <w:top w:val="single" w:sz="6" w:space="0" w:color="auto"/>
              <w:bottom w:val="single" w:sz="6" w:space="0" w:color="auto"/>
            </w:tcBorders>
            <w:shd w:val="clear" w:color="auto" w:fill="auto"/>
            <w:vAlign w:val="center"/>
          </w:tcPr>
          <w:p w:rsidR="00651EE3" w:rsidRPr="00D005A2" w:rsidRDefault="00651EE3" w:rsidP="00FB2A0B">
            <w:pPr>
              <w:pStyle w:val="TableColumnHeading"/>
              <w:jc w:val="center"/>
            </w:pPr>
            <w:r w:rsidRPr="00D005A2">
              <w:t>Qld</w:t>
            </w:r>
          </w:p>
        </w:tc>
        <w:tc>
          <w:tcPr>
            <w:tcW w:w="484" w:type="pct"/>
            <w:tcBorders>
              <w:top w:val="single" w:sz="6" w:space="0" w:color="auto"/>
              <w:bottom w:val="single" w:sz="6" w:space="0" w:color="auto"/>
            </w:tcBorders>
            <w:shd w:val="clear" w:color="auto" w:fill="auto"/>
            <w:vAlign w:val="center"/>
          </w:tcPr>
          <w:p w:rsidR="00651EE3" w:rsidRPr="00D005A2" w:rsidRDefault="00651EE3" w:rsidP="00FB2A0B">
            <w:pPr>
              <w:pStyle w:val="TableColumnHeading"/>
              <w:jc w:val="center"/>
            </w:pPr>
            <w:r w:rsidRPr="00D005A2">
              <w:t>WA</w:t>
            </w:r>
            <w:r w:rsidR="00106680">
              <w:rPr>
                <w:rStyle w:val="NoteLabel"/>
                <w:i w:val="0"/>
              </w:rPr>
              <w:t>d</w:t>
            </w:r>
          </w:p>
        </w:tc>
        <w:tc>
          <w:tcPr>
            <w:tcW w:w="484" w:type="pct"/>
            <w:tcBorders>
              <w:top w:val="single" w:sz="6" w:space="0" w:color="auto"/>
              <w:bottom w:val="single" w:sz="6" w:space="0" w:color="auto"/>
            </w:tcBorders>
            <w:shd w:val="clear" w:color="auto" w:fill="auto"/>
            <w:vAlign w:val="center"/>
          </w:tcPr>
          <w:p w:rsidR="00651EE3" w:rsidRPr="00D005A2" w:rsidRDefault="00651EE3" w:rsidP="005D012C">
            <w:pPr>
              <w:pStyle w:val="TableColumnHeading"/>
              <w:jc w:val="center"/>
              <w:rPr>
                <w:rStyle w:val="NoteLabel"/>
              </w:rPr>
            </w:pPr>
            <w:r w:rsidRPr="00D005A2">
              <w:t>SA</w:t>
            </w:r>
            <w:r w:rsidR="00106680">
              <w:rPr>
                <w:rStyle w:val="NoteLabel"/>
                <w:i w:val="0"/>
              </w:rPr>
              <w:t>e</w:t>
            </w:r>
          </w:p>
        </w:tc>
        <w:tc>
          <w:tcPr>
            <w:tcW w:w="403" w:type="pct"/>
            <w:tcBorders>
              <w:top w:val="single" w:sz="6" w:space="0" w:color="auto"/>
              <w:bottom w:val="single" w:sz="6" w:space="0" w:color="auto"/>
            </w:tcBorders>
            <w:shd w:val="clear" w:color="auto" w:fill="auto"/>
            <w:vAlign w:val="center"/>
          </w:tcPr>
          <w:p w:rsidR="00651EE3" w:rsidRPr="00D005A2" w:rsidRDefault="00651EE3" w:rsidP="005D012C">
            <w:pPr>
              <w:pStyle w:val="TableColumnHeading"/>
              <w:jc w:val="center"/>
              <w:rPr>
                <w:rStyle w:val="NoteLabel"/>
              </w:rPr>
            </w:pPr>
            <w:proofErr w:type="spellStart"/>
            <w:r w:rsidRPr="00D005A2">
              <w:t>Tas</w:t>
            </w:r>
            <w:proofErr w:type="spellEnd"/>
            <w:r w:rsidR="00106680">
              <w:rPr>
                <w:rStyle w:val="NoteLabel"/>
                <w:i w:val="0"/>
              </w:rPr>
              <w:t>f</w:t>
            </w:r>
          </w:p>
        </w:tc>
        <w:tc>
          <w:tcPr>
            <w:tcW w:w="404" w:type="pct"/>
            <w:tcBorders>
              <w:top w:val="single" w:sz="6" w:space="0" w:color="auto"/>
              <w:bottom w:val="single" w:sz="6" w:space="0" w:color="auto"/>
            </w:tcBorders>
            <w:shd w:val="clear" w:color="auto" w:fill="auto"/>
            <w:vAlign w:val="center"/>
          </w:tcPr>
          <w:p w:rsidR="00651EE3" w:rsidRPr="00D005A2" w:rsidRDefault="00651EE3" w:rsidP="00FB2A0B">
            <w:pPr>
              <w:pStyle w:val="TableColumnHeading"/>
              <w:jc w:val="center"/>
            </w:pPr>
            <w:r w:rsidRPr="00D005A2">
              <w:t>ACT</w:t>
            </w:r>
          </w:p>
        </w:tc>
        <w:tc>
          <w:tcPr>
            <w:tcW w:w="402" w:type="pct"/>
            <w:tcBorders>
              <w:top w:val="single" w:sz="6" w:space="0" w:color="auto"/>
              <w:bottom w:val="single" w:sz="6" w:space="0" w:color="auto"/>
            </w:tcBorders>
            <w:shd w:val="clear" w:color="auto" w:fill="auto"/>
            <w:vAlign w:val="center"/>
          </w:tcPr>
          <w:p w:rsidR="00651EE3" w:rsidRPr="00D005A2" w:rsidRDefault="00651EE3" w:rsidP="005D012C">
            <w:pPr>
              <w:pStyle w:val="TableColumnHeading"/>
              <w:ind w:right="28"/>
              <w:jc w:val="center"/>
              <w:rPr>
                <w:rStyle w:val="NoteLabel"/>
              </w:rPr>
            </w:pPr>
            <w:r w:rsidRPr="00D005A2">
              <w:t>NT</w:t>
            </w:r>
            <w:r w:rsidR="00106680">
              <w:rPr>
                <w:rStyle w:val="NoteLabel"/>
                <w:i w:val="0"/>
              </w:rPr>
              <w:t>g</w:t>
            </w:r>
          </w:p>
        </w:tc>
      </w:tr>
      <w:tr w:rsidR="00B531B4" w:rsidRPr="00D005A2" w:rsidTr="004516FF">
        <w:tc>
          <w:tcPr>
            <w:tcW w:w="1534" w:type="pct"/>
            <w:tcBorders>
              <w:top w:val="single" w:sz="6" w:space="0" w:color="auto"/>
            </w:tcBorders>
          </w:tcPr>
          <w:p w:rsidR="00651EE3" w:rsidRPr="00D005A2" w:rsidRDefault="00651EE3" w:rsidP="00C3586E">
            <w:pPr>
              <w:pStyle w:val="TableUnitsRow"/>
              <w:jc w:val="left"/>
              <w:rPr>
                <w:i/>
              </w:rPr>
            </w:pPr>
            <w:r w:rsidRPr="00D005A2">
              <w:rPr>
                <w:i/>
              </w:rPr>
              <w:t>Child care</w:t>
            </w:r>
          </w:p>
        </w:tc>
        <w:tc>
          <w:tcPr>
            <w:tcW w:w="403" w:type="pct"/>
            <w:tcBorders>
              <w:top w:val="single" w:sz="6" w:space="0" w:color="auto"/>
            </w:tcBorders>
          </w:tcPr>
          <w:p w:rsidR="00651EE3" w:rsidRPr="00D005A2" w:rsidRDefault="00651EE3" w:rsidP="00604EF6">
            <w:pPr>
              <w:pStyle w:val="TableUnitsRow"/>
            </w:pPr>
          </w:p>
        </w:tc>
        <w:tc>
          <w:tcPr>
            <w:tcW w:w="403" w:type="pct"/>
            <w:tcBorders>
              <w:top w:val="single" w:sz="6" w:space="0" w:color="auto"/>
            </w:tcBorders>
          </w:tcPr>
          <w:p w:rsidR="00651EE3" w:rsidRPr="00D005A2" w:rsidRDefault="00651EE3" w:rsidP="00604EF6">
            <w:pPr>
              <w:pStyle w:val="TableUnitsRow"/>
            </w:pPr>
          </w:p>
        </w:tc>
        <w:tc>
          <w:tcPr>
            <w:tcW w:w="483" w:type="pct"/>
            <w:tcBorders>
              <w:top w:val="single" w:sz="6" w:space="0" w:color="auto"/>
            </w:tcBorders>
          </w:tcPr>
          <w:p w:rsidR="00651EE3" w:rsidRPr="00D005A2" w:rsidRDefault="00651EE3" w:rsidP="00604EF6">
            <w:pPr>
              <w:pStyle w:val="TableUnitsRow"/>
            </w:pPr>
          </w:p>
        </w:tc>
        <w:tc>
          <w:tcPr>
            <w:tcW w:w="484" w:type="pct"/>
            <w:tcBorders>
              <w:top w:val="single" w:sz="6" w:space="0" w:color="auto"/>
            </w:tcBorders>
          </w:tcPr>
          <w:p w:rsidR="00651EE3" w:rsidRPr="00D005A2" w:rsidRDefault="00651EE3" w:rsidP="00604EF6">
            <w:pPr>
              <w:pStyle w:val="TableUnitsRow"/>
            </w:pPr>
          </w:p>
        </w:tc>
        <w:tc>
          <w:tcPr>
            <w:tcW w:w="484" w:type="pct"/>
            <w:tcBorders>
              <w:top w:val="single" w:sz="6" w:space="0" w:color="auto"/>
            </w:tcBorders>
          </w:tcPr>
          <w:p w:rsidR="00651EE3" w:rsidRPr="00D005A2" w:rsidRDefault="00651EE3" w:rsidP="00604EF6">
            <w:pPr>
              <w:pStyle w:val="TableUnitsRow"/>
            </w:pPr>
          </w:p>
        </w:tc>
        <w:tc>
          <w:tcPr>
            <w:tcW w:w="403" w:type="pct"/>
            <w:tcBorders>
              <w:top w:val="single" w:sz="6" w:space="0" w:color="auto"/>
            </w:tcBorders>
          </w:tcPr>
          <w:p w:rsidR="00651EE3" w:rsidRPr="00D005A2" w:rsidRDefault="00651EE3" w:rsidP="00604EF6">
            <w:pPr>
              <w:pStyle w:val="TableUnitsRow"/>
            </w:pPr>
          </w:p>
        </w:tc>
        <w:tc>
          <w:tcPr>
            <w:tcW w:w="404" w:type="pct"/>
            <w:tcBorders>
              <w:top w:val="single" w:sz="6" w:space="0" w:color="auto"/>
            </w:tcBorders>
          </w:tcPr>
          <w:p w:rsidR="00651EE3" w:rsidRPr="00D005A2" w:rsidRDefault="00651EE3" w:rsidP="00604EF6">
            <w:pPr>
              <w:pStyle w:val="TableUnitsRow"/>
            </w:pPr>
          </w:p>
        </w:tc>
        <w:tc>
          <w:tcPr>
            <w:tcW w:w="402" w:type="pct"/>
            <w:tcBorders>
              <w:top w:val="single" w:sz="6" w:space="0" w:color="auto"/>
            </w:tcBorders>
          </w:tcPr>
          <w:p w:rsidR="00651EE3" w:rsidRPr="00D005A2" w:rsidRDefault="00651EE3" w:rsidP="00604EF6">
            <w:pPr>
              <w:pStyle w:val="TableUnitsRow"/>
            </w:pPr>
          </w:p>
        </w:tc>
      </w:tr>
      <w:tr w:rsidR="00D005A2" w:rsidRPr="00D005A2" w:rsidTr="002352A8">
        <w:tc>
          <w:tcPr>
            <w:tcW w:w="1534" w:type="pct"/>
            <w:shd w:val="clear" w:color="auto" w:fill="auto"/>
          </w:tcPr>
          <w:p w:rsidR="00964B55" w:rsidRPr="00D005A2" w:rsidRDefault="00964B55" w:rsidP="00C3586E">
            <w:pPr>
              <w:pStyle w:val="TableBodyText"/>
              <w:ind w:left="426" w:hanging="142"/>
              <w:jc w:val="left"/>
            </w:pPr>
            <w:r w:rsidRPr="00D005A2">
              <w:t>Community managed</w:t>
            </w:r>
          </w:p>
        </w:tc>
        <w:tc>
          <w:tcPr>
            <w:tcW w:w="403" w:type="pct"/>
            <w:shd w:val="clear" w:color="auto" w:fill="auto"/>
            <w:vAlign w:val="center"/>
          </w:tcPr>
          <w:p w:rsidR="00964B55" w:rsidRPr="00D005A2" w:rsidRDefault="00AF6C85" w:rsidP="00604EF6">
            <w:pPr>
              <w:pStyle w:val="TableBodyText"/>
            </w:pPr>
            <w:r w:rsidRPr="00D005A2">
              <w:t>28.4</w:t>
            </w:r>
          </w:p>
        </w:tc>
        <w:tc>
          <w:tcPr>
            <w:tcW w:w="403" w:type="pct"/>
            <w:shd w:val="clear" w:color="auto" w:fill="auto"/>
            <w:vAlign w:val="center"/>
          </w:tcPr>
          <w:p w:rsidR="00964B55" w:rsidRPr="00D005A2" w:rsidRDefault="00212155" w:rsidP="00604EF6">
            <w:pPr>
              <w:pStyle w:val="TableBodyText"/>
            </w:pPr>
            <w:r w:rsidRPr="00D005A2">
              <w:t>29.2</w:t>
            </w:r>
          </w:p>
        </w:tc>
        <w:tc>
          <w:tcPr>
            <w:tcW w:w="483" w:type="pct"/>
            <w:shd w:val="clear" w:color="auto" w:fill="auto"/>
            <w:vAlign w:val="center"/>
          </w:tcPr>
          <w:p w:rsidR="00964B55" w:rsidRPr="00D005A2" w:rsidRDefault="00C525BA" w:rsidP="00604EF6">
            <w:pPr>
              <w:pStyle w:val="TableBodyText"/>
            </w:pPr>
            <w:r w:rsidRPr="00D005A2">
              <w:t>47.5</w:t>
            </w:r>
          </w:p>
        </w:tc>
        <w:tc>
          <w:tcPr>
            <w:tcW w:w="484" w:type="pct"/>
            <w:shd w:val="clear" w:color="auto" w:fill="auto"/>
            <w:vAlign w:val="center"/>
          </w:tcPr>
          <w:p w:rsidR="00964B55" w:rsidRPr="00D005A2" w:rsidRDefault="00BE76F0" w:rsidP="00604EF6">
            <w:pPr>
              <w:pStyle w:val="TableBodyText"/>
            </w:pPr>
            <w:r>
              <w:t>33.6</w:t>
            </w:r>
          </w:p>
        </w:tc>
        <w:tc>
          <w:tcPr>
            <w:tcW w:w="484" w:type="pct"/>
            <w:shd w:val="clear" w:color="auto" w:fill="auto"/>
            <w:vAlign w:val="center"/>
          </w:tcPr>
          <w:p w:rsidR="00964B55" w:rsidRPr="00D005A2" w:rsidRDefault="00983B16" w:rsidP="00604EF6">
            <w:pPr>
              <w:pStyle w:val="TableBodyText"/>
            </w:pPr>
            <w:proofErr w:type="spellStart"/>
            <w:r w:rsidRPr="00D005A2">
              <w:t>na</w:t>
            </w:r>
            <w:proofErr w:type="spellEnd"/>
          </w:p>
        </w:tc>
        <w:tc>
          <w:tcPr>
            <w:tcW w:w="403" w:type="pct"/>
            <w:shd w:val="clear" w:color="auto" w:fill="FFFFFF" w:themeFill="background1"/>
            <w:vAlign w:val="center"/>
          </w:tcPr>
          <w:p w:rsidR="00964B55" w:rsidRPr="00D005A2" w:rsidRDefault="00E75CDA" w:rsidP="00604EF6">
            <w:pPr>
              <w:pStyle w:val="TableBodyText"/>
            </w:pPr>
            <w:r w:rsidRPr="00D005A2">
              <w:t>58</w:t>
            </w:r>
            <w:r w:rsidR="00964B55" w:rsidRPr="00D005A2">
              <w:t>.</w:t>
            </w:r>
            <w:r w:rsidRPr="00D005A2">
              <w:t>1</w:t>
            </w:r>
          </w:p>
        </w:tc>
        <w:tc>
          <w:tcPr>
            <w:tcW w:w="404" w:type="pct"/>
            <w:shd w:val="clear" w:color="auto" w:fill="auto"/>
            <w:vAlign w:val="center"/>
          </w:tcPr>
          <w:p w:rsidR="00964B55" w:rsidRPr="00D005A2" w:rsidRDefault="00E75CDA" w:rsidP="00604EF6">
            <w:pPr>
              <w:pStyle w:val="TableBodyText"/>
            </w:pPr>
            <w:r w:rsidRPr="00D005A2">
              <w:t>71.7</w:t>
            </w:r>
          </w:p>
        </w:tc>
        <w:tc>
          <w:tcPr>
            <w:tcW w:w="402" w:type="pct"/>
            <w:shd w:val="clear" w:color="auto" w:fill="auto"/>
            <w:vAlign w:val="center"/>
          </w:tcPr>
          <w:p w:rsidR="00964B55" w:rsidRPr="00D005A2" w:rsidRDefault="00E52157" w:rsidP="00604EF6">
            <w:pPr>
              <w:pStyle w:val="TableBodyText"/>
            </w:pPr>
            <w:r w:rsidRPr="00D005A2">
              <w:t>62.7</w:t>
            </w:r>
          </w:p>
        </w:tc>
      </w:tr>
      <w:tr w:rsidR="00D005A2" w:rsidRPr="00D005A2" w:rsidTr="002352A8">
        <w:tc>
          <w:tcPr>
            <w:tcW w:w="1534" w:type="pct"/>
            <w:shd w:val="clear" w:color="auto" w:fill="auto"/>
          </w:tcPr>
          <w:p w:rsidR="00964B55" w:rsidRPr="00D005A2" w:rsidRDefault="00964B55" w:rsidP="00C3586E">
            <w:pPr>
              <w:pStyle w:val="TableBodyText"/>
              <w:ind w:left="284"/>
              <w:jc w:val="left"/>
            </w:pPr>
            <w:r w:rsidRPr="00D005A2">
              <w:t>Private</w:t>
            </w:r>
          </w:p>
        </w:tc>
        <w:tc>
          <w:tcPr>
            <w:tcW w:w="403" w:type="pct"/>
            <w:shd w:val="clear" w:color="auto" w:fill="auto"/>
            <w:vAlign w:val="center"/>
          </w:tcPr>
          <w:p w:rsidR="00964B55" w:rsidRPr="00D005A2" w:rsidRDefault="00AF6C85" w:rsidP="00604EF6">
            <w:pPr>
              <w:pStyle w:val="TableBodyText"/>
            </w:pPr>
            <w:r w:rsidRPr="00D005A2">
              <w:t>54.7</w:t>
            </w:r>
          </w:p>
        </w:tc>
        <w:tc>
          <w:tcPr>
            <w:tcW w:w="403" w:type="pct"/>
            <w:shd w:val="clear" w:color="auto" w:fill="auto"/>
            <w:vAlign w:val="center"/>
          </w:tcPr>
          <w:p w:rsidR="00964B55" w:rsidRPr="00D005A2" w:rsidRDefault="00212155" w:rsidP="00604EF6">
            <w:pPr>
              <w:pStyle w:val="TableBodyText"/>
            </w:pPr>
            <w:r w:rsidRPr="00D005A2">
              <w:t>46.8</w:t>
            </w:r>
          </w:p>
        </w:tc>
        <w:tc>
          <w:tcPr>
            <w:tcW w:w="483" w:type="pct"/>
            <w:shd w:val="clear" w:color="auto" w:fill="auto"/>
            <w:vAlign w:val="center"/>
          </w:tcPr>
          <w:p w:rsidR="00964B55" w:rsidRPr="00D005A2" w:rsidRDefault="004516FF" w:rsidP="00604EF6">
            <w:pPr>
              <w:pStyle w:val="TableBodyText"/>
            </w:pPr>
            <w:r w:rsidRPr="00D005A2">
              <w:t>45.5</w:t>
            </w:r>
          </w:p>
        </w:tc>
        <w:tc>
          <w:tcPr>
            <w:tcW w:w="484" w:type="pct"/>
            <w:shd w:val="clear" w:color="auto" w:fill="auto"/>
            <w:vAlign w:val="center"/>
          </w:tcPr>
          <w:p w:rsidR="00964B55" w:rsidRPr="00D005A2" w:rsidRDefault="00BE76F0" w:rsidP="00604EF6">
            <w:pPr>
              <w:pStyle w:val="TableBodyText"/>
            </w:pPr>
            <w:r>
              <w:t>61.3</w:t>
            </w:r>
          </w:p>
        </w:tc>
        <w:tc>
          <w:tcPr>
            <w:tcW w:w="484" w:type="pct"/>
            <w:shd w:val="clear" w:color="auto" w:fill="auto"/>
            <w:vAlign w:val="center"/>
          </w:tcPr>
          <w:p w:rsidR="00964B55" w:rsidRPr="00D005A2" w:rsidRDefault="00983B16" w:rsidP="00604EF6">
            <w:pPr>
              <w:pStyle w:val="TableBodyText"/>
            </w:pPr>
            <w:proofErr w:type="spellStart"/>
            <w:r w:rsidRPr="00D005A2">
              <w:t>na</w:t>
            </w:r>
            <w:proofErr w:type="spellEnd"/>
          </w:p>
        </w:tc>
        <w:tc>
          <w:tcPr>
            <w:tcW w:w="403" w:type="pct"/>
            <w:shd w:val="clear" w:color="auto" w:fill="auto"/>
            <w:vAlign w:val="center"/>
          </w:tcPr>
          <w:p w:rsidR="00964B55" w:rsidRPr="00D005A2" w:rsidRDefault="00E75CDA" w:rsidP="00604EF6">
            <w:pPr>
              <w:pStyle w:val="TableBodyText"/>
            </w:pPr>
            <w:r w:rsidRPr="00D005A2">
              <w:t>21.9</w:t>
            </w:r>
          </w:p>
        </w:tc>
        <w:tc>
          <w:tcPr>
            <w:tcW w:w="404" w:type="pct"/>
            <w:shd w:val="clear" w:color="auto" w:fill="auto"/>
            <w:vAlign w:val="center"/>
          </w:tcPr>
          <w:p w:rsidR="00964B55" w:rsidRPr="00D005A2" w:rsidRDefault="00E75CDA" w:rsidP="00604EF6">
            <w:pPr>
              <w:pStyle w:val="TableBodyText"/>
            </w:pPr>
            <w:r w:rsidRPr="00D005A2">
              <w:t>22.5</w:t>
            </w:r>
          </w:p>
        </w:tc>
        <w:tc>
          <w:tcPr>
            <w:tcW w:w="402" w:type="pct"/>
            <w:shd w:val="clear" w:color="auto" w:fill="auto"/>
            <w:vAlign w:val="center"/>
          </w:tcPr>
          <w:p w:rsidR="00964B55" w:rsidRPr="00D005A2" w:rsidRDefault="00E52157" w:rsidP="00604EF6">
            <w:pPr>
              <w:pStyle w:val="TableBodyText"/>
            </w:pPr>
            <w:r w:rsidRPr="00D005A2">
              <w:t>21.2</w:t>
            </w:r>
          </w:p>
        </w:tc>
      </w:tr>
      <w:tr w:rsidR="00D005A2" w:rsidRPr="00D005A2" w:rsidTr="002352A8">
        <w:tc>
          <w:tcPr>
            <w:tcW w:w="1534" w:type="pct"/>
            <w:shd w:val="clear" w:color="auto" w:fill="auto"/>
          </w:tcPr>
          <w:p w:rsidR="00964B55" w:rsidRPr="00D005A2" w:rsidRDefault="00964B55" w:rsidP="00C3586E">
            <w:pPr>
              <w:pStyle w:val="TableBodyText"/>
              <w:ind w:left="284"/>
              <w:jc w:val="left"/>
            </w:pPr>
            <w:r w:rsidRPr="00D005A2">
              <w:t>Non</w:t>
            </w:r>
            <w:r w:rsidR="00172534">
              <w:noBreakHyphen/>
            </w:r>
            <w:r w:rsidRPr="00D005A2">
              <w:t>government schools</w:t>
            </w:r>
          </w:p>
        </w:tc>
        <w:tc>
          <w:tcPr>
            <w:tcW w:w="403" w:type="pct"/>
            <w:shd w:val="clear" w:color="auto" w:fill="auto"/>
            <w:vAlign w:val="center"/>
          </w:tcPr>
          <w:p w:rsidR="00964B55" w:rsidRPr="00D005A2" w:rsidRDefault="00AF6C85" w:rsidP="00604EF6">
            <w:pPr>
              <w:pStyle w:val="TableBodyText"/>
            </w:pPr>
            <w:r w:rsidRPr="00D005A2">
              <w:t>2.0</w:t>
            </w:r>
          </w:p>
        </w:tc>
        <w:tc>
          <w:tcPr>
            <w:tcW w:w="403" w:type="pct"/>
            <w:shd w:val="clear" w:color="auto" w:fill="auto"/>
            <w:vAlign w:val="center"/>
          </w:tcPr>
          <w:p w:rsidR="00964B55" w:rsidRPr="00D005A2" w:rsidRDefault="00964B55" w:rsidP="00604EF6">
            <w:pPr>
              <w:pStyle w:val="TableBodyText"/>
            </w:pPr>
            <w:r w:rsidRPr="00D005A2">
              <w:t>3.6</w:t>
            </w:r>
          </w:p>
        </w:tc>
        <w:tc>
          <w:tcPr>
            <w:tcW w:w="483" w:type="pct"/>
            <w:shd w:val="clear" w:color="auto" w:fill="auto"/>
            <w:vAlign w:val="center"/>
          </w:tcPr>
          <w:p w:rsidR="00964B55" w:rsidRPr="00D005A2" w:rsidRDefault="004516FF" w:rsidP="00604EF6">
            <w:pPr>
              <w:pStyle w:val="TableBodyText"/>
            </w:pPr>
            <w:r w:rsidRPr="00D005A2">
              <w:t>4.1</w:t>
            </w:r>
          </w:p>
        </w:tc>
        <w:tc>
          <w:tcPr>
            <w:tcW w:w="484" w:type="pct"/>
            <w:shd w:val="clear" w:color="auto" w:fill="auto"/>
            <w:vAlign w:val="center"/>
          </w:tcPr>
          <w:p w:rsidR="00964B55" w:rsidRPr="00D005A2" w:rsidRDefault="00D005A2" w:rsidP="00604EF6">
            <w:pPr>
              <w:pStyle w:val="TableBodyText"/>
            </w:pPr>
            <w:r w:rsidRPr="00D005A2">
              <w:t>–</w:t>
            </w:r>
          </w:p>
        </w:tc>
        <w:tc>
          <w:tcPr>
            <w:tcW w:w="484" w:type="pct"/>
            <w:shd w:val="clear" w:color="auto" w:fill="auto"/>
            <w:vAlign w:val="center"/>
          </w:tcPr>
          <w:p w:rsidR="00964B55" w:rsidRPr="00D005A2" w:rsidRDefault="00983B16" w:rsidP="00604EF6">
            <w:pPr>
              <w:pStyle w:val="TableBodyText"/>
            </w:pPr>
            <w:proofErr w:type="spellStart"/>
            <w:r w:rsidRPr="00D005A2">
              <w:t>na</w:t>
            </w:r>
            <w:proofErr w:type="spellEnd"/>
          </w:p>
        </w:tc>
        <w:tc>
          <w:tcPr>
            <w:tcW w:w="403" w:type="pct"/>
            <w:shd w:val="clear" w:color="auto" w:fill="auto"/>
            <w:vAlign w:val="center"/>
          </w:tcPr>
          <w:p w:rsidR="00964B55" w:rsidRPr="00D005A2" w:rsidRDefault="00964B55" w:rsidP="00604EF6">
            <w:pPr>
              <w:pStyle w:val="TableBodyText"/>
            </w:pPr>
            <w:r w:rsidRPr="00D005A2">
              <w:t>3.8</w:t>
            </w:r>
          </w:p>
        </w:tc>
        <w:tc>
          <w:tcPr>
            <w:tcW w:w="404" w:type="pct"/>
            <w:shd w:val="clear" w:color="auto" w:fill="auto"/>
            <w:vAlign w:val="center"/>
          </w:tcPr>
          <w:p w:rsidR="00964B55" w:rsidRPr="00D005A2" w:rsidRDefault="00E75CDA" w:rsidP="00604EF6">
            <w:pPr>
              <w:pStyle w:val="TableBodyText"/>
            </w:pPr>
            <w:r w:rsidRPr="00D005A2">
              <w:t>5.0</w:t>
            </w:r>
          </w:p>
        </w:tc>
        <w:tc>
          <w:tcPr>
            <w:tcW w:w="402" w:type="pct"/>
            <w:shd w:val="clear" w:color="auto" w:fill="auto"/>
            <w:vAlign w:val="center"/>
          </w:tcPr>
          <w:p w:rsidR="00964B55" w:rsidRPr="00D005A2" w:rsidRDefault="00E52157" w:rsidP="00604EF6">
            <w:pPr>
              <w:pStyle w:val="TableBodyText"/>
            </w:pPr>
            <w:r w:rsidRPr="00D005A2">
              <w:t>15.3</w:t>
            </w:r>
          </w:p>
        </w:tc>
      </w:tr>
      <w:tr w:rsidR="00D005A2" w:rsidRPr="00D005A2" w:rsidTr="002352A8">
        <w:tc>
          <w:tcPr>
            <w:tcW w:w="1534" w:type="pct"/>
            <w:shd w:val="clear" w:color="auto" w:fill="auto"/>
          </w:tcPr>
          <w:p w:rsidR="00EE05B0" w:rsidRPr="00D005A2" w:rsidRDefault="00911CF6" w:rsidP="00C3586E">
            <w:pPr>
              <w:pStyle w:val="TableBodyText"/>
              <w:ind w:left="284"/>
              <w:jc w:val="left"/>
              <w:rPr>
                <w:b/>
              </w:rPr>
            </w:pPr>
            <w:r w:rsidRPr="00D005A2">
              <w:rPr>
                <w:b/>
              </w:rPr>
              <w:t>Total</w:t>
            </w:r>
            <w:r w:rsidR="00EE05B0" w:rsidRPr="00D005A2">
              <w:rPr>
                <w:b/>
              </w:rPr>
              <w:t xml:space="preserve"> non</w:t>
            </w:r>
            <w:r w:rsidR="00172534">
              <w:rPr>
                <w:b/>
              </w:rPr>
              <w:noBreakHyphen/>
            </w:r>
            <w:r w:rsidR="00EE05B0" w:rsidRPr="00D005A2">
              <w:rPr>
                <w:b/>
              </w:rPr>
              <w:t>government</w:t>
            </w:r>
          </w:p>
        </w:tc>
        <w:tc>
          <w:tcPr>
            <w:tcW w:w="403" w:type="pct"/>
            <w:shd w:val="clear" w:color="auto" w:fill="auto"/>
            <w:vAlign w:val="center"/>
          </w:tcPr>
          <w:p w:rsidR="00EE05B0" w:rsidRPr="00D005A2" w:rsidRDefault="00AF6C85" w:rsidP="00604EF6">
            <w:pPr>
              <w:pStyle w:val="TableBodyText"/>
              <w:rPr>
                <w:b/>
              </w:rPr>
            </w:pPr>
            <w:r w:rsidRPr="00D005A2">
              <w:rPr>
                <w:b/>
              </w:rPr>
              <w:t>85.1</w:t>
            </w:r>
          </w:p>
        </w:tc>
        <w:tc>
          <w:tcPr>
            <w:tcW w:w="403" w:type="pct"/>
            <w:shd w:val="clear" w:color="auto" w:fill="auto"/>
            <w:vAlign w:val="center"/>
          </w:tcPr>
          <w:p w:rsidR="00EE05B0" w:rsidRPr="00D005A2" w:rsidRDefault="004516FF" w:rsidP="00604EF6">
            <w:pPr>
              <w:pStyle w:val="TableBodyText"/>
              <w:rPr>
                <w:b/>
              </w:rPr>
            </w:pPr>
            <w:r w:rsidRPr="00D005A2">
              <w:rPr>
                <w:b/>
              </w:rPr>
              <w:t>79.6</w:t>
            </w:r>
          </w:p>
        </w:tc>
        <w:tc>
          <w:tcPr>
            <w:tcW w:w="483" w:type="pct"/>
            <w:shd w:val="clear" w:color="auto" w:fill="auto"/>
            <w:vAlign w:val="center"/>
          </w:tcPr>
          <w:p w:rsidR="00EE05B0" w:rsidRPr="00D005A2" w:rsidRDefault="00C525BA" w:rsidP="00604EF6">
            <w:pPr>
              <w:pStyle w:val="TableBodyText"/>
              <w:rPr>
                <w:b/>
              </w:rPr>
            </w:pPr>
            <w:r w:rsidRPr="00D005A2">
              <w:rPr>
                <w:b/>
              </w:rPr>
              <w:t>97.1</w:t>
            </w:r>
          </w:p>
        </w:tc>
        <w:tc>
          <w:tcPr>
            <w:tcW w:w="484" w:type="pct"/>
            <w:shd w:val="clear" w:color="auto" w:fill="auto"/>
            <w:vAlign w:val="center"/>
          </w:tcPr>
          <w:p w:rsidR="00EE05B0" w:rsidRPr="00D005A2" w:rsidRDefault="00BE76F0" w:rsidP="00604EF6">
            <w:pPr>
              <w:pStyle w:val="TableBodyText"/>
              <w:rPr>
                <w:b/>
              </w:rPr>
            </w:pPr>
            <w:r>
              <w:rPr>
                <w:b/>
              </w:rPr>
              <w:t>94.9</w:t>
            </w:r>
          </w:p>
        </w:tc>
        <w:tc>
          <w:tcPr>
            <w:tcW w:w="484" w:type="pct"/>
            <w:shd w:val="clear" w:color="auto" w:fill="auto"/>
            <w:vAlign w:val="center"/>
          </w:tcPr>
          <w:p w:rsidR="00EE05B0" w:rsidRPr="00D005A2" w:rsidRDefault="00983B16" w:rsidP="00604EF6">
            <w:pPr>
              <w:pStyle w:val="TableBodyText"/>
              <w:rPr>
                <w:b/>
              </w:rPr>
            </w:pPr>
            <w:proofErr w:type="spellStart"/>
            <w:r w:rsidRPr="00D005A2">
              <w:rPr>
                <w:b/>
              </w:rPr>
              <w:t>na</w:t>
            </w:r>
            <w:proofErr w:type="spellEnd"/>
          </w:p>
        </w:tc>
        <w:tc>
          <w:tcPr>
            <w:tcW w:w="403" w:type="pct"/>
            <w:shd w:val="clear" w:color="auto" w:fill="auto"/>
            <w:vAlign w:val="center"/>
          </w:tcPr>
          <w:p w:rsidR="00EE05B0" w:rsidRPr="00D005A2" w:rsidRDefault="00E75CDA" w:rsidP="00604EF6">
            <w:pPr>
              <w:pStyle w:val="TableBodyText"/>
              <w:rPr>
                <w:b/>
              </w:rPr>
            </w:pPr>
            <w:r w:rsidRPr="00D005A2">
              <w:rPr>
                <w:b/>
              </w:rPr>
              <w:t>83.8</w:t>
            </w:r>
          </w:p>
        </w:tc>
        <w:tc>
          <w:tcPr>
            <w:tcW w:w="404" w:type="pct"/>
            <w:shd w:val="clear" w:color="auto" w:fill="auto"/>
            <w:vAlign w:val="center"/>
          </w:tcPr>
          <w:p w:rsidR="00EE05B0" w:rsidRPr="00D005A2" w:rsidRDefault="00E75CDA" w:rsidP="00604EF6">
            <w:pPr>
              <w:pStyle w:val="TableBodyText"/>
              <w:rPr>
                <w:b/>
              </w:rPr>
            </w:pPr>
            <w:r w:rsidRPr="00D005A2">
              <w:rPr>
                <w:b/>
              </w:rPr>
              <w:t>99.2</w:t>
            </w:r>
          </w:p>
        </w:tc>
        <w:tc>
          <w:tcPr>
            <w:tcW w:w="402" w:type="pct"/>
            <w:shd w:val="clear" w:color="auto" w:fill="auto"/>
            <w:vAlign w:val="center"/>
          </w:tcPr>
          <w:p w:rsidR="00EE05B0" w:rsidRPr="00D005A2" w:rsidRDefault="00E52157" w:rsidP="00604EF6">
            <w:pPr>
              <w:pStyle w:val="TableBodyText"/>
              <w:rPr>
                <w:b/>
              </w:rPr>
            </w:pPr>
            <w:r w:rsidRPr="00D005A2">
              <w:rPr>
                <w:b/>
              </w:rPr>
              <w:t>99.2</w:t>
            </w:r>
          </w:p>
        </w:tc>
      </w:tr>
      <w:tr w:rsidR="00D005A2" w:rsidRPr="00D005A2" w:rsidTr="002352A8">
        <w:tc>
          <w:tcPr>
            <w:tcW w:w="1534" w:type="pct"/>
            <w:shd w:val="clear" w:color="auto" w:fill="auto"/>
          </w:tcPr>
          <w:p w:rsidR="00964B55" w:rsidRPr="00D005A2" w:rsidRDefault="00964B55" w:rsidP="00C3586E">
            <w:pPr>
              <w:pStyle w:val="TableBodyText"/>
              <w:ind w:left="284"/>
              <w:jc w:val="left"/>
            </w:pPr>
            <w:r w:rsidRPr="00D005A2">
              <w:t>Government managed</w:t>
            </w:r>
          </w:p>
        </w:tc>
        <w:tc>
          <w:tcPr>
            <w:tcW w:w="403" w:type="pct"/>
            <w:shd w:val="clear" w:color="auto" w:fill="auto"/>
            <w:vAlign w:val="center"/>
          </w:tcPr>
          <w:p w:rsidR="00964B55" w:rsidRPr="00D005A2" w:rsidRDefault="00AF6C85" w:rsidP="00604EF6">
            <w:pPr>
              <w:pStyle w:val="TableBodyText"/>
            </w:pPr>
            <w:r w:rsidRPr="00D005A2">
              <w:t>8.5</w:t>
            </w:r>
          </w:p>
        </w:tc>
        <w:tc>
          <w:tcPr>
            <w:tcW w:w="403" w:type="pct"/>
            <w:shd w:val="clear" w:color="auto" w:fill="auto"/>
            <w:vAlign w:val="center"/>
          </w:tcPr>
          <w:p w:rsidR="00964B55" w:rsidRPr="00D005A2" w:rsidRDefault="004516FF" w:rsidP="00604EF6">
            <w:pPr>
              <w:pStyle w:val="TableBodyText"/>
            </w:pPr>
            <w:r w:rsidRPr="00D005A2">
              <w:t>20.4</w:t>
            </w:r>
          </w:p>
        </w:tc>
        <w:tc>
          <w:tcPr>
            <w:tcW w:w="483" w:type="pct"/>
            <w:shd w:val="clear" w:color="auto" w:fill="auto"/>
            <w:vAlign w:val="center"/>
          </w:tcPr>
          <w:p w:rsidR="00964B55" w:rsidRPr="00D005A2" w:rsidRDefault="004516FF" w:rsidP="00604EF6">
            <w:pPr>
              <w:pStyle w:val="TableBodyText"/>
            </w:pPr>
            <w:r w:rsidRPr="00D005A2">
              <w:t>2.9</w:t>
            </w:r>
          </w:p>
        </w:tc>
        <w:tc>
          <w:tcPr>
            <w:tcW w:w="484" w:type="pct"/>
            <w:shd w:val="clear" w:color="auto" w:fill="auto"/>
            <w:vAlign w:val="center"/>
          </w:tcPr>
          <w:p w:rsidR="00964B55" w:rsidRPr="00D005A2" w:rsidRDefault="00BE76F0" w:rsidP="00604EF6">
            <w:pPr>
              <w:pStyle w:val="TableBodyText"/>
            </w:pPr>
            <w:r>
              <w:t>5.1</w:t>
            </w:r>
          </w:p>
        </w:tc>
        <w:tc>
          <w:tcPr>
            <w:tcW w:w="484" w:type="pct"/>
            <w:shd w:val="clear" w:color="auto" w:fill="auto"/>
            <w:vAlign w:val="center"/>
          </w:tcPr>
          <w:p w:rsidR="00964B55" w:rsidRPr="00D005A2" w:rsidRDefault="00983B16" w:rsidP="00604EF6">
            <w:pPr>
              <w:pStyle w:val="TableBodyText"/>
            </w:pPr>
            <w:proofErr w:type="spellStart"/>
            <w:r w:rsidRPr="00D005A2">
              <w:t>na</w:t>
            </w:r>
            <w:proofErr w:type="spellEnd"/>
          </w:p>
        </w:tc>
        <w:tc>
          <w:tcPr>
            <w:tcW w:w="403" w:type="pct"/>
            <w:shd w:val="clear" w:color="auto" w:fill="FFFFFF" w:themeFill="background1"/>
            <w:vAlign w:val="center"/>
          </w:tcPr>
          <w:p w:rsidR="00964B55" w:rsidRPr="00D005A2" w:rsidRDefault="00E75CDA" w:rsidP="00604EF6">
            <w:pPr>
              <w:pStyle w:val="TableBodyText"/>
            </w:pPr>
            <w:r w:rsidRPr="00D005A2">
              <w:t>16</w:t>
            </w:r>
            <w:r w:rsidR="00964B55" w:rsidRPr="00D005A2">
              <w:t>.</w:t>
            </w:r>
            <w:r w:rsidRPr="00D005A2">
              <w:t>2</w:t>
            </w:r>
          </w:p>
        </w:tc>
        <w:tc>
          <w:tcPr>
            <w:tcW w:w="404" w:type="pct"/>
            <w:shd w:val="clear" w:color="auto" w:fill="auto"/>
            <w:vAlign w:val="center"/>
          </w:tcPr>
          <w:p w:rsidR="00964B55" w:rsidRPr="00D005A2" w:rsidRDefault="00E75CDA" w:rsidP="00604EF6">
            <w:pPr>
              <w:pStyle w:val="TableBodyText"/>
            </w:pPr>
            <w:r w:rsidRPr="00D005A2">
              <w:t>0.8</w:t>
            </w:r>
          </w:p>
        </w:tc>
        <w:tc>
          <w:tcPr>
            <w:tcW w:w="402" w:type="pct"/>
            <w:shd w:val="clear" w:color="auto" w:fill="auto"/>
            <w:vAlign w:val="center"/>
          </w:tcPr>
          <w:p w:rsidR="00964B55" w:rsidRPr="00D005A2" w:rsidRDefault="00E52157" w:rsidP="00604EF6">
            <w:pPr>
              <w:pStyle w:val="TableBodyText"/>
            </w:pPr>
            <w:r w:rsidRPr="00D005A2">
              <w:t>0.8</w:t>
            </w:r>
          </w:p>
        </w:tc>
      </w:tr>
      <w:tr w:rsidR="00D005A2" w:rsidRPr="00D005A2" w:rsidTr="002352A8">
        <w:tc>
          <w:tcPr>
            <w:tcW w:w="1534" w:type="pct"/>
            <w:shd w:val="clear" w:color="auto" w:fill="auto"/>
          </w:tcPr>
          <w:p w:rsidR="00964B55" w:rsidRPr="00D005A2" w:rsidRDefault="00964B55" w:rsidP="00C3586E">
            <w:pPr>
              <w:pStyle w:val="TableBodyText"/>
              <w:ind w:left="284"/>
              <w:jc w:val="left"/>
              <w:rPr>
                <w:b/>
              </w:rPr>
            </w:pPr>
            <w:r w:rsidRPr="00D005A2">
              <w:rPr>
                <w:b/>
              </w:rPr>
              <w:t>Total</w:t>
            </w:r>
          </w:p>
        </w:tc>
        <w:tc>
          <w:tcPr>
            <w:tcW w:w="403" w:type="pct"/>
            <w:shd w:val="clear" w:color="auto" w:fill="auto"/>
          </w:tcPr>
          <w:p w:rsidR="00964B55" w:rsidRPr="00D005A2" w:rsidRDefault="00964B55" w:rsidP="00604EF6">
            <w:pPr>
              <w:pStyle w:val="TableBodyText"/>
              <w:rPr>
                <w:b/>
              </w:rPr>
            </w:pPr>
            <w:r w:rsidRPr="00D005A2">
              <w:rPr>
                <w:b/>
              </w:rPr>
              <w:t>100.0</w:t>
            </w:r>
          </w:p>
        </w:tc>
        <w:tc>
          <w:tcPr>
            <w:tcW w:w="403" w:type="pct"/>
            <w:shd w:val="clear" w:color="auto" w:fill="auto"/>
          </w:tcPr>
          <w:p w:rsidR="00964B55" w:rsidRPr="00D005A2" w:rsidRDefault="00964B55" w:rsidP="00604EF6">
            <w:pPr>
              <w:pStyle w:val="TableBodyText"/>
              <w:rPr>
                <w:b/>
              </w:rPr>
            </w:pPr>
            <w:r w:rsidRPr="00D005A2">
              <w:rPr>
                <w:b/>
              </w:rPr>
              <w:t>100.0</w:t>
            </w:r>
          </w:p>
        </w:tc>
        <w:tc>
          <w:tcPr>
            <w:tcW w:w="483" w:type="pct"/>
            <w:shd w:val="clear" w:color="auto" w:fill="auto"/>
          </w:tcPr>
          <w:p w:rsidR="00964B55" w:rsidRPr="00D005A2" w:rsidRDefault="00964B55" w:rsidP="00604EF6">
            <w:pPr>
              <w:pStyle w:val="TableBodyText"/>
              <w:rPr>
                <w:b/>
              </w:rPr>
            </w:pPr>
            <w:r w:rsidRPr="00D005A2">
              <w:rPr>
                <w:b/>
              </w:rPr>
              <w:t>100.0</w:t>
            </w:r>
          </w:p>
        </w:tc>
        <w:tc>
          <w:tcPr>
            <w:tcW w:w="484" w:type="pct"/>
            <w:shd w:val="clear" w:color="auto" w:fill="auto"/>
          </w:tcPr>
          <w:p w:rsidR="00964B55" w:rsidRPr="00D005A2" w:rsidRDefault="00D005A2" w:rsidP="00604EF6">
            <w:pPr>
              <w:pStyle w:val="TableBodyText"/>
              <w:rPr>
                <w:b/>
              </w:rPr>
            </w:pPr>
            <w:r>
              <w:rPr>
                <w:b/>
              </w:rPr>
              <w:t>100.0</w:t>
            </w:r>
          </w:p>
        </w:tc>
        <w:tc>
          <w:tcPr>
            <w:tcW w:w="484" w:type="pct"/>
            <w:shd w:val="clear" w:color="auto" w:fill="auto"/>
          </w:tcPr>
          <w:p w:rsidR="00964B55" w:rsidRPr="00D005A2" w:rsidRDefault="00983B16" w:rsidP="00604EF6">
            <w:pPr>
              <w:pStyle w:val="TableBodyText"/>
              <w:rPr>
                <w:b/>
              </w:rPr>
            </w:pPr>
            <w:proofErr w:type="spellStart"/>
            <w:r w:rsidRPr="00D005A2">
              <w:rPr>
                <w:b/>
              </w:rPr>
              <w:t>na</w:t>
            </w:r>
            <w:proofErr w:type="spellEnd"/>
          </w:p>
        </w:tc>
        <w:tc>
          <w:tcPr>
            <w:tcW w:w="403" w:type="pct"/>
            <w:shd w:val="clear" w:color="auto" w:fill="auto"/>
          </w:tcPr>
          <w:p w:rsidR="00964B55" w:rsidRPr="00D005A2" w:rsidRDefault="00964B55" w:rsidP="00604EF6">
            <w:pPr>
              <w:pStyle w:val="TableBodyText"/>
              <w:rPr>
                <w:b/>
              </w:rPr>
            </w:pPr>
            <w:r w:rsidRPr="00D005A2">
              <w:rPr>
                <w:b/>
              </w:rPr>
              <w:t>100.0</w:t>
            </w:r>
          </w:p>
        </w:tc>
        <w:tc>
          <w:tcPr>
            <w:tcW w:w="404" w:type="pct"/>
            <w:shd w:val="clear" w:color="auto" w:fill="auto"/>
          </w:tcPr>
          <w:p w:rsidR="00964B55" w:rsidRPr="00D005A2" w:rsidRDefault="00964B55" w:rsidP="00604EF6">
            <w:pPr>
              <w:pStyle w:val="TableBodyText"/>
              <w:rPr>
                <w:b/>
              </w:rPr>
            </w:pPr>
            <w:r w:rsidRPr="00D005A2">
              <w:rPr>
                <w:b/>
              </w:rPr>
              <w:t>100.0</w:t>
            </w:r>
          </w:p>
        </w:tc>
        <w:tc>
          <w:tcPr>
            <w:tcW w:w="402" w:type="pct"/>
            <w:shd w:val="clear" w:color="auto" w:fill="auto"/>
          </w:tcPr>
          <w:p w:rsidR="00964B55" w:rsidRPr="00D005A2" w:rsidRDefault="00964B55" w:rsidP="00604EF6">
            <w:pPr>
              <w:pStyle w:val="TableBodyText"/>
              <w:rPr>
                <w:b/>
              </w:rPr>
            </w:pPr>
            <w:r w:rsidRPr="00D005A2">
              <w:rPr>
                <w:b/>
              </w:rPr>
              <w:t>100.0</w:t>
            </w:r>
          </w:p>
        </w:tc>
      </w:tr>
      <w:tr w:rsidR="00B531B4" w:rsidRPr="00D005A2" w:rsidTr="004516FF">
        <w:tc>
          <w:tcPr>
            <w:tcW w:w="1534" w:type="pct"/>
            <w:shd w:val="clear" w:color="auto" w:fill="auto"/>
          </w:tcPr>
          <w:p w:rsidR="00651EE3" w:rsidRPr="00D005A2" w:rsidRDefault="00651EE3" w:rsidP="00C3586E">
            <w:pPr>
              <w:pStyle w:val="TableBodyText"/>
              <w:jc w:val="left"/>
              <w:rPr>
                <w:i/>
              </w:rPr>
            </w:pPr>
            <w:r w:rsidRPr="00D005A2">
              <w:rPr>
                <w:i/>
              </w:rPr>
              <w:t>Preschool</w:t>
            </w:r>
          </w:p>
        </w:tc>
        <w:tc>
          <w:tcPr>
            <w:tcW w:w="403" w:type="pct"/>
            <w:shd w:val="clear" w:color="auto" w:fill="auto"/>
          </w:tcPr>
          <w:p w:rsidR="00651EE3" w:rsidRPr="00D005A2" w:rsidRDefault="00651EE3" w:rsidP="00604EF6">
            <w:pPr>
              <w:pStyle w:val="TableBodyText"/>
            </w:pPr>
          </w:p>
        </w:tc>
        <w:tc>
          <w:tcPr>
            <w:tcW w:w="403" w:type="pct"/>
            <w:shd w:val="clear" w:color="auto" w:fill="auto"/>
          </w:tcPr>
          <w:p w:rsidR="00651EE3" w:rsidRPr="00D005A2" w:rsidRDefault="00651EE3" w:rsidP="00604EF6">
            <w:pPr>
              <w:pStyle w:val="TableBodyText"/>
            </w:pPr>
          </w:p>
        </w:tc>
        <w:tc>
          <w:tcPr>
            <w:tcW w:w="483" w:type="pct"/>
            <w:shd w:val="clear" w:color="auto" w:fill="auto"/>
          </w:tcPr>
          <w:p w:rsidR="00651EE3" w:rsidRPr="00D005A2" w:rsidRDefault="00651EE3" w:rsidP="00604EF6">
            <w:pPr>
              <w:pStyle w:val="TableBodyText"/>
            </w:pPr>
          </w:p>
        </w:tc>
        <w:tc>
          <w:tcPr>
            <w:tcW w:w="484" w:type="pct"/>
            <w:shd w:val="clear" w:color="auto" w:fill="auto"/>
          </w:tcPr>
          <w:p w:rsidR="00651EE3" w:rsidRPr="00D005A2" w:rsidRDefault="00651EE3" w:rsidP="00604EF6">
            <w:pPr>
              <w:pStyle w:val="TableBodyText"/>
            </w:pPr>
          </w:p>
        </w:tc>
        <w:tc>
          <w:tcPr>
            <w:tcW w:w="484" w:type="pct"/>
            <w:shd w:val="clear" w:color="auto" w:fill="auto"/>
          </w:tcPr>
          <w:p w:rsidR="00651EE3" w:rsidRPr="00D005A2" w:rsidRDefault="00651EE3" w:rsidP="00604EF6">
            <w:pPr>
              <w:pStyle w:val="TableBodyText"/>
            </w:pPr>
          </w:p>
        </w:tc>
        <w:tc>
          <w:tcPr>
            <w:tcW w:w="403" w:type="pct"/>
            <w:shd w:val="clear" w:color="auto" w:fill="auto"/>
          </w:tcPr>
          <w:p w:rsidR="00651EE3" w:rsidRPr="00D005A2" w:rsidRDefault="00651EE3" w:rsidP="00604EF6">
            <w:pPr>
              <w:pStyle w:val="TableBodyText"/>
            </w:pPr>
          </w:p>
        </w:tc>
        <w:tc>
          <w:tcPr>
            <w:tcW w:w="404" w:type="pct"/>
            <w:shd w:val="clear" w:color="auto" w:fill="auto"/>
          </w:tcPr>
          <w:p w:rsidR="00651EE3" w:rsidRPr="00D005A2" w:rsidRDefault="00651EE3" w:rsidP="00604EF6">
            <w:pPr>
              <w:pStyle w:val="TableBodyText"/>
            </w:pPr>
          </w:p>
        </w:tc>
        <w:tc>
          <w:tcPr>
            <w:tcW w:w="402" w:type="pct"/>
            <w:shd w:val="clear" w:color="auto" w:fill="auto"/>
          </w:tcPr>
          <w:p w:rsidR="00651EE3" w:rsidRPr="00D005A2" w:rsidRDefault="00651EE3" w:rsidP="00604EF6">
            <w:pPr>
              <w:pStyle w:val="TableBodyText"/>
            </w:pPr>
          </w:p>
        </w:tc>
      </w:tr>
      <w:tr w:rsidR="00D005A2" w:rsidRPr="00D005A2" w:rsidTr="002352A8">
        <w:tc>
          <w:tcPr>
            <w:tcW w:w="1534" w:type="pct"/>
            <w:shd w:val="clear" w:color="auto" w:fill="auto"/>
          </w:tcPr>
          <w:p w:rsidR="002D244E" w:rsidRPr="00D005A2" w:rsidRDefault="002D244E" w:rsidP="00C3586E">
            <w:pPr>
              <w:pStyle w:val="TableBodyText"/>
              <w:ind w:left="284"/>
              <w:jc w:val="left"/>
            </w:pPr>
            <w:r w:rsidRPr="00D005A2">
              <w:t>Community managed</w:t>
            </w:r>
          </w:p>
        </w:tc>
        <w:tc>
          <w:tcPr>
            <w:tcW w:w="403" w:type="pct"/>
            <w:shd w:val="clear" w:color="auto" w:fill="auto"/>
            <w:vAlign w:val="center"/>
          </w:tcPr>
          <w:p w:rsidR="002D244E" w:rsidRPr="00D005A2" w:rsidRDefault="00212155" w:rsidP="00604EF6">
            <w:pPr>
              <w:pStyle w:val="TableBodyText"/>
            </w:pPr>
            <w:r w:rsidRPr="00D005A2">
              <w:t>81.2</w:t>
            </w:r>
          </w:p>
        </w:tc>
        <w:tc>
          <w:tcPr>
            <w:tcW w:w="403" w:type="pct"/>
            <w:shd w:val="clear" w:color="auto" w:fill="auto"/>
            <w:vAlign w:val="center"/>
          </w:tcPr>
          <w:p w:rsidR="002D244E" w:rsidRPr="00D005A2" w:rsidRDefault="004516FF" w:rsidP="00604EF6">
            <w:pPr>
              <w:pStyle w:val="TableBodyText"/>
            </w:pPr>
            <w:r w:rsidRPr="00D005A2">
              <w:t>71.1</w:t>
            </w:r>
          </w:p>
        </w:tc>
        <w:tc>
          <w:tcPr>
            <w:tcW w:w="483" w:type="pct"/>
            <w:shd w:val="clear" w:color="auto" w:fill="auto"/>
            <w:vAlign w:val="center"/>
          </w:tcPr>
          <w:p w:rsidR="002D244E" w:rsidRPr="00D005A2" w:rsidRDefault="004516FF" w:rsidP="00604EF6">
            <w:pPr>
              <w:pStyle w:val="TableBodyText"/>
            </w:pPr>
            <w:r w:rsidRPr="00D005A2">
              <w:t>91.5</w:t>
            </w:r>
          </w:p>
        </w:tc>
        <w:tc>
          <w:tcPr>
            <w:tcW w:w="484" w:type="pct"/>
            <w:shd w:val="clear" w:color="auto" w:fill="auto"/>
            <w:vAlign w:val="center"/>
          </w:tcPr>
          <w:p w:rsidR="002D244E" w:rsidRPr="00D005A2" w:rsidRDefault="00106680" w:rsidP="00604EF6">
            <w:pPr>
              <w:pStyle w:val="TableBodyText"/>
            </w:pPr>
            <w:r>
              <w:t>2.5</w:t>
            </w:r>
          </w:p>
        </w:tc>
        <w:tc>
          <w:tcPr>
            <w:tcW w:w="484" w:type="pct"/>
            <w:shd w:val="clear" w:color="auto" w:fill="auto"/>
            <w:vAlign w:val="center"/>
          </w:tcPr>
          <w:p w:rsidR="002D244E" w:rsidRPr="00D005A2" w:rsidRDefault="002D244E" w:rsidP="00604EF6">
            <w:pPr>
              <w:pStyle w:val="TableBodyText"/>
            </w:pPr>
            <w:r w:rsidRPr="00D005A2">
              <w:t>4.3</w:t>
            </w:r>
          </w:p>
        </w:tc>
        <w:tc>
          <w:tcPr>
            <w:tcW w:w="403" w:type="pct"/>
            <w:shd w:val="clear" w:color="auto" w:fill="auto"/>
            <w:vAlign w:val="center"/>
          </w:tcPr>
          <w:p w:rsidR="002D244E" w:rsidRPr="00D005A2" w:rsidRDefault="002D244E" w:rsidP="00604EF6">
            <w:pPr>
              <w:pStyle w:val="TableBodyText"/>
            </w:pPr>
            <w:proofErr w:type="spellStart"/>
            <w:r w:rsidRPr="00D005A2">
              <w:t>na</w:t>
            </w:r>
            <w:proofErr w:type="spellEnd"/>
          </w:p>
        </w:tc>
        <w:tc>
          <w:tcPr>
            <w:tcW w:w="404" w:type="pct"/>
            <w:shd w:val="clear" w:color="auto" w:fill="auto"/>
            <w:vAlign w:val="center"/>
          </w:tcPr>
          <w:p w:rsidR="002D244E" w:rsidRPr="00D005A2" w:rsidRDefault="00E75CDA" w:rsidP="00604EF6">
            <w:pPr>
              <w:pStyle w:val="TableBodyText"/>
            </w:pPr>
            <w:r w:rsidRPr="00D005A2">
              <w:t>–</w:t>
            </w:r>
          </w:p>
        </w:tc>
        <w:tc>
          <w:tcPr>
            <w:tcW w:w="402" w:type="pct"/>
            <w:shd w:val="clear" w:color="auto" w:fill="auto"/>
            <w:vAlign w:val="center"/>
          </w:tcPr>
          <w:p w:rsidR="002D244E" w:rsidRPr="00D005A2" w:rsidRDefault="00E52157" w:rsidP="00604EF6">
            <w:pPr>
              <w:pStyle w:val="TableBodyText"/>
            </w:pPr>
            <w:proofErr w:type="spellStart"/>
            <w:r w:rsidRPr="00D005A2">
              <w:t>na</w:t>
            </w:r>
            <w:proofErr w:type="spellEnd"/>
          </w:p>
        </w:tc>
      </w:tr>
      <w:tr w:rsidR="00D005A2" w:rsidRPr="00D005A2" w:rsidTr="002352A8">
        <w:tc>
          <w:tcPr>
            <w:tcW w:w="1534" w:type="pct"/>
            <w:shd w:val="clear" w:color="auto" w:fill="auto"/>
          </w:tcPr>
          <w:p w:rsidR="002D244E" w:rsidRPr="00D005A2" w:rsidRDefault="002D244E" w:rsidP="00C3586E">
            <w:pPr>
              <w:pStyle w:val="TableBodyText"/>
              <w:ind w:firstLine="278"/>
              <w:jc w:val="left"/>
            </w:pPr>
            <w:r w:rsidRPr="00D005A2">
              <w:t>Private</w:t>
            </w:r>
          </w:p>
        </w:tc>
        <w:tc>
          <w:tcPr>
            <w:tcW w:w="403" w:type="pct"/>
            <w:shd w:val="clear" w:color="auto" w:fill="auto"/>
            <w:vAlign w:val="center"/>
          </w:tcPr>
          <w:p w:rsidR="002D244E" w:rsidRPr="00D005A2" w:rsidRDefault="00212155" w:rsidP="00604EF6">
            <w:pPr>
              <w:pStyle w:val="TableBodyText"/>
            </w:pPr>
            <w:r w:rsidRPr="00D005A2">
              <w:t>6.2</w:t>
            </w:r>
          </w:p>
        </w:tc>
        <w:tc>
          <w:tcPr>
            <w:tcW w:w="403" w:type="pct"/>
            <w:shd w:val="clear" w:color="auto" w:fill="auto"/>
            <w:vAlign w:val="center"/>
          </w:tcPr>
          <w:p w:rsidR="002D244E" w:rsidRPr="00D005A2" w:rsidRDefault="002D244E" w:rsidP="00604EF6">
            <w:pPr>
              <w:pStyle w:val="TableBodyText"/>
            </w:pPr>
            <w:r w:rsidRPr="00D005A2">
              <w:t>0.7</w:t>
            </w:r>
          </w:p>
        </w:tc>
        <w:tc>
          <w:tcPr>
            <w:tcW w:w="483" w:type="pct"/>
            <w:shd w:val="clear" w:color="auto" w:fill="auto"/>
            <w:vAlign w:val="center"/>
          </w:tcPr>
          <w:p w:rsidR="002D244E" w:rsidRPr="00D005A2" w:rsidRDefault="004516FF" w:rsidP="00604EF6">
            <w:pPr>
              <w:pStyle w:val="TableBodyText"/>
            </w:pPr>
            <w:r w:rsidRPr="00D005A2">
              <w:t>2.7</w:t>
            </w:r>
          </w:p>
        </w:tc>
        <w:tc>
          <w:tcPr>
            <w:tcW w:w="484" w:type="pct"/>
            <w:shd w:val="clear" w:color="auto" w:fill="auto"/>
            <w:vAlign w:val="center"/>
          </w:tcPr>
          <w:p w:rsidR="002D244E" w:rsidRPr="00D005A2" w:rsidRDefault="00E703B5" w:rsidP="00604EF6">
            <w:pPr>
              <w:pStyle w:val="TableBodyText"/>
            </w:pPr>
            <w:r w:rsidRPr="00D005A2">
              <w:t>–</w:t>
            </w:r>
          </w:p>
        </w:tc>
        <w:tc>
          <w:tcPr>
            <w:tcW w:w="484" w:type="pct"/>
            <w:shd w:val="clear" w:color="auto" w:fill="auto"/>
            <w:vAlign w:val="center"/>
          </w:tcPr>
          <w:p w:rsidR="002D244E" w:rsidRPr="00D005A2" w:rsidRDefault="002D244E" w:rsidP="00604EF6">
            <w:pPr>
              <w:pStyle w:val="TableBodyText"/>
            </w:pPr>
            <w:proofErr w:type="spellStart"/>
            <w:r w:rsidRPr="00D005A2">
              <w:t>na</w:t>
            </w:r>
            <w:proofErr w:type="spellEnd"/>
          </w:p>
        </w:tc>
        <w:tc>
          <w:tcPr>
            <w:tcW w:w="403" w:type="pct"/>
            <w:shd w:val="clear" w:color="auto" w:fill="auto"/>
            <w:vAlign w:val="center"/>
          </w:tcPr>
          <w:p w:rsidR="002D244E" w:rsidRPr="00D005A2" w:rsidRDefault="002D244E" w:rsidP="00604EF6">
            <w:pPr>
              <w:pStyle w:val="TableBodyText"/>
            </w:pPr>
            <w:proofErr w:type="spellStart"/>
            <w:r w:rsidRPr="00D005A2">
              <w:t>na</w:t>
            </w:r>
            <w:proofErr w:type="spellEnd"/>
          </w:p>
        </w:tc>
        <w:tc>
          <w:tcPr>
            <w:tcW w:w="404" w:type="pct"/>
            <w:shd w:val="clear" w:color="auto" w:fill="auto"/>
            <w:vAlign w:val="center"/>
          </w:tcPr>
          <w:p w:rsidR="002D244E" w:rsidRPr="00D005A2" w:rsidRDefault="00E75CDA" w:rsidP="00604EF6">
            <w:pPr>
              <w:pStyle w:val="TableBodyText"/>
            </w:pPr>
            <w:r w:rsidRPr="00D005A2">
              <w:t>–</w:t>
            </w:r>
          </w:p>
        </w:tc>
        <w:tc>
          <w:tcPr>
            <w:tcW w:w="402" w:type="pct"/>
            <w:shd w:val="clear" w:color="auto" w:fill="auto"/>
            <w:vAlign w:val="center"/>
          </w:tcPr>
          <w:p w:rsidR="002D244E" w:rsidRPr="00D005A2" w:rsidRDefault="00E52157" w:rsidP="00604EF6">
            <w:pPr>
              <w:pStyle w:val="TableBodyText"/>
            </w:pPr>
            <w:proofErr w:type="spellStart"/>
            <w:r w:rsidRPr="00D005A2">
              <w:t>na</w:t>
            </w:r>
            <w:proofErr w:type="spellEnd"/>
          </w:p>
        </w:tc>
      </w:tr>
      <w:tr w:rsidR="00D005A2" w:rsidRPr="00D005A2" w:rsidTr="002352A8">
        <w:tc>
          <w:tcPr>
            <w:tcW w:w="1534" w:type="pct"/>
            <w:shd w:val="clear" w:color="auto" w:fill="auto"/>
          </w:tcPr>
          <w:p w:rsidR="002D244E" w:rsidRPr="00D005A2" w:rsidRDefault="002D244E" w:rsidP="00C3586E">
            <w:pPr>
              <w:pStyle w:val="TableBodyText"/>
              <w:ind w:firstLine="278"/>
              <w:jc w:val="left"/>
            </w:pPr>
            <w:r w:rsidRPr="00D005A2">
              <w:t>Non</w:t>
            </w:r>
            <w:r w:rsidR="00172534">
              <w:noBreakHyphen/>
            </w:r>
            <w:r w:rsidRPr="00D005A2">
              <w:t>government schools</w:t>
            </w:r>
          </w:p>
        </w:tc>
        <w:tc>
          <w:tcPr>
            <w:tcW w:w="403" w:type="pct"/>
            <w:shd w:val="clear" w:color="auto" w:fill="auto"/>
            <w:vAlign w:val="center"/>
          </w:tcPr>
          <w:p w:rsidR="002D244E" w:rsidRPr="00D005A2" w:rsidRDefault="00212155" w:rsidP="00604EF6">
            <w:pPr>
              <w:pStyle w:val="TableBodyText"/>
            </w:pPr>
            <w:r w:rsidRPr="00D005A2">
              <w:t>2.3</w:t>
            </w:r>
          </w:p>
        </w:tc>
        <w:tc>
          <w:tcPr>
            <w:tcW w:w="403" w:type="pct"/>
            <w:shd w:val="clear" w:color="auto" w:fill="auto"/>
            <w:vAlign w:val="center"/>
          </w:tcPr>
          <w:p w:rsidR="002D244E" w:rsidRPr="00D005A2" w:rsidRDefault="004516FF" w:rsidP="00604EF6">
            <w:pPr>
              <w:pStyle w:val="TableBodyText"/>
            </w:pPr>
            <w:r w:rsidRPr="00D005A2">
              <w:t>6.0</w:t>
            </w:r>
          </w:p>
        </w:tc>
        <w:tc>
          <w:tcPr>
            <w:tcW w:w="483" w:type="pct"/>
            <w:shd w:val="clear" w:color="auto" w:fill="auto"/>
            <w:vAlign w:val="center"/>
          </w:tcPr>
          <w:p w:rsidR="002D244E" w:rsidRPr="00D005A2" w:rsidRDefault="004516FF" w:rsidP="00604EF6">
            <w:pPr>
              <w:pStyle w:val="TableBodyText"/>
            </w:pPr>
            <w:r w:rsidRPr="00D005A2">
              <w:t>4.4</w:t>
            </w:r>
          </w:p>
        </w:tc>
        <w:tc>
          <w:tcPr>
            <w:tcW w:w="484" w:type="pct"/>
            <w:shd w:val="clear" w:color="auto" w:fill="auto"/>
            <w:vAlign w:val="center"/>
          </w:tcPr>
          <w:p w:rsidR="002D244E" w:rsidRPr="00D005A2" w:rsidRDefault="00106680" w:rsidP="00604EF6">
            <w:pPr>
              <w:pStyle w:val="TableBodyText"/>
            </w:pPr>
            <w:r>
              <w:t>27.0</w:t>
            </w:r>
          </w:p>
        </w:tc>
        <w:tc>
          <w:tcPr>
            <w:tcW w:w="484" w:type="pct"/>
            <w:shd w:val="clear" w:color="auto" w:fill="auto"/>
            <w:vAlign w:val="center"/>
          </w:tcPr>
          <w:p w:rsidR="002D244E" w:rsidRPr="00D005A2" w:rsidRDefault="002D244E" w:rsidP="00604EF6">
            <w:pPr>
              <w:pStyle w:val="TableBodyText"/>
            </w:pPr>
            <w:proofErr w:type="spellStart"/>
            <w:r w:rsidRPr="00D005A2">
              <w:t>na</w:t>
            </w:r>
            <w:proofErr w:type="spellEnd"/>
          </w:p>
        </w:tc>
        <w:tc>
          <w:tcPr>
            <w:tcW w:w="403" w:type="pct"/>
            <w:shd w:val="clear" w:color="auto" w:fill="auto"/>
            <w:vAlign w:val="center"/>
          </w:tcPr>
          <w:p w:rsidR="002D244E" w:rsidRPr="00D005A2" w:rsidRDefault="00E75CDA" w:rsidP="00604EF6">
            <w:pPr>
              <w:pStyle w:val="TableBodyText"/>
            </w:pPr>
            <w:r w:rsidRPr="00D005A2">
              <w:t>27.3</w:t>
            </w:r>
          </w:p>
        </w:tc>
        <w:tc>
          <w:tcPr>
            <w:tcW w:w="404" w:type="pct"/>
            <w:shd w:val="clear" w:color="auto" w:fill="auto"/>
            <w:vAlign w:val="center"/>
          </w:tcPr>
          <w:p w:rsidR="002D244E" w:rsidRPr="00D005A2" w:rsidRDefault="00E75CDA" w:rsidP="00604EF6">
            <w:pPr>
              <w:pStyle w:val="TableBodyText"/>
            </w:pPr>
            <w:r w:rsidRPr="00D005A2">
              <w:t>18.1</w:t>
            </w:r>
          </w:p>
        </w:tc>
        <w:tc>
          <w:tcPr>
            <w:tcW w:w="402" w:type="pct"/>
            <w:shd w:val="clear" w:color="auto" w:fill="auto"/>
            <w:vAlign w:val="center"/>
          </w:tcPr>
          <w:p w:rsidR="002D244E" w:rsidRPr="00D005A2" w:rsidRDefault="00E52157" w:rsidP="00604EF6">
            <w:pPr>
              <w:pStyle w:val="TableBodyText"/>
            </w:pPr>
            <w:r w:rsidRPr="00D005A2">
              <w:t>3.1</w:t>
            </w:r>
          </w:p>
        </w:tc>
      </w:tr>
      <w:tr w:rsidR="00D005A2" w:rsidRPr="00D005A2" w:rsidTr="002352A8">
        <w:trPr>
          <w:trHeight w:val="80"/>
        </w:trPr>
        <w:tc>
          <w:tcPr>
            <w:tcW w:w="1534" w:type="pct"/>
            <w:shd w:val="clear" w:color="auto" w:fill="auto"/>
          </w:tcPr>
          <w:p w:rsidR="00EE05B0" w:rsidRPr="00D005A2" w:rsidRDefault="00911CF6" w:rsidP="00C3586E">
            <w:pPr>
              <w:pStyle w:val="TableBodyText"/>
              <w:ind w:firstLine="278"/>
              <w:jc w:val="left"/>
              <w:rPr>
                <w:b/>
              </w:rPr>
            </w:pPr>
            <w:r w:rsidRPr="00D005A2">
              <w:rPr>
                <w:b/>
              </w:rPr>
              <w:t>Total</w:t>
            </w:r>
            <w:r w:rsidR="00EE05B0" w:rsidRPr="00D005A2">
              <w:rPr>
                <w:b/>
              </w:rPr>
              <w:t xml:space="preserve"> non</w:t>
            </w:r>
            <w:r w:rsidR="00172534">
              <w:rPr>
                <w:b/>
              </w:rPr>
              <w:noBreakHyphen/>
            </w:r>
            <w:r w:rsidR="00EE05B0" w:rsidRPr="00D005A2">
              <w:rPr>
                <w:b/>
              </w:rPr>
              <w:t>government</w:t>
            </w:r>
          </w:p>
        </w:tc>
        <w:tc>
          <w:tcPr>
            <w:tcW w:w="403" w:type="pct"/>
            <w:shd w:val="clear" w:color="auto" w:fill="auto"/>
            <w:vAlign w:val="center"/>
          </w:tcPr>
          <w:p w:rsidR="00EE05B0" w:rsidRPr="00D005A2" w:rsidRDefault="00212155" w:rsidP="00604EF6">
            <w:pPr>
              <w:pStyle w:val="TableBodyText"/>
              <w:rPr>
                <w:b/>
              </w:rPr>
            </w:pPr>
            <w:r w:rsidRPr="00D005A2">
              <w:rPr>
                <w:b/>
              </w:rPr>
              <w:t>89.7</w:t>
            </w:r>
          </w:p>
        </w:tc>
        <w:tc>
          <w:tcPr>
            <w:tcW w:w="403" w:type="pct"/>
            <w:shd w:val="clear" w:color="auto" w:fill="FFFFFF" w:themeFill="background1"/>
            <w:vAlign w:val="center"/>
          </w:tcPr>
          <w:p w:rsidR="00EE05B0" w:rsidRPr="00D005A2" w:rsidRDefault="004516FF" w:rsidP="00604EF6">
            <w:pPr>
              <w:pStyle w:val="TableBodyText"/>
              <w:rPr>
                <w:b/>
              </w:rPr>
            </w:pPr>
            <w:r w:rsidRPr="00D005A2">
              <w:rPr>
                <w:b/>
              </w:rPr>
              <w:t>77</w:t>
            </w:r>
            <w:r w:rsidR="005C1F12" w:rsidRPr="00D005A2">
              <w:rPr>
                <w:b/>
              </w:rPr>
              <w:t>.</w:t>
            </w:r>
            <w:r w:rsidRPr="00D005A2">
              <w:rPr>
                <w:b/>
              </w:rPr>
              <w:t>7</w:t>
            </w:r>
          </w:p>
        </w:tc>
        <w:tc>
          <w:tcPr>
            <w:tcW w:w="483" w:type="pct"/>
            <w:shd w:val="clear" w:color="auto" w:fill="auto"/>
            <w:vAlign w:val="center"/>
          </w:tcPr>
          <w:p w:rsidR="00EE05B0" w:rsidRPr="00D005A2" w:rsidRDefault="004516FF" w:rsidP="00604EF6">
            <w:pPr>
              <w:pStyle w:val="TableBodyText"/>
              <w:rPr>
                <w:b/>
              </w:rPr>
            </w:pPr>
            <w:r w:rsidRPr="00D005A2">
              <w:rPr>
                <w:b/>
              </w:rPr>
              <w:t>98.5</w:t>
            </w:r>
          </w:p>
        </w:tc>
        <w:tc>
          <w:tcPr>
            <w:tcW w:w="484" w:type="pct"/>
            <w:shd w:val="clear" w:color="auto" w:fill="auto"/>
            <w:vAlign w:val="center"/>
          </w:tcPr>
          <w:p w:rsidR="00EE05B0" w:rsidRPr="00D005A2" w:rsidRDefault="005B5974" w:rsidP="00604EF6">
            <w:pPr>
              <w:pStyle w:val="TableBodyText"/>
              <w:rPr>
                <w:b/>
              </w:rPr>
            </w:pPr>
            <w:r>
              <w:rPr>
                <w:b/>
              </w:rPr>
              <w:t>29</w:t>
            </w:r>
            <w:r w:rsidR="00106680">
              <w:rPr>
                <w:b/>
              </w:rPr>
              <w:t>.5</w:t>
            </w:r>
          </w:p>
        </w:tc>
        <w:tc>
          <w:tcPr>
            <w:tcW w:w="484" w:type="pct"/>
            <w:shd w:val="clear" w:color="auto" w:fill="auto"/>
            <w:vAlign w:val="center"/>
          </w:tcPr>
          <w:p w:rsidR="00EE05B0" w:rsidRPr="00D005A2" w:rsidRDefault="005C1F12" w:rsidP="00604EF6">
            <w:pPr>
              <w:pStyle w:val="TableBodyText"/>
              <w:rPr>
                <w:b/>
              </w:rPr>
            </w:pPr>
            <w:r w:rsidRPr="00D005A2">
              <w:rPr>
                <w:b/>
              </w:rPr>
              <w:t>4.3</w:t>
            </w:r>
          </w:p>
        </w:tc>
        <w:tc>
          <w:tcPr>
            <w:tcW w:w="403" w:type="pct"/>
            <w:shd w:val="clear" w:color="auto" w:fill="auto"/>
            <w:vAlign w:val="center"/>
          </w:tcPr>
          <w:p w:rsidR="00EE05B0" w:rsidRPr="00D005A2" w:rsidRDefault="00E75CDA" w:rsidP="00604EF6">
            <w:pPr>
              <w:pStyle w:val="TableBodyText"/>
              <w:rPr>
                <w:b/>
              </w:rPr>
            </w:pPr>
            <w:r w:rsidRPr="00D005A2">
              <w:rPr>
                <w:b/>
              </w:rPr>
              <w:t>27.3</w:t>
            </w:r>
          </w:p>
        </w:tc>
        <w:tc>
          <w:tcPr>
            <w:tcW w:w="404" w:type="pct"/>
            <w:shd w:val="clear" w:color="auto" w:fill="auto"/>
            <w:vAlign w:val="center"/>
          </w:tcPr>
          <w:p w:rsidR="00EE05B0" w:rsidRPr="00D005A2" w:rsidRDefault="00E75CDA" w:rsidP="00604EF6">
            <w:pPr>
              <w:pStyle w:val="TableBodyText"/>
              <w:rPr>
                <w:b/>
              </w:rPr>
            </w:pPr>
            <w:r w:rsidRPr="00D005A2">
              <w:rPr>
                <w:b/>
              </w:rPr>
              <w:t>18.1</w:t>
            </w:r>
          </w:p>
        </w:tc>
        <w:tc>
          <w:tcPr>
            <w:tcW w:w="402" w:type="pct"/>
            <w:shd w:val="clear" w:color="auto" w:fill="auto"/>
            <w:vAlign w:val="center"/>
          </w:tcPr>
          <w:p w:rsidR="00EE05B0" w:rsidRPr="00D005A2" w:rsidRDefault="007536F0" w:rsidP="00604EF6">
            <w:pPr>
              <w:pStyle w:val="TableBodyText"/>
              <w:rPr>
                <w:b/>
              </w:rPr>
            </w:pPr>
            <w:r w:rsidRPr="00D005A2">
              <w:rPr>
                <w:b/>
              </w:rPr>
              <w:t>3.1</w:t>
            </w:r>
          </w:p>
        </w:tc>
      </w:tr>
      <w:tr w:rsidR="002D244E" w:rsidRPr="00D005A2" w:rsidTr="002352A8">
        <w:trPr>
          <w:trHeight w:val="130"/>
        </w:trPr>
        <w:tc>
          <w:tcPr>
            <w:tcW w:w="1534" w:type="pct"/>
            <w:shd w:val="clear" w:color="auto" w:fill="auto"/>
          </w:tcPr>
          <w:p w:rsidR="002D244E" w:rsidRPr="00D005A2" w:rsidRDefault="002D244E" w:rsidP="00C3586E">
            <w:pPr>
              <w:pStyle w:val="TableBodyText"/>
              <w:ind w:firstLine="278"/>
              <w:jc w:val="left"/>
            </w:pPr>
            <w:r w:rsidRPr="00D005A2">
              <w:t>Government managed</w:t>
            </w:r>
          </w:p>
        </w:tc>
        <w:tc>
          <w:tcPr>
            <w:tcW w:w="403" w:type="pct"/>
            <w:shd w:val="clear" w:color="auto" w:fill="auto"/>
            <w:vAlign w:val="center"/>
          </w:tcPr>
          <w:p w:rsidR="002D244E" w:rsidRPr="00D005A2" w:rsidRDefault="00212155" w:rsidP="00604EF6">
            <w:pPr>
              <w:pStyle w:val="TableBodyText"/>
            </w:pPr>
            <w:r w:rsidRPr="00D005A2">
              <w:t>10.3</w:t>
            </w:r>
          </w:p>
        </w:tc>
        <w:tc>
          <w:tcPr>
            <w:tcW w:w="403" w:type="pct"/>
            <w:shd w:val="clear" w:color="auto" w:fill="auto"/>
            <w:vAlign w:val="center"/>
          </w:tcPr>
          <w:p w:rsidR="002D244E" w:rsidRPr="00D005A2" w:rsidRDefault="004516FF" w:rsidP="00604EF6">
            <w:pPr>
              <w:pStyle w:val="TableBodyText"/>
            </w:pPr>
            <w:r w:rsidRPr="00D005A2">
              <w:t>22.3</w:t>
            </w:r>
          </w:p>
        </w:tc>
        <w:tc>
          <w:tcPr>
            <w:tcW w:w="483" w:type="pct"/>
            <w:shd w:val="clear" w:color="auto" w:fill="auto"/>
            <w:vAlign w:val="center"/>
          </w:tcPr>
          <w:p w:rsidR="002D244E" w:rsidRPr="00D005A2" w:rsidRDefault="004516FF" w:rsidP="00604EF6">
            <w:pPr>
              <w:pStyle w:val="TableBodyText"/>
            </w:pPr>
            <w:r w:rsidRPr="00D005A2">
              <w:t>7</w:t>
            </w:r>
            <w:r w:rsidR="002D244E" w:rsidRPr="00D005A2">
              <w:t>.7</w:t>
            </w:r>
          </w:p>
        </w:tc>
        <w:tc>
          <w:tcPr>
            <w:tcW w:w="484" w:type="pct"/>
            <w:shd w:val="clear" w:color="auto" w:fill="auto"/>
            <w:vAlign w:val="center"/>
          </w:tcPr>
          <w:p w:rsidR="002D244E" w:rsidRPr="00D005A2" w:rsidRDefault="005B5974" w:rsidP="00604EF6">
            <w:pPr>
              <w:pStyle w:val="TableBodyText"/>
            </w:pPr>
            <w:r>
              <w:t>70.5</w:t>
            </w:r>
          </w:p>
        </w:tc>
        <w:tc>
          <w:tcPr>
            <w:tcW w:w="484" w:type="pct"/>
            <w:shd w:val="clear" w:color="auto" w:fill="auto"/>
            <w:vAlign w:val="center"/>
          </w:tcPr>
          <w:p w:rsidR="002D244E" w:rsidRPr="00D005A2" w:rsidRDefault="002D244E" w:rsidP="00604EF6">
            <w:pPr>
              <w:pStyle w:val="TableBodyText"/>
            </w:pPr>
            <w:r w:rsidRPr="00D005A2">
              <w:t>95.7</w:t>
            </w:r>
          </w:p>
        </w:tc>
        <w:tc>
          <w:tcPr>
            <w:tcW w:w="403" w:type="pct"/>
            <w:shd w:val="clear" w:color="auto" w:fill="auto"/>
            <w:vAlign w:val="center"/>
          </w:tcPr>
          <w:p w:rsidR="002D244E" w:rsidRPr="00D005A2" w:rsidRDefault="00E75CDA" w:rsidP="00604EF6">
            <w:pPr>
              <w:pStyle w:val="TableBodyText"/>
            </w:pPr>
            <w:r w:rsidRPr="00D005A2">
              <w:t>72.7</w:t>
            </w:r>
          </w:p>
        </w:tc>
        <w:tc>
          <w:tcPr>
            <w:tcW w:w="404" w:type="pct"/>
            <w:shd w:val="clear" w:color="auto" w:fill="auto"/>
            <w:vAlign w:val="center"/>
          </w:tcPr>
          <w:p w:rsidR="002D244E" w:rsidRPr="00D005A2" w:rsidRDefault="00E75CDA" w:rsidP="00604EF6">
            <w:pPr>
              <w:pStyle w:val="TableBodyText"/>
            </w:pPr>
            <w:r w:rsidRPr="00D005A2">
              <w:t>81.9</w:t>
            </w:r>
          </w:p>
        </w:tc>
        <w:tc>
          <w:tcPr>
            <w:tcW w:w="402" w:type="pct"/>
            <w:shd w:val="clear" w:color="auto" w:fill="auto"/>
            <w:vAlign w:val="center"/>
          </w:tcPr>
          <w:p w:rsidR="002D244E" w:rsidRPr="00D005A2" w:rsidRDefault="00E52157" w:rsidP="00604EF6">
            <w:pPr>
              <w:pStyle w:val="TableBodyText"/>
            </w:pPr>
            <w:r w:rsidRPr="00D005A2">
              <w:t>96.9</w:t>
            </w:r>
          </w:p>
        </w:tc>
      </w:tr>
      <w:tr w:rsidR="00B531B4" w:rsidRPr="00D005A2" w:rsidTr="004516FF">
        <w:tc>
          <w:tcPr>
            <w:tcW w:w="1534" w:type="pct"/>
            <w:tcBorders>
              <w:bottom w:val="single" w:sz="4" w:space="0" w:color="auto"/>
            </w:tcBorders>
            <w:shd w:val="clear" w:color="auto" w:fill="auto"/>
          </w:tcPr>
          <w:p w:rsidR="00651EE3" w:rsidRPr="00D005A2" w:rsidRDefault="00651EE3" w:rsidP="00C3586E">
            <w:pPr>
              <w:pStyle w:val="TableBodyText"/>
              <w:ind w:firstLine="278"/>
              <w:jc w:val="left"/>
              <w:rPr>
                <w:b/>
              </w:rPr>
            </w:pPr>
            <w:r w:rsidRPr="00D005A2">
              <w:rPr>
                <w:b/>
              </w:rPr>
              <w:t>Total</w:t>
            </w:r>
          </w:p>
        </w:tc>
        <w:tc>
          <w:tcPr>
            <w:tcW w:w="403" w:type="pct"/>
            <w:tcBorders>
              <w:bottom w:val="single" w:sz="4" w:space="0" w:color="auto"/>
            </w:tcBorders>
            <w:shd w:val="clear" w:color="auto" w:fill="auto"/>
          </w:tcPr>
          <w:p w:rsidR="00651EE3" w:rsidRPr="00D005A2" w:rsidRDefault="00B531B4" w:rsidP="00604EF6">
            <w:pPr>
              <w:pStyle w:val="TableBodyText"/>
              <w:rPr>
                <w:b/>
              </w:rPr>
            </w:pPr>
            <w:r w:rsidRPr="00D005A2">
              <w:rPr>
                <w:b/>
              </w:rPr>
              <w:t>100.0</w:t>
            </w:r>
          </w:p>
        </w:tc>
        <w:tc>
          <w:tcPr>
            <w:tcW w:w="403" w:type="pct"/>
            <w:tcBorders>
              <w:bottom w:val="single" w:sz="4" w:space="0" w:color="auto"/>
            </w:tcBorders>
            <w:shd w:val="clear" w:color="auto" w:fill="auto"/>
          </w:tcPr>
          <w:p w:rsidR="00651EE3" w:rsidRPr="00D005A2" w:rsidRDefault="00B531B4" w:rsidP="00604EF6">
            <w:pPr>
              <w:pStyle w:val="TableBodyText"/>
              <w:rPr>
                <w:b/>
              </w:rPr>
            </w:pPr>
            <w:r w:rsidRPr="00D005A2">
              <w:rPr>
                <w:b/>
              </w:rPr>
              <w:t>100.0</w:t>
            </w:r>
          </w:p>
        </w:tc>
        <w:tc>
          <w:tcPr>
            <w:tcW w:w="483" w:type="pct"/>
            <w:tcBorders>
              <w:bottom w:val="single" w:sz="4" w:space="0" w:color="auto"/>
            </w:tcBorders>
            <w:shd w:val="clear" w:color="auto" w:fill="auto"/>
          </w:tcPr>
          <w:p w:rsidR="00651EE3" w:rsidRPr="00D005A2" w:rsidRDefault="00B531B4" w:rsidP="00604EF6">
            <w:pPr>
              <w:pStyle w:val="TableBodyText"/>
              <w:rPr>
                <w:b/>
              </w:rPr>
            </w:pPr>
            <w:r w:rsidRPr="00D005A2">
              <w:rPr>
                <w:b/>
              </w:rPr>
              <w:t>100.0</w:t>
            </w:r>
          </w:p>
        </w:tc>
        <w:tc>
          <w:tcPr>
            <w:tcW w:w="484" w:type="pct"/>
            <w:tcBorders>
              <w:bottom w:val="single" w:sz="4" w:space="0" w:color="auto"/>
            </w:tcBorders>
            <w:shd w:val="clear" w:color="auto" w:fill="auto"/>
          </w:tcPr>
          <w:p w:rsidR="00651EE3" w:rsidRPr="00D005A2" w:rsidRDefault="00B531B4" w:rsidP="00604EF6">
            <w:pPr>
              <w:pStyle w:val="TableBodyText"/>
              <w:rPr>
                <w:b/>
              </w:rPr>
            </w:pPr>
            <w:r w:rsidRPr="00D005A2">
              <w:rPr>
                <w:b/>
              </w:rPr>
              <w:t>100.0</w:t>
            </w:r>
          </w:p>
        </w:tc>
        <w:tc>
          <w:tcPr>
            <w:tcW w:w="484" w:type="pct"/>
            <w:tcBorders>
              <w:bottom w:val="single" w:sz="4" w:space="0" w:color="auto"/>
            </w:tcBorders>
            <w:shd w:val="clear" w:color="auto" w:fill="auto"/>
          </w:tcPr>
          <w:p w:rsidR="00651EE3" w:rsidRPr="00D005A2" w:rsidRDefault="00B531B4" w:rsidP="00604EF6">
            <w:pPr>
              <w:pStyle w:val="TableBodyText"/>
              <w:rPr>
                <w:b/>
              </w:rPr>
            </w:pPr>
            <w:r w:rsidRPr="00D005A2">
              <w:rPr>
                <w:b/>
              </w:rPr>
              <w:t>100.0</w:t>
            </w:r>
          </w:p>
        </w:tc>
        <w:tc>
          <w:tcPr>
            <w:tcW w:w="403" w:type="pct"/>
            <w:tcBorders>
              <w:bottom w:val="single" w:sz="4" w:space="0" w:color="auto"/>
            </w:tcBorders>
            <w:shd w:val="clear" w:color="auto" w:fill="auto"/>
          </w:tcPr>
          <w:p w:rsidR="00651EE3" w:rsidRPr="00D005A2" w:rsidRDefault="00B531B4" w:rsidP="00604EF6">
            <w:pPr>
              <w:pStyle w:val="TableBodyText"/>
              <w:rPr>
                <w:b/>
              </w:rPr>
            </w:pPr>
            <w:r w:rsidRPr="00D005A2">
              <w:rPr>
                <w:b/>
              </w:rPr>
              <w:t>100.0</w:t>
            </w:r>
          </w:p>
        </w:tc>
        <w:tc>
          <w:tcPr>
            <w:tcW w:w="404" w:type="pct"/>
            <w:tcBorders>
              <w:bottom w:val="single" w:sz="4" w:space="0" w:color="auto"/>
            </w:tcBorders>
            <w:shd w:val="clear" w:color="auto" w:fill="auto"/>
          </w:tcPr>
          <w:p w:rsidR="00651EE3" w:rsidRPr="00D005A2" w:rsidRDefault="00B531B4" w:rsidP="00604EF6">
            <w:pPr>
              <w:pStyle w:val="TableBodyText"/>
              <w:rPr>
                <w:b/>
              </w:rPr>
            </w:pPr>
            <w:r w:rsidRPr="00D005A2">
              <w:rPr>
                <w:b/>
              </w:rPr>
              <w:t>100.0</w:t>
            </w:r>
          </w:p>
        </w:tc>
        <w:tc>
          <w:tcPr>
            <w:tcW w:w="402" w:type="pct"/>
            <w:tcBorders>
              <w:bottom w:val="single" w:sz="4" w:space="0" w:color="auto"/>
            </w:tcBorders>
            <w:shd w:val="clear" w:color="auto" w:fill="auto"/>
          </w:tcPr>
          <w:p w:rsidR="00651EE3" w:rsidRPr="00D005A2" w:rsidRDefault="00B531B4" w:rsidP="00604EF6">
            <w:pPr>
              <w:pStyle w:val="TableBodyText"/>
              <w:rPr>
                <w:b/>
              </w:rPr>
            </w:pPr>
            <w:r w:rsidRPr="00D005A2">
              <w:rPr>
                <w:b/>
              </w:rPr>
              <w:t>100.0</w:t>
            </w:r>
          </w:p>
        </w:tc>
      </w:tr>
    </w:tbl>
    <w:p w:rsidR="00B531B4" w:rsidRPr="00D005A2" w:rsidRDefault="00B531B4" w:rsidP="00DE0955">
      <w:pPr>
        <w:pStyle w:val="Note"/>
        <w:keepNext/>
      </w:pPr>
      <w:proofErr w:type="spellStart"/>
      <w:r w:rsidRPr="00D005A2">
        <w:rPr>
          <w:rStyle w:val="NoteLabel"/>
        </w:rPr>
        <w:t>a</w:t>
      </w:r>
      <w:proofErr w:type="spellEnd"/>
      <w:r w:rsidRPr="00D005A2">
        <w:t xml:space="preserve"> Includes all Australian, State and Territory government supported services.</w:t>
      </w:r>
      <w:r w:rsidRPr="00D005A2">
        <w:rPr>
          <w:rStyle w:val="NoteLabel"/>
        </w:rPr>
        <w:t xml:space="preserve"> b</w:t>
      </w:r>
      <w:r w:rsidRPr="00D005A2">
        <w:t xml:space="preserve"> Management type relates to the </w:t>
      </w:r>
      <w:r w:rsidR="00666160" w:rsidRPr="00D005A2">
        <w:t xml:space="preserve">legal </w:t>
      </w:r>
      <w:r w:rsidRPr="00D005A2">
        <w:t xml:space="preserve">status of the preschool or child care </w:t>
      </w:r>
      <w:r w:rsidR="00C06609" w:rsidRPr="00D005A2">
        <w:t xml:space="preserve">service </w:t>
      </w:r>
      <w:r w:rsidRPr="00D005A2">
        <w:t xml:space="preserve">and does not relate to </w:t>
      </w:r>
      <w:r w:rsidR="00666160" w:rsidRPr="00D005A2">
        <w:t>whether the provider is a for</w:t>
      </w:r>
      <w:r w:rsidR="00172534">
        <w:noBreakHyphen/>
      </w:r>
      <w:r w:rsidR="00666160" w:rsidRPr="00D005A2">
        <w:t>profit or</w:t>
      </w:r>
      <w:r w:rsidR="00DE0955" w:rsidRPr="00D005A2">
        <w:t xml:space="preserve"> </w:t>
      </w:r>
      <w:r w:rsidR="00666160" w:rsidRPr="00D005A2">
        <w:t>not</w:t>
      </w:r>
      <w:r w:rsidR="00172534">
        <w:noBreakHyphen/>
      </w:r>
      <w:r w:rsidR="00666160" w:rsidRPr="00D005A2">
        <w:t>for</w:t>
      </w:r>
      <w:r w:rsidR="00172534">
        <w:noBreakHyphen/>
      </w:r>
      <w:r w:rsidR="00666160" w:rsidRPr="00D005A2">
        <w:t>profit organisation</w:t>
      </w:r>
      <w:r w:rsidRPr="00D005A2">
        <w:t xml:space="preserve">. </w:t>
      </w:r>
      <w:r w:rsidR="0075299B" w:rsidRPr="00D005A2">
        <w:rPr>
          <w:rStyle w:val="NoteLabel"/>
        </w:rPr>
        <w:t xml:space="preserve">c </w:t>
      </w:r>
      <w:r w:rsidR="0075299B" w:rsidRPr="00D005A2">
        <w:t>T</w:t>
      </w:r>
      <w:r w:rsidR="00CE3CD9" w:rsidRPr="00D005A2">
        <w:t xml:space="preserve">otals may not add up to the total of categories as a result of missing or incomplete </w:t>
      </w:r>
      <w:r w:rsidR="00BF17C6">
        <w:t xml:space="preserve">NSW </w:t>
      </w:r>
      <w:r w:rsidR="00CE3CD9" w:rsidRPr="00D005A2">
        <w:t xml:space="preserve">data on are </w:t>
      </w:r>
      <w:r w:rsidR="00C6088D" w:rsidRPr="00D005A2">
        <w:t xml:space="preserve">management type. Totals </w:t>
      </w:r>
      <w:r w:rsidR="00CE3CD9" w:rsidRPr="00D005A2">
        <w:t xml:space="preserve">for all services including those without a stated management type in the </w:t>
      </w:r>
      <w:r w:rsidR="00D47493">
        <w:t>National Quality Agenda IT System (</w:t>
      </w:r>
      <w:proofErr w:type="spellStart"/>
      <w:r w:rsidR="00CE3CD9" w:rsidRPr="00D005A2">
        <w:t>NQA</w:t>
      </w:r>
      <w:proofErr w:type="spellEnd"/>
      <w:r w:rsidR="00D47493">
        <w:t xml:space="preserve"> </w:t>
      </w:r>
      <w:r w:rsidR="00CE3CD9" w:rsidRPr="00D005A2">
        <w:t>ITS</w:t>
      </w:r>
      <w:r w:rsidR="00D47493">
        <w:t>)</w:t>
      </w:r>
      <w:r w:rsidR="00CE3CD9" w:rsidRPr="00D005A2">
        <w:t xml:space="preserve"> and may therefore be higher than the sum of the four categories directly above. T</w:t>
      </w:r>
      <w:r w:rsidR="0075299B" w:rsidRPr="00D005A2">
        <w:t xml:space="preserve">he majority of preschool programs in NSW are delivered by qualified staff in </w:t>
      </w:r>
      <w:r w:rsidR="00180AA4" w:rsidRPr="00D005A2">
        <w:t>l</w:t>
      </w:r>
      <w:r w:rsidR="0075299B" w:rsidRPr="00D005A2">
        <w:t xml:space="preserve">ong </w:t>
      </w:r>
      <w:r w:rsidR="00180AA4" w:rsidRPr="00D005A2">
        <w:t>d</w:t>
      </w:r>
      <w:r w:rsidR="0075299B" w:rsidRPr="00D005A2">
        <w:t xml:space="preserve">ay </w:t>
      </w:r>
      <w:r w:rsidR="00180AA4" w:rsidRPr="00D005A2">
        <w:t>c</w:t>
      </w:r>
      <w:r w:rsidR="005E5989" w:rsidRPr="00D005A2">
        <w:t xml:space="preserve">are </w:t>
      </w:r>
      <w:r w:rsidR="0075299B" w:rsidRPr="00D005A2">
        <w:t xml:space="preserve">centres </w:t>
      </w:r>
      <w:r w:rsidR="005E5989" w:rsidRPr="00D005A2">
        <w:t>and the majority of licensed long day care</w:t>
      </w:r>
      <w:r w:rsidR="0075299B" w:rsidRPr="00D005A2">
        <w:t xml:space="preserve"> centres in NSW o</w:t>
      </w:r>
      <w:r w:rsidR="00C06609" w:rsidRPr="00D005A2">
        <w:t>ffer a preschool program. This R</w:t>
      </w:r>
      <w:r w:rsidR="0075299B" w:rsidRPr="00D005A2">
        <w:t xml:space="preserve">eport </w:t>
      </w:r>
      <w:r w:rsidR="00993E9B" w:rsidRPr="00D005A2">
        <w:t xml:space="preserve">predominantly </w:t>
      </w:r>
      <w:r w:rsidR="0075299B" w:rsidRPr="00D005A2">
        <w:t xml:space="preserve">classifies the services provided </w:t>
      </w:r>
      <w:r w:rsidR="005E5989" w:rsidRPr="00D005A2">
        <w:t>by long day care</w:t>
      </w:r>
      <w:r w:rsidR="0075299B" w:rsidRPr="00D005A2">
        <w:t xml:space="preserve"> centres as child</w:t>
      </w:r>
      <w:r w:rsidR="00993E9B" w:rsidRPr="00D005A2">
        <w:t xml:space="preserve"> care services. </w:t>
      </w:r>
      <w:r w:rsidR="005E5989" w:rsidRPr="00D005A2">
        <w:t>The majority of long day care</w:t>
      </w:r>
      <w:r w:rsidR="0075299B" w:rsidRPr="00D005A2">
        <w:t xml:space="preserve"> centres in NSW are not funded by </w:t>
      </w:r>
      <w:r w:rsidR="00180AA4" w:rsidRPr="00D005A2">
        <w:t>the S</w:t>
      </w:r>
      <w:r w:rsidR="00C06609" w:rsidRPr="00D005A2">
        <w:t>tate G</w:t>
      </w:r>
      <w:r w:rsidR="0075299B" w:rsidRPr="00D005A2">
        <w:t>overnment but all are</w:t>
      </w:r>
      <w:r w:rsidR="00C06609" w:rsidRPr="00D005A2">
        <w:t xml:space="preserve"> in receipt of some Australian Government funding. The NSW G</w:t>
      </w:r>
      <w:r w:rsidR="0075299B" w:rsidRPr="00D005A2">
        <w:t>overnment is responsible for the regulation, licensing, monitoring and assessment of the qua</w:t>
      </w:r>
      <w:r w:rsidR="003A48FC" w:rsidRPr="00D005A2">
        <w:t>lity of services provided by long day care</w:t>
      </w:r>
      <w:r w:rsidR="0075299B" w:rsidRPr="00D005A2">
        <w:t xml:space="preserve"> centres operating in the State. </w:t>
      </w:r>
      <w:r w:rsidR="005D012C" w:rsidRPr="002352A8">
        <w:rPr>
          <w:rStyle w:val="NoteLabel"/>
        </w:rPr>
        <w:t>d</w:t>
      </w:r>
      <w:r w:rsidR="00B52E16" w:rsidRPr="002352A8">
        <w:rPr>
          <w:rStyle w:val="NoteLabel"/>
        </w:rPr>
        <w:t> </w:t>
      </w:r>
      <w:r w:rsidR="00106680" w:rsidRPr="002352A8">
        <w:rPr>
          <w:rFonts w:cs="Arial"/>
          <w:szCs w:val="18"/>
        </w:rPr>
        <w:t>While daily operations of community managed kindergartens are the responsibility of parent committees</w:t>
      </w:r>
      <w:r w:rsidR="00BF17C6" w:rsidRPr="002352A8">
        <w:rPr>
          <w:rFonts w:cs="Arial"/>
          <w:szCs w:val="18"/>
        </w:rPr>
        <w:t xml:space="preserve"> in WA</w:t>
      </w:r>
      <w:r w:rsidR="00106680" w:rsidRPr="002352A8">
        <w:rPr>
          <w:rFonts w:cs="Arial"/>
          <w:szCs w:val="18"/>
        </w:rPr>
        <w:t>, their programs are fully funded and their staff employed by government</w:t>
      </w:r>
      <w:r w:rsidR="00106680" w:rsidRPr="00E516D5">
        <w:rPr>
          <w:rFonts w:cs="Arial"/>
          <w:szCs w:val="18"/>
        </w:rPr>
        <w:t xml:space="preserve"> </w:t>
      </w:r>
      <w:r w:rsidR="00F53ABB" w:rsidRPr="00E516D5">
        <w:rPr>
          <w:rFonts w:cs="Arial"/>
          <w:szCs w:val="18"/>
        </w:rPr>
        <w:t xml:space="preserve">. </w:t>
      </w:r>
      <w:r w:rsidR="00106680" w:rsidRPr="00106680">
        <w:rPr>
          <w:rStyle w:val="NoteLabel"/>
        </w:rPr>
        <w:t>e</w:t>
      </w:r>
      <w:r w:rsidR="00F53ABB">
        <w:rPr>
          <w:rStyle w:val="NoteLabel"/>
        </w:rPr>
        <w:t xml:space="preserve"> </w:t>
      </w:r>
      <w:r w:rsidR="00BF17C6" w:rsidRPr="00F53ABB">
        <w:rPr>
          <w:rFonts w:cs="Arial"/>
          <w:szCs w:val="18"/>
        </w:rPr>
        <w:t>SA d</w:t>
      </w:r>
      <w:r w:rsidR="0068396B" w:rsidRPr="00F53ABB">
        <w:rPr>
          <w:szCs w:val="18"/>
        </w:rPr>
        <w:t>ata</w:t>
      </w:r>
      <w:r w:rsidR="009135F9" w:rsidRPr="00D005A2">
        <w:t xml:space="preserve"> were not available at the time of reporting.</w:t>
      </w:r>
      <w:r w:rsidR="006827A6" w:rsidRPr="00D005A2">
        <w:t xml:space="preserve"> </w:t>
      </w:r>
      <w:r w:rsidR="00106680">
        <w:rPr>
          <w:rStyle w:val="NoteLabel"/>
        </w:rPr>
        <w:t>f</w:t>
      </w:r>
      <w:r w:rsidR="002A71C2" w:rsidRPr="00D005A2">
        <w:t> </w:t>
      </w:r>
      <w:r w:rsidRPr="00D005A2">
        <w:t>Preschools in Tasmania include funded non</w:t>
      </w:r>
      <w:r w:rsidRPr="00D005A2">
        <w:noBreakHyphen/>
        <w:t xml:space="preserve">government preschools. </w:t>
      </w:r>
      <w:r w:rsidR="00106680">
        <w:rPr>
          <w:rStyle w:val="NoteLabel"/>
        </w:rPr>
        <w:t>g</w:t>
      </w:r>
      <w:r w:rsidR="003F72A8" w:rsidRPr="00D005A2">
        <w:t> Government p</w:t>
      </w:r>
      <w:r w:rsidRPr="00D005A2">
        <w:t xml:space="preserve">reschool services in the NT are directly provided by the Department of </w:t>
      </w:r>
      <w:r w:rsidR="00D246B6" w:rsidRPr="00D005A2">
        <w:t>Education</w:t>
      </w:r>
      <w:r w:rsidRPr="00D005A2">
        <w:t xml:space="preserve">, but a range of management functions are devolved to school councils and parent management committees. </w:t>
      </w:r>
      <w:proofErr w:type="spellStart"/>
      <w:r w:rsidRPr="00D005A2">
        <w:rPr>
          <w:b/>
        </w:rPr>
        <w:t>na</w:t>
      </w:r>
      <w:proofErr w:type="spellEnd"/>
      <w:r w:rsidRPr="00D005A2">
        <w:t xml:space="preserve"> Not available. –</w:t>
      </w:r>
      <w:r w:rsidRPr="00D005A2">
        <w:rPr>
          <w:b/>
        </w:rPr>
        <w:t> </w:t>
      </w:r>
      <w:r w:rsidRPr="00D005A2">
        <w:t>Nil or rounded to zero</w:t>
      </w:r>
      <w:r w:rsidRPr="00D005A2">
        <w:rPr>
          <w:sz w:val="20"/>
        </w:rPr>
        <w:t>.</w:t>
      </w:r>
    </w:p>
    <w:p w:rsidR="00651EE3" w:rsidRPr="00D005A2" w:rsidRDefault="00651EE3" w:rsidP="00C3586E">
      <w:pPr>
        <w:pStyle w:val="Source"/>
      </w:pPr>
      <w:r w:rsidRPr="00D005A2">
        <w:rPr>
          <w:i/>
        </w:rPr>
        <w:t>Source</w:t>
      </w:r>
      <w:r w:rsidRPr="00D005A2">
        <w:t xml:space="preserve">: </w:t>
      </w:r>
      <w:r w:rsidR="00B531B4" w:rsidRPr="00D005A2">
        <w:t>State and Territory governments (unpublished); tables</w:t>
      </w:r>
      <w:r w:rsidR="00172534">
        <w:t> </w:t>
      </w:r>
      <w:proofErr w:type="spellStart"/>
      <w:r w:rsidR="00B531B4" w:rsidRPr="00D005A2">
        <w:t>3A.</w:t>
      </w:r>
      <w:r w:rsidR="002E5ED2">
        <w:t>64</w:t>
      </w:r>
      <w:proofErr w:type="spellEnd"/>
      <w:r w:rsidR="00B531B4" w:rsidRPr="00D005A2">
        <w:t xml:space="preserve">, </w:t>
      </w:r>
      <w:proofErr w:type="spellStart"/>
      <w:r w:rsidR="00B531B4" w:rsidRPr="00D005A2">
        <w:t>3A.</w:t>
      </w:r>
      <w:r w:rsidR="002E5ED2">
        <w:t>71</w:t>
      </w:r>
      <w:proofErr w:type="spellEnd"/>
      <w:r w:rsidR="00B531B4" w:rsidRPr="00D005A2">
        <w:t xml:space="preserve">, </w:t>
      </w:r>
      <w:proofErr w:type="spellStart"/>
      <w:r w:rsidR="00B531B4" w:rsidRPr="00D005A2">
        <w:t>3A.</w:t>
      </w:r>
      <w:r w:rsidR="002E5ED2">
        <w:t>78</w:t>
      </w:r>
      <w:proofErr w:type="spellEnd"/>
      <w:r w:rsidR="00B531B4" w:rsidRPr="00D005A2">
        <w:t xml:space="preserve">, </w:t>
      </w:r>
      <w:proofErr w:type="spellStart"/>
      <w:r w:rsidR="00B531B4" w:rsidRPr="00D005A2">
        <w:t>3A.</w:t>
      </w:r>
      <w:r w:rsidR="002E5ED2">
        <w:t>85</w:t>
      </w:r>
      <w:proofErr w:type="spellEnd"/>
      <w:r w:rsidR="00B531B4" w:rsidRPr="00D005A2">
        <w:t xml:space="preserve">, </w:t>
      </w:r>
      <w:proofErr w:type="spellStart"/>
      <w:r w:rsidR="00B531B4" w:rsidRPr="00D005A2">
        <w:t>3A.</w:t>
      </w:r>
      <w:r w:rsidR="002E5ED2">
        <w:t>92</w:t>
      </w:r>
      <w:proofErr w:type="spellEnd"/>
      <w:r w:rsidR="00B531B4" w:rsidRPr="00D005A2">
        <w:t xml:space="preserve">, </w:t>
      </w:r>
      <w:proofErr w:type="spellStart"/>
      <w:r w:rsidR="00B531B4" w:rsidRPr="00D005A2">
        <w:t>3A.</w:t>
      </w:r>
      <w:r w:rsidR="002E5ED2">
        <w:t>99</w:t>
      </w:r>
      <w:proofErr w:type="spellEnd"/>
      <w:r w:rsidR="00B531B4" w:rsidRPr="00D005A2">
        <w:t xml:space="preserve">, </w:t>
      </w:r>
      <w:proofErr w:type="spellStart"/>
      <w:r w:rsidR="00B531B4" w:rsidRPr="00D005A2">
        <w:t>3A.</w:t>
      </w:r>
      <w:r w:rsidR="002E5ED2">
        <w:t>106</w:t>
      </w:r>
      <w:proofErr w:type="spellEnd"/>
      <w:r w:rsidR="002E5ED2">
        <w:t xml:space="preserve"> and </w:t>
      </w:r>
      <w:proofErr w:type="spellStart"/>
      <w:r w:rsidR="002E5ED2">
        <w:t>3A.113</w:t>
      </w:r>
      <w:proofErr w:type="spellEnd"/>
      <w:r w:rsidR="00B531B4" w:rsidRPr="00D005A2">
        <w:t>.</w:t>
      </w:r>
    </w:p>
    <w:p w:rsidR="00004BD9" w:rsidRDefault="00004BD9" w:rsidP="00C3586E">
      <w:pPr>
        <w:pStyle w:val="Heading4"/>
      </w:pPr>
      <w:r>
        <w:t>Child care</w:t>
      </w:r>
      <w:r w:rsidRPr="009E65C4">
        <w:t xml:space="preserve"> services</w:t>
      </w:r>
    </w:p>
    <w:p w:rsidR="004A3D5F" w:rsidRPr="004A3D5F" w:rsidRDefault="0071166A" w:rsidP="00171F72">
      <w:pPr>
        <w:pStyle w:val="BodyText"/>
      </w:pPr>
      <w:r>
        <w:t xml:space="preserve">It is </w:t>
      </w:r>
      <w:r w:rsidRPr="002352A8">
        <w:t>important</w:t>
      </w:r>
      <w:r w:rsidR="004A3D5F" w:rsidRPr="002352A8">
        <w:t xml:space="preserve"> </w:t>
      </w:r>
      <w:r w:rsidR="004A3D5F" w:rsidRPr="002C3B64">
        <w:t xml:space="preserve">to distinguish between the number of child care places provided and the number of children who attend </w:t>
      </w:r>
      <w:r w:rsidR="004A3D5F">
        <w:t>services</w:t>
      </w:r>
      <w:r w:rsidR="00666160">
        <w:t>,</w:t>
      </w:r>
      <w:r w:rsidR="004A3D5F" w:rsidRPr="002C3B64">
        <w:t xml:space="preserve"> </w:t>
      </w:r>
      <w:r w:rsidR="00666160">
        <w:t>b</w:t>
      </w:r>
      <w:r w:rsidR="004A3D5F" w:rsidRPr="002C3B64">
        <w:t xml:space="preserve">ecause of the episodic nature of some </w:t>
      </w:r>
      <w:r w:rsidR="004A3D5F">
        <w:t>services</w:t>
      </w:r>
      <w:r w:rsidR="00666160">
        <w:t>.</w:t>
      </w:r>
      <w:r w:rsidR="004A3D5F" w:rsidRPr="002C3B64">
        <w:t xml:space="preserve"> </w:t>
      </w:r>
      <w:r w:rsidR="00666160">
        <w:t>F</w:t>
      </w:r>
      <w:r w:rsidR="004A3D5F" w:rsidRPr="002C3B64">
        <w:t>or example</w:t>
      </w:r>
      <w:r w:rsidR="00D73033">
        <w:t>,</w:t>
      </w:r>
      <w:r w:rsidR="00450F0F">
        <w:t xml:space="preserve"> many </w:t>
      </w:r>
      <w:r w:rsidR="004A3D5F" w:rsidRPr="002C3B64">
        <w:t xml:space="preserve">children attend </w:t>
      </w:r>
      <w:r w:rsidR="00450F0F">
        <w:t>on a part time basis</w:t>
      </w:r>
      <w:r w:rsidR="00F4593F">
        <w:t>,</w:t>
      </w:r>
      <w:r w:rsidR="00450F0F">
        <w:t xml:space="preserve"> </w:t>
      </w:r>
      <w:r w:rsidR="004A3D5F" w:rsidRPr="002C3B64">
        <w:t xml:space="preserve">for some sessions or </w:t>
      </w:r>
      <w:r w:rsidR="00F4593F">
        <w:t xml:space="preserve">on </w:t>
      </w:r>
      <w:r w:rsidR="004A3D5F" w:rsidRPr="002C3B64">
        <w:t>some days</w:t>
      </w:r>
      <w:r w:rsidR="00F4593F">
        <w:t>,</w:t>
      </w:r>
      <w:r w:rsidR="00666160">
        <w:t xml:space="preserve"> so</w:t>
      </w:r>
      <w:r w:rsidR="004A3D5F" w:rsidRPr="002C3B64">
        <w:t xml:space="preserve"> it is possible for one place to accommodate more than one child</w:t>
      </w:r>
      <w:r w:rsidR="00F4593F">
        <w:t>.</w:t>
      </w:r>
      <w:r w:rsidR="004A3D5F">
        <w:t xml:space="preserve"> </w:t>
      </w:r>
      <w:r w:rsidR="00F4593F">
        <w:t>Therefore</w:t>
      </w:r>
      <w:r w:rsidR="00BF31F1">
        <w:t>,</w:t>
      </w:r>
      <w:r w:rsidR="00F4593F">
        <w:t xml:space="preserve"> i</w:t>
      </w:r>
      <w:r w:rsidR="003F72A8">
        <w:t>t</w:t>
      </w:r>
      <w:r w:rsidR="00F4593F">
        <w:t xml:space="preserve"> is </w:t>
      </w:r>
      <w:r w:rsidR="004A3D5F">
        <w:t>difficult</w:t>
      </w:r>
      <w:r w:rsidR="004A3D5F" w:rsidRPr="002C3B64">
        <w:t xml:space="preserve"> to measure </w:t>
      </w:r>
      <w:r w:rsidR="00F4593F">
        <w:t xml:space="preserve">accurately </w:t>
      </w:r>
      <w:r w:rsidR="004A3D5F" w:rsidRPr="002C3B64">
        <w:t xml:space="preserve">how many children access </w:t>
      </w:r>
      <w:r w:rsidR="004A3D5F">
        <w:t>multiple</w:t>
      </w:r>
      <w:r w:rsidR="004A3D5F" w:rsidRPr="002C3B64">
        <w:t xml:space="preserve"> services</w:t>
      </w:r>
      <w:r w:rsidR="00266849">
        <w:t>.</w:t>
      </w:r>
    </w:p>
    <w:p w:rsidR="00004BD9" w:rsidRDefault="005675FA" w:rsidP="005675FA">
      <w:pPr>
        <w:pStyle w:val="BodyText"/>
      </w:pPr>
      <w:r w:rsidRPr="002352A8">
        <w:lastRenderedPageBreak/>
        <w:t xml:space="preserve">There </w:t>
      </w:r>
      <w:r w:rsidR="0071166A" w:rsidRPr="002352A8">
        <w:t>are no restrictions on the number of Australian Government approve</w:t>
      </w:r>
      <w:r w:rsidR="00EE439B" w:rsidRPr="002352A8">
        <w:t xml:space="preserve">d child care services or places in long day care, family day care and outside school hours care (including vacation care) </w:t>
      </w:r>
      <w:r w:rsidR="0071166A" w:rsidRPr="002352A8">
        <w:t>that can be approved for th</w:t>
      </w:r>
      <w:r w:rsidR="00150540">
        <w:t xml:space="preserve">e purposes of </w:t>
      </w:r>
      <w:proofErr w:type="spellStart"/>
      <w:r w:rsidR="00150540">
        <w:t>CCB</w:t>
      </w:r>
      <w:proofErr w:type="spellEnd"/>
      <w:r w:rsidR="0071166A" w:rsidRPr="002352A8">
        <w:t xml:space="preserve">. There are also no restrictions in </w:t>
      </w:r>
      <w:r w:rsidR="00ED2A37" w:rsidRPr="002352A8">
        <w:t xml:space="preserve">most State and Territory </w:t>
      </w:r>
      <w:r w:rsidR="00C34E9B" w:rsidRPr="002352A8">
        <w:t>g</w:t>
      </w:r>
      <w:r w:rsidR="00ED2A37" w:rsidRPr="002352A8">
        <w:t>overnment child care services</w:t>
      </w:r>
      <w:r w:rsidR="0071166A" w:rsidRPr="002352A8">
        <w:t xml:space="preserve"> to the number of supported places</w:t>
      </w:r>
      <w:r w:rsidR="00C34E9B" w:rsidRPr="002352A8">
        <w:t>.</w:t>
      </w:r>
      <w:r w:rsidR="00C34E9B">
        <w:t xml:space="preserve"> </w:t>
      </w:r>
      <w:r w:rsidR="00B44C83" w:rsidRPr="00777C04">
        <w:t>Data on the number of child care places su</w:t>
      </w:r>
      <w:r w:rsidR="009B2E46" w:rsidRPr="00777C04">
        <w:t>pported by State and Territory g</w:t>
      </w:r>
      <w:r w:rsidR="00B44C83" w:rsidRPr="00777C04">
        <w:t>overnme</w:t>
      </w:r>
      <w:r w:rsidR="009F4982">
        <w:t>nts are presented in tabl</w:t>
      </w:r>
      <w:r w:rsidR="002E5ED2">
        <w:t>es</w:t>
      </w:r>
      <w:r w:rsidR="00172534">
        <w:t> </w:t>
      </w:r>
      <w:proofErr w:type="spellStart"/>
      <w:r w:rsidR="002E5ED2">
        <w:t>3A.60</w:t>
      </w:r>
      <w:proofErr w:type="spellEnd"/>
      <w:r w:rsidR="002E5ED2">
        <w:t xml:space="preserve">, </w:t>
      </w:r>
      <w:proofErr w:type="spellStart"/>
      <w:r w:rsidR="002E5ED2">
        <w:t>3A.67</w:t>
      </w:r>
      <w:proofErr w:type="spellEnd"/>
      <w:r w:rsidR="00B44C83" w:rsidRPr="00777C04">
        <w:t xml:space="preserve">, </w:t>
      </w:r>
      <w:proofErr w:type="spellStart"/>
      <w:r w:rsidR="00B44C83" w:rsidRPr="00777C04">
        <w:t>3A.</w:t>
      </w:r>
      <w:r w:rsidR="002E5ED2">
        <w:t>74</w:t>
      </w:r>
      <w:proofErr w:type="spellEnd"/>
      <w:r w:rsidR="002E5ED2">
        <w:t xml:space="preserve">, </w:t>
      </w:r>
      <w:proofErr w:type="spellStart"/>
      <w:r w:rsidR="002E5ED2">
        <w:t>3A.81</w:t>
      </w:r>
      <w:proofErr w:type="spellEnd"/>
      <w:r w:rsidR="00B44C83" w:rsidRPr="00777C04">
        <w:t>,</w:t>
      </w:r>
      <w:r w:rsidR="002E5ED2">
        <w:t xml:space="preserve"> </w:t>
      </w:r>
      <w:proofErr w:type="spellStart"/>
      <w:r w:rsidR="002E5ED2">
        <w:t>3A.88</w:t>
      </w:r>
      <w:proofErr w:type="spellEnd"/>
      <w:r w:rsidR="00ED2A37" w:rsidRPr="00777C04">
        <w:t xml:space="preserve">, </w:t>
      </w:r>
      <w:proofErr w:type="spellStart"/>
      <w:r w:rsidR="00ED2A37" w:rsidRPr="00777C04">
        <w:t>3A.</w:t>
      </w:r>
      <w:r w:rsidR="002E5ED2">
        <w:t>95</w:t>
      </w:r>
      <w:proofErr w:type="spellEnd"/>
      <w:r w:rsidR="002E5ED2">
        <w:t xml:space="preserve">, </w:t>
      </w:r>
      <w:proofErr w:type="spellStart"/>
      <w:r w:rsidR="002E5ED2">
        <w:t>3A.102</w:t>
      </w:r>
      <w:proofErr w:type="spellEnd"/>
      <w:r w:rsidR="002E5ED2">
        <w:t xml:space="preserve"> and </w:t>
      </w:r>
      <w:proofErr w:type="spellStart"/>
      <w:r w:rsidR="002E5ED2">
        <w:t>3A.109</w:t>
      </w:r>
      <w:proofErr w:type="spellEnd"/>
      <w:r w:rsidR="00ED2A37" w:rsidRPr="00777C04">
        <w:t>.</w:t>
      </w:r>
    </w:p>
    <w:p w:rsidR="00004BD9" w:rsidRDefault="000553F2" w:rsidP="00171F72">
      <w:pPr>
        <w:pStyle w:val="BodyText"/>
      </w:pPr>
      <w:r w:rsidRPr="008D2F4C">
        <w:t xml:space="preserve">In </w:t>
      </w:r>
      <w:r w:rsidR="007F5B66" w:rsidRPr="00D808D7">
        <w:t xml:space="preserve">the March quarter </w:t>
      </w:r>
      <w:r w:rsidR="004F06A2" w:rsidRPr="00D808D7">
        <w:t xml:space="preserve">of </w:t>
      </w:r>
      <w:r w:rsidRPr="00D808D7">
        <w:t>20</w:t>
      </w:r>
      <w:r w:rsidR="00C10D09" w:rsidRPr="00D808D7">
        <w:t>1</w:t>
      </w:r>
      <w:r w:rsidR="009F4982">
        <w:t>3</w:t>
      </w:r>
      <w:r w:rsidR="00474AF3" w:rsidRPr="00D808D7">
        <w:t xml:space="preserve">, </w:t>
      </w:r>
      <w:r w:rsidR="00B92A58" w:rsidRPr="00B92A58">
        <w:t>1</w:t>
      </w:r>
      <w:r w:rsidR="00CC43FD">
        <w:t> </w:t>
      </w:r>
      <w:r w:rsidR="00B92A58" w:rsidRPr="00B92A58">
        <w:t>033</w:t>
      </w:r>
      <w:r w:rsidR="00CC43FD">
        <w:t> </w:t>
      </w:r>
      <w:r w:rsidR="00B92A58" w:rsidRPr="00B92A58">
        <w:t>214</w:t>
      </w:r>
      <w:r w:rsidR="00C53C0C" w:rsidRPr="00B92A58">
        <w:t xml:space="preserve"> </w:t>
      </w:r>
      <w:r w:rsidR="009E65C4" w:rsidRPr="00D808D7">
        <w:t>children aged 12 years or younger attended Austr</w:t>
      </w:r>
      <w:r w:rsidR="00C85D95" w:rsidRPr="00D808D7">
        <w:t>alian Government approved child care</w:t>
      </w:r>
      <w:r w:rsidR="009E4374" w:rsidRPr="00D808D7">
        <w:t xml:space="preserve"> services</w:t>
      </w:r>
      <w:r w:rsidR="000C4B6A" w:rsidRPr="002352A8">
        <w:t>, an increase of 6.5 per cent from 2012</w:t>
      </w:r>
      <w:r w:rsidR="009E4374" w:rsidRPr="00D808D7">
        <w:t xml:space="preserve"> (table</w:t>
      </w:r>
      <w:r w:rsidR="00AC1AC1" w:rsidRPr="00D808D7">
        <w:t> </w:t>
      </w:r>
      <w:proofErr w:type="spellStart"/>
      <w:r w:rsidR="00051E56" w:rsidRPr="00D808D7">
        <w:t>3A.</w:t>
      </w:r>
      <w:r w:rsidR="00053B7E">
        <w:t>8</w:t>
      </w:r>
      <w:proofErr w:type="spellEnd"/>
      <w:r w:rsidR="00474AF3" w:rsidRPr="00D808D7">
        <w:t xml:space="preserve">). </w:t>
      </w:r>
      <w:r w:rsidR="003F72A8" w:rsidRPr="00D808D7">
        <w:t>There were</w:t>
      </w:r>
      <w:r w:rsidR="002F25FA" w:rsidRPr="00D808D7">
        <w:t xml:space="preserve"> </w:t>
      </w:r>
      <w:r w:rsidR="00CB03B1" w:rsidRPr="00CB03B1">
        <w:t>122</w:t>
      </w:r>
      <w:r w:rsidR="007F72D8" w:rsidRPr="00CB03B1">
        <w:t> </w:t>
      </w:r>
      <w:r w:rsidR="00CB03B1" w:rsidRPr="00CB03B1">
        <w:t>329</w:t>
      </w:r>
      <w:r w:rsidR="00C53C0C" w:rsidRPr="00CB03B1">
        <w:t xml:space="preserve"> </w:t>
      </w:r>
      <w:r w:rsidR="003F72A8" w:rsidRPr="00D808D7">
        <w:t>children attending</w:t>
      </w:r>
      <w:r w:rsidR="00474AF3" w:rsidRPr="00D808D7">
        <w:t xml:space="preserve"> State and Territory funded and/or provided child care services (</w:t>
      </w:r>
      <w:r w:rsidR="00972717" w:rsidRPr="00D808D7">
        <w:t>table</w:t>
      </w:r>
      <w:r w:rsidR="00172534">
        <w:t> </w:t>
      </w:r>
      <w:proofErr w:type="spellStart"/>
      <w:r w:rsidR="00972717">
        <w:t>3A.</w:t>
      </w:r>
      <w:r w:rsidR="00D30578">
        <w:t>1</w:t>
      </w:r>
      <w:r w:rsidR="00053B7E">
        <w:t>0</w:t>
      </w:r>
      <w:proofErr w:type="spellEnd"/>
      <w:r w:rsidR="00474AF3" w:rsidRPr="008D2F4C">
        <w:t>).</w:t>
      </w:r>
    </w:p>
    <w:p w:rsidR="00C90608" w:rsidRPr="009F4982" w:rsidRDefault="00EA19FB" w:rsidP="000F113F">
      <w:pPr>
        <w:pStyle w:val="BodyText"/>
        <w:rPr>
          <w:color w:val="FF0000"/>
        </w:rPr>
      </w:pPr>
      <w:r>
        <w:t xml:space="preserve">Child care usage </w:t>
      </w:r>
      <w:r w:rsidR="00D73033">
        <w:t xml:space="preserve">is not consistent </w:t>
      </w:r>
      <w:r>
        <w:t xml:space="preserve">throughout the year as children enter and leave care at different points of the year, depending on </w:t>
      </w:r>
      <w:r w:rsidR="00B775F0">
        <w:t xml:space="preserve">the child’s </w:t>
      </w:r>
      <w:r>
        <w:t>situation</w:t>
      </w:r>
      <w:r w:rsidR="0042645F">
        <w:t>.</w:t>
      </w:r>
      <w:r>
        <w:t xml:space="preserve"> </w:t>
      </w:r>
      <w:r w:rsidR="0042645F">
        <w:t>T</w:t>
      </w:r>
      <w:r>
        <w:t xml:space="preserve">he number of children that have utilised child care across a given year is greater than the number </w:t>
      </w:r>
      <w:r w:rsidR="00D73033">
        <w:t>using care</w:t>
      </w:r>
      <w:r>
        <w:t xml:space="preserve"> at any point in time. Child care flow data counted across an entire </w:t>
      </w:r>
      <w:r w:rsidR="0042645F">
        <w:t>year illustrate</w:t>
      </w:r>
      <w:r>
        <w:t xml:space="preserve"> the variability of child</w:t>
      </w:r>
      <w:r w:rsidR="000F113F">
        <w:t xml:space="preserve"> </w:t>
      </w:r>
      <w:r>
        <w:t xml:space="preserve">care usage. </w:t>
      </w:r>
      <w:r w:rsidR="0042645F" w:rsidRPr="00516BC2">
        <w:t>For example,</w:t>
      </w:r>
      <w:r w:rsidRPr="00516BC2">
        <w:t xml:space="preserve"> </w:t>
      </w:r>
      <w:r w:rsidRPr="00B92A58">
        <w:t xml:space="preserve">in the </w:t>
      </w:r>
      <w:r w:rsidR="00B92A58" w:rsidRPr="00B92A58">
        <w:t>2012</w:t>
      </w:r>
      <w:r w:rsidR="00127DBC" w:rsidRPr="00B92A58">
        <w:t xml:space="preserve"> </w:t>
      </w:r>
      <w:r w:rsidRPr="00B92A58">
        <w:t>calendar year over</w:t>
      </w:r>
      <w:r w:rsidR="00D808D7" w:rsidRPr="00B92A58">
        <w:t xml:space="preserve"> </w:t>
      </w:r>
      <w:r w:rsidRPr="00B92A58">
        <w:t>1</w:t>
      </w:r>
      <w:r w:rsidR="00A57666" w:rsidRPr="00B92A58">
        <w:t>.</w:t>
      </w:r>
      <w:r w:rsidR="00D808D7" w:rsidRPr="00B92A58">
        <w:t>2</w:t>
      </w:r>
      <w:r w:rsidRPr="00B92A58">
        <w:t xml:space="preserve"> million children aged 12 years or younger </w:t>
      </w:r>
      <w:r w:rsidR="006527CA" w:rsidRPr="00B92A58">
        <w:t>attend</w:t>
      </w:r>
      <w:r w:rsidR="00D73033" w:rsidRPr="00B92A58">
        <w:t>ed</w:t>
      </w:r>
      <w:r w:rsidR="006527CA" w:rsidRPr="00B92A58">
        <w:t xml:space="preserve"> Australian Governme</w:t>
      </w:r>
      <w:r w:rsidR="00A14B20" w:rsidRPr="00B92A58">
        <w:t>nt approved child care services (</w:t>
      </w:r>
      <w:r w:rsidR="00E318F3" w:rsidRPr="00B92A58">
        <w:t xml:space="preserve">Department of Education </w:t>
      </w:r>
      <w:r w:rsidR="0042645F" w:rsidRPr="00B92A58">
        <w:t xml:space="preserve">unpublished), compared </w:t>
      </w:r>
      <w:r w:rsidR="000F113F" w:rsidRPr="00B92A58">
        <w:t xml:space="preserve">with </w:t>
      </w:r>
      <w:r w:rsidR="00B92A58" w:rsidRPr="00B92A58">
        <w:t>969</w:t>
      </w:r>
      <w:r w:rsidR="00CC43FD">
        <w:t> </w:t>
      </w:r>
      <w:r w:rsidR="00B92A58" w:rsidRPr="00B92A58">
        <w:t>791</w:t>
      </w:r>
      <w:r w:rsidR="00127DBC" w:rsidRPr="00B92A58">
        <w:t xml:space="preserve"> </w:t>
      </w:r>
      <w:r w:rsidR="0042645F" w:rsidRPr="00B92A58">
        <w:t>in t</w:t>
      </w:r>
      <w:r w:rsidR="00A57666" w:rsidRPr="00B92A58">
        <w:t>he March quarter of</w:t>
      </w:r>
      <w:r w:rsidR="002E0CD1" w:rsidRPr="00B92A58">
        <w:t xml:space="preserve"> </w:t>
      </w:r>
      <w:r w:rsidR="00B92A58" w:rsidRPr="00B92A58">
        <w:t>2012</w:t>
      </w:r>
      <w:r w:rsidR="00127DBC" w:rsidRPr="00B92A58">
        <w:t xml:space="preserve"> </w:t>
      </w:r>
      <w:r w:rsidR="002E0CD1" w:rsidRPr="00B92A58">
        <w:t>(table </w:t>
      </w:r>
      <w:proofErr w:type="spellStart"/>
      <w:r w:rsidR="0042645F" w:rsidRPr="00B92A58">
        <w:t>3A.</w:t>
      </w:r>
      <w:r w:rsidR="00053B7E">
        <w:t>8</w:t>
      </w:r>
      <w:proofErr w:type="spellEnd"/>
      <w:r w:rsidR="0042645F" w:rsidRPr="00B92A58">
        <w:t xml:space="preserve">). </w:t>
      </w:r>
    </w:p>
    <w:p w:rsidR="000F4843" w:rsidRDefault="000F4843" w:rsidP="00C3586E">
      <w:pPr>
        <w:pStyle w:val="Heading4"/>
      </w:pPr>
      <w:r w:rsidRPr="000F4843">
        <w:t>Preschool services</w:t>
      </w:r>
    </w:p>
    <w:p w:rsidR="00953DE9" w:rsidRDefault="002776A0" w:rsidP="002B06E9">
      <w:pPr>
        <w:pStyle w:val="BodyText"/>
      </w:pPr>
      <w:r w:rsidRPr="002352A8">
        <w:t xml:space="preserve">Preschool services </w:t>
      </w:r>
      <w:r w:rsidR="0080607F" w:rsidRPr="002352A8">
        <w:t>provide a range of</w:t>
      </w:r>
      <w:r w:rsidRPr="002352A8">
        <w:t xml:space="preserve"> preschool</w:t>
      </w:r>
      <w:r w:rsidR="000F4843">
        <w:t xml:space="preserve"> programs (generally on a sessional basis) to children in the year </w:t>
      </w:r>
      <w:r w:rsidR="00A64E2E">
        <w:t xml:space="preserve">or two </w:t>
      </w:r>
      <w:r w:rsidR="000F4843">
        <w:t xml:space="preserve">before they </w:t>
      </w:r>
      <w:r w:rsidR="00A64E2E">
        <w:t>commence full time schooling</w:t>
      </w:r>
      <w:r w:rsidR="00FD249A">
        <w:t>.</w:t>
      </w:r>
      <w:r w:rsidR="00953DE9">
        <w:t xml:space="preserve"> </w:t>
      </w:r>
      <w:r w:rsidR="0043444F" w:rsidRPr="002B06E9">
        <w:t>T</w:t>
      </w:r>
      <w:r w:rsidR="000F4843" w:rsidRPr="002B06E9">
        <w:t xml:space="preserve">he age from which children </w:t>
      </w:r>
      <w:r w:rsidR="00922771" w:rsidRPr="002B06E9">
        <w:t>can</w:t>
      </w:r>
      <w:r w:rsidR="00142BE1" w:rsidRPr="002B06E9">
        <w:t xml:space="preserve"> or must </w:t>
      </w:r>
      <w:r w:rsidR="000F4843" w:rsidRPr="002B06E9">
        <w:t xml:space="preserve">attend </w:t>
      </w:r>
      <w:r w:rsidR="00142BE1" w:rsidRPr="002B06E9">
        <w:t>full time schooling, and therefore the age from which children can attend preschool</w:t>
      </w:r>
      <w:r w:rsidR="0080607F">
        <w:t xml:space="preserve"> </w:t>
      </w:r>
      <w:r w:rsidR="0080607F" w:rsidRPr="002352A8">
        <w:t>programs</w:t>
      </w:r>
      <w:r w:rsidR="00142BE1" w:rsidRPr="002352A8">
        <w:t>,</w:t>
      </w:r>
      <w:r w:rsidR="00142BE1" w:rsidRPr="002B06E9">
        <w:t xml:space="preserve"> varies a</w:t>
      </w:r>
      <w:r w:rsidR="00C0437A" w:rsidRPr="002B06E9">
        <w:t>cross jurisdictions</w:t>
      </w:r>
      <w:r w:rsidR="003F72A8" w:rsidRPr="002B06E9">
        <w:t xml:space="preserve"> and i</w:t>
      </w:r>
      <w:r w:rsidR="00953DE9" w:rsidRPr="002B06E9">
        <w:t>nformation for each State and Territory is presented in</w:t>
      </w:r>
      <w:r w:rsidR="003F72A8" w:rsidRPr="002B06E9">
        <w:t xml:space="preserve"> </w:t>
      </w:r>
      <w:r w:rsidR="00F4593F" w:rsidRPr="002B06E9">
        <w:t>t</w:t>
      </w:r>
      <w:r w:rsidR="003F72A8" w:rsidRPr="002B06E9">
        <w:t>able</w:t>
      </w:r>
      <w:r w:rsidR="00172534">
        <w:t> </w:t>
      </w:r>
      <w:r w:rsidR="003F72A8" w:rsidRPr="002B06E9">
        <w:t>3.1</w:t>
      </w:r>
      <w:r w:rsidR="00953DE9" w:rsidRPr="002B06E9">
        <w:t>.</w:t>
      </w:r>
    </w:p>
    <w:p w:rsidR="00646591" w:rsidRPr="004439DD" w:rsidRDefault="00D73033" w:rsidP="00C3586E">
      <w:pPr>
        <w:pStyle w:val="BodyText"/>
      </w:pPr>
      <w:r w:rsidRPr="004439DD">
        <w:t>Differences</w:t>
      </w:r>
      <w:r w:rsidR="000F4843" w:rsidRPr="004439DD">
        <w:t xml:space="preserve"> in the age from which children </w:t>
      </w:r>
      <w:r w:rsidR="00922771" w:rsidRPr="004439DD">
        <w:t>can</w:t>
      </w:r>
      <w:r w:rsidR="000F4843" w:rsidRPr="004439DD">
        <w:t xml:space="preserve"> access preschool </w:t>
      </w:r>
      <w:r w:rsidR="007C18E4" w:rsidRPr="002352A8">
        <w:t xml:space="preserve">programs </w:t>
      </w:r>
      <w:r w:rsidR="007C18E4">
        <w:t>reduce</w:t>
      </w:r>
      <w:r w:rsidR="000F4843" w:rsidRPr="004439DD">
        <w:t xml:space="preserve"> the comparability of data across jurisdictions. </w:t>
      </w:r>
      <w:r w:rsidR="00646591" w:rsidRPr="004439DD">
        <w:t xml:space="preserve">Data on the age of children enrolled in preschool </w:t>
      </w:r>
      <w:r w:rsidR="007C18E4" w:rsidRPr="002352A8">
        <w:t xml:space="preserve">programs </w:t>
      </w:r>
      <w:r w:rsidR="00646591" w:rsidRPr="004439DD">
        <w:t>are presented in this chapter, and to improve comparability, data are also presented for:</w:t>
      </w:r>
    </w:p>
    <w:p w:rsidR="000F4843" w:rsidRPr="004439DD" w:rsidRDefault="000F4843" w:rsidP="002B06E9">
      <w:pPr>
        <w:pStyle w:val="ListBullet"/>
      </w:pPr>
      <w:r w:rsidRPr="004439DD">
        <w:t xml:space="preserve">children </w:t>
      </w:r>
      <w:r w:rsidR="00511EB2" w:rsidRPr="004439DD">
        <w:t>enrolled in</w:t>
      </w:r>
      <w:r w:rsidRPr="004439DD">
        <w:t xml:space="preserve"> preschool </w:t>
      </w:r>
      <w:r w:rsidR="007C18E4" w:rsidRPr="002352A8">
        <w:t>programs</w:t>
      </w:r>
      <w:r w:rsidR="007C18E4">
        <w:t xml:space="preserve"> </w:t>
      </w:r>
      <w:r w:rsidRPr="004439DD">
        <w:t xml:space="preserve">in the </w:t>
      </w:r>
      <w:r w:rsidR="0052249E" w:rsidRPr="004439DD">
        <w:t xml:space="preserve">year </w:t>
      </w:r>
      <w:r w:rsidRPr="004439DD">
        <w:t>before they commence full</w:t>
      </w:r>
      <w:r w:rsidR="00152D04" w:rsidRPr="004439DD">
        <w:t> </w:t>
      </w:r>
      <w:r w:rsidRPr="004439DD">
        <w:t xml:space="preserve">time schooling </w:t>
      </w:r>
    </w:p>
    <w:p w:rsidR="000F4843" w:rsidRPr="004439DD" w:rsidRDefault="000F4843" w:rsidP="00C3586E">
      <w:pPr>
        <w:pStyle w:val="ListBullet"/>
      </w:pPr>
      <w:r w:rsidRPr="004439DD">
        <w:t xml:space="preserve">younger children </w:t>
      </w:r>
      <w:r w:rsidR="00511EB2" w:rsidRPr="004439DD">
        <w:t xml:space="preserve">enrolled </w:t>
      </w:r>
      <w:r w:rsidR="00557B80" w:rsidRPr="004439DD">
        <w:t xml:space="preserve">in </w:t>
      </w:r>
      <w:r w:rsidRPr="004439DD">
        <w:t>presch</w:t>
      </w:r>
      <w:r w:rsidR="007C18E4">
        <w:t xml:space="preserve">ool </w:t>
      </w:r>
      <w:r w:rsidR="007C18E4" w:rsidRPr="002352A8">
        <w:t>programs</w:t>
      </w:r>
      <w:r w:rsidRPr="002352A8">
        <w:t>.</w:t>
      </w:r>
    </w:p>
    <w:p w:rsidR="00BE6613" w:rsidRDefault="00D73033" w:rsidP="00C3586E">
      <w:pPr>
        <w:pStyle w:val="BodyText"/>
      </w:pPr>
      <w:r>
        <w:t>T</w:t>
      </w:r>
      <w:r w:rsidR="00BE6613">
        <w:t xml:space="preserve">he number of places in most State and Territory </w:t>
      </w:r>
      <w:r w:rsidR="00260104">
        <w:t>g</w:t>
      </w:r>
      <w:r w:rsidR="00BE6613">
        <w:t xml:space="preserve">overnment </w:t>
      </w:r>
      <w:r w:rsidR="00223EE0">
        <w:t xml:space="preserve">funded and/or provided </w:t>
      </w:r>
      <w:r w:rsidR="00BE6613">
        <w:t>preschool services</w:t>
      </w:r>
      <w:r>
        <w:t xml:space="preserve"> are not formally limited and d</w:t>
      </w:r>
      <w:r w:rsidR="00260104">
        <w:t xml:space="preserve">ata </w:t>
      </w:r>
      <w:r w:rsidR="00BE6613">
        <w:t xml:space="preserve">on </w:t>
      </w:r>
      <w:r>
        <w:t>plac</w:t>
      </w:r>
      <w:r w:rsidR="00BE6613">
        <w:t>es should be c</w:t>
      </w:r>
      <w:r w:rsidR="00BE6613" w:rsidRPr="004A3D5F">
        <w:t xml:space="preserve">onsidered </w:t>
      </w:r>
      <w:r w:rsidR="0074674C">
        <w:t xml:space="preserve">as </w:t>
      </w:r>
      <w:r w:rsidR="00260104">
        <w:t xml:space="preserve">only </w:t>
      </w:r>
      <w:r w:rsidR="00BE6613" w:rsidRPr="004A3D5F">
        <w:t>indicative of service capacity</w:t>
      </w:r>
      <w:r w:rsidR="00BE6613">
        <w:t xml:space="preserve">. Data on the number of preschool </w:t>
      </w:r>
      <w:r w:rsidR="00BE6613">
        <w:lastRenderedPageBreak/>
        <w:t>plac</w:t>
      </w:r>
      <w:r w:rsidR="009F4982">
        <w:t xml:space="preserve">es </w:t>
      </w:r>
      <w:r w:rsidR="00DC7DEA">
        <w:t xml:space="preserve">for each jurisdiction </w:t>
      </w:r>
      <w:r w:rsidR="00053B7E">
        <w:t>are presented in tables</w:t>
      </w:r>
      <w:r w:rsidR="00172534">
        <w:t> </w:t>
      </w:r>
      <w:proofErr w:type="spellStart"/>
      <w:r w:rsidR="00053B7E">
        <w:t>3A.60</w:t>
      </w:r>
      <w:proofErr w:type="spellEnd"/>
      <w:r w:rsidR="00053B7E">
        <w:t xml:space="preserve">, </w:t>
      </w:r>
      <w:proofErr w:type="spellStart"/>
      <w:r w:rsidR="00053B7E">
        <w:t>3A.67</w:t>
      </w:r>
      <w:proofErr w:type="spellEnd"/>
      <w:r w:rsidR="00BE6613">
        <w:t xml:space="preserve">, </w:t>
      </w:r>
      <w:proofErr w:type="spellStart"/>
      <w:r w:rsidR="00BE6613">
        <w:t>3A.</w:t>
      </w:r>
      <w:r w:rsidR="00053B7E">
        <w:t>74</w:t>
      </w:r>
      <w:proofErr w:type="spellEnd"/>
      <w:r w:rsidR="00053B7E">
        <w:t xml:space="preserve">, </w:t>
      </w:r>
      <w:proofErr w:type="spellStart"/>
      <w:r w:rsidR="00053B7E">
        <w:t>3A.81</w:t>
      </w:r>
      <w:proofErr w:type="spellEnd"/>
      <w:r w:rsidR="00053B7E">
        <w:t xml:space="preserve">, </w:t>
      </w:r>
      <w:proofErr w:type="spellStart"/>
      <w:r w:rsidR="00053B7E">
        <w:t>3A.88</w:t>
      </w:r>
      <w:proofErr w:type="spellEnd"/>
      <w:r w:rsidR="00FD249A">
        <w:t xml:space="preserve">, </w:t>
      </w:r>
      <w:proofErr w:type="spellStart"/>
      <w:r w:rsidR="00FD249A">
        <w:t>3A.</w:t>
      </w:r>
      <w:r w:rsidR="00053B7E">
        <w:t>95</w:t>
      </w:r>
      <w:proofErr w:type="spellEnd"/>
      <w:r w:rsidR="00053B7E">
        <w:t xml:space="preserve">, </w:t>
      </w:r>
      <w:proofErr w:type="spellStart"/>
      <w:r w:rsidR="00053B7E">
        <w:t>3A.102</w:t>
      </w:r>
      <w:proofErr w:type="spellEnd"/>
      <w:r w:rsidR="00053B7E">
        <w:t xml:space="preserve"> and </w:t>
      </w:r>
      <w:proofErr w:type="spellStart"/>
      <w:r w:rsidR="00053B7E">
        <w:t>3A.109</w:t>
      </w:r>
      <w:proofErr w:type="spellEnd"/>
      <w:r w:rsidR="00BE6613">
        <w:t>.</w:t>
      </w:r>
    </w:p>
    <w:p w:rsidR="0052249E" w:rsidRDefault="00B92A58" w:rsidP="00C3586E">
      <w:pPr>
        <w:pStyle w:val="BodyText"/>
      </w:pPr>
      <w:r>
        <w:t>In 2012</w:t>
      </w:r>
      <w:r w:rsidR="00043615" w:rsidRPr="00D808D7">
        <w:t xml:space="preserve">, </w:t>
      </w:r>
      <w:r w:rsidRPr="00B92A58">
        <w:t>53</w:t>
      </w:r>
      <w:r w:rsidR="00CC43FD">
        <w:t> </w:t>
      </w:r>
      <w:r w:rsidRPr="00B92A58">
        <w:t>972</w:t>
      </w:r>
      <w:r w:rsidR="00646591" w:rsidRPr="00B92A58">
        <w:t xml:space="preserve"> </w:t>
      </w:r>
      <w:r w:rsidR="0062218A" w:rsidRPr="00D808D7">
        <w:t xml:space="preserve">children </w:t>
      </w:r>
      <w:r w:rsidR="0052249E">
        <w:t>aged 3 years were enrolled in a preschool program. There were 220</w:t>
      </w:r>
      <w:r w:rsidR="00CC43FD">
        <w:t> </w:t>
      </w:r>
      <w:r w:rsidR="0052249E">
        <w:t xml:space="preserve">040 </w:t>
      </w:r>
      <w:r w:rsidR="005B5FC3">
        <w:t xml:space="preserve">children aged 4 years </w:t>
      </w:r>
      <w:r w:rsidR="0052249E">
        <w:t>and 45</w:t>
      </w:r>
      <w:r w:rsidR="00CC43FD">
        <w:t> </w:t>
      </w:r>
      <w:r w:rsidR="0052249E">
        <w:t xml:space="preserve">996 </w:t>
      </w:r>
      <w:r w:rsidR="005B5FC3">
        <w:t xml:space="preserve">children aged </w:t>
      </w:r>
      <w:r w:rsidR="0052249E">
        <w:t>5 year</w:t>
      </w:r>
      <w:r w:rsidR="005B5FC3">
        <w:t xml:space="preserve">s </w:t>
      </w:r>
      <w:r w:rsidR="0052249E">
        <w:t>enrolled in a preschool program. Overall, 255</w:t>
      </w:r>
      <w:r w:rsidR="00CC43FD">
        <w:t> </w:t>
      </w:r>
      <w:r w:rsidR="0052249E">
        <w:t xml:space="preserve">143 children </w:t>
      </w:r>
      <w:r w:rsidR="00646591" w:rsidRPr="00D808D7">
        <w:t xml:space="preserve">were enrolled </w:t>
      </w:r>
      <w:r w:rsidR="0083786D" w:rsidRPr="00D808D7">
        <w:t>in</w:t>
      </w:r>
      <w:r w:rsidR="0052249E">
        <w:t xml:space="preserve"> a preschool program in the year bef</w:t>
      </w:r>
      <w:r w:rsidR="005B5FC3">
        <w:t>ore full time schooling (excluding enrolled</w:t>
      </w:r>
      <w:r w:rsidR="0052249E">
        <w:t xml:space="preserve"> children aged 5 years who were </w:t>
      </w:r>
      <w:r w:rsidR="005B5FC3">
        <w:t xml:space="preserve">also </w:t>
      </w:r>
      <w:r w:rsidR="0052249E">
        <w:t xml:space="preserve">enrolled in the previous year as a 4 year old) </w:t>
      </w:r>
      <w:r w:rsidR="0062218A" w:rsidRPr="00A105FD">
        <w:t>(table</w:t>
      </w:r>
      <w:r w:rsidR="00476782" w:rsidRPr="00A105FD">
        <w:t> </w:t>
      </w:r>
      <w:proofErr w:type="spellStart"/>
      <w:r w:rsidR="0062218A" w:rsidRPr="00A105FD">
        <w:t>3A.1</w:t>
      </w:r>
      <w:r w:rsidR="00053B7E">
        <w:t>6</w:t>
      </w:r>
      <w:proofErr w:type="spellEnd"/>
      <w:r w:rsidR="0062218A" w:rsidRPr="00A105FD">
        <w:t>).</w:t>
      </w:r>
      <w:r w:rsidR="00646591" w:rsidRPr="00A105FD">
        <w:t xml:space="preserve"> </w:t>
      </w:r>
    </w:p>
    <w:p w:rsidR="00266849" w:rsidRPr="004D2941" w:rsidRDefault="00BE6613" w:rsidP="00C3586E">
      <w:pPr>
        <w:pStyle w:val="BodyText"/>
      </w:pPr>
      <w:r>
        <w:t>The difference between the number of places an</w:t>
      </w:r>
      <w:r w:rsidR="00223B60">
        <w:t xml:space="preserve">d the number of children enrolled in preschool </w:t>
      </w:r>
      <w:r w:rsidR="0080607F" w:rsidRPr="002352A8">
        <w:t>programs</w:t>
      </w:r>
      <w:r w:rsidR="0080607F">
        <w:t xml:space="preserve"> </w:t>
      </w:r>
      <w:r>
        <w:t xml:space="preserve">is largely due to more than one child being able to fill one place, as many children attend </w:t>
      </w:r>
      <w:r w:rsidR="0080607F">
        <w:t xml:space="preserve">preschool </w:t>
      </w:r>
      <w:r w:rsidR="0080607F" w:rsidRPr="002352A8">
        <w:t>programs</w:t>
      </w:r>
      <w:r w:rsidR="00A63878">
        <w:t xml:space="preserve"> </w:t>
      </w:r>
      <w:r>
        <w:t>on a part time basis.</w:t>
      </w:r>
    </w:p>
    <w:p w:rsidR="007556B1" w:rsidRDefault="0080607F" w:rsidP="00C3586E">
      <w:pPr>
        <w:pStyle w:val="Heading5"/>
      </w:pPr>
      <w:r>
        <w:t>Non</w:t>
      </w:r>
      <w:r w:rsidR="00172534">
        <w:noBreakHyphen/>
      </w:r>
      <w:r>
        <w:t xml:space="preserve">government preschool </w:t>
      </w:r>
      <w:r w:rsidRPr="002352A8">
        <w:t>programs</w:t>
      </w:r>
    </w:p>
    <w:p w:rsidR="003E11F9" w:rsidRDefault="003E11F9" w:rsidP="002B06E9">
      <w:pPr>
        <w:pStyle w:val="BodyText"/>
      </w:pPr>
      <w:r>
        <w:t>N</w:t>
      </w:r>
      <w:r w:rsidR="0080607F">
        <w:t>on</w:t>
      </w:r>
      <w:r w:rsidR="00172534">
        <w:noBreakHyphen/>
      </w:r>
      <w:r w:rsidR="0080607F">
        <w:t>government preschool</w:t>
      </w:r>
      <w:r w:rsidR="0007019C">
        <w:t>s deliver programs and</w:t>
      </w:r>
      <w:r>
        <w:t xml:space="preserve"> </w:t>
      </w:r>
      <w:r w:rsidR="00D9758C" w:rsidRPr="002B06E9">
        <w:t>may</w:t>
      </w:r>
      <w:r w:rsidRPr="002B06E9">
        <w:t xml:space="preserve"> be managed</w:t>
      </w:r>
      <w:r w:rsidR="006A3AA6" w:rsidRPr="002B06E9">
        <w:t xml:space="preserve"> and funded</w:t>
      </w:r>
      <w:r w:rsidRPr="002B06E9">
        <w:t xml:space="preserve"> </w:t>
      </w:r>
      <w:r>
        <w:t xml:space="preserve">by entities from the community, private or </w:t>
      </w:r>
      <w:r w:rsidR="00B34740">
        <w:t xml:space="preserve">the </w:t>
      </w:r>
      <w:r w:rsidR="00AE42A6">
        <w:t>non</w:t>
      </w:r>
      <w:r w:rsidR="00172534">
        <w:noBreakHyphen/>
      </w:r>
      <w:r w:rsidR="00AE42A6">
        <w:t xml:space="preserve">government </w:t>
      </w:r>
      <w:r>
        <w:t>school</w:t>
      </w:r>
      <w:r w:rsidR="00001575">
        <w:t>s</w:t>
      </w:r>
      <w:r w:rsidR="009F46F6">
        <w:t>’</w:t>
      </w:r>
      <w:r>
        <w:t xml:space="preserve"> sector</w:t>
      </w:r>
      <w:r w:rsidR="00E919BF">
        <w:t>s</w:t>
      </w:r>
      <w:r>
        <w:t>.</w:t>
      </w:r>
    </w:p>
    <w:p w:rsidR="003E11F9" w:rsidRDefault="003E11F9" w:rsidP="00C3586E">
      <w:pPr>
        <w:pStyle w:val="BodyText"/>
      </w:pPr>
      <w:r>
        <w:t>Non</w:t>
      </w:r>
      <w:r w:rsidR="00172534">
        <w:noBreakHyphen/>
      </w:r>
      <w:r>
        <w:t xml:space="preserve">government preschool programs can be delivered in </w:t>
      </w:r>
      <w:r w:rsidR="00562B2B">
        <w:t>stand</w:t>
      </w:r>
      <w:r w:rsidR="00172534">
        <w:noBreakHyphen/>
      </w:r>
      <w:r w:rsidR="00562B2B">
        <w:t>alone</w:t>
      </w:r>
      <w:r>
        <w:t xml:space="preserve"> preschools, </w:t>
      </w:r>
      <w:r w:rsidR="00AE42A6">
        <w:t>non</w:t>
      </w:r>
      <w:r w:rsidR="00172534">
        <w:noBreakHyphen/>
      </w:r>
      <w:r w:rsidR="00AE42A6">
        <w:t>government</w:t>
      </w:r>
      <w:r w:rsidR="007040D9">
        <w:t xml:space="preserve"> </w:t>
      </w:r>
      <w:r>
        <w:t xml:space="preserve">schools, </w:t>
      </w:r>
      <w:r w:rsidR="00D73033">
        <w:t xml:space="preserve">government schools </w:t>
      </w:r>
      <w:r>
        <w:t>and child care centres (for example, long day care cen</w:t>
      </w:r>
      <w:r w:rsidR="0080607F">
        <w:t>tres). Non</w:t>
      </w:r>
      <w:r w:rsidR="00172534">
        <w:noBreakHyphen/>
      </w:r>
      <w:r w:rsidR="0080607F">
        <w:t xml:space="preserve">government preschool </w:t>
      </w:r>
      <w:r w:rsidR="0080607F" w:rsidRPr="002352A8">
        <w:t>programs</w:t>
      </w:r>
      <w:r w:rsidRPr="002352A8">
        <w:t xml:space="preserve"> </w:t>
      </w:r>
      <w:r>
        <w:t>are required by State and Terri</w:t>
      </w:r>
      <w:r w:rsidR="00B70AA8">
        <w:t>tory governments to be approved and/or licensed</w:t>
      </w:r>
      <w:r>
        <w:t xml:space="preserve">, </w:t>
      </w:r>
      <w:r w:rsidR="00D73033">
        <w:t>but</w:t>
      </w:r>
      <w:r>
        <w:t xml:space="preserve"> </w:t>
      </w:r>
      <w:r w:rsidR="00B70AA8">
        <w:t xml:space="preserve">approval and licensing </w:t>
      </w:r>
      <w:r>
        <w:t>arrangem</w:t>
      </w:r>
      <w:r w:rsidR="00B70AA8">
        <w:t>ents vary across jurisdictions. Characteristics of non</w:t>
      </w:r>
      <w:r w:rsidR="00172534">
        <w:noBreakHyphen/>
      </w:r>
      <w:r w:rsidR="00B70AA8">
        <w:t xml:space="preserve">government preschool programs that are </w:t>
      </w:r>
      <w:r w:rsidR="00A56AD7">
        <w:t xml:space="preserve">State and Territory </w:t>
      </w:r>
      <w:r w:rsidR="00B70AA8">
        <w:t xml:space="preserve">government funded are presented in </w:t>
      </w:r>
      <w:r>
        <w:t>table</w:t>
      </w:r>
      <w:r w:rsidR="00172534">
        <w:t> </w:t>
      </w:r>
      <w:r w:rsidR="00923A1C">
        <w:t>3.3</w:t>
      </w:r>
      <w:r w:rsidR="00EE344A">
        <w:t>.</w:t>
      </w:r>
    </w:p>
    <w:p w:rsidR="004B1CBC" w:rsidRPr="008B42D1" w:rsidRDefault="004B1CBC" w:rsidP="002B06E9">
      <w:pPr>
        <w:pStyle w:val="TableTitle"/>
        <w:rPr>
          <w:rStyle w:val="BoxChar"/>
        </w:rPr>
      </w:pPr>
      <w:r w:rsidRPr="00C9172A">
        <w:rPr>
          <w:b w:val="0"/>
        </w:rPr>
        <w:lastRenderedPageBreak/>
        <w:t xml:space="preserve">Table </w:t>
      </w:r>
      <w:bookmarkStart w:id="5" w:name="OLE_LINK66"/>
      <w:r w:rsidR="00923A1C" w:rsidRPr="00C9172A">
        <w:rPr>
          <w:b w:val="0"/>
        </w:rPr>
        <w:t>3.</w:t>
      </w:r>
      <w:r w:rsidR="002E4BE8">
        <w:rPr>
          <w:b w:val="0"/>
          <w:noProof/>
        </w:rPr>
        <w:t>3</w:t>
      </w:r>
      <w:bookmarkEnd w:id="5"/>
      <w:r w:rsidRPr="00C9172A">
        <w:tab/>
        <w:t>Characteristics of non</w:t>
      </w:r>
      <w:r w:rsidR="00172534">
        <w:noBreakHyphen/>
      </w:r>
      <w:r w:rsidRPr="00C9172A">
        <w:t>government preschool</w:t>
      </w:r>
      <w:r w:rsidR="00A56AD7">
        <w:t xml:space="preserve"> programs </w:t>
      </w:r>
      <w:r w:rsidR="00DD197F" w:rsidRPr="00C9172A">
        <w:t xml:space="preserve">in receipt of </w:t>
      </w:r>
      <w:r w:rsidR="00A56AD7">
        <w:t xml:space="preserve">State and Territory </w:t>
      </w:r>
      <w:r w:rsidR="00B52E16" w:rsidRPr="00C9172A">
        <w:t>government funding</w:t>
      </w:r>
      <w:r w:rsidR="00B52E16" w:rsidRPr="002B06E9">
        <w:rPr>
          <w:shd w:val="clear" w:color="auto" w:fill="FFFFFF" w:themeFill="background1"/>
        </w:rPr>
        <w:t>, 201</w:t>
      </w:r>
      <w:r w:rsidR="00A81E55">
        <w:rPr>
          <w:shd w:val="clear" w:color="auto" w:fill="FFFFFF" w:themeFill="background1"/>
        </w:rPr>
        <w:t>3</w:t>
      </w:r>
    </w:p>
    <w:tbl>
      <w:tblPr>
        <w:tblW w:w="4986" w:type="pct"/>
        <w:tblCellMar>
          <w:left w:w="0" w:type="dxa"/>
          <w:right w:w="0" w:type="dxa"/>
        </w:tblCellMar>
        <w:tblLook w:val="0000" w:firstRow="0" w:lastRow="0" w:firstColumn="0" w:lastColumn="0" w:noHBand="0" w:noVBand="0"/>
      </w:tblPr>
      <w:tblGrid>
        <w:gridCol w:w="268"/>
        <w:gridCol w:w="2992"/>
        <w:gridCol w:w="708"/>
        <w:gridCol w:w="708"/>
        <w:gridCol w:w="710"/>
        <w:gridCol w:w="708"/>
        <w:gridCol w:w="568"/>
        <w:gridCol w:w="708"/>
        <w:gridCol w:w="710"/>
        <w:gridCol w:w="684"/>
      </w:tblGrid>
      <w:tr w:rsidR="00246951" w:rsidRPr="00EF05D5" w:rsidTr="009D1017">
        <w:tc>
          <w:tcPr>
            <w:tcW w:w="1860" w:type="pct"/>
            <w:gridSpan w:val="2"/>
            <w:tcBorders>
              <w:top w:val="single" w:sz="6" w:space="0" w:color="auto"/>
              <w:bottom w:val="single" w:sz="4" w:space="0" w:color="auto"/>
            </w:tcBorders>
            <w:shd w:val="clear" w:color="auto" w:fill="auto"/>
          </w:tcPr>
          <w:p w:rsidR="004B1CBC" w:rsidRPr="003E11F9" w:rsidRDefault="004B1CBC" w:rsidP="00C3586E">
            <w:pPr>
              <w:pStyle w:val="TableColumnHeading"/>
              <w:jc w:val="left"/>
            </w:pPr>
          </w:p>
        </w:tc>
        <w:tc>
          <w:tcPr>
            <w:tcW w:w="404" w:type="pct"/>
            <w:tcBorders>
              <w:top w:val="single" w:sz="6" w:space="0" w:color="auto"/>
              <w:bottom w:val="single" w:sz="4" w:space="0" w:color="auto"/>
            </w:tcBorders>
            <w:shd w:val="clear" w:color="auto" w:fill="auto"/>
          </w:tcPr>
          <w:p w:rsidR="004B1CBC" w:rsidRPr="00EF05D5" w:rsidRDefault="00615D45" w:rsidP="00604EF6">
            <w:pPr>
              <w:pStyle w:val="TableColumnHeading"/>
            </w:pPr>
            <w:r w:rsidRPr="00EF05D5">
              <w:t>NSW</w:t>
            </w:r>
          </w:p>
        </w:tc>
        <w:tc>
          <w:tcPr>
            <w:tcW w:w="404" w:type="pct"/>
            <w:tcBorders>
              <w:top w:val="single" w:sz="6" w:space="0" w:color="auto"/>
              <w:bottom w:val="single" w:sz="4" w:space="0" w:color="auto"/>
            </w:tcBorders>
            <w:shd w:val="clear" w:color="auto" w:fill="auto"/>
          </w:tcPr>
          <w:p w:rsidR="004B1CBC" w:rsidRPr="00EF05D5" w:rsidRDefault="004B1CBC" w:rsidP="00604EF6">
            <w:pPr>
              <w:pStyle w:val="TableColumnHeading"/>
            </w:pPr>
            <w:r w:rsidRPr="00EF05D5">
              <w:t>Vic</w:t>
            </w:r>
          </w:p>
        </w:tc>
        <w:tc>
          <w:tcPr>
            <w:tcW w:w="405" w:type="pct"/>
            <w:tcBorders>
              <w:top w:val="single" w:sz="6" w:space="0" w:color="auto"/>
              <w:bottom w:val="single" w:sz="4" w:space="0" w:color="auto"/>
            </w:tcBorders>
            <w:shd w:val="clear" w:color="auto" w:fill="auto"/>
          </w:tcPr>
          <w:p w:rsidR="004B1CBC" w:rsidRPr="00EF05D5" w:rsidRDefault="004B1CBC" w:rsidP="00604EF6">
            <w:pPr>
              <w:pStyle w:val="TableColumnHeading"/>
              <w:ind w:right="0"/>
            </w:pPr>
            <w:r w:rsidRPr="00EF05D5">
              <w:t>Qld</w:t>
            </w:r>
            <w:r w:rsidR="00344086">
              <w:rPr>
                <w:rStyle w:val="NoteLabel"/>
                <w:i w:val="0"/>
              </w:rPr>
              <w:t>a</w:t>
            </w:r>
          </w:p>
        </w:tc>
        <w:tc>
          <w:tcPr>
            <w:tcW w:w="404" w:type="pct"/>
            <w:tcBorders>
              <w:top w:val="single" w:sz="6" w:space="0" w:color="auto"/>
              <w:bottom w:val="single" w:sz="4" w:space="0" w:color="auto"/>
            </w:tcBorders>
            <w:shd w:val="clear" w:color="auto" w:fill="auto"/>
          </w:tcPr>
          <w:p w:rsidR="004B1CBC" w:rsidRPr="00EF05D5" w:rsidRDefault="004B1CBC" w:rsidP="00604EF6">
            <w:pPr>
              <w:pStyle w:val="TableColumnHeading"/>
            </w:pPr>
            <w:r w:rsidRPr="00EF05D5">
              <w:t>WA</w:t>
            </w:r>
          </w:p>
        </w:tc>
        <w:tc>
          <w:tcPr>
            <w:tcW w:w="324" w:type="pct"/>
            <w:tcBorders>
              <w:top w:val="single" w:sz="6" w:space="0" w:color="auto"/>
              <w:bottom w:val="single" w:sz="4" w:space="0" w:color="auto"/>
            </w:tcBorders>
            <w:shd w:val="clear" w:color="auto" w:fill="auto"/>
          </w:tcPr>
          <w:p w:rsidR="004B1CBC" w:rsidRPr="00EF05D5" w:rsidRDefault="004B1CBC" w:rsidP="00604EF6">
            <w:pPr>
              <w:pStyle w:val="TableColumnHeading"/>
            </w:pPr>
            <w:r w:rsidRPr="00EF05D5">
              <w:t>SA</w:t>
            </w:r>
          </w:p>
        </w:tc>
        <w:tc>
          <w:tcPr>
            <w:tcW w:w="404" w:type="pct"/>
            <w:tcBorders>
              <w:top w:val="single" w:sz="6" w:space="0" w:color="auto"/>
              <w:bottom w:val="single" w:sz="4" w:space="0" w:color="auto"/>
            </w:tcBorders>
            <w:shd w:val="clear" w:color="auto" w:fill="auto"/>
          </w:tcPr>
          <w:p w:rsidR="004B1CBC" w:rsidRPr="00EF05D5" w:rsidRDefault="004B1CBC" w:rsidP="00604EF6">
            <w:pPr>
              <w:pStyle w:val="TableColumnHeading"/>
              <w:ind w:right="0"/>
            </w:pPr>
            <w:proofErr w:type="spellStart"/>
            <w:r w:rsidRPr="00EF05D5">
              <w:t>Tas</w:t>
            </w:r>
            <w:proofErr w:type="spellEnd"/>
            <w:r w:rsidR="009D1017">
              <w:rPr>
                <w:rStyle w:val="NoteLabel"/>
                <w:i w:val="0"/>
              </w:rPr>
              <w:t>b</w:t>
            </w:r>
          </w:p>
        </w:tc>
        <w:tc>
          <w:tcPr>
            <w:tcW w:w="405" w:type="pct"/>
            <w:tcBorders>
              <w:top w:val="single" w:sz="6" w:space="0" w:color="auto"/>
              <w:bottom w:val="single" w:sz="4" w:space="0" w:color="auto"/>
            </w:tcBorders>
            <w:shd w:val="clear" w:color="auto" w:fill="auto"/>
          </w:tcPr>
          <w:p w:rsidR="004B1CBC" w:rsidRPr="00EF05D5" w:rsidRDefault="004B1CBC" w:rsidP="00604EF6">
            <w:pPr>
              <w:pStyle w:val="TableColumnHeading"/>
              <w:ind w:right="0"/>
            </w:pPr>
            <w:r w:rsidRPr="00EF05D5">
              <w:t>ACT</w:t>
            </w:r>
            <w:r w:rsidR="009D1017">
              <w:rPr>
                <w:rStyle w:val="NoteLabel"/>
                <w:i w:val="0"/>
              </w:rPr>
              <w:t>c</w:t>
            </w:r>
          </w:p>
        </w:tc>
        <w:tc>
          <w:tcPr>
            <w:tcW w:w="390" w:type="pct"/>
            <w:tcBorders>
              <w:top w:val="single" w:sz="4" w:space="0" w:color="auto"/>
              <w:bottom w:val="single" w:sz="4" w:space="0" w:color="auto"/>
            </w:tcBorders>
            <w:shd w:val="clear" w:color="auto" w:fill="auto"/>
          </w:tcPr>
          <w:p w:rsidR="004B1CBC" w:rsidRPr="00EF05D5" w:rsidRDefault="004B1CBC" w:rsidP="00604EF6">
            <w:pPr>
              <w:pStyle w:val="TableColumnHeading"/>
              <w:ind w:right="28"/>
            </w:pPr>
            <w:r w:rsidRPr="00EF05D5">
              <w:t>NT</w:t>
            </w:r>
            <w:r w:rsidR="009D1017">
              <w:rPr>
                <w:rStyle w:val="NoteLabel"/>
                <w:i w:val="0"/>
              </w:rPr>
              <w:t>d</w:t>
            </w:r>
          </w:p>
        </w:tc>
      </w:tr>
      <w:tr w:rsidR="004B1CBC" w:rsidRPr="00D73033" w:rsidTr="00DF7408">
        <w:trPr>
          <w:trHeight w:val="371"/>
        </w:trPr>
        <w:tc>
          <w:tcPr>
            <w:tcW w:w="5000" w:type="pct"/>
            <w:gridSpan w:val="10"/>
            <w:tcBorders>
              <w:top w:val="single" w:sz="4" w:space="0" w:color="auto"/>
            </w:tcBorders>
            <w:shd w:val="clear" w:color="auto" w:fill="auto"/>
            <w:vAlign w:val="center"/>
          </w:tcPr>
          <w:p w:rsidR="004B1CBC" w:rsidRPr="00D73033" w:rsidRDefault="00615D45" w:rsidP="00C3586E">
            <w:pPr>
              <w:pStyle w:val="TableBodyText"/>
              <w:jc w:val="left"/>
              <w:rPr>
                <w:i/>
              </w:rPr>
            </w:pPr>
            <w:r w:rsidRPr="00D73033">
              <w:rPr>
                <w:i/>
              </w:rPr>
              <w:t>Management type</w:t>
            </w:r>
          </w:p>
        </w:tc>
      </w:tr>
      <w:tr w:rsidR="00246951" w:rsidRPr="00D73033" w:rsidTr="009D1017">
        <w:tc>
          <w:tcPr>
            <w:tcW w:w="153" w:type="pct"/>
            <w:shd w:val="clear" w:color="auto" w:fill="auto"/>
          </w:tcPr>
          <w:p w:rsidR="00D22763" w:rsidRPr="00D73033" w:rsidRDefault="00D22763" w:rsidP="00C3586E">
            <w:pPr>
              <w:pStyle w:val="TableBodyText"/>
              <w:jc w:val="left"/>
            </w:pPr>
          </w:p>
        </w:tc>
        <w:tc>
          <w:tcPr>
            <w:tcW w:w="1707" w:type="pct"/>
            <w:shd w:val="clear" w:color="auto" w:fill="auto"/>
          </w:tcPr>
          <w:p w:rsidR="00D22763" w:rsidRPr="00D73033" w:rsidRDefault="00D22763" w:rsidP="00C3586E">
            <w:pPr>
              <w:pStyle w:val="TableBodyText"/>
              <w:jc w:val="left"/>
            </w:pPr>
            <w:r w:rsidRPr="00D73033">
              <w:t>Community sector</w:t>
            </w:r>
          </w:p>
        </w:tc>
        <w:tc>
          <w:tcPr>
            <w:tcW w:w="404" w:type="pct"/>
            <w:shd w:val="clear" w:color="auto" w:fill="auto"/>
          </w:tcPr>
          <w:p w:rsidR="00D22763" w:rsidRPr="00D73033" w:rsidRDefault="00D22763" w:rsidP="00604EF6">
            <w:pPr>
              <w:pStyle w:val="TableBodyText"/>
            </w:pPr>
            <w:r w:rsidRPr="00D73033">
              <w:rPr>
                <w:szCs w:val="24"/>
              </w:rPr>
              <w:sym w:font="Wingdings" w:char="F0FC"/>
            </w:r>
          </w:p>
        </w:tc>
        <w:tc>
          <w:tcPr>
            <w:tcW w:w="404" w:type="pct"/>
            <w:shd w:val="clear" w:color="auto" w:fill="auto"/>
          </w:tcPr>
          <w:p w:rsidR="00D22763" w:rsidRPr="00D73033" w:rsidRDefault="00D22763" w:rsidP="00604EF6">
            <w:pPr>
              <w:pStyle w:val="TableBodyText"/>
            </w:pPr>
            <w:r w:rsidRPr="00D73033">
              <w:rPr>
                <w:szCs w:val="24"/>
              </w:rPr>
              <w:sym w:font="Wingdings" w:char="F0FC"/>
            </w:r>
          </w:p>
        </w:tc>
        <w:tc>
          <w:tcPr>
            <w:tcW w:w="405" w:type="pct"/>
            <w:shd w:val="clear" w:color="auto" w:fill="auto"/>
          </w:tcPr>
          <w:p w:rsidR="00D22763" w:rsidRPr="00D73033" w:rsidRDefault="00D22763" w:rsidP="00604EF6">
            <w:pPr>
              <w:pStyle w:val="TableBodyText"/>
            </w:pPr>
            <w:r w:rsidRPr="00D73033">
              <w:rPr>
                <w:szCs w:val="24"/>
              </w:rPr>
              <w:sym w:font="Wingdings" w:char="F0FC"/>
            </w:r>
          </w:p>
        </w:tc>
        <w:tc>
          <w:tcPr>
            <w:tcW w:w="404" w:type="pct"/>
            <w:shd w:val="clear" w:color="auto" w:fill="auto"/>
          </w:tcPr>
          <w:p w:rsidR="00D22763" w:rsidRPr="00D73033" w:rsidRDefault="00D22763" w:rsidP="00604EF6">
            <w:pPr>
              <w:pStyle w:val="TableBodyText"/>
            </w:pPr>
            <w:r w:rsidRPr="00D73033">
              <w:rPr>
                <w:szCs w:val="24"/>
              </w:rPr>
              <w:sym w:font="Wingdings" w:char="F0FC"/>
            </w:r>
          </w:p>
        </w:tc>
        <w:tc>
          <w:tcPr>
            <w:tcW w:w="324" w:type="pct"/>
            <w:shd w:val="clear" w:color="auto" w:fill="auto"/>
          </w:tcPr>
          <w:p w:rsidR="00D22763" w:rsidRPr="00D73033" w:rsidRDefault="00D22763" w:rsidP="00604EF6">
            <w:pPr>
              <w:pStyle w:val="TableBodyText"/>
            </w:pPr>
            <w:r w:rsidRPr="00D73033">
              <w:rPr>
                <w:szCs w:val="24"/>
              </w:rPr>
              <w:sym w:font="Wingdings" w:char="F0FC"/>
            </w:r>
          </w:p>
        </w:tc>
        <w:tc>
          <w:tcPr>
            <w:tcW w:w="404" w:type="pct"/>
            <w:shd w:val="clear" w:color="auto" w:fill="auto"/>
          </w:tcPr>
          <w:p w:rsidR="00D22763" w:rsidRPr="00D73033" w:rsidRDefault="0010442E" w:rsidP="00604EF6">
            <w:pPr>
              <w:pStyle w:val="TableBodyText"/>
            </w:pPr>
            <w:r w:rsidRPr="00D73033">
              <w:t>x</w:t>
            </w:r>
          </w:p>
        </w:tc>
        <w:tc>
          <w:tcPr>
            <w:tcW w:w="405" w:type="pct"/>
            <w:shd w:val="clear" w:color="auto" w:fill="auto"/>
          </w:tcPr>
          <w:p w:rsidR="00D22763" w:rsidRPr="00D73033" w:rsidRDefault="00015A40" w:rsidP="00604EF6">
            <w:pPr>
              <w:pStyle w:val="TableBodyText"/>
            </w:pPr>
            <w:r w:rsidRPr="00D73033">
              <w:t>x</w:t>
            </w:r>
          </w:p>
        </w:tc>
        <w:tc>
          <w:tcPr>
            <w:tcW w:w="390" w:type="pct"/>
            <w:shd w:val="clear" w:color="auto" w:fill="auto"/>
          </w:tcPr>
          <w:p w:rsidR="00D22763" w:rsidRPr="00D73033" w:rsidRDefault="00206A36" w:rsidP="00604EF6">
            <w:pPr>
              <w:pStyle w:val="TableBodyText"/>
            </w:pPr>
            <w:r w:rsidRPr="00D73033">
              <w:t>x</w:t>
            </w:r>
          </w:p>
        </w:tc>
      </w:tr>
      <w:tr w:rsidR="00206A36" w:rsidRPr="00D73033" w:rsidTr="009D1017">
        <w:tc>
          <w:tcPr>
            <w:tcW w:w="153" w:type="pct"/>
            <w:shd w:val="clear" w:color="auto" w:fill="auto"/>
          </w:tcPr>
          <w:p w:rsidR="00206A36" w:rsidRPr="00D73033" w:rsidRDefault="00206A36" w:rsidP="00C3586E">
            <w:pPr>
              <w:pStyle w:val="TableBodyText"/>
              <w:jc w:val="left"/>
            </w:pPr>
          </w:p>
        </w:tc>
        <w:tc>
          <w:tcPr>
            <w:tcW w:w="1707" w:type="pct"/>
            <w:shd w:val="clear" w:color="auto" w:fill="auto"/>
          </w:tcPr>
          <w:p w:rsidR="00206A36" w:rsidRPr="00D73033" w:rsidRDefault="00206A36" w:rsidP="00C3586E">
            <w:pPr>
              <w:pStyle w:val="TableBodyText"/>
              <w:jc w:val="left"/>
            </w:pPr>
            <w:r w:rsidRPr="00D73033">
              <w:t>Private sector</w:t>
            </w:r>
          </w:p>
        </w:tc>
        <w:tc>
          <w:tcPr>
            <w:tcW w:w="404" w:type="pct"/>
            <w:shd w:val="clear" w:color="auto" w:fill="auto"/>
          </w:tcPr>
          <w:p w:rsidR="00206A36" w:rsidRPr="00D73033" w:rsidRDefault="00B70AA8" w:rsidP="00604EF6">
            <w:pPr>
              <w:pStyle w:val="TableBodyText"/>
              <w:tabs>
                <w:tab w:val="left" w:pos="525"/>
              </w:tabs>
            </w:pPr>
            <w:r w:rsidRPr="00D73033">
              <w:t>x</w:t>
            </w:r>
          </w:p>
        </w:tc>
        <w:tc>
          <w:tcPr>
            <w:tcW w:w="404" w:type="pct"/>
            <w:shd w:val="clear" w:color="auto" w:fill="auto"/>
          </w:tcPr>
          <w:p w:rsidR="00206A36" w:rsidRPr="00D73033" w:rsidRDefault="00206A36" w:rsidP="00604EF6">
            <w:pPr>
              <w:pStyle w:val="TableBodyText"/>
            </w:pPr>
            <w:r w:rsidRPr="00D73033">
              <w:rPr>
                <w:szCs w:val="24"/>
              </w:rPr>
              <w:sym w:font="Wingdings" w:char="F0FC"/>
            </w:r>
          </w:p>
        </w:tc>
        <w:tc>
          <w:tcPr>
            <w:tcW w:w="405" w:type="pct"/>
            <w:shd w:val="clear" w:color="auto" w:fill="auto"/>
          </w:tcPr>
          <w:p w:rsidR="00206A36" w:rsidRPr="00D73033" w:rsidRDefault="00206A36" w:rsidP="00604EF6">
            <w:pPr>
              <w:pStyle w:val="TableBodyText"/>
            </w:pPr>
            <w:r w:rsidRPr="00D73033">
              <w:rPr>
                <w:szCs w:val="24"/>
              </w:rPr>
              <w:sym w:font="Wingdings" w:char="F0FC"/>
            </w:r>
          </w:p>
        </w:tc>
        <w:tc>
          <w:tcPr>
            <w:tcW w:w="404" w:type="pct"/>
            <w:shd w:val="clear" w:color="auto" w:fill="auto"/>
          </w:tcPr>
          <w:p w:rsidR="00206A36" w:rsidRPr="00D73033" w:rsidRDefault="00206A36" w:rsidP="00604EF6">
            <w:pPr>
              <w:pStyle w:val="TableBodyText"/>
            </w:pPr>
            <w:r w:rsidRPr="00D73033">
              <w:rPr>
                <w:szCs w:val="24"/>
              </w:rPr>
              <w:sym w:font="Wingdings" w:char="F0FC"/>
            </w:r>
          </w:p>
        </w:tc>
        <w:tc>
          <w:tcPr>
            <w:tcW w:w="324" w:type="pct"/>
            <w:shd w:val="clear" w:color="auto" w:fill="auto"/>
          </w:tcPr>
          <w:p w:rsidR="00206A36" w:rsidRPr="00D73033" w:rsidRDefault="00206A36" w:rsidP="00604EF6">
            <w:pPr>
              <w:pStyle w:val="TableBodyText"/>
            </w:pPr>
            <w:r w:rsidRPr="00D73033">
              <w:t>x</w:t>
            </w:r>
          </w:p>
        </w:tc>
        <w:tc>
          <w:tcPr>
            <w:tcW w:w="404" w:type="pct"/>
            <w:shd w:val="clear" w:color="auto" w:fill="auto"/>
          </w:tcPr>
          <w:p w:rsidR="00206A36" w:rsidRPr="00D73033" w:rsidRDefault="00206A36" w:rsidP="00604EF6">
            <w:pPr>
              <w:pStyle w:val="TableBodyText"/>
            </w:pPr>
            <w:r w:rsidRPr="00D73033">
              <w:t>x</w:t>
            </w:r>
          </w:p>
        </w:tc>
        <w:tc>
          <w:tcPr>
            <w:tcW w:w="405" w:type="pct"/>
            <w:shd w:val="clear" w:color="auto" w:fill="auto"/>
          </w:tcPr>
          <w:p w:rsidR="00206A36" w:rsidRPr="00D73033" w:rsidRDefault="00015A40" w:rsidP="00604EF6">
            <w:pPr>
              <w:pStyle w:val="TableBodyText"/>
            </w:pPr>
            <w:r w:rsidRPr="00D73033">
              <w:t>x</w:t>
            </w:r>
          </w:p>
        </w:tc>
        <w:tc>
          <w:tcPr>
            <w:tcW w:w="390" w:type="pct"/>
            <w:shd w:val="clear" w:color="auto" w:fill="auto"/>
          </w:tcPr>
          <w:p w:rsidR="00206A36" w:rsidRPr="00D73033" w:rsidRDefault="00206A36" w:rsidP="00604EF6">
            <w:pPr>
              <w:pStyle w:val="TableBodyText"/>
            </w:pPr>
            <w:r w:rsidRPr="00D73033">
              <w:t>x</w:t>
            </w:r>
          </w:p>
        </w:tc>
      </w:tr>
      <w:tr w:rsidR="00246951" w:rsidRPr="00D73033" w:rsidTr="009D1017">
        <w:tc>
          <w:tcPr>
            <w:tcW w:w="153" w:type="pct"/>
            <w:shd w:val="clear" w:color="auto" w:fill="auto"/>
          </w:tcPr>
          <w:p w:rsidR="00D22763" w:rsidRPr="00D73033" w:rsidRDefault="00D22763" w:rsidP="00C3586E">
            <w:pPr>
              <w:pStyle w:val="TableBodyText"/>
              <w:jc w:val="left"/>
            </w:pPr>
          </w:p>
        </w:tc>
        <w:tc>
          <w:tcPr>
            <w:tcW w:w="1707" w:type="pct"/>
            <w:shd w:val="clear" w:color="auto" w:fill="auto"/>
          </w:tcPr>
          <w:p w:rsidR="00D22763" w:rsidRPr="00D73033" w:rsidRDefault="007C5F56" w:rsidP="00C3586E">
            <w:pPr>
              <w:pStyle w:val="TableBodyText"/>
              <w:jc w:val="left"/>
            </w:pPr>
            <w:r w:rsidRPr="00D73033">
              <w:t>Non</w:t>
            </w:r>
            <w:r w:rsidR="00172534">
              <w:noBreakHyphen/>
            </w:r>
            <w:r w:rsidRPr="00D73033">
              <w:t>government</w:t>
            </w:r>
            <w:r w:rsidR="00001575" w:rsidRPr="00D73033">
              <w:t xml:space="preserve"> </w:t>
            </w:r>
            <w:r w:rsidR="00D22763" w:rsidRPr="00D73033">
              <w:t>schools</w:t>
            </w:r>
            <w:r w:rsidR="00A755AB">
              <w:t>’</w:t>
            </w:r>
            <w:r w:rsidR="00D22763" w:rsidRPr="00D73033">
              <w:t xml:space="preserve"> sector</w:t>
            </w:r>
          </w:p>
        </w:tc>
        <w:tc>
          <w:tcPr>
            <w:tcW w:w="404" w:type="pct"/>
            <w:shd w:val="clear" w:color="auto" w:fill="auto"/>
          </w:tcPr>
          <w:p w:rsidR="00D22763" w:rsidRPr="00D73033" w:rsidRDefault="00D22763" w:rsidP="00604EF6">
            <w:pPr>
              <w:pStyle w:val="TableBodyText"/>
              <w:rPr>
                <w:szCs w:val="24"/>
              </w:rPr>
            </w:pPr>
            <w:r w:rsidRPr="00D73033">
              <w:rPr>
                <w:szCs w:val="24"/>
              </w:rPr>
              <w:sym w:font="Wingdings" w:char="F0FC"/>
            </w:r>
          </w:p>
        </w:tc>
        <w:tc>
          <w:tcPr>
            <w:tcW w:w="404" w:type="pct"/>
            <w:shd w:val="clear" w:color="auto" w:fill="auto"/>
          </w:tcPr>
          <w:p w:rsidR="00D22763" w:rsidRPr="00D73033" w:rsidRDefault="00D22763" w:rsidP="00604EF6">
            <w:pPr>
              <w:pStyle w:val="TableBodyText"/>
            </w:pPr>
            <w:r w:rsidRPr="00D73033">
              <w:rPr>
                <w:szCs w:val="24"/>
              </w:rPr>
              <w:sym w:font="Wingdings" w:char="F0FC"/>
            </w:r>
          </w:p>
        </w:tc>
        <w:tc>
          <w:tcPr>
            <w:tcW w:w="405" w:type="pct"/>
            <w:shd w:val="clear" w:color="auto" w:fill="auto"/>
          </w:tcPr>
          <w:p w:rsidR="00D22763" w:rsidRPr="00D73033" w:rsidRDefault="00D22763" w:rsidP="00604EF6">
            <w:pPr>
              <w:pStyle w:val="TableBodyText"/>
            </w:pPr>
            <w:r w:rsidRPr="00D73033">
              <w:rPr>
                <w:szCs w:val="24"/>
              </w:rPr>
              <w:sym w:font="Wingdings" w:char="F0FC"/>
            </w:r>
          </w:p>
        </w:tc>
        <w:tc>
          <w:tcPr>
            <w:tcW w:w="404" w:type="pct"/>
            <w:shd w:val="clear" w:color="auto" w:fill="auto"/>
          </w:tcPr>
          <w:p w:rsidR="00D22763" w:rsidRPr="00D73033" w:rsidRDefault="00D22763" w:rsidP="00604EF6">
            <w:pPr>
              <w:pStyle w:val="TableBodyText"/>
            </w:pPr>
            <w:r w:rsidRPr="00D73033">
              <w:rPr>
                <w:szCs w:val="24"/>
              </w:rPr>
              <w:sym w:font="Wingdings" w:char="F0FC"/>
            </w:r>
          </w:p>
        </w:tc>
        <w:tc>
          <w:tcPr>
            <w:tcW w:w="324" w:type="pct"/>
            <w:shd w:val="clear" w:color="auto" w:fill="auto"/>
          </w:tcPr>
          <w:p w:rsidR="00D22763" w:rsidRPr="00D73033" w:rsidRDefault="00015A40" w:rsidP="00604EF6">
            <w:pPr>
              <w:pStyle w:val="TableBodyText"/>
            </w:pPr>
            <w:proofErr w:type="spellStart"/>
            <w:r w:rsidRPr="00D73033">
              <w:t>na</w:t>
            </w:r>
            <w:proofErr w:type="spellEnd"/>
          </w:p>
        </w:tc>
        <w:tc>
          <w:tcPr>
            <w:tcW w:w="404" w:type="pct"/>
            <w:shd w:val="clear" w:color="auto" w:fill="auto"/>
          </w:tcPr>
          <w:p w:rsidR="00D22763" w:rsidRPr="00D73033" w:rsidRDefault="00D22763" w:rsidP="00604EF6">
            <w:pPr>
              <w:pStyle w:val="TableBodyText"/>
              <w:rPr>
                <w:szCs w:val="24"/>
              </w:rPr>
            </w:pPr>
            <w:r w:rsidRPr="00D73033">
              <w:rPr>
                <w:szCs w:val="24"/>
              </w:rPr>
              <w:sym w:font="Wingdings" w:char="F0FC"/>
            </w:r>
          </w:p>
        </w:tc>
        <w:tc>
          <w:tcPr>
            <w:tcW w:w="405" w:type="pct"/>
            <w:shd w:val="clear" w:color="auto" w:fill="auto"/>
          </w:tcPr>
          <w:p w:rsidR="00D22763" w:rsidRPr="00D73033" w:rsidRDefault="00015A40" w:rsidP="00604EF6">
            <w:pPr>
              <w:pStyle w:val="TableBodyText"/>
            </w:pPr>
            <w:r w:rsidRPr="00D73033">
              <w:t>x</w:t>
            </w:r>
          </w:p>
        </w:tc>
        <w:tc>
          <w:tcPr>
            <w:tcW w:w="390" w:type="pct"/>
            <w:shd w:val="clear" w:color="auto" w:fill="auto"/>
          </w:tcPr>
          <w:p w:rsidR="00D22763" w:rsidRPr="00D73033" w:rsidRDefault="00D22763" w:rsidP="00604EF6">
            <w:pPr>
              <w:pStyle w:val="TableBodyText"/>
              <w:rPr>
                <w:szCs w:val="24"/>
              </w:rPr>
            </w:pPr>
            <w:r w:rsidRPr="00D73033">
              <w:rPr>
                <w:szCs w:val="24"/>
              </w:rPr>
              <w:sym w:font="Wingdings" w:char="F0FC"/>
            </w:r>
          </w:p>
        </w:tc>
      </w:tr>
      <w:tr w:rsidR="00071D8D" w:rsidRPr="00D73033" w:rsidTr="00DF7408">
        <w:trPr>
          <w:trHeight w:val="339"/>
        </w:trPr>
        <w:tc>
          <w:tcPr>
            <w:tcW w:w="5000" w:type="pct"/>
            <w:gridSpan w:val="10"/>
            <w:shd w:val="clear" w:color="auto" w:fill="auto"/>
            <w:vAlign w:val="center"/>
          </w:tcPr>
          <w:p w:rsidR="00071D8D" w:rsidRPr="00D73033" w:rsidRDefault="00615D45" w:rsidP="00C3586E">
            <w:pPr>
              <w:pStyle w:val="TableBodyText"/>
              <w:jc w:val="left"/>
              <w:rPr>
                <w:i/>
              </w:rPr>
            </w:pPr>
            <w:r w:rsidRPr="00D73033">
              <w:rPr>
                <w:i/>
              </w:rPr>
              <w:t>Service delivery setting</w:t>
            </w:r>
          </w:p>
        </w:tc>
      </w:tr>
      <w:tr w:rsidR="00246951" w:rsidRPr="00D73033" w:rsidTr="002352A8">
        <w:tc>
          <w:tcPr>
            <w:tcW w:w="153" w:type="pct"/>
            <w:shd w:val="clear" w:color="auto" w:fill="auto"/>
          </w:tcPr>
          <w:p w:rsidR="00D22763" w:rsidRPr="00D73033" w:rsidRDefault="00D22763" w:rsidP="00604EF6">
            <w:pPr>
              <w:pStyle w:val="TableBodyText"/>
            </w:pPr>
          </w:p>
        </w:tc>
        <w:tc>
          <w:tcPr>
            <w:tcW w:w="1707" w:type="pct"/>
            <w:shd w:val="clear" w:color="auto" w:fill="auto"/>
          </w:tcPr>
          <w:p w:rsidR="00D22763" w:rsidRPr="00D73033" w:rsidRDefault="00D22763" w:rsidP="00562B2B">
            <w:pPr>
              <w:pStyle w:val="TableBodyText"/>
              <w:jc w:val="left"/>
            </w:pPr>
            <w:r w:rsidRPr="00D73033">
              <w:t>Stand</w:t>
            </w:r>
            <w:r w:rsidR="00172534">
              <w:noBreakHyphen/>
            </w:r>
            <w:r w:rsidRPr="00D73033">
              <w:t>alone preschools</w:t>
            </w:r>
          </w:p>
        </w:tc>
        <w:tc>
          <w:tcPr>
            <w:tcW w:w="404" w:type="pct"/>
            <w:shd w:val="clear" w:color="auto" w:fill="auto"/>
          </w:tcPr>
          <w:p w:rsidR="00D22763" w:rsidRPr="00D73033" w:rsidRDefault="00D22763" w:rsidP="00604EF6">
            <w:pPr>
              <w:pStyle w:val="TableBodyText"/>
            </w:pPr>
            <w:r w:rsidRPr="00D73033">
              <w:rPr>
                <w:szCs w:val="24"/>
              </w:rPr>
              <w:sym w:font="Wingdings" w:char="F0FC"/>
            </w:r>
          </w:p>
        </w:tc>
        <w:tc>
          <w:tcPr>
            <w:tcW w:w="404" w:type="pct"/>
            <w:shd w:val="clear" w:color="auto" w:fill="auto"/>
          </w:tcPr>
          <w:p w:rsidR="00D22763" w:rsidRPr="00D73033" w:rsidRDefault="00D22763" w:rsidP="00604EF6">
            <w:pPr>
              <w:pStyle w:val="TableBodyText"/>
            </w:pPr>
            <w:r w:rsidRPr="00D73033">
              <w:rPr>
                <w:szCs w:val="24"/>
              </w:rPr>
              <w:sym w:font="Wingdings" w:char="F0FC"/>
            </w:r>
          </w:p>
        </w:tc>
        <w:tc>
          <w:tcPr>
            <w:tcW w:w="405" w:type="pct"/>
            <w:shd w:val="clear" w:color="auto" w:fill="auto"/>
          </w:tcPr>
          <w:p w:rsidR="00D22763" w:rsidRPr="00D73033" w:rsidRDefault="00D22763" w:rsidP="00604EF6">
            <w:pPr>
              <w:pStyle w:val="TableBodyText"/>
            </w:pPr>
            <w:r w:rsidRPr="00D73033">
              <w:rPr>
                <w:szCs w:val="24"/>
              </w:rPr>
              <w:sym w:font="Wingdings" w:char="F0FC"/>
            </w:r>
          </w:p>
        </w:tc>
        <w:tc>
          <w:tcPr>
            <w:tcW w:w="404" w:type="pct"/>
            <w:shd w:val="clear" w:color="auto" w:fill="auto"/>
          </w:tcPr>
          <w:p w:rsidR="00D22763" w:rsidRPr="00D73033" w:rsidRDefault="00D22763" w:rsidP="00604EF6">
            <w:pPr>
              <w:pStyle w:val="TableBodyText"/>
            </w:pPr>
            <w:r w:rsidRPr="00D73033">
              <w:rPr>
                <w:szCs w:val="24"/>
              </w:rPr>
              <w:sym w:font="Wingdings" w:char="F0FC"/>
            </w:r>
          </w:p>
        </w:tc>
        <w:tc>
          <w:tcPr>
            <w:tcW w:w="324" w:type="pct"/>
            <w:shd w:val="clear" w:color="auto" w:fill="auto"/>
          </w:tcPr>
          <w:p w:rsidR="00D22763" w:rsidRPr="00D73033" w:rsidRDefault="00D22763" w:rsidP="00604EF6">
            <w:pPr>
              <w:pStyle w:val="TableBodyText"/>
            </w:pPr>
            <w:r w:rsidRPr="00D73033">
              <w:rPr>
                <w:szCs w:val="24"/>
              </w:rPr>
              <w:sym w:font="Wingdings" w:char="F0FC"/>
            </w:r>
          </w:p>
        </w:tc>
        <w:tc>
          <w:tcPr>
            <w:tcW w:w="404" w:type="pct"/>
            <w:shd w:val="clear" w:color="auto" w:fill="auto"/>
          </w:tcPr>
          <w:p w:rsidR="00D22763" w:rsidRPr="00D73033" w:rsidRDefault="00A81E55" w:rsidP="00604EF6">
            <w:pPr>
              <w:pStyle w:val="TableBodyText"/>
            </w:pPr>
            <w:r w:rsidRPr="00D73033">
              <w:t>x</w:t>
            </w:r>
          </w:p>
        </w:tc>
        <w:tc>
          <w:tcPr>
            <w:tcW w:w="405" w:type="pct"/>
            <w:shd w:val="clear" w:color="auto" w:fill="auto"/>
          </w:tcPr>
          <w:p w:rsidR="00D22763" w:rsidRPr="00D73033" w:rsidRDefault="00015A40" w:rsidP="00604EF6">
            <w:pPr>
              <w:pStyle w:val="TableBodyText"/>
            </w:pPr>
            <w:r w:rsidRPr="00D73033">
              <w:t>x</w:t>
            </w:r>
          </w:p>
        </w:tc>
        <w:tc>
          <w:tcPr>
            <w:tcW w:w="390" w:type="pct"/>
            <w:shd w:val="clear" w:color="auto" w:fill="auto"/>
          </w:tcPr>
          <w:p w:rsidR="00D22763" w:rsidRPr="00D73033" w:rsidRDefault="00EE344A" w:rsidP="00604EF6">
            <w:pPr>
              <w:pStyle w:val="TableBodyText"/>
            </w:pPr>
            <w:r w:rsidRPr="00D73033">
              <w:t>x</w:t>
            </w:r>
          </w:p>
        </w:tc>
      </w:tr>
      <w:tr w:rsidR="00246951" w:rsidRPr="00D73033" w:rsidTr="009D1017">
        <w:tc>
          <w:tcPr>
            <w:tcW w:w="153" w:type="pct"/>
            <w:shd w:val="clear" w:color="auto" w:fill="auto"/>
          </w:tcPr>
          <w:p w:rsidR="00D22763" w:rsidRPr="00D73033" w:rsidRDefault="00D22763" w:rsidP="00C3586E">
            <w:pPr>
              <w:pStyle w:val="TableBodyText"/>
              <w:jc w:val="left"/>
            </w:pPr>
          </w:p>
        </w:tc>
        <w:tc>
          <w:tcPr>
            <w:tcW w:w="1707" w:type="pct"/>
            <w:shd w:val="clear" w:color="auto" w:fill="auto"/>
          </w:tcPr>
          <w:p w:rsidR="00D22763" w:rsidRPr="00D73033" w:rsidRDefault="007C5F56" w:rsidP="00C3586E">
            <w:pPr>
              <w:pStyle w:val="TableBodyText"/>
              <w:jc w:val="left"/>
            </w:pPr>
            <w:r w:rsidRPr="00D73033">
              <w:t>Non</w:t>
            </w:r>
            <w:r w:rsidR="00172534">
              <w:noBreakHyphen/>
            </w:r>
            <w:r w:rsidRPr="00D73033">
              <w:t xml:space="preserve">government </w:t>
            </w:r>
            <w:r w:rsidR="00D22763" w:rsidRPr="00D73033">
              <w:t>schools</w:t>
            </w:r>
            <w:r w:rsidR="00A755AB">
              <w:t>’</w:t>
            </w:r>
            <w:r w:rsidRPr="00D73033">
              <w:t xml:space="preserve"> sector</w:t>
            </w:r>
          </w:p>
        </w:tc>
        <w:tc>
          <w:tcPr>
            <w:tcW w:w="404" w:type="pct"/>
            <w:shd w:val="clear" w:color="auto" w:fill="auto"/>
          </w:tcPr>
          <w:p w:rsidR="00D22763" w:rsidRPr="00D73033" w:rsidRDefault="00D22763" w:rsidP="00604EF6">
            <w:pPr>
              <w:pStyle w:val="TableBodyText"/>
            </w:pPr>
            <w:r w:rsidRPr="00D73033">
              <w:rPr>
                <w:szCs w:val="24"/>
              </w:rPr>
              <w:sym w:font="Wingdings" w:char="F0FC"/>
            </w:r>
          </w:p>
        </w:tc>
        <w:tc>
          <w:tcPr>
            <w:tcW w:w="404" w:type="pct"/>
            <w:shd w:val="clear" w:color="auto" w:fill="auto"/>
          </w:tcPr>
          <w:p w:rsidR="00D22763" w:rsidRPr="00D73033" w:rsidRDefault="00D22763" w:rsidP="00604EF6">
            <w:pPr>
              <w:pStyle w:val="TableBodyText"/>
            </w:pPr>
            <w:r w:rsidRPr="00D73033">
              <w:rPr>
                <w:szCs w:val="24"/>
              </w:rPr>
              <w:sym w:font="Wingdings" w:char="F0FC"/>
            </w:r>
          </w:p>
        </w:tc>
        <w:tc>
          <w:tcPr>
            <w:tcW w:w="405" w:type="pct"/>
            <w:shd w:val="clear" w:color="auto" w:fill="auto"/>
          </w:tcPr>
          <w:p w:rsidR="00D22763" w:rsidRPr="00D73033" w:rsidRDefault="00D22763" w:rsidP="00604EF6">
            <w:pPr>
              <w:pStyle w:val="TableBodyText"/>
            </w:pPr>
            <w:r w:rsidRPr="00D73033">
              <w:rPr>
                <w:szCs w:val="24"/>
              </w:rPr>
              <w:sym w:font="Wingdings" w:char="F0FC"/>
            </w:r>
          </w:p>
        </w:tc>
        <w:tc>
          <w:tcPr>
            <w:tcW w:w="404" w:type="pct"/>
            <w:shd w:val="clear" w:color="auto" w:fill="auto"/>
          </w:tcPr>
          <w:p w:rsidR="00D22763" w:rsidRPr="00D73033" w:rsidRDefault="00D22763" w:rsidP="00604EF6">
            <w:pPr>
              <w:pStyle w:val="TableBodyText"/>
            </w:pPr>
            <w:r w:rsidRPr="00D73033">
              <w:rPr>
                <w:szCs w:val="24"/>
              </w:rPr>
              <w:sym w:font="Wingdings" w:char="F0FC"/>
            </w:r>
          </w:p>
        </w:tc>
        <w:tc>
          <w:tcPr>
            <w:tcW w:w="324" w:type="pct"/>
            <w:shd w:val="clear" w:color="auto" w:fill="auto"/>
          </w:tcPr>
          <w:p w:rsidR="00D22763" w:rsidRPr="00D73033" w:rsidRDefault="00D22763" w:rsidP="00604EF6">
            <w:pPr>
              <w:pStyle w:val="TableBodyText"/>
            </w:pPr>
            <w:r w:rsidRPr="00D73033">
              <w:rPr>
                <w:szCs w:val="24"/>
              </w:rPr>
              <w:sym w:font="Wingdings" w:char="F0FC"/>
            </w:r>
          </w:p>
        </w:tc>
        <w:tc>
          <w:tcPr>
            <w:tcW w:w="404" w:type="pct"/>
            <w:shd w:val="clear" w:color="auto" w:fill="auto"/>
          </w:tcPr>
          <w:p w:rsidR="00D22763" w:rsidRPr="00D73033" w:rsidRDefault="00D22763" w:rsidP="00604EF6">
            <w:pPr>
              <w:pStyle w:val="TableBodyText"/>
            </w:pPr>
            <w:r w:rsidRPr="00D73033">
              <w:rPr>
                <w:szCs w:val="24"/>
              </w:rPr>
              <w:sym w:font="Wingdings" w:char="F0FC"/>
            </w:r>
          </w:p>
        </w:tc>
        <w:tc>
          <w:tcPr>
            <w:tcW w:w="405" w:type="pct"/>
            <w:shd w:val="clear" w:color="auto" w:fill="auto"/>
          </w:tcPr>
          <w:p w:rsidR="00D22763" w:rsidRPr="00D73033" w:rsidRDefault="00B52E16" w:rsidP="00604EF6">
            <w:pPr>
              <w:pStyle w:val="TableBodyText"/>
            </w:pPr>
            <w:r w:rsidRPr="00D73033">
              <w:t>x</w:t>
            </w:r>
          </w:p>
        </w:tc>
        <w:tc>
          <w:tcPr>
            <w:tcW w:w="390" w:type="pct"/>
            <w:shd w:val="clear" w:color="auto" w:fill="auto"/>
          </w:tcPr>
          <w:p w:rsidR="00D22763" w:rsidRPr="00D73033" w:rsidRDefault="00D22763" w:rsidP="00604EF6">
            <w:pPr>
              <w:pStyle w:val="TableBodyText"/>
            </w:pPr>
            <w:r w:rsidRPr="00D73033">
              <w:rPr>
                <w:szCs w:val="24"/>
              </w:rPr>
              <w:sym w:font="Wingdings" w:char="F0FC"/>
            </w:r>
          </w:p>
        </w:tc>
      </w:tr>
      <w:tr w:rsidR="00206A36" w:rsidRPr="00D73033" w:rsidTr="002352A8">
        <w:trPr>
          <w:trHeight w:val="80"/>
        </w:trPr>
        <w:tc>
          <w:tcPr>
            <w:tcW w:w="153" w:type="pct"/>
            <w:shd w:val="clear" w:color="auto" w:fill="auto"/>
          </w:tcPr>
          <w:p w:rsidR="00206A36" w:rsidRPr="00D73033" w:rsidRDefault="00206A36" w:rsidP="00C3586E">
            <w:pPr>
              <w:pStyle w:val="TableBodyText"/>
              <w:jc w:val="left"/>
            </w:pPr>
          </w:p>
        </w:tc>
        <w:tc>
          <w:tcPr>
            <w:tcW w:w="1707" w:type="pct"/>
            <w:shd w:val="clear" w:color="auto" w:fill="auto"/>
          </w:tcPr>
          <w:p w:rsidR="00206A36" w:rsidRPr="00D73033" w:rsidRDefault="00206A36" w:rsidP="00C3586E">
            <w:pPr>
              <w:pStyle w:val="TableBodyText"/>
              <w:jc w:val="left"/>
            </w:pPr>
            <w:r w:rsidRPr="00D73033">
              <w:t>Government schools</w:t>
            </w:r>
          </w:p>
        </w:tc>
        <w:tc>
          <w:tcPr>
            <w:tcW w:w="404" w:type="pct"/>
            <w:shd w:val="clear" w:color="auto" w:fill="auto"/>
          </w:tcPr>
          <w:p w:rsidR="00206A36" w:rsidRPr="00D73033" w:rsidRDefault="00206A36" w:rsidP="00604EF6">
            <w:pPr>
              <w:pStyle w:val="TableBodyText"/>
            </w:pPr>
            <w:r w:rsidRPr="00D73033">
              <w:rPr>
                <w:szCs w:val="24"/>
              </w:rPr>
              <w:sym w:font="Wingdings" w:char="F0FC"/>
            </w:r>
          </w:p>
        </w:tc>
        <w:tc>
          <w:tcPr>
            <w:tcW w:w="404" w:type="pct"/>
            <w:shd w:val="clear" w:color="auto" w:fill="auto"/>
          </w:tcPr>
          <w:p w:rsidR="00206A36" w:rsidRPr="00D73033" w:rsidRDefault="00206A36" w:rsidP="00604EF6">
            <w:pPr>
              <w:pStyle w:val="TableBodyText"/>
            </w:pPr>
            <w:r w:rsidRPr="00D73033">
              <w:rPr>
                <w:szCs w:val="24"/>
              </w:rPr>
              <w:sym w:font="Wingdings" w:char="F0FC"/>
            </w:r>
          </w:p>
        </w:tc>
        <w:tc>
          <w:tcPr>
            <w:tcW w:w="405" w:type="pct"/>
            <w:shd w:val="clear" w:color="auto" w:fill="auto"/>
          </w:tcPr>
          <w:p w:rsidR="00206A36" w:rsidRPr="00D73033" w:rsidRDefault="00EA087C" w:rsidP="00604EF6">
            <w:pPr>
              <w:pStyle w:val="TableBodyText"/>
            </w:pPr>
            <w:r w:rsidRPr="00D73033">
              <w:rPr>
                <w:szCs w:val="24"/>
              </w:rPr>
              <w:sym w:font="Wingdings" w:char="F0FC"/>
            </w:r>
          </w:p>
        </w:tc>
        <w:tc>
          <w:tcPr>
            <w:tcW w:w="404" w:type="pct"/>
            <w:shd w:val="clear" w:color="auto" w:fill="auto"/>
          </w:tcPr>
          <w:p w:rsidR="00206A36" w:rsidRPr="00D73033" w:rsidRDefault="00206A36" w:rsidP="00604EF6">
            <w:pPr>
              <w:pStyle w:val="TableBodyText"/>
            </w:pPr>
            <w:r w:rsidRPr="00D73033">
              <w:rPr>
                <w:szCs w:val="24"/>
              </w:rPr>
              <w:sym w:font="Wingdings" w:char="F0FC"/>
            </w:r>
          </w:p>
        </w:tc>
        <w:tc>
          <w:tcPr>
            <w:tcW w:w="324" w:type="pct"/>
            <w:shd w:val="clear" w:color="auto" w:fill="auto"/>
          </w:tcPr>
          <w:p w:rsidR="00206A36" w:rsidRPr="00D73033" w:rsidRDefault="00015A40" w:rsidP="00604EF6">
            <w:pPr>
              <w:pStyle w:val="TableBodyText"/>
            </w:pPr>
            <w:proofErr w:type="spellStart"/>
            <w:r w:rsidRPr="00D73033">
              <w:t>na</w:t>
            </w:r>
            <w:proofErr w:type="spellEnd"/>
          </w:p>
        </w:tc>
        <w:tc>
          <w:tcPr>
            <w:tcW w:w="404" w:type="pct"/>
            <w:shd w:val="clear" w:color="auto" w:fill="auto"/>
          </w:tcPr>
          <w:p w:rsidR="00206A36" w:rsidRPr="00D73033" w:rsidRDefault="00206A36" w:rsidP="00604EF6">
            <w:pPr>
              <w:pStyle w:val="TableBodyText"/>
            </w:pPr>
            <w:r w:rsidRPr="00D73033">
              <w:t>x</w:t>
            </w:r>
          </w:p>
        </w:tc>
        <w:tc>
          <w:tcPr>
            <w:tcW w:w="405" w:type="pct"/>
            <w:shd w:val="clear" w:color="auto" w:fill="auto"/>
          </w:tcPr>
          <w:p w:rsidR="00206A36" w:rsidRPr="00D73033" w:rsidRDefault="00015A40" w:rsidP="00604EF6">
            <w:pPr>
              <w:pStyle w:val="TableBodyText"/>
            </w:pPr>
            <w:r w:rsidRPr="00D73033">
              <w:t>x</w:t>
            </w:r>
          </w:p>
        </w:tc>
        <w:tc>
          <w:tcPr>
            <w:tcW w:w="390" w:type="pct"/>
            <w:shd w:val="clear" w:color="auto" w:fill="auto"/>
          </w:tcPr>
          <w:p w:rsidR="00206A36" w:rsidRPr="00D73033" w:rsidRDefault="00206A36" w:rsidP="00604EF6">
            <w:pPr>
              <w:pStyle w:val="TableBodyText"/>
            </w:pPr>
            <w:r w:rsidRPr="00D73033">
              <w:t>x</w:t>
            </w:r>
          </w:p>
        </w:tc>
      </w:tr>
      <w:tr w:rsidR="00206A36" w:rsidRPr="00D73033" w:rsidTr="002352A8">
        <w:tc>
          <w:tcPr>
            <w:tcW w:w="153" w:type="pct"/>
            <w:tcBorders>
              <w:bottom w:val="single" w:sz="4" w:space="0" w:color="auto"/>
            </w:tcBorders>
            <w:shd w:val="clear" w:color="auto" w:fill="auto"/>
          </w:tcPr>
          <w:p w:rsidR="00206A36" w:rsidRPr="00D73033" w:rsidRDefault="00206A36" w:rsidP="00C3586E">
            <w:pPr>
              <w:pStyle w:val="TableBodyText"/>
              <w:jc w:val="left"/>
            </w:pPr>
          </w:p>
        </w:tc>
        <w:tc>
          <w:tcPr>
            <w:tcW w:w="1707" w:type="pct"/>
            <w:tcBorders>
              <w:bottom w:val="single" w:sz="4" w:space="0" w:color="auto"/>
            </w:tcBorders>
            <w:shd w:val="clear" w:color="auto" w:fill="auto"/>
          </w:tcPr>
          <w:p w:rsidR="00206A36" w:rsidRPr="00D73033" w:rsidRDefault="00206A36" w:rsidP="00C3586E">
            <w:pPr>
              <w:pStyle w:val="TableBodyText"/>
              <w:jc w:val="left"/>
            </w:pPr>
            <w:r w:rsidRPr="00D73033">
              <w:t>Child care centres</w:t>
            </w:r>
          </w:p>
        </w:tc>
        <w:tc>
          <w:tcPr>
            <w:tcW w:w="404" w:type="pct"/>
            <w:tcBorders>
              <w:bottom w:val="single" w:sz="4" w:space="0" w:color="auto"/>
            </w:tcBorders>
            <w:shd w:val="clear" w:color="auto" w:fill="auto"/>
          </w:tcPr>
          <w:p w:rsidR="00206A36" w:rsidRPr="00D73033" w:rsidRDefault="00206A36" w:rsidP="00604EF6">
            <w:pPr>
              <w:pStyle w:val="TableBodyText"/>
            </w:pPr>
            <w:r w:rsidRPr="00D73033">
              <w:rPr>
                <w:szCs w:val="24"/>
              </w:rPr>
              <w:sym w:font="Wingdings" w:char="F0FC"/>
            </w:r>
          </w:p>
        </w:tc>
        <w:tc>
          <w:tcPr>
            <w:tcW w:w="404" w:type="pct"/>
            <w:tcBorders>
              <w:bottom w:val="single" w:sz="4" w:space="0" w:color="auto"/>
            </w:tcBorders>
            <w:shd w:val="clear" w:color="auto" w:fill="auto"/>
          </w:tcPr>
          <w:p w:rsidR="00206A36" w:rsidRPr="00D73033" w:rsidRDefault="00206A36" w:rsidP="00604EF6">
            <w:pPr>
              <w:pStyle w:val="TableBodyText"/>
            </w:pPr>
            <w:r w:rsidRPr="00D73033">
              <w:rPr>
                <w:szCs w:val="24"/>
              </w:rPr>
              <w:sym w:font="Wingdings" w:char="F0FC"/>
            </w:r>
          </w:p>
        </w:tc>
        <w:tc>
          <w:tcPr>
            <w:tcW w:w="405" w:type="pct"/>
            <w:tcBorders>
              <w:bottom w:val="single" w:sz="4" w:space="0" w:color="auto"/>
            </w:tcBorders>
            <w:shd w:val="clear" w:color="auto" w:fill="auto"/>
          </w:tcPr>
          <w:p w:rsidR="00206A36" w:rsidRPr="00D73033" w:rsidRDefault="00206A36" w:rsidP="00604EF6">
            <w:pPr>
              <w:pStyle w:val="TableBodyText"/>
            </w:pPr>
            <w:r w:rsidRPr="00D73033">
              <w:rPr>
                <w:szCs w:val="24"/>
              </w:rPr>
              <w:sym w:font="Wingdings" w:char="F0FC"/>
            </w:r>
          </w:p>
        </w:tc>
        <w:tc>
          <w:tcPr>
            <w:tcW w:w="404" w:type="pct"/>
            <w:tcBorders>
              <w:bottom w:val="single" w:sz="4" w:space="0" w:color="auto"/>
            </w:tcBorders>
            <w:shd w:val="clear" w:color="auto" w:fill="auto"/>
          </w:tcPr>
          <w:p w:rsidR="00206A36" w:rsidRPr="00D73033" w:rsidRDefault="00206A36" w:rsidP="00604EF6">
            <w:pPr>
              <w:pStyle w:val="TableBodyText"/>
            </w:pPr>
            <w:r w:rsidRPr="00D73033">
              <w:t>x</w:t>
            </w:r>
          </w:p>
        </w:tc>
        <w:tc>
          <w:tcPr>
            <w:tcW w:w="324" w:type="pct"/>
            <w:tcBorders>
              <w:bottom w:val="single" w:sz="4" w:space="0" w:color="auto"/>
            </w:tcBorders>
            <w:shd w:val="clear" w:color="auto" w:fill="auto"/>
          </w:tcPr>
          <w:p w:rsidR="00206A36" w:rsidRPr="00D73033" w:rsidRDefault="00206A36" w:rsidP="00604EF6">
            <w:pPr>
              <w:pStyle w:val="TableBodyText"/>
            </w:pPr>
            <w:r w:rsidRPr="00D73033">
              <w:rPr>
                <w:szCs w:val="24"/>
              </w:rPr>
              <w:sym w:font="Wingdings" w:char="F0FC"/>
            </w:r>
          </w:p>
        </w:tc>
        <w:tc>
          <w:tcPr>
            <w:tcW w:w="404" w:type="pct"/>
            <w:tcBorders>
              <w:bottom w:val="single" w:sz="4" w:space="0" w:color="auto"/>
            </w:tcBorders>
            <w:shd w:val="clear" w:color="auto" w:fill="auto"/>
          </w:tcPr>
          <w:p w:rsidR="00206A36" w:rsidRPr="00D73033" w:rsidRDefault="00A81E55" w:rsidP="00604EF6">
            <w:pPr>
              <w:pStyle w:val="TableBodyText"/>
            </w:pPr>
            <w:r w:rsidRPr="00D73033">
              <w:t>x</w:t>
            </w:r>
          </w:p>
        </w:tc>
        <w:tc>
          <w:tcPr>
            <w:tcW w:w="405" w:type="pct"/>
            <w:tcBorders>
              <w:bottom w:val="single" w:sz="4" w:space="0" w:color="auto"/>
            </w:tcBorders>
            <w:shd w:val="clear" w:color="auto" w:fill="auto"/>
          </w:tcPr>
          <w:p w:rsidR="00206A36" w:rsidRPr="00D73033" w:rsidRDefault="00206A36" w:rsidP="00604EF6">
            <w:pPr>
              <w:pStyle w:val="TableBodyText"/>
            </w:pPr>
            <w:r w:rsidRPr="00D73033">
              <w:t>x</w:t>
            </w:r>
          </w:p>
        </w:tc>
        <w:tc>
          <w:tcPr>
            <w:tcW w:w="390" w:type="pct"/>
            <w:tcBorders>
              <w:bottom w:val="single" w:sz="4" w:space="0" w:color="auto"/>
            </w:tcBorders>
            <w:shd w:val="clear" w:color="auto" w:fill="auto"/>
          </w:tcPr>
          <w:p w:rsidR="00206A36" w:rsidRPr="00D73033" w:rsidRDefault="00206A36" w:rsidP="00604EF6">
            <w:pPr>
              <w:pStyle w:val="TableBodyText"/>
            </w:pPr>
            <w:r w:rsidRPr="00D73033">
              <w:t>x</w:t>
            </w:r>
          </w:p>
        </w:tc>
      </w:tr>
    </w:tbl>
    <w:p w:rsidR="00FC6BC2" w:rsidRPr="00015A40" w:rsidRDefault="00206A36" w:rsidP="00C3586E">
      <w:pPr>
        <w:pStyle w:val="Note"/>
        <w:keepNext/>
        <w:rPr>
          <w:rStyle w:val="NoteLabel"/>
          <w:b w:val="0"/>
          <w:position w:val="0"/>
        </w:rPr>
      </w:pPr>
      <w:r w:rsidRPr="00D73033">
        <w:rPr>
          <w:rStyle w:val="NoteLabel"/>
          <w:position w:val="0"/>
        </w:rPr>
        <w:t>X</w:t>
      </w:r>
      <w:r w:rsidRPr="00D73033">
        <w:rPr>
          <w:rStyle w:val="NoteLabel"/>
          <w:b w:val="0"/>
          <w:position w:val="0"/>
        </w:rPr>
        <w:t xml:space="preserve"> </w:t>
      </w:r>
      <w:r w:rsidR="00DC7DEA">
        <w:rPr>
          <w:rStyle w:val="NoteLabel"/>
          <w:b w:val="0"/>
          <w:position w:val="0"/>
        </w:rPr>
        <w:t xml:space="preserve">= </w:t>
      </w:r>
      <w:r w:rsidRPr="00D73033">
        <w:rPr>
          <w:rStyle w:val="NoteLabel"/>
          <w:b w:val="0"/>
          <w:position w:val="0"/>
        </w:rPr>
        <w:t>Not governm</w:t>
      </w:r>
      <w:r>
        <w:rPr>
          <w:rStyle w:val="NoteLabel"/>
          <w:b w:val="0"/>
          <w:position w:val="0"/>
        </w:rPr>
        <w:t>ent funded</w:t>
      </w:r>
      <w:r w:rsidR="00EA087C">
        <w:rPr>
          <w:rStyle w:val="NoteLabel"/>
          <w:b w:val="0"/>
          <w:position w:val="0"/>
        </w:rPr>
        <w:t>.</w:t>
      </w:r>
    </w:p>
    <w:p w:rsidR="006D4696" w:rsidRPr="006D4696" w:rsidRDefault="005925E8" w:rsidP="002B06E9">
      <w:pPr>
        <w:pStyle w:val="Note"/>
        <w:keepNext/>
      </w:pPr>
      <w:proofErr w:type="spellStart"/>
      <w:r>
        <w:rPr>
          <w:rStyle w:val="NoteLabel"/>
        </w:rPr>
        <w:t>a</w:t>
      </w:r>
      <w:proofErr w:type="spellEnd"/>
      <w:r w:rsidR="00206A36">
        <w:rPr>
          <w:rStyle w:val="NoteLabel"/>
        </w:rPr>
        <w:t> </w:t>
      </w:r>
      <w:r w:rsidR="00344086">
        <w:t>In Queensland a non</w:t>
      </w:r>
      <w:r w:rsidR="00172534">
        <w:noBreakHyphen/>
      </w:r>
      <w:r w:rsidR="00344086">
        <w:t>government kindergarten program may be delivered on a government school site but is not operated by the school</w:t>
      </w:r>
      <w:r w:rsidR="00344086" w:rsidRPr="002B06E9">
        <w:t>.</w:t>
      </w:r>
      <w:r w:rsidR="009D1017" w:rsidRPr="002B06E9">
        <w:rPr>
          <w:rStyle w:val="NoteLabel"/>
        </w:rPr>
        <w:t xml:space="preserve"> b</w:t>
      </w:r>
      <w:r w:rsidR="00344086" w:rsidRPr="002B06E9">
        <w:rPr>
          <w:rStyle w:val="NoteLabel"/>
        </w:rPr>
        <w:t xml:space="preserve"> </w:t>
      </w:r>
      <w:r w:rsidR="00A755AB" w:rsidRPr="002352A8">
        <w:t xml:space="preserve">Tasmania </w:t>
      </w:r>
      <w:r w:rsidR="009D1017" w:rsidRPr="002352A8">
        <w:t>fund</w:t>
      </w:r>
      <w:r w:rsidR="00A755AB" w:rsidRPr="002352A8">
        <w:t>s</w:t>
      </w:r>
      <w:r w:rsidR="009D1017" w:rsidRPr="002352A8">
        <w:t xml:space="preserve"> preschools with a mana</w:t>
      </w:r>
      <w:r w:rsidR="00A81E55" w:rsidRPr="002352A8">
        <w:t>gement type of community sector in a range of settings,</w:t>
      </w:r>
      <w:r w:rsidR="009D1017" w:rsidRPr="002352A8">
        <w:t xml:space="preserve"> if the preschool is registered as a non</w:t>
      </w:r>
      <w:r w:rsidR="00172534">
        <w:noBreakHyphen/>
      </w:r>
      <w:r w:rsidR="009D1017" w:rsidRPr="002352A8">
        <w:t>government school.</w:t>
      </w:r>
      <w:r w:rsidR="009D1017" w:rsidRPr="006A35CA">
        <w:t xml:space="preserve"> </w:t>
      </w:r>
      <w:r w:rsidR="009D1017" w:rsidRPr="006A35CA">
        <w:rPr>
          <w:rStyle w:val="NoteLabel"/>
        </w:rPr>
        <w:t>c</w:t>
      </w:r>
      <w:r w:rsidR="00344086" w:rsidRPr="006A35CA">
        <w:t> No</w:t>
      </w:r>
      <w:r w:rsidR="00206A36" w:rsidRPr="006A35CA">
        <w:t>n</w:t>
      </w:r>
      <w:r w:rsidR="00206A36" w:rsidRPr="006A35CA">
        <w:noBreakHyphen/>
        <w:t>government preschools in the ACT are licensed, but not government funded</w:t>
      </w:r>
      <w:r w:rsidR="00015A40" w:rsidRPr="006A35CA">
        <w:t>.</w:t>
      </w:r>
      <w:r w:rsidR="006A35CA">
        <w:t xml:space="preserve"> </w:t>
      </w:r>
      <w:r w:rsidR="009D1017">
        <w:rPr>
          <w:rStyle w:val="NoteLabel"/>
        </w:rPr>
        <w:t>d</w:t>
      </w:r>
      <w:r w:rsidR="00F3369A">
        <w:t> </w:t>
      </w:r>
      <w:r w:rsidR="00F3369A" w:rsidRPr="00F3369A">
        <w:t xml:space="preserve">In </w:t>
      </w:r>
      <w:r w:rsidR="00F3369A">
        <w:t xml:space="preserve">the </w:t>
      </w:r>
      <w:r w:rsidR="00A64E2E">
        <w:t>NT, only 4 Catholic r</w:t>
      </w:r>
      <w:r w:rsidR="00F3369A" w:rsidRPr="00F3369A">
        <w:t xml:space="preserve">emote </w:t>
      </w:r>
      <w:r w:rsidR="00A64E2E">
        <w:t>s</w:t>
      </w:r>
      <w:r w:rsidR="00A755AB">
        <w:t>chools receive NT G</w:t>
      </w:r>
      <w:r w:rsidR="00F3369A" w:rsidRPr="00F3369A">
        <w:t>overnment funding for preschool</w:t>
      </w:r>
      <w:r w:rsidR="005E5C16">
        <w:t xml:space="preserve"> services</w:t>
      </w:r>
      <w:r w:rsidR="00F3369A" w:rsidRPr="00F3369A">
        <w:t>.</w:t>
      </w:r>
      <w:r w:rsidR="006D4696">
        <w:t xml:space="preserve"> </w:t>
      </w:r>
      <w:proofErr w:type="spellStart"/>
      <w:r w:rsidR="006D4696" w:rsidRPr="006D4696">
        <w:rPr>
          <w:b/>
        </w:rPr>
        <w:t>na</w:t>
      </w:r>
      <w:proofErr w:type="spellEnd"/>
      <w:r w:rsidR="006D4696" w:rsidRPr="006D4696">
        <w:rPr>
          <w:b/>
        </w:rPr>
        <w:t xml:space="preserve"> </w:t>
      </w:r>
      <w:r w:rsidR="006A35CA">
        <w:t>N</w:t>
      </w:r>
      <w:r w:rsidR="006D4696" w:rsidRPr="006D4696">
        <w:t>ot available.</w:t>
      </w:r>
    </w:p>
    <w:p w:rsidR="004B1CBC" w:rsidRDefault="004B1CBC" w:rsidP="00C3586E">
      <w:pPr>
        <w:pStyle w:val="Source"/>
        <w:keepNext/>
      </w:pPr>
      <w:r w:rsidRPr="003E11F9">
        <w:rPr>
          <w:i/>
        </w:rPr>
        <w:t>Source</w:t>
      </w:r>
      <w:r w:rsidR="00125E1B">
        <w:t>: State and Territory g</w:t>
      </w:r>
      <w:r w:rsidRPr="003E11F9">
        <w:t>overnments (unpublished).</w:t>
      </w:r>
    </w:p>
    <w:p w:rsidR="00EE344A" w:rsidRDefault="00EE344A" w:rsidP="00C3586E">
      <w:pPr>
        <w:pStyle w:val="BodyText"/>
      </w:pPr>
      <w:r>
        <w:t>Some data are also included on non</w:t>
      </w:r>
      <w:r w:rsidR="00172534">
        <w:noBreakHyphen/>
      </w:r>
      <w:r>
        <w:t>government preschools which are licensed, registered and/or approved by State and Territory governments (box</w:t>
      </w:r>
      <w:r w:rsidR="00172534">
        <w:t> </w:t>
      </w:r>
      <w:r w:rsidR="002759D2">
        <w:t>3.9</w:t>
      </w:r>
      <w:r>
        <w:t>).</w:t>
      </w:r>
    </w:p>
    <w:p w:rsidR="00DF4D43" w:rsidRDefault="00B57DA4" w:rsidP="00776FE7">
      <w:pPr>
        <w:pStyle w:val="Heading4"/>
      </w:pPr>
      <w:r>
        <w:t xml:space="preserve">Integrated </w:t>
      </w:r>
      <w:r w:rsidR="00C9172A">
        <w:t>early childhood education and care</w:t>
      </w:r>
      <w:r>
        <w:t xml:space="preserve"> services</w:t>
      </w:r>
    </w:p>
    <w:p w:rsidR="00A40E99" w:rsidRDefault="0079413C" w:rsidP="002B06E9">
      <w:pPr>
        <w:pStyle w:val="BodyText"/>
      </w:pPr>
      <w:r>
        <w:t>A development a</w:t>
      </w:r>
      <w:r w:rsidR="00A14B20">
        <w:t xml:space="preserve">cross the </w:t>
      </w:r>
      <w:r w:rsidR="009F46F6">
        <w:t>e</w:t>
      </w:r>
      <w:r w:rsidR="008E68E3">
        <w:t xml:space="preserve">arly </w:t>
      </w:r>
      <w:r w:rsidR="00C9172A">
        <w:t xml:space="preserve">childhood education and care </w:t>
      </w:r>
      <w:r>
        <w:t>sector</w:t>
      </w:r>
      <w:r w:rsidR="00E126BD">
        <w:t xml:space="preserve"> </w:t>
      </w:r>
      <w:r w:rsidR="001C6FC6">
        <w:t xml:space="preserve">is </w:t>
      </w:r>
      <w:r>
        <w:t>the</w:t>
      </w:r>
      <w:r w:rsidR="008E68E3">
        <w:t xml:space="preserve"> </w:t>
      </w:r>
      <w:r w:rsidR="001C6FC6">
        <w:t>provision of integrated services</w:t>
      </w:r>
      <w:r w:rsidR="008F1A41">
        <w:t xml:space="preserve"> designed to provide families with seamless access to a range of </w:t>
      </w:r>
      <w:r w:rsidR="0044484D">
        <w:t>services</w:t>
      </w:r>
      <w:r w:rsidR="001C6FC6">
        <w:t xml:space="preserve"> </w:t>
      </w:r>
      <w:r w:rsidR="0042645F">
        <w:t xml:space="preserve">for </w:t>
      </w:r>
      <w:r w:rsidR="001C6FC6">
        <w:t>children</w:t>
      </w:r>
      <w:r w:rsidR="0044484D">
        <w:t>.</w:t>
      </w:r>
    </w:p>
    <w:p w:rsidR="00C335FD" w:rsidRDefault="00DA7DEB" w:rsidP="00776FE7">
      <w:pPr>
        <w:pStyle w:val="BodyText"/>
      </w:pPr>
      <w:r>
        <w:t xml:space="preserve">Integrated services </w:t>
      </w:r>
      <w:r w:rsidR="000F113F">
        <w:t xml:space="preserve">fit </w:t>
      </w:r>
      <w:r>
        <w:t xml:space="preserve">along an ‘integration continuum’ from cooperation (with some information sharing between services) to full integration </w:t>
      </w:r>
      <w:r w:rsidR="00933CFA">
        <w:t>(</w:t>
      </w:r>
      <w:r>
        <w:t>where services are merged</w:t>
      </w:r>
      <w:r w:rsidR="00933CFA">
        <w:t>)</w:t>
      </w:r>
      <w:r>
        <w:t xml:space="preserve">. All states and territories provide </w:t>
      </w:r>
      <w:r w:rsidR="00C9172A">
        <w:t xml:space="preserve">early childhood education and care </w:t>
      </w:r>
      <w:r>
        <w:t>in an integrated way, but the range of services offered and the extent and model of integration differs across states and te</w:t>
      </w:r>
      <w:r w:rsidR="00D24CA3">
        <w:t>rritories and between service providers</w:t>
      </w:r>
      <w:r w:rsidR="00BE7A85">
        <w:t>.</w:t>
      </w:r>
    </w:p>
    <w:p w:rsidR="007E50F6" w:rsidRPr="008B42D1" w:rsidRDefault="00A40E99" w:rsidP="00E75084">
      <w:pPr>
        <w:pStyle w:val="BodyText"/>
        <w:shd w:val="clear" w:color="auto" w:fill="FFFFFF" w:themeFill="background1"/>
        <w:rPr>
          <w:rStyle w:val="BoxChar"/>
        </w:rPr>
      </w:pPr>
      <w:r w:rsidRPr="004755AC">
        <w:t>Traditionally</w:t>
      </w:r>
      <w:r w:rsidR="0042645F" w:rsidRPr="004755AC">
        <w:t>,</w:t>
      </w:r>
      <w:r w:rsidRPr="004755AC">
        <w:t xml:space="preserve"> integrated </w:t>
      </w:r>
      <w:r w:rsidR="00C9172A" w:rsidRPr="004755AC">
        <w:t>early childhood education and care</w:t>
      </w:r>
      <w:r w:rsidRPr="004755AC">
        <w:t xml:space="preserve"> services </w:t>
      </w:r>
      <w:r w:rsidR="00B57DA4" w:rsidRPr="004755AC">
        <w:t>relate</w:t>
      </w:r>
      <w:r w:rsidR="00D24CA3" w:rsidRPr="004755AC">
        <w:t>d</w:t>
      </w:r>
      <w:r w:rsidRPr="004755AC">
        <w:t xml:space="preserve"> </w:t>
      </w:r>
      <w:r w:rsidR="000F113F" w:rsidRPr="004755AC">
        <w:t xml:space="preserve">to </w:t>
      </w:r>
      <w:r w:rsidRPr="004755AC">
        <w:t xml:space="preserve">a preschool program </w:t>
      </w:r>
      <w:r w:rsidR="00933CFA" w:rsidRPr="004755AC">
        <w:t>being</w:t>
      </w:r>
      <w:r w:rsidR="00F4593F" w:rsidRPr="004755AC">
        <w:t xml:space="preserve"> </w:t>
      </w:r>
      <w:r w:rsidRPr="004755AC">
        <w:t>offered in a child care setting</w:t>
      </w:r>
      <w:r w:rsidR="00A51BE7" w:rsidRPr="004755AC">
        <w:t>.</w:t>
      </w:r>
      <w:r w:rsidRPr="004755AC">
        <w:t xml:space="preserve"> </w:t>
      </w:r>
      <w:r w:rsidR="00933CFA" w:rsidRPr="002B06E9">
        <w:rPr>
          <w:shd w:val="clear" w:color="auto" w:fill="FFFFFF" w:themeFill="background1"/>
        </w:rPr>
        <w:t>N</w:t>
      </w:r>
      <w:r w:rsidR="00982246" w:rsidRPr="002B06E9">
        <w:rPr>
          <w:shd w:val="clear" w:color="auto" w:fill="FFFFFF" w:themeFill="background1"/>
        </w:rPr>
        <w:t xml:space="preserve">ationally </w:t>
      </w:r>
      <w:r w:rsidR="0042645F" w:rsidRPr="002B06E9">
        <w:rPr>
          <w:shd w:val="clear" w:color="auto" w:fill="FFFFFF" w:themeFill="background1"/>
        </w:rPr>
        <w:t xml:space="preserve">in </w:t>
      </w:r>
      <w:r w:rsidR="00982246" w:rsidRPr="002B06E9">
        <w:rPr>
          <w:shd w:val="clear" w:color="auto" w:fill="FFFFFF" w:themeFill="background1"/>
        </w:rPr>
        <w:t>201</w:t>
      </w:r>
      <w:r w:rsidR="00A944A1">
        <w:rPr>
          <w:shd w:val="clear" w:color="auto" w:fill="FFFFFF" w:themeFill="background1"/>
        </w:rPr>
        <w:t>2</w:t>
      </w:r>
      <w:r w:rsidR="00982246" w:rsidRPr="002B06E9">
        <w:rPr>
          <w:shd w:val="clear" w:color="auto" w:fill="FFFFFF" w:themeFill="background1"/>
        </w:rPr>
        <w:t xml:space="preserve"> there </w:t>
      </w:r>
      <w:r w:rsidR="00982246" w:rsidRPr="00E75084">
        <w:rPr>
          <w:shd w:val="clear" w:color="auto" w:fill="FFFFFF" w:themeFill="background1"/>
        </w:rPr>
        <w:t xml:space="preserve">were </w:t>
      </w:r>
      <w:r w:rsidR="00A944A1">
        <w:rPr>
          <w:shd w:val="clear" w:color="auto" w:fill="FFFFFF" w:themeFill="background1"/>
        </w:rPr>
        <w:t>3287</w:t>
      </w:r>
      <w:r w:rsidR="004755AC" w:rsidRPr="00E75084">
        <w:rPr>
          <w:shd w:val="clear" w:color="auto" w:fill="FFFFFF" w:themeFill="background1"/>
        </w:rPr>
        <w:t xml:space="preserve"> long</w:t>
      </w:r>
      <w:r w:rsidR="004755AC" w:rsidRPr="002B06E9">
        <w:rPr>
          <w:shd w:val="clear" w:color="auto" w:fill="FFFFFF" w:themeFill="background1"/>
        </w:rPr>
        <w:t xml:space="preserve"> day care </w:t>
      </w:r>
      <w:r w:rsidRPr="002B06E9">
        <w:rPr>
          <w:shd w:val="clear" w:color="auto" w:fill="FFFFFF" w:themeFill="background1"/>
        </w:rPr>
        <w:t>centres offering a preschool program</w:t>
      </w:r>
      <w:r w:rsidR="000F113F" w:rsidRPr="002B06E9">
        <w:rPr>
          <w:shd w:val="clear" w:color="auto" w:fill="FFFFFF" w:themeFill="background1"/>
        </w:rPr>
        <w:t xml:space="preserve"> (</w:t>
      </w:r>
      <w:r w:rsidR="005E4B28">
        <w:rPr>
          <w:shd w:val="clear" w:color="auto" w:fill="FFFFFF" w:themeFill="background1"/>
        </w:rPr>
        <w:t>A</w:t>
      </w:r>
      <w:r w:rsidR="007C4C5D">
        <w:rPr>
          <w:shd w:val="clear" w:color="auto" w:fill="FFFFFF" w:themeFill="background1"/>
        </w:rPr>
        <w:t>ustralian Bureau of Statistics [ABS]</w:t>
      </w:r>
      <w:r w:rsidR="000F113F" w:rsidRPr="002B06E9">
        <w:rPr>
          <w:shd w:val="clear" w:color="auto" w:fill="FFFFFF" w:themeFill="background1"/>
        </w:rPr>
        <w:t> </w:t>
      </w:r>
      <w:r w:rsidR="00953DE9" w:rsidRPr="002B06E9">
        <w:rPr>
          <w:shd w:val="clear" w:color="auto" w:fill="FFFFFF" w:themeFill="background1"/>
        </w:rPr>
        <w:t>20</w:t>
      </w:r>
      <w:r w:rsidR="004755AC" w:rsidRPr="002B06E9">
        <w:rPr>
          <w:shd w:val="clear" w:color="auto" w:fill="FFFFFF" w:themeFill="background1"/>
        </w:rPr>
        <w:t>1</w:t>
      </w:r>
      <w:r w:rsidR="005B5FC3">
        <w:rPr>
          <w:shd w:val="clear" w:color="auto" w:fill="FFFFFF" w:themeFill="background1"/>
        </w:rPr>
        <w:t>3</w:t>
      </w:r>
      <w:r w:rsidR="00AB7A91" w:rsidRPr="002B06E9">
        <w:rPr>
          <w:shd w:val="clear" w:color="auto" w:fill="FFFFFF" w:themeFill="background1"/>
        </w:rPr>
        <w:t>)</w:t>
      </w:r>
      <w:r w:rsidRPr="002B06E9">
        <w:rPr>
          <w:shd w:val="clear" w:color="auto" w:fill="FFFFFF" w:themeFill="background1"/>
        </w:rPr>
        <w:t>.</w:t>
      </w:r>
      <w:r w:rsidR="009141DA" w:rsidRPr="00BC30B5">
        <w:t xml:space="preserve"> </w:t>
      </w:r>
    </w:p>
    <w:p w:rsidR="00982246" w:rsidRDefault="003A304C" w:rsidP="002B06E9">
      <w:pPr>
        <w:pStyle w:val="BodyText"/>
      </w:pPr>
      <w:r>
        <w:t xml:space="preserve">More recently, a </w:t>
      </w:r>
      <w:r w:rsidR="00B57DA4" w:rsidRPr="002B06E9">
        <w:t xml:space="preserve">broader </w:t>
      </w:r>
      <w:r w:rsidR="0019559D" w:rsidRPr="002B06E9">
        <w:t xml:space="preserve">range of </w:t>
      </w:r>
      <w:r w:rsidR="00B57DA4" w:rsidRPr="002B06E9">
        <w:t xml:space="preserve">integrated </w:t>
      </w:r>
      <w:r w:rsidR="0019559D" w:rsidRPr="002B06E9">
        <w:t>services</w:t>
      </w:r>
      <w:r>
        <w:t xml:space="preserve"> are</w:t>
      </w:r>
      <w:r w:rsidR="0079413C" w:rsidRPr="002B06E9">
        <w:t xml:space="preserve"> being provided</w:t>
      </w:r>
      <w:r w:rsidR="0019559D" w:rsidRPr="002B06E9">
        <w:t xml:space="preserve"> </w:t>
      </w:r>
      <w:r w:rsidR="00D24CA3" w:rsidRPr="002B06E9">
        <w:t>to children and families</w:t>
      </w:r>
      <w:r w:rsidR="0042645F" w:rsidRPr="002B06E9">
        <w:t>,</w:t>
      </w:r>
      <w:r w:rsidR="00D24CA3" w:rsidRPr="002B06E9">
        <w:t xml:space="preserve"> including not only </w:t>
      </w:r>
      <w:r w:rsidR="0019559D" w:rsidRPr="002B06E9">
        <w:t xml:space="preserve">preschool and </w:t>
      </w:r>
      <w:r w:rsidR="0042645F" w:rsidRPr="002B06E9">
        <w:t xml:space="preserve">child </w:t>
      </w:r>
      <w:r w:rsidR="0019559D" w:rsidRPr="002B06E9">
        <w:t>care</w:t>
      </w:r>
      <w:r w:rsidR="00D24CA3" w:rsidRPr="002B06E9">
        <w:t xml:space="preserve"> but also</w:t>
      </w:r>
      <w:r w:rsidR="00A51336" w:rsidRPr="002B06E9">
        <w:t xml:space="preserve"> </w:t>
      </w:r>
      <w:r w:rsidR="00DA7DEB" w:rsidRPr="002B06E9">
        <w:t xml:space="preserve">maternal and </w:t>
      </w:r>
      <w:r w:rsidR="00A51336" w:rsidRPr="002B06E9">
        <w:t>child health</w:t>
      </w:r>
      <w:r w:rsidR="000F113F" w:rsidRPr="002B06E9">
        <w:t>,</w:t>
      </w:r>
      <w:r w:rsidR="00A51336" w:rsidRPr="002B06E9">
        <w:t xml:space="preserve"> and </w:t>
      </w:r>
      <w:r w:rsidR="00DA7DEB" w:rsidRPr="002B06E9">
        <w:t>family support services</w:t>
      </w:r>
      <w:r w:rsidR="00A51336" w:rsidRPr="002B06E9">
        <w:t>.</w:t>
      </w:r>
      <w:r w:rsidR="00A51336">
        <w:t xml:space="preserve"> </w:t>
      </w:r>
      <w:r w:rsidR="00B57DA4">
        <w:t>The</w:t>
      </w:r>
      <w:r w:rsidR="00DA7DEB">
        <w:t xml:space="preserve"> </w:t>
      </w:r>
      <w:r w:rsidR="00B57DA4">
        <w:t xml:space="preserve">range of </w:t>
      </w:r>
      <w:r w:rsidR="006527CA">
        <w:t xml:space="preserve">integrated </w:t>
      </w:r>
      <w:r w:rsidR="0042645F">
        <w:t xml:space="preserve">services </w:t>
      </w:r>
      <w:r w:rsidR="0019559D">
        <w:t>differ</w:t>
      </w:r>
      <w:r w:rsidR="006527CA">
        <w:t>s</w:t>
      </w:r>
      <w:r w:rsidR="0019559D">
        <w:t xml:space="preserve"> according to community need</w:t>
      </w:r>
      <w:r w:rsidR="006527CA">
        <w:t>, and</w:t>
      </w:r>
      <w:r w:rsidR="0019559D">
        <w:t xml:space="preserve"> integrated </w:t>
      </w:r>
      <w:r w:rsidR="00C9172A">
        <w:t>early childhood education and care</w:t>
      </w:r>
      <w:r w:rsidR="0019559D">
        <w:t xml:space="preserve"> </w:t>
      </w:r>
      <w:r w:rsidR="0019559D">
        <w:lastRenderedPageBreak/>
        <w:t xml:space="preserve">services are more commonly placed in disadvantaged communities, </w:t>
      </w:r>
      <w:r w:rsidR="00933CFA">
        <w:t xml:space="preserve">and provide </w:t>
      </w:r>
      <w:r w:rsidR="0019559D">
        <w:t xml:space="preserve">particular </w:t>
      </w:r>
      <w:r w:rsidR="00D24CA3">
        <w:t xml:space="preserve">specialised </w:t>
      </w:r>
      <w:r w:rsidR="0019559D">
        <w:t>services.</w:t>
      </w:r>
    </w:p>
    <w:p w:rsidR="00AD7BAC" w:rsidRPr="00AD7BAC" w:rsidRDefault="00923A1C" w:rsidP="00C3586E">
      <w:pPr>
        <w:pStyle w:val="Heading2"/>
      </w:pPr>
      <w:bookmarkStart w:id="6" w:name="_Toc372899999"/>
      <w:r>
        <w:t>3.</w:t>
      </w:r>
      <w:r w:rsidR="002E4BE8">
        <w:rPr>
          <w:noProof/>
        </w:rPr>
        <w:t>2</w:t>
      </w:r>
      <w:r w:rsidR="00AD7BAC">
        <w:tab/>
      </w:r>
      <w:r w:rsidR="00AD7BAC" w:rsidRPr="00AD7BAC">
        <w:t>Framework of performance indicators</w:t>
      </w:r>
      <w:bookmarkEnd w:id="6"/>
    </w:p>
    <w:p w:rsidR="00D24CA3" w:rsidRDefault="009F6C0B" w:rsidP="00776FE7">
      <w:pPr>
        <w:pStyle w:val="BodyText"/>
      </w:pPr>
      <w:proofErr w:type="spellStart"/>
      <w:r w:rsidRPr="00BD2A6C">
        <w:t>COAG</w:t>
      </w:r>
      <w:proofErr w:type="spellEnd"/>
      <w:r w:rsidRPr="00BD2A6C">
        <w:t xml:space="preserve"> has agreed six National Agreements</w:t>
      </w:r>
      <w:r w:rsidR="0074674C">
        <w:t xml:space="preserve"> (NAs)</w:t>
      </w:r>
      <w:r w:rsidRPr="00BD2A6C">
        <w:t xml:space="preserve"> to enhance accountability to the public for the outcomes achieved or outputs delivered by</w:t>
      </w:r>
      <w:r w:rsidR="006301FD">
        <w:t xml:space="preserve"> a range of government services</w:t>
      </w:r>
      <w:r w:rsidRPr="00BD2A6C">
        <w:t xml:space="preserve"> (see chapter</w:t>
      </w:r>
      <w:r w:rsidR="00172534">
        <w:t> </w:t>
      </w:r>
      <w:r w:rsidRPr="00BD2A6C">
        <w:t xml:space="preserve">1 for more detail on reforms to federal financial relations). </w:t>
      </w:r>
    </w:p>
    <w:p w:rsidR="004E6CC9" w:rsidRDefault="00001575" w:rsidP="00E97CD1">
      <w:pPr>
        <w:pStyle w:val="BodyText"/>
      </w:pPr>
      <w:r>
        <w:t xml:space="preserve">There are no </w:t>
      </w:r>
      <w:r w:rsidR="007864B3">
        <w:t xml:space="preserve">service specific </w:t>
      </w:r>
      <w:r w:rsidR="0074674C">
        <w:t>NAs</w:t>
      </w:r>
      <w:r w:rsidR="007864B3">
        <w:t xml:space="preserve"> that </w:t>
      </w:r>
      <w:r w:rsidR="00197218">
        <w:t xml:space="preserve">relate to </w:t>
      </w:r>
      <w:r w:rsidR="00D9758C">
        <w:t>early childhood education and care services</w:t>
      </w:r>
      <w:r w:rsidR="004E6CC9">
        <w:t>, h</w:t>
      </w:r>
      <w:r>
        <w:t xml:space="preserve">owever, </w:t>
      </w:r>
      <w:r w:rsidRPr="002759D2">
        <w:t>t</w:t>
      </w:r>
      <w:r w:rsidR="002759D2">
        <w:t xml:space="preserve">he National Indigenous </w:t>
      </w:r>
      <w:r w:rsidR="00197218" w:rsidRPr="002759D2">
        <w:t>R</w:t>
      </w:r>
      <w:r w:rsidR="002759D2">
        <w:t xml:space="preserve">eform </w:t>
      </w:r>
      <w:r w:rsidR="00197218" w:rsidRPr="002759D2">
        <w:t>A</w:t>
      </w:r>
      <w:r w:rsidR="002759D2">
        <w:t>greement (</w:t>
      </w:r>
      <w:proofErr w:type="spellStart"/>
      <w:r w:rsidR="002759D2">
        <w:t>NIRA</w:t>
      </w:r>
      <w:proofErr w:type="spellEnd"/>
      <w:r w:rsidR="002759D2">
        <w:t>)</w:t>
      </w:r>
      <w:r w:rsidR="00197218" w:rsidRPr="002759D2">
        <w:t xml:space="preserve"> includes an indicator </w:t>
      </w:r>
      <w:r w:rsidR="004E6CC9" w:rsidRPr="002759D2">
        <w:t xml:space="preserve">relevant to this service. Performance indicators reported in this chapter are aligned with relevant performance indicators in </w:t>
      </w:r>
      <w:r w:rsidR="003A304C">
        <w:t xml:space="preserve">the </w:t>
      </w:r>
      <w:proofErr w:type="spellStart"/>
      <w:r w:rsidR="004E6CC9" w:rsidRPr="002759D2">
        <w:t>NIRA</w:t>
      </w:r>
      <w:proofErr w:type="spellEnd"/>
      <w:r w:rsidR="004E6CC9" w:rsidRPr="002759D2">
        <w:t xml:space="preserve">. </w:t>
      </w:r>
    </w:p>
    <w:p w:rsidR="00AD7BAC" w:rsidRDefault="00AD7BAC" w:rsidP="00E97CD1">
      <w:pPr>
        <w:pStyle w:val="BodyText"/>
      </w:pPr>
      <w:r w:rsidRPr="00AD7BAC">
        <w:t xml:space="preserve">The framework of performance indicators </w:t>
      </w:r>
      <w:r w:rsidR="00615D45">
        <w:t xml:space="preserve">for </w:t>
      </w:r>
      <w:r w:rsidR="00C9172A">
        <w:t xml:space="preserve">early childhood education and care </w:t>
      </w:r>
      <w:r w:rsidRPr="00AD7BAC">
        <w:t xml:space="preserve">is based on common objectives for </w:t>
      </w:r>
      <w:r w:rsidR="00C9172A">
        <w:t xml:space="preserve">early childhood education and care </w:t>
      </w:r>
      <w:r w:rsidR="00440C85">
        <w:t xml:space="preserve">and is </w:t>
      </w:r>
      <w:r w:rsidRPr="00AD7BAC">
        <w:t xml:space="preserve">endorsed by the </w:t>
      </w:r>
      <w:r w:rsidR="00E5211C">
        <w:t xml:space="preserve">Steering Committee </w:t>
      </w:r>
      <w:r w:rsidRPr="00AD7BAC">
        <w:t>(box</w:t>
      </w:r>
      <w:r w:rsidR="00172534">
        <w:t> </w:t>
      </w:r>
      <w:r w:rsidR="00923A1C">
        <w:t>3.2</w:t>
      </w:r>
      <w:r w:rsidR="00D46A48">
        <w:t>).</w:t>
      </w:r>
    </w:p>
    <w:p w:rsidR="00AD7BAC" w:rsidRDefault="00AD7BAC" w:rsidP="00C3586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D7BAC" w:rsidRPr="00E5211C">
        <w:tc>
          <w:tcPr>
            <w:tcW w:w="8771" w:type="dxa"/>
            <w:tcBorders>
              <w:top w:val="single" w:sz="6" w:space="0" w:color="auto"/>
              <w:bottom w:val="nil"/>
            </w:tcBorders>
          </w:tcPr>
          <w:p w:rsidR="00AD7BAC" w:rsidRPr="00D46A48" w:rsidRDefault="00AD7BAC" w:rsidP="00C81BB7">
            <w:pPr>
              <w:pStyle w:val="BoxTitle"/>
            </w:pPr>
            <w:r w:rsidRPr="00D46A48">
              <w:rPr>
                <w:b w:val="0"/>
              </w:rPr>
              <w:t xml:space="preserve">Box </w:t>
            </w:r>
            <w:bookmarkStart w:id="7" w:name="OLE_LINK2"/>
            <w:r w:rsidR="00923A1C" w:rsidRPr="00D46A48">
              <w:rPr>
                <w:b w:val="0"/>
              </w:rPr>
              <w:t>3.</w:t>
            </w:r>
            <w:r w:rsidR="002E4BE8">
              <w:rPr>
                <w:b w:val="0"/>
                <w:noProof/>
              </w:rPr>
              <w:t>2</w:t>
            </w:r>
            <w:bookmarkEnd w:id="7"/>
            <w:r w:rsidRPr="00D46A48">
              <w:tab/>
              <w:t xml:space="preserve">Objectives for </w:t>
            </w:r>
            <w:r w:rsidR="00C81BB7" w:rsidRPr="00D46A48">
              <w:t>early childhood education and care services</w:t>
            </w:r>
          </w:p>
        </w:tc>
      </w:tr>
      <w:tr w:rsidR="00AD7BAC">
        <w:trPr>
          <w:cantSplit/>
        </w:trPr>
        <w:tc>
          <w:tcPr>
            <w:tcW w:w="8771" w:type="dxa"/>
            <w:tcBorders>
              <w:top w:val="nil"/>
              <w:left w:val="single" w:sz="6" w:space="0" w:color="auto"/>
              <w:bottom w:val="nil"/>
              <w:right w:val="single" w:sz="6" w:space="0" w:color="auto"/>
            </w:tcBorders>
          </w:tcPr>
          <w:p w:rsidR="00AD7BAC" w:rsidRPr="00D46A48" w:rsidRDefault="00C81BB7" w:rsidP="0010442E">
            <w:pPr>
              <w:pStyle w:val="Box"/>
            </w:pPr>
            <w:r w:rsidRPr="00D46A48">
              <w:t xml:space="preserve">Early childhood education and care services </w:t>
            </w:r>
            <w:r w:rsidR="00AD7BAC" w:rsidRPr="00D46A48">
              <w:t>aim to:</w:t>
            </w:r>
          </w:p>
          <w:p w:rsidR="002D760D" w:rsidRPr="00D46A48" w:rsidRDefault="002D760D" w:rsidP="0010442E">
            <w:pPr>
              <w:pStyle w:val="BoxListBullet"/>
            </w:pPr>
            <w:r w:rsidRPr="00D46A48">
              <w:t xml:space="preserve">meet the </w:t>
            </w:r>
            <w:r w:rsidR="00C81BB7" w:rsidRPr="00D46A48">
              <w:t xml:space="preserve">education and </w:t>
            </w:r>
            <w:r w:rsidRPr="00D46A48">
              <w:t>care needs of all children in developmentally appropriate ways, in a</w:t>
            </w:r>
            <w:r w:rsidR="00206799" w:rsidRPr="00D46A48">
              <w:t xml:space="preserve"> safe and nurturing environment</w:t>
            </w:r>
          </w:p>
          <w:p w:rsidR="002D760D" w:rsidRPr="00D46A48" w:rsidRDefault="002D760D" w:rsidP="0010442E">
            <w:pPr>
              <w:pStyle w:val="BoxListBullet"/>
            </w:pPr>
            <w:r w:rsidRPr="00D46A48">
              <w:t xml:space="preserve">provide </w:t>
            </w:r>
            <w:r w:rsidR="00C81BB7" w:rsidRPr="00D46A48">
              <w:t>quality services across a range of settings delivered in an equitable and efficient manner, meeting individual need.</w:t>
            </w:r>
          </w:p>
        </w:tc>
      </w:tr>
      <w:tr w:rsidR="00AD7BAC">
        <w:trPr>
          <w:cantSplit/>
        </w:trPr>
        <w:tc>
          <w:tcPr>
            <w:tcW w:w="8771" w:type="dxa"/>
            <w:tcBorders>
              <w:top w:val="nil"/>
              <w:left w:val="single" w:sz="6" w:space="0" w:color="auto"/>
              <w:bottom w:val="single" w:sz="6" w:space="0" w:color="auto"/>
              <w:right w:val="single" w:sz="6" w:space="0" w:color="auto"/>
            </w:tcBorders>
          </w:tcPr>
          <w:p w:rsidR="00AD7BAC" w:rsidRDefault="00AD7BAC" w:rsidP="00C3586E">
            <w:pPr>
              <w:pStyle w:val="Box"/>
              <w:spacing w:before="0" w:line="120" w:lineRule="exact"/>
            </w:pPr>
          </w:p>
        </w:tc>
      </w:tr>
      <w:tr w:rsidR="00AD7BAC">
        <w:tc>
          <w:tcPr>
            <w:tcW w:w="8771" w:type="dxa"/>
            <w:tcBorders>
              <w:top w:val="nil"/>
              <w:left w:val="nil"/>
              <w:bottom w:val="nil"/>
              <w:right w:val="nil"/>
            </w:tcBorders>
          </w:tcPr>
          <w:p w:rsidR="00AD7BAC" w:rsidRDefault="00AD7BAC" w:rsidP="00C3586E">
            <w:pPr>
              <w:pStyle w:val="Box"/>
              <w:keepNext w:val="0"/>
              <w:spacing w:before="60" w:after="60" w:line="80" w:lineRule="exact"/>
              <w:rPr>
                <w:b/>
                <w:color w:val="FF00FF"/>
                <w:sz w:val="14"/>
              </w:rPr>
            </w:pPr>
          </w:p>
        </w:tc>
      </w:tr>
    </w:tbl>
    <w:p w:rsidR="005B4A10" w:rsidRDefault="00AD7BAC" w:rsidP="002E0CD1">
      <w:pPr>
        <w:pStyle w:val="BodyText"/>
      </w:pPr>
      <w:r w:rsidRPr="00AD7BAC">
        <w:t xml:space="preserve">The </w:t>
      </w:r>
      <w:r w:rsidR="002374AD">
        <w:t xml:space="preserve">performance indicator framework provides information on equity, efficiency and effectiveness, and distinguishes the outputs and outcomes of </w:t>
      </w:r>
      <w:r w:rsidR="00933CFA">
        <w:t>e</w:t>
      </w:r>
      <w:r w:rsidR="00C9172A">
        <w:t>arly childhood education and care</w:t>
      </w:r>
      <w:r w:rsidR="008C4957">
        <w:t xml:space="preserve"> services (figure</w:t>
      </w:r>
      <w:r w:rsidR="00172534">
        <w:t> </w:t>
      </w:r>
      <w:r w:rsidR="008C4957">
        <w:t>3.1)</w:t>
      </w:r>
      <w:r w:rsidR="002374AD">
        <w:t xml:space="preserve">. The </w:t>
      </w:r>
      <w:r w:rsidR="008C4957">
        <w:t xml:space="preserve">performance indicator </w:t>
      </w:r>
      <w:r w:rsidRPr="00AD7BAC">
        <w:t>framework sho</w:t>
      </w:r>
      <w:r w:rsidR="008C4957">
        <w:t xml:space="preserve">ws which data are </w:t>
      </w:r>
      <w:r w:rsidR="00C2453F">
        <w:t xml:space="preserve">complete and </w:t>
      </w:r>
      <w:r w:rsidR="008C4957">
        <w:t xml:space="preserve">comparable </w:t>
      </w:r>
      <w:r w:rsidRPr="00AD7BAC">
        <w:t xml:space="preserve">in the </w:t>
      </w:r>
      <w:r w:rsidR="00C10D09">
        <w:t>201</w:t>
      </w:r>
      <w:r w:rsidR="00A944A1">
        <w:t>4</w:t>
      </w:r>
      <w:r w:rsidR="00AC3123">
        <w:t xml:space="preserve"> Report</w:t>
      </w:r>
      <w:r w:rsidRPr="00AD7BAC">
        <w:t xml:space="preserve">. For data that are not </w:t>
      </w:r>
      <w:r w:rsidR="002374AD">
        <w:t>considered</w:t>
      </w:r>
      <w:r w:rsidR="008C4957">
        <w:t xml:space="preserve"> directly comparable, </w:t>
      </w:r>
      <w:r w:rsidRPr="00AD7BAC">
        <w:t xml:space="preserve">text includes relevant caveats and supporting </w:t>
      </w:r>
      <w:r w:rsidR="002374AD">
        <w:t>commentary. Chapter </w:t>
      </w:r>
      <w:r w:rsidRPr="002374AD">
        <w:t>1 discusses data comparability from a Report</w:t>
      </w:r>
      <w:r w:rsidR="00172534">
        <w:noBreakHyphen/>
      </w:r>
      <w:r w:rsidR="008C4957">
        <w:t>wide perspective (</w:t>
      </w:r>
      <w:r w:rsidR="002374AD">
        <w:t>section </w:t>
      </w:r>
      <w:r w:rsidRPr="002374AD">
        <w:t>1.6).</w:t>
      </w:r>
    </w:p>
    <w:p w:rsidR="005B4A10" w:rsidRDefault="005B4A10" w:rsidP="00C3586E">
      <w:pPr>
        <w:pStyle w:val="BodyText"/>
      </w:pPr>
      <w:r>
        <w:t>T</w:t>
      </w:r>
      <w:r w:rsidR="006301FD">
        <w:t>he Report’s statistical context chapter</w:t>
      </w:r>
      <w:r>
        <w:t xml:space="preserve">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w:t>
      </w:r>
      <w:r w:rsidR="006301FD">
        <w:t>ethnic status) (chapter</w:t>
      </w:r>
      <w:r w:rsidR="00172534">
        <w:t> </w:t>
      </w:r>
      <w:r w:rsidR="006301FD">
        <w:t>2</w:t>
      </w:r>
      <w:r>
        <w:t>).</w:t>
      </w:r>
    </w:p>
    <w:p w:rsidR="00F733E0" w:rsidRPr="008B42D1" w:rsidRDefault="00F733E0" w:rsidP="002B06E9">
      <w:pPr>
        <w:pStyle w:val="FigureTitle"/>
        <w:rPr>
          <w:rStyle w:val="BoxChar"/>
        </w:rPr>
      </w:pPr>
      <w:r>
        <w:rPr>
          <w:b w:val="0"/>
        </w:rPr>
        <w:lastRenderedPageBreak/>
        <w:t xml:space="preserve">Figure </w:t>
      </w:r>
      <w:bookmarkStart w:id="8" w:name="OLE_LINK3"/>
      <w:r w:rsidR="00923A1C">
        <w:rPr>
          <w:b w:val="0"/>
        </w:rPr>
        <w:t>3.</w:t>
      </w:r>
      <w:r w:rsidR="002E4BE8">
        <w:rPr>
          <w:b w:val="0"/>
          <w:noProof/>
        </w:rPr>
        <w:t>1</w:t>
      </w:r>
      <w:bookmarkEnd w:id="8"/>
      <w:r>
        <w:tab/>
      </w:r>
      <w:r w:rsidR="00091790" w:rsidRPr="002B06E9">
        <w:rPr>
          <w:shd w:val="clear" w:color="auto" w:fill="FFFFFF" w:themeFill="background1"/>
        </w:rPr>
        <w:t>Early childhood education and care</w:t>
      </w:r>
      <w:r w:rsidR="00091790">
        <w:t xml:space="preserve"> </w:t>
      </w:r>
      <w:r w:rsidR="006F1A36">
        <w:t xml:space="preserve">performance indicator </w:t>
      </w:r>
      <w:r w:rsidR="00683EFF" w:rsidRPr="00683EFF">
        <w:t>framework</w:t>
      </w:r>
    </w:p>
    <w:tbl>
      <w:tblPr>
        <w:tblW w:w="0" w:type="auto"/>
        <w:tblInd w:w="11"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8777"/>
      </w:tblGrid>
      <w:tr w:rsidR="00F733E0" w:rsidTr="00DF7408">
        <w:trPr>
          <w:trHeight w:val="10748"/>
        </w:trPr>
        <w:tc>
          <w:tcPr>
            <w:tcW w:w="8777" w:type="dxa"/>
          </w:tcPr>
          <w:p w:rsidR="00F733E0" w:rsidRDefault="0014586F" w:rsidP="00C3586E">
            <w:pPr>
              <w:pStyle w:val="Figure"/>
            </w:pPr>
            <w:r>
              <w:rPr>
                <w:noProof/>
              </w:rPr>
              <w:drawing>
                <wp:inline distT="0" distB="0" distL="0" distR="0" wp14:anchorId="3B91D805" wp14:editId="65191CBE">
                  <wp:extent cx="5572125" cy="7496175"/>
                  <wp:effectExtent l="0" t="0" r="9525" b="0"/>
                  <wp:docPr id="2" name="Picture 2" descr="Figure 3.1 Early childhood education and care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72125" cy="7496175"/>
                          </a:xfrm>
                          <a:prstGeom prst="rect">
                            <a:avLst/>
                          </a:prstGeom>
                          <a:noFill/>
                          <a:ln>
                            <a:noFill/>
                          </a:ln>
                        </pic:spPr>
                      </pic:pic>
                    </a:graphicData>
                  </a:graphic>
                </wp:inline>
              </w:drawing>
            </w:r>
          </w:p>
        </w:tc>
      </w:tr>
    </w:tbl>
    <w:p w:rsidR="00F733E0" w:rsidRPr="00F733E0" w:rsidRDefault="00F72663" w:rsidP="00C3586E">
      <w:pPr>
        <w:pStyle w:val="Heading2"/>
        <w:spacing w:before="200"/>
      </w:pPr>
      <w:r>
        <w:br w:type="page"/>
      </w:r>
      <w:bookmarkStart w:id="9" w:name="_Toc372900000"/>
      <w:r w:rsidR="00923A1C">
        <w:lastRenderedPageBreak/>
        <w:t>3.</w:t>
      </w:r>
      <w:r w:rsidR="002E4BE8">
        <w:rPr>
          <w:noProof/>
        </w:rPr>
        <w:t>3</w:t>
      </w:r>
      <w:r w:rsidR="00F733E0">
        <w:tab/>
      </w:r>
      <w:r w:rsidR="00F733E0" w:rsidRPr="00F733E0">
        <w:t>Key performance indicator results</w:t>
      </w:r>
      <w:bookmarkEnd w:id="9"/>
    </w:p>
    <w:p w:rsidR="00AD7BAC" w:rsidRDefault="00F733E0" w:rsidP="00C3586E">
      <w:pPr>
        <w:pStyle w:val="BodyText"/>
      </w:pPr>
      <w:r w:rsidRPr="00F733E0">
        <w:t>Different delivery contexts, locations and types of client</w:t>
      </w:r>
      <w:r w:rsidR="00496A72">
        <w:t>s</w:t>
      </w:r>
      <w:r w:rsidRPr="00F733E0">
        <w:t xml:space="preserve"> </w:t>
      </w:r>
      <w:r w:rsidR="00922771">
        <w:t>can</w:t>
      </w:r>
      <w:r w:rsidRPr="00F733E0">
        <w:t xml:space="preserve"> affect the equity, effectiveness and efficiency of </w:t>
      </w:r>
      <w:r w:rsidR="00474BFC">
        <w:t>early childhood education and care</w:t>
      </w:r>
      <w:r w:rsidRPr="00F733E0">
        <w:t xml:space="preserve">. </w:t>
      </w:r>
      <w:r w:rsidRPr="00627E1B">
        <w:t>Definitions of key terms are in section</w:t>
      </w:r>
      <w:r w:rsidR="00172534">
        <w:t> </w:t>
      </w:r>
      <w:r w:rsidR="008B0795">
        <w:t>3.6.</w:t>
      </w:r>
    </w:p>
    <w:p w:rsidR="00B30C3E" w:rsidRPr="00A944A1" w:rsidRDefault="00B30C3E" w:rsidP="002B06E9">
      <w:pPr>
        <w:pStyle w:val="BodyText"/>
      </w:pPr>
      <w:r>
        <w:t>Data quality information (</w:t>
      </w:r>
      <w:proofErr w:type="spellStart"/>
      <w:r>
        <w:t>DQI</w:t>
      </w:r>
      <w:proofErr w:type="spellEnd"/>
      <w:r>
        <w:t xml:space="preserve">) is being progressively introduced for all indicators in the Report. The purpose of </w:t>
      </w:r>
      <w:proofErr w:type="spellStart"/>
      <w:r>
        <w:t>DQI</w:t>
      </w:r>
      <w:proofErr w:type="spellEnd"/>
      <w:r>
        <w:t xml:space="preserve"> is to provide structured and consistent information about quality aspects of data </w:t>
      </w:r>
      <w:r w:rsidR="00FC2216">
        <w:t xml:space="preserve">used to </w:t>
      </w:r>
      <w:r>
        <w:t>report</w:t>
      </w:r>
      <w:r w:rsidR="009F46F6">
        <w:t xml:space="preserve"> on performance indicators</w:t>
      </w:r>
      <w:r w:rsidR="00FC2216">
        <w:t>.</w:t>
      </w:r>
      <w:r>
        <w:t xml:space="preserve"> </w:t>
      </w:r>
      <w:proofErr w:type="spellStart"/>
      <w:r>
        <w:t>DQI</w:t>
      </w:r>
      <w:proofErr w:type="spellEnd"/>
      <w:r>
        <w:t xml:space="preserve"> in this Report cover the seven dimensions in the ABS’ data quality framework (institutional environment, relevance, timeliness, accuracy, coherence, accessibility and interpretability) in addition to dimensions that define and describe performance indicators in a consistent manner, and key data gaps and issues identified by the Steering</w:t>
      </w:r>
      <w:r w:rsidR="000A70FB">
        <w:t xml:space="preserve"> Committee. All </w:t>
      </w:r>
      <w:proofErr w:type="spellStart"/>
      <w:r w:rsidR="000A70FB">
        <w:t>DQI</w:t>
      </w:r>
      <w:proofErr w:type="spellEnd"/>
      <w:r w:rsidR="000A70FB">
        <w:t xml:space="preserve"> for the 2014</w:t>
      </w:r>
      <w:r>
        <w:t xml:space="preserve"> </w:t>
      </w:r>
      <w:r w:rsidRPr="00A944A1">
        <w:t xml:space="preserve">Report can be found at </w:t>
      </w:r>
      <w:proofErr w:type="spellStart"/>
      <w:r w:rsidRPr="00A944A1">
        <w:t>www</w:t>
      </w:r>
      <w:r w:rsidR="00A944A1" w:rsidRPr="00A944A1">
        <w:t>.pc.gov.au</w:t>
      </w:r>
      <w:proofErr w:type="spellEnd"/>
      <w:r w:rsidR="00A944A1" w:rsidRPr="00A944A1">
        <w:t>/</w:t>
      </w:r>
      <w:proofErr w:type="spellStart"/>
      <w:r w:rsidR="00A944A1" w:rsidRPr="00A944A1">
        <w:t>gsp</w:t>
      </w:r>
      <w:proofErr w:type="spellEnd"/>
      <w:r w:rsidR="00A944A1" w:rsidRPr="00A944A1">
        <w:t>/reports/</w:t>
      </w:r>
      <w:proofErr w:type="spellStart"/>
      <w:r w:rsidR="00A944A1" w:rsidRPr="00A944A1">
        <w:t>rogs</w:t>
      </w:r>
      <w:proofErr w:type="spellEnd"/>
      <w:r w:rsidR="00A944A1" w:rsidRPr="00A944A1">
        <w:t>/2014</w:t>
      </w:r>
      <w:r w:rsidRPr="00A944A1">
        <w:t>.</w:t>
      </w:r>
    </w:p>
    <w:p w:rsidR="00F733E0" w:rsidRDefault="00F733E0" w:rsidP="00C3586E">
      <w:pPr>
        <w:pStyle w:val="Heading3"/>
      </w:pPr>
      <w:r w:rsidRPr="00F733E0">
        <w:t>Outputs</w:t>
      </w:r>
    </w:p>
    <w:p w:rsidR="00F15F27" w:rsidRPr="00F15F27" w:rsidRDefault="00F15F27" w:rsidP="00C3586E">
      <w:pPr>
        <w:pStyle w:val="BodyText"/>
      </w:pPr>
      <w:r w:rsidRPr="00F15F27">
        <w:t>Outputs are the services delivered (while outcomes are the impact of these services on the status of an individual or group) (see chapter</w:t>
      </w:r>
      <w:r w:rsidR="00172534">
        <w:t> </w:t>
      </w:r>
      <w:r w:rsidRPr="00F15F27">
        <w:t>1, section</w:t>
      </w:r>
      <w:r w:rsidR="00172534">
        <w:t> </w:t>
      </w:r>
      <w:r w:rsidRPr="00F15F27">
        <w:t>1.5).</w:t>
      </w:r>
    </w:p>
    <w:p w:rsidR="00F733E0" w:rsidRDefault="00F733E0" w:rsidP="00C3586E">
      <w:pPr>
        <w:pStyle w:val="Heading4"/>
      </w:pPr>
      <w:r w:rsidRPr="00F733E0">
        <w:t>Equity</w:t>
      </w:r>
    </w:p>
    <w:p w:rsidR="00F733E0" w:rsidRPr="00C41228" w:rsidRDefault="00F733E0" w:rsidP="0042645F">
      <w:pPr>
        <w:pStyle w:val="Heading5"/>
      </w:pPr>
      <w:r w:rsidRPr="00A944A1">
        <w:t>Access —</w:t>
      </w:r>
      <w:r w:rsidR="000A70FB">
        <w:t xml:space="preserve"> P</w:t>
      </w:r>
      <w:r w:rsidR="00B10472">
        <w:t>articipation rates for</w:t>
      </w:r>
      <w:r w:rsidRPr="00C41228">
        <w:t xml:space="preserve"> special needs groups</w:t>
      </w:r>
      <w:r w:rsidR="000E50ED">
        <w:t xml:space="preserve"> in child care</w:t>
      </w:r>
    </w:p>
    <w:p w:rsidR="004D540F" w:rsidRPr="008B42D1" w:rsidRDefault="00F733E0" w:rsidP="0042645F">
      <w:pPr>
        <w:pStyle w:val="BodyText"/>
        <w:rPr>
          <w:rStyle w:val="BoxChar"/>
        </w:rPr>
      </w:pPr>
      <w:r w:rsidRPr="00C41228">
        <w:t>‘Participation rates for special needs groups</w:t>
      </w:r>
      <w:r w:rsidR="000E50ED">
        <w:t xml:space="preserve"> in child care</w:t>
      </w:r>
      <w:r w:rsidRPr="00C41228">
        <w:t xml:space="preserve">’ </w:t>
      </w:r>
      <w:r w:rsidR="00953437" w:rsidRPr="00C41228">
        <w:t xml:space="preserve">is an indicator of governments’ objective to ensure that services are provided in an equitable manner to all special needs groups in the community, and that there is consideration of the needs of those groups </w:t>
      </w:r>
      <w:r w:rsidR="00566D67">
        <w:t>that</w:t>
      </w:r>
      <w:r w:rsidR="00953437" w:rsidRPr="00C41228">
        <w:t xml:space="preserve"> </w:t>
      </w:r>
      <w:r w:rsidR="00922771" w:rsidRPr="00C41228">
        <w:t xml:space="preserve">can </w:t>
      </w:r>
      <w:r w:rsidR="00953437" w:rsidRPr="00C41228">
        <w:t xml:space="preserve">have special difficulty in accessing services </w:t>
      </w:r>
      <w:r w:rsidR="00B62BB6">
        <w:t>(box </w:t>
      </w:r>
      <w:r w:rsidR="00923A1C" w:rsidRPr="00C41228">
        <w:t>3.3</w:t>
      </w:r>
      <w:r w:rsidRPr="00C41228">
        <w:t>).</w:t>
      </w:r>
      <w:r w:rsidR="004D540F" w:rsidRPr="008B42D1">
        <w:rPr>
          <w:rStyle w:val="BoxChar"/>
        </w:rPr>
        <w:t xml:space="preserve"> </w:t>
      </w:r>
    </w:p>
    <w:p w:rsidR="00F733E0" w:rsidRPr="00C41228" w:rsidRDefault="00F733E0" w:rsidP="00C3586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733E0" w:rsidRPr="00C41228">
        <w:tc>
          <w:tcPr>
            <w:tcW w:w="8771" w:type="dxa"/>
            <w:tcBorders>
              <w:top w:val="single" w:sz="6" w:space="0" w:color="auto"/>
              <w:bottom w:val="nil"/>
            </w:tcBorders>
          </w:tcPr>
          <w:p w:rsidR="00F733E0" w:rsidRPr="00C41228" w:rsidRDefault="00F733E0" w:rsidP="00C3586E">
            <w:pPr>
              <w:pStyle w:val="BoxTitle"/>
            </w:pPr>
            <w:r w:rsidRPr="00C41228">
              <w:rPr>
                <w:b w:val="0"/>
              </w:rPr>
              <w:t xml:space="preserve">Box </w:t>
            </w:r>
            <w:bookmarkStart w:id="10" w:name="OLE_LINK18"/>
            <w:r w:rsidR="00923A1C" w:rsidRPr="00C41228">
              <w:rPr>
                <w:b w:val="0"/>
              </w:rPr>
              <w:t>3.</w:t>
            </w:r>
            <w:r w:rsidR="002E4BE8">
              <w:rPr>
                <w:b w:val="0"/>
                <w:noProof/>
              </w:rPr>
              <w:t>3</w:t>
            </w:r>
            <w:bookmarkEnd w:id="10"/>
            <w:r w:rsidRPr="00C41228">
              <w:tab/>
              <w:t>Participation</w:t>
            </w:r>
            <w:r w:rsidR="00D5103E">
              <w:t xml:space="preserve"> rates f</w:t>
            </w:r>
            <w:r w:rsidR="00B10472">
              <w:t>or</w:t>
            </w:r>
            <w:r w:rsidR="00D5103E">
              <w:t xml:space="preserve"> </w:t>
            </w:r>
            <w:r w:rsidRPr="00C41228">
              <w:t>special needs groups</w:t>
            </w:r>
            <w:r w:rsidR="000E50ED">
              <w:t xml:space="preserve"> in child care</w:t>
            </w:r>
          </w:p>
        </w:tc>
      </w:tr>
      <w:tr w:rsidR="00F733E0" w:rsidRPr="00C41228">
        <w:trPr>
          <w:cantSplit/>
        </w:trPr>
        <w:tc>
          <w:tcPr>
            <w:tcW w:w="8771" w:type="dxa"/>
            <w:tcBorders>
              <w:top w:val="nil"/>
              <w:left w:val="single" w:sz="6" w:space="0" w:color="auto"/>
              <w:bottom w:val="nil"/>
              <w:right w:val="single" w:sz="6" w:space="0" w:color="auto"/>
            </w:tcBorders>
          </w:tcPr>
          <w:p w:rsidR="000E50ED" w:rsidRDefault="00177954" w:rsidP="0042645F">
            <w:pPr>
              <w:pStyle w:val="Box"/>
            </w:pPr>
            <w:r w:rsidRPr="00C41228">
              <w:t xml:space="preserve">‘Participation rates </w:t>
            </w:r>
            <w:r w:rsidR="00D5103E">
              <w:t>f</w:t>
            </w:r>
            <w:r w:rsidR="00B10472">
              <w:t>or</w:t>
            </w:r>
            <w:r w:rsidR="00D5103E">
              <w:t xml:space="preserve"> </w:t>
            </w:r>
            <w:r w:rsidRPr="00C41228">
              <w:t>spe</w:t>
            </w:r>
            <w:r w:rsidR="003D5045" w:rsidRPr="00C41228">
              <w:t>cial needs groups</w:t>
            </w:r>
            <w:r w:rsidR="000E50ED">
              <w:t xml:space="preserve"> in child care</w:t>
            </w:r>
            <w:r w:rsidR="003D5045" w:rsidRPr="00C41228">
              <w:t xml:space="preserve">’ </w:t>
            </w:r>
            <w:r w:rsidRPr="00C41228">
              <w:t>is defined as the pro</w:t>
            </w:r>
            <w:r w:rsidR="00C85D95" w:rsidRPr="00C41228">
              <w:t>portion of children using child care</w:t>
            </w:r>
            <w:r w:rsidRPr="00C41228">
              <w:t xml:space="preserve"> services who are from targeted special needs groups, compared with the representation of these groups in the community. Data ar</w:t>
            </w:r>
            <w:r w:rsidR="00C85D95" w:rsidRPr="00C41228">
              <w:t xml:space="preserve">e reported </w:t>
            </w:r>
            <w:r w:rsidR="000B11A9">
              <w:t xml:space="preserve">for </w:t>
            </w:r>
            <w:r w:rsidR="000E50ED">
              <w:t xml:space="preserve">children in </w:t>
            </w:r>
            <w:r w:rsidR="00C85D95" w:rsidRPr="00C41228">
              <w:t>child care</w:t>
            </w:r>
            <w:r w:rsidR="00674B6B">
              <w:t xml:space="preserve"> aged</w:t>
            </w:r>
            <w:r w:rsidR="00F15F27" w:rsidRPr="00C41228">
              <w:t xml:space="preserve"> 0–5 and</w:t>
            </w:r>
            <w:r w:rsidR="00953437" w:rsidRPr="00C41228">
              <w:t xml:space="preserve"> </w:t>
            </w:r>
            <w:r w:rsidR="00F15F27" w:rsidRPr="00C41228">
              <w:t>6–12</w:t>
            </w:r>
            <w:r w:rsidR="008822F9" w:rsidRPr="00C41228">
              <w:t> </w:t>
            </w:r>
            <w:r w:rsidR="00F15F27" w:rsidRPr="00C41228">
              <w:t>year</w:t>
            </w:r>
            <w:r w:rsidR="00674B6B">
              <w:t>s</w:t>
            </w:r>
            <w:r w:rsidR="000E50ED">
              <w:t xml:space="preserve">. </w:t>
            </w:r>
          </w:p>
          <w:p w:rsidR="00177954" w:rsidRPr="00C41228" w:rsidRDefault="00177954" w:rsidP="00F84292">
            <w:pPr>
              <w:pStyle w:val="Box"/>
            </w:pPr>
            <w:r w:rsidRPr="00C41228">
              <w:t>Targeted special needs groups include children from</w:t>
            </w:r>
            <w:r w:rsidR="00C711A3">
              <w:t xml:space="preserve"> </w:t>
            </w:r>
            <w:proofErr w:type="spellStart"/>
            <w:r w:rsidR="00C711A3">
              <w:t>NESB</w:t>
            </w:r>
            <w:proofErr w:type="spellEnd"/>
            <w:r w:rsidRPr="00C41228">
              <w:t xml:space="preserve">, Indigenous </w:t>
            </w:r>
            <w:r w:rsidR="008822F9" w:rsidRPr="00C41228">
              <w:t>children</w:t>
            </w:r>
            <w:r w:rsidRPr="00C41228">
              <w:t xml:space="preserve">, children from low income families, children </w:t>
            </w:r>
            <w:r w:rsidR="00D51DEF" w:rsidRPr="00C41228">
              <w:t>with disability</w:t>
            </w:r>
            <w:r w:rsidRPr="00C41228">
              <w:t xml:space="preserve">, and children </w:t>
            </w:r>
            <w:r w:rsidR="00B10472">
              <w:t>from regional and remote areas.</w:t>
            </w:r>
          </w:p>
          <w:p w:rsidR="00106CDE" w:rsidRPr="00C41228" w:rsidRDefault="000F113F" w:rsidP="0042645F">
            <w:pPr>
              <w:pStyle w:val="Box"/>
            </w:pPr>
            <w:r>
              <w:t xml:space="preserve">A high or increasing </w:t>
            </w:r>
            <w:r w:rsidRPr="00C41228">
              <w:t>participation rate is desirable.</w:t>
            </w:r>
            <w:r>
              <w:t xml:space="preserve"> </w:t>
            </w:r>
            <w:r w:rsidR="004F6E90" w:rsidRPr="00C41228">
              <w:t>If t</w:t>
            </w:r>
            <w:r w:rsidR="00177954" w:rsidRPr="00C41228">
              <w:t xml:space="preserve">he representation of special needs groups among </w:t>
            </w:r>
            <w:r w:rsidR="000E50ED">
              <w:t xml:space="preserve">child care </w:t>
            </w:r>
            <w:r w:rsidR="00177954" w:rsidRPr="00C41228">
              <w:t xml:space="preserve">services users </w:t>
            </w:r>
            <w:r w:rsidR="004F6E90" w:rsidRPr="00C41228">
              <w:t>is</w:t>
            </w:r>
            <w:r w:rsidR="00177954" w:rsidRPr="00C41228">
              <w:t xml:space="preserve"> broadly similar to their representation in the community, </w:t>
            </w:r>
            <w:r w:rsidR="004F6E90" w:rsidRPr="00C41228">
              <w:t xml:space="preserve">this </w:t>
            </w:r>
            <w:r w:rsidR="006D023C">
              <w:t xml:space="preserve">suggests more equitable </w:t>
            </w:r>
            <w:r w:rsidR="00177954" w:rsidRPr="00C41228">
              <w:t>access.</w:t>
            </w:r>
          </w:p>
          <w:p w:rsidR="00106CDE" w:rsidRPr="004B6144" w:rsidRDefault="00A55187" w:rsidP="0042645F">
            <w:pPr>
              <w:pStyle w:val="Box"/>
            </w:pPr>
            <w:r>
              <w:t>Data reported for this indicator</w:t>
            </w:r>
            <w:r w:rsidR="0043669E" w:rsidRPr="004B6144">
              <w:t xml:space="preserve"> are:</w:t>
            </w:r>
          </w:p>
          <w:p w:rsidR="0043669E" w:rsidRPr="004B6144" w:rsidRDefault="0043669E" w:rsidP="00751B02">
            <w:pPr>
              <w:pStyle w:val="BoxListBullet"/>
            </w:pPr>
            <w:r w:rsidRPr="004B6144">
              <w:t>comparable (subject to caveats) ac</w:t>
            </w:r>
            <w:r w:rsidR="00192FC5" w:rsidRPr="004B6144">
              <w:t xml:space="preserve">ross jurisdictions, but a break in series means that data prior to 2010 are not comparable to data after 2010. </w:t>
            </w:r>
            <w:r w:rsidR="00930606" w:rsidRPr="004B6144">
              <w:t>In addition, data for Indigenous children in this Report are not comparabl</w:t>
            </w:r>
            <w:r w:rsidR="00FC2216">
              <w:t>e to data in previous editions.</w:t>
            </w:r>
          </w:p>
          <w:p w:rsidR="0043669E" w:rsidRPr="00C41228" w:rsidRDefault="0043669E" w:rsidP="00751B02">
            <w:pPr>
              <w:pStyle w:val="BoxListBullet"/>
            </w:pPr>
            <w:r>
              <w:t xml:space="preserve">complete </w:t>
            </w:r>
            <w:r w:rsidR="00D31E74">
              <w:t xml:space="preserve">(subject to caveats) </w:t>
            </w:r>
            <w:r>
              <w:t>for the current repo</w:t>
            </w:r>
            <w:r w:rsidR="00D31E74">
              <w:t>rting period</w:t>
            </w:r>
            <w:r>
              <w:t>. All required 2013 data are available for all jur</w:t>
            </w:r>
            <w:r w:rsidR="00FC2216">
              <w:t>isdictions</w:t>
            </w:r>
            <w:r>
              <w:t>.</w:t>
            </w:r>
          </w:p>
          <w:p w:rsidR="00BD4FA6" w:rsidRPr="00C41228" w:rsidRDefault="00257C49" w:rsidP="0042645F">
            <w:pPr>
              <w:pStyle w:val="Box"/>
            </w:pPr>
            <w:r>
              <w:rPr>
                <w:rFonts w:cs="Arial"/>
                <w:szCs w:val="26"/>
              </w:rPr>
              <w:t xml:space="preserve">Data quality information </w:t>
            </w:r>
            <w:r w:rsidR="00BD4FA6" w:rsidRPr="00C41228">
              <w:rPr>
                <w:rFonts w:cs="Arial"/>
                <w:szCs w:val="26"/>
              </w:rPr>
              <w:t>for this indicator is under development.</w:t>
            </w:r>
          </w:p>
        </w:tc>
      </w:tr>
      <w:tr w:rsidR="00F733E0" w:rsidRPr="00C41228">
        <w:trPr>
          <w:cantSplit/>
        </w:trPr>
        <w:tc>
          <w:tcPr>
            <w:tcW w:w="8771" w:type="dxa"/>
            <w:tcBorders>
              <w:top w:val="nil"/>
              <w:left w:val="single" w:sz="6" w:space="0" w:color="auto"/>
              <w:bottom w:val="single" w:sz="6" w:space="0" w:color="auto"/>
              <w:right w:val="single" w:sz="6" w:space="0" w:color="auto"/>
            </w:tcBorders>
          </w:tcPr>
          <w:p w:rsidR="00F733E0" w:rsidRPr="00C41228" w:rsidRDefault="00F733E0" w:rsidP="00C3586E">
            <w:pPr>
              <w:pStyle w:val="Box"/>
              <w:spacing w:before="0" w:line="120" w:lineRule="exact"/>
            </w:pPr>
          </w:p>
        </w:tc>
      </w:tr>
      <w:tr w:rsidR="00F733E0" w:rsidRPr="0081292F">
        <w:tc>
          <w:tcPr>
            <w:tcW w:w="8771" w:type="dxa"/>
            <w:tcBorders>
              <w:top w:val="nil"/>
              <w:left w:val="nil"/>
              <w:bottom w:val="nil"/>
              <w:right w:val="nil"/>
            </w:tcBorders>
          </w:tcPr>
          <w:p w:rsidR="00F733E0" w:rsidRPr="0081292F" w:rsidRDefault="00F733E0" w:rsidP="00C3586E">
            <w:pPr>
              <w:pStyle w:val="Box"/>
              <w:keepNext w:val="0"/>
              <w:spacing w:before="60" w:after="60" w:line="80" w:lineRule="exact"/>
              <w:rPr>
                <w:b/>
                <w:color w:val="FF00FF"/>
                <w:sz w:val="14"/>
                <w:highlight w:val="magenta"/>
              </w:rPr>
            </w:pPr>
          </w:p>
        </w:tc>
      </w:tr>
    </w:tbl>
    <w:p w:rsidR="000E50ED" w:rsidRPr="008B42D1" w:rsidRDefault="000E50ED" w:rsidP="000E50ED">
      <w:pPr>
        <w:pStyle w:val="BodyText"/>
        <w:rPr>
          <w:rStyle w:val="BoxChar"/>
        </w:rPr>
      </w:pPr>
      <w:r>
        <w:t xml:space="preserve">Data for participation </w:t>
      </w:r>
      <w:r w:rsidRPr="006E32A6">
        <w:t>by special needs groups using Australian Government appro</w:t>
      </w:r>
      <w:r w:rsidR="000A70FB">
        <w:t>ved child care services for 2013</w:t>
      </w:r>
      <w:r w:rsidRPr="006E32A6">
        <w:t xml:space="preserve"> were drawn from the </w:t>
      </w:r>
      <w:r w:rsidRPr="006E32A6">
        <w:rPr>
          <w:i/>
        </w:rPr>
        <w:t>Nat</w:t>
      </w:r>
      <w:r w:rsidR="00B92A58">
        <w:rPr>
          <w:i/>
        </w:rPr>
        <w:t>ional Early Childhood Education and Care</w:t>
      </w:r>
      <w:r w:rsidR="000A70FB">
        <w:rPr>
          <w:i/>
        </w:rPr>
        <w:t xml:space="preserve"> Workforce Census 2013</w:t>
      </w:r>
      <w:r w:rsidRPr="006E32A6">
        <w:t xml:space="preserve"> and </w:t>
      </w:r>
      <w:r w:rsidR="00E318F3">
        <w:t xml:space="preserve">Department of Education </w:t>
      </w:r>
      <w:r w:rsidRPr="006E32A6">
        <w:t>administrative systems. Box</w:t>
      </w:r>
      <w:r w:rsidR="00172534">
        <w:t> </w:t>
      </w:r>
      <w:r w:rsidRPr="006E32A6">
        <w:t xml:space="preserve">3.4 contains more information on the census. </w:t>
      </w:r>
    </w:p>
    <w:p w:rsidR="009E2F8A" w:rsidRPr="00C41228" w:rsidRDefault="009E2F8A" w:rsidP="00C3586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E2F8A" w:rsidRPr="00C41228" w:rsidTr="00D34E89">
        <w:tc>
          <w:tcPr>
            <w:tcW w:w="8771" w:type="dxa"/>
            <w:tcBorders>
              <w:top w:val="single" w:sz="4" w:space="0" w:color="auto"/>
              <w:left w:val="single" w:sz="4" w:space="0" w:color="auto"/>
              <w:bottom w:val="nil"/>
              <w:right w:val="single" w:sz="4" w:space="0" w:color="auto"/>
            </w:tcBorders>
          </w:tcPr>
          <w:p w:rsidR="009E2F8A" w:rsidRPr="00C41228" w:rsidRDefault="009E2F8A" w:rsidP="00C3586E">
            <w:pPr>
              <w:pStyle w:val="BoxTitle"/>
              <w:rPr>
                <w:rStyle w:val="DraftingNote"/>
              </w:rPr>
            </w:pPr>
            <w:r w:rsidRPr="00C41228">
              <w:rPr>
                <w:b w:val="0"/>
              </w:rPr>
              <w:t xml:space="preserve">Box </w:t>
            </w:r>
            <w:bookmarkStart w:id="11" w:name="OLE_LINK52"/>
            <w:r w:rsidR="00923A1C" w:rsidRPr="00C41228">
              <w:rPr>
                <w:b w:val="0"/>
              </w:rPr>
              <w:t>3.</w:t>
            </w:r>
            <w:r w:rsidR="002E4BE8">
              <w:rPr>
                <w:b w:val="0"/>
                <w:noProof/>
              </w:rPr>
              <w:t>4</w:t>
            </w:r>
            <w:bookmarkEnd w:id="11"/>
            <w:r w:rsidRPr="00C41228">
              <w:tab/>
              <w:t xml:space="preserve">Australian Government </w:t>
            </w:r>
            <w:r w:rsidR="005249C1" w:rsidRPr="00C41228">
              <w:t>National Early Childhood Education and Care Workforce Census</w:t>
            </w:r>
          </w:p>
        </w:tc>
      </w:tr>
      <w:tr w:rsidR="009E2F8A" w:rsidRPr="00C41228" w:rsidTr="00D34E89">
        <w:trPr>
          <w:cantSplit/>
        </w:trPr>
        <w:tc>
          <w:tcPr>
            <w:tcW w:w="8771" w:type="dxa"/>
            <w:tcBorders>
              <w:top w:val="nil"/>
              <w:left w:val="single" w:sz="4" w:space="0" w:color="auto"/>
              <w:bottom w:val="nil"/>
              <w:right w:val="single" w:sz="4" w:space="0" w:color="auto"/>
            </w:tcBorders>
          </w:tcPr>
          <w:p w:rsidR="006527CA" w:rsidRDefault="005249C1" w:rsidP="002B06E9">
            <w:pPr>
              <w:pStyle w:val="Box"/>
              <w:shd w:val="clear" w:color="auto" w:fill="FFFFFF" w:themeFill="background1"/>
            </w:pPr>
            <w:r w:rsidRPr="00C41228">
              <w:t xml:space="preserve">The </w:t>
            </w:r>
            <w:r w:rsidRPr="00C41228">
              <w:rPr>
                <w:i/>
              </w:rPr>
              <w:t>National Early Childhood Education and Care Workforce Census</w:t>
            </w:r>
            <w:r w:rsidR="008707F6" w:rsidRPr="00C41228">
              <w:t xml:space="preserve"> </w:t>
            </w:r>
            <w:r w:rsidR="000A70FB">
              <w:t xml:space="preserve">was conducted in </w:t>
            </w:r>
            <w:r w:rsidR="00E82C39">
              <w:t xml:space="preserve">2010 and </w:t>
            </w:r>
            <w:r w:rsidR="000A70FB">
              <w:t>2013</w:t>
            </w:r>
            <w:r w:rsidR="008B5EE3">
              <w:t xml:space="preserve">. </w:t>
            </w:r>
            <w:r w:rsidR="00B778CE" w:rsidRPr="00C41228">
              <w:t xml:space="preserve">The </w:t>
            </w:r>
            <w:r w:rsidR="00566D67">
              <w:t xml:space="preserve">census </w:t>
            </w:r>
            <w:r w:rsidR="00B778CE" w:rsidRPr="00C41228">
              <w:t>aims to provide comprehensive and nationally consistent data on access to early childhood education and care services</w:t>
            </w:r>
            <w:r w:rsidR="00001575" w:rsidRPr="00C41228">
              <w:t>,</w:t>
            </w:r>
            <w:r w:rsidR="00B778CE" w:rsidRPr="00C41228">
              <w:t xml:space="preserve"> and staf</w:t>
            </w:r>
            <w:r w:rsidR="0042645F">
              <w:t>f qualifications and experience</w:t>
            </w:r>
            <w:r w:rsidR="00B778CE" w:rsidRPr="00C41228">
              <w:t>.</w:t>
            </w:r>
            <w:r w:rsidR="00E5211C">
              <w:t xml:space="preserve"> </w:t>
            </w:r>
            <w:r w:rsidR="00E5211C" w:rsidRPr="002352A8">
              <w:t>Thi</w:t>
            </w:r>
            <w:r w:rsidR="000A70FB" w:rsidRPr="002352A8">
              <w:t xml:space="preserve">s chapter presents </w:t>
            </w:r>
            <w:r w:rsidR="008B5EE3" w:rsidRPr="002352A8">
              <w:t xml:space="preserve">preliminary data </w:t>
            </w:r>
            <w:r w:rsidR="00B92A58" w:rsidRPr="002352A8">
              <w:t>from the</w:t>
            </w:r>
            <w:r w:rsidR="00BF17C6" w:rsidRPr="002352A8">
              <w:t xml:space="preserve"> 2013 </w:t>
            </w:r>
            <w:r w:rsidR="00B92A58" w:rsidRPr="002352A8">
              <w:rPr>
                <w:i/>
              </w:rPr>
              <w:t xml:space="preserve">National Early Childhood Education and Care </w:t>
            </w:r>
            <w:r w:rsidR="00E5211C" w:rsidRPr="002352A8">
              <w:rPr>
                <w:i/>
              </w:rPr>
              <w:t>Workforce Census</w:t>
            </w:r>
            <w:r w:rsidR="008B5EE3" w:rsidRPr="002352A8">
              <w:t>, which was an initiative of the Australian Government.</w:t>
            </w:r>
          </w:p>
          <w:p w:rsidR="005249C1" w:rsidRPr="00C41228" w:rsidRDefault="008707F6" w:rsidP="00D34E89">
            <w:pPr>
              <w:pStyle w:val="Box"/>
            </w:pPr>
            <w:r w:rsidRPr="00C41228">
              <w:t>Th</w:t>
            </w:r>
            <w:r w:rsidR="00566D67">
              <w:t>e</w:t>
            </w:r>
            <w:r w:rsidRPr="00C41228">
              <w:t xml:space="preserve"> </w:t>
            </w:r>
            <w:r w:rsidR="007F10CB" w:rsidRPr="00E82C39">
              <w:rPr>
                <w:i/>
              </w:rPr>
              <w:t xml:space="preserve">National </w:t>
            </w:r>
            <w:r w:rsidR="00B92A58" w:rsidRPr="00E82C39">
              <w:rPr>
                <w:i/>
              </w:rPr>
              <w:t xml:space="preserve">Early Childhood Education and Care </w:t>
            </w:r>
            <w:r w:rsidR="00CE71BF" w:rsidRPr="00E82C39">
              <w:rPr>
                <w:i/>
              </w:rPr>
              <w:t>Workforce Census</w:t>
            </w:r>
            <w:r w:rsidR="00CE71BF" w:rsidRPr="00C41228">
              <w:t xml:space="preserve"> </w:t>
            </w:r>
            <w:r w:rsidR="005249C1" w:rsidRPr="00C41228">
              <w:t>replace</w:t>
            </w:r>
            <w:r w:rsidR="00BE7A85">
              <w:t>d</w:t>
            </w:r>
            <w:r w:rsidR="005249C1" w:rsidRPr="00C41228">
              <w:t xml:space="preserve"> the Australian Government Child Care Provider Survey (</w:t>
            </w:r>
            <w:proofErr w:type="spellStart"/>
            <w:r w:rsidR="005249C1" w:rsidRPr="00C41228">
              <w:t>AGCCPS</w:t>
            </w:r>
            <w:proofErr w:type="spellEnd"/>
            <w:r w:rsidR="005249C1" w:rsidRPr="00C41228">
              <w:t>) conducted in 2008</w:t>
            </w:r>
            <w:r w:rsidR="00172534">
              <w:noBreakHyphen/>
            </w:r>
            <w:r w:rsidR="005249C1" w:rsidRPr="00C41228">
              <w:t>09 and the Australian Government Census of Child Care</w:t>
            </w:r>
            <w:r w:rsidRPr="00C41228">
              <w:t xml:space="preserve"> </w:t>
            </w:r>
            <w:r w:rsidR="0088616B">
              <w:t>S</w:t>
            </w:r>
            <w:r w:rsidR="005249C1" w:rsidRPr="00C41228">
              <w:t xml:space="preserve">ervices </w:t>
            </w:r>
            <w:r w:rsidR="00AE42A6" w:rsidRPr="00C41228">
              <w:t>(</w:t>
            </w:r>
            <w:proofErr w:type="spellStart"/>
            <w:r w:rsidR="00AE42A6" w:rsidRPr="00C41228">
              <w:t>AGCCC</w:t>
            </w:r>
            <w:proofErr w:type="spellEnd"/>
            <w:r w:rsidR="00CE71BF" w:rsidRPr="00C41228">
              <w:t xml:space="preserve">) </w:t>
            </w:r>
            <w:r w:rsidR="005249C1" w:rsidRPr="00C41228">
              <w:t xml:space="preserve">conducted </w:t>
            </w:r>
            <w:r w:rsidR="007F21DD" w:rsidRPr="00C41228">
              <w:t>in earlier years</w:t>
            </w:r>
            <w:r w:rsidR="00CE71BF" w:rsidRPr="00C41228">
              <w:t>.</w:t>
            </w:r>
          </w:p>
          <w:p w:rsidR="00E5211C" w:rsidRPr="00C41228" w:rsidRDefault="008707F6" w:rsidP="00F60F5E">
            <w:pPr>
              <w:pStyle w:val="Box"/>
            </w:pPr>
            <w:r w:rsidRPr="00C41228">
              <w:t xml:space="preserve">The </w:t>
            </w:r>
            <w:r w:rsidR="007F10CB" w:rsidRPr="00E82C39">
              <w:rPr>
                <w:i/>
              </w:rPr>
              <w:t xml:space="preserve">National </w:t>
            </w:r>
            <w:r w:rsidRPr="00E82C39">
              <w:rPr>
                <w:i/>
              </w:rPr>
              <w:t>E</w:t>
            </w:r>
            <w:r w:rsidR="00B92A58" w:rsidRPr="00E82C39">
              <w:rPr>
                <w:i/>
              </w:rPr>
              <w:t xml:space="preserve">arly Childhood Education and Care </w:t>
            </w:r>
            <w:r w:rsidRPr="00E82C39">
              <w:rPr>
                <w:i/>
              </w:rPr>
              <w:t>Workforce Census</w:t>
            </w:r>
            <w:r w:rsidRPr="00C41228">
              <w:t xml:space="preserve"> collected </w:t>
            </w:r>
            <w:r w:rsidR="00566D67">
              <w:t xml:space="preserve">similar </w:t>
            </w:r>
            <w:r w:rsidRPr="00C41228">
              <w:t xml:space="preserve">information </w:t>
            </w:r>
            <w:r w:rsidR="00566D67">
              <w:t>to</w:t>
            </w:r>
            <w:r w:rsidRPr="00C41228">
              <w:t xml:space="preserve"> the </w:t>
            </w:r>
            <w:proofErr w:type="spellStart"/>
            <w:r w:rsidRPr="00C41228">
              <w:t>AGCCPS</w:t>
            </w:r>
            <w:proofErr w:type="spellEnd"/>
            <w:r w:rsidRPr="00C41228">
              <w:t xml:space="preserve"> and the </w:t>
            </w:r>
            <w:proofErr w:type="spellStart"/>
            <w:r w:rsidRPr="00C41228">
              <w:t>AGCCC</w:t>
            </w:r>
            <w:proofErr w:type="spellEnd"/>
            <w:r w:rsidRPr="00C41228">
              <w:t xml:space="preserve">, </w:t>
            </w:r>
            <w:r w:rsidR="00F60F5E">
              <w:t>although</w:t>
            </w:r>
            <w:r w:rsidR="00566D67">
              <w:t xml:space="preserve"> v</w:t>
            </w:r>
            <w:r w:rsidRPr="00C41228">
              <w:t xml:space="preserve">ariations </w:t>
            </w:r>
            <w:r w:rsidR="00F3134F">
              <w:t xml:space="preserve">in </w:t>
            </w:r>
            <w:r w:rsidR="000F113F">
              <w:t>collection methods</w:t>
            </w:r>
            <w:r w:rsidR="00D6625B" w:rsidRPr="00C41228">
              <w:t xml:space="preserve"> </w:t>
            </w:r>
            <w:r w:rsidRPr="00C41228">
              <w:t xml:space="preserve">and different weighting methods affect the comparability of data across the collections. Therefore </w:t>
            </w:r>
            <w:r w:rsidR="00210360" w:rsidRPr="00C41228">
              <w:t xml:space="preserve">comparisons across time </w:t>
            </w:r>
            <w:r w:rsidR="00001575" w:rsidRPr="00C41228">
              <w:t xml:space="preserve">should be </w:t>
            </w:r>
            <w:r w:rsidR="00210360" w:rsidRPr="00C41228">
              <w:t>made with caution</w:t>
            </w:r>
            <w:r w:rsidR="00E5211C">
              <w:t>.</w:t>
            </w:r>
          </w:p>
        </w:tc>
      </w:tr>
      <w:tr w:rsidR="009E2F8A" w:rsidRPr="00C41228" w:rsidTr="00D34E89">
        <w:trPr>
          <w:cantSplit/>
        </w:trPr>
        <w:tc>
          <w:tcPr>
            <w:tcW w:w="8771" w:type="dxa"/>
            <w:tcBorders>
              <w:top w:val="nil"/>
              <w:left w:val="single" w:sz="4" w:space="0" w:color="auto"/>
              <w:bottom w:val="nil"/>
              <w:right w:val="single" w:sz="4" w:space="0" w:color="auto"/>
            </w:tcBorders>
          </w:tcPr>
          <w:p w:rsidR="009E2F8A" w:rsidRPr="00C41228" w:rsidRDefault="00FB2A0B" w:rsidP="00E318F3">
            <w:pPr>
              <w:pStyle w:val="BoxSource"/>
            </w:pPr>
            <w:r w:rsidRPr="00FB2A0B">
              <w:rPr>
                <w:i/>
              </w:rPr>
              <w:t>Source</w:t>
            </w:r>
            <w:r w:rsidRPr="00172534">
              <w:t>:</w:t>
            </w:r>
            <w:r>
              <w:t xml:space="preserve"> </w:t>
            </w:r>
            <w:r w:rsidR="00E318F3">
              <w:t xml:space="preserve">Department of Education </w:t>
            </w:r>
            <w:r w:rsidR="00D6625B" w:rsidRPr="00C41228">
              <w:t>(</w:t>
            </w:r>
            <w:r w:rsidR="00E5211C">
              <w:t>unpublished</w:t>
            </w:r>
            <w:r w:rsidR="00B778CE" w:rsidRPr="00C41228">
              <w:t>)</w:t>
            </w:r>
            <w:r w:rsidR="00001575" w:rsidRPr="00C41228">
              <w:t>.</w:t>
            </w:r>
          </w:p>
        </w:tc>
      </w:tr>
      <w:tr w:rsidR="009E2F8A" w:rsidRPr="00C41228" w:rsidTr="00D34E89">
        <w:trPr>
          <w:cantSplit/>
        </w:trPr>
        <w:tc>
          <w:tcPr>
            <w:tcW w:w="8771" w:type="dxa"/>
            <w:tcBorders>
              <w:top w:val="nil"/>
              <w:left w:val="single" w:sz="4" w:space="0" w:color="auto"/>
              <w:bottom w:val="single" w:sz="4" w:space="0" w:color="auto"/>
              <w:right w:val="single" w:sz="4" w:space="0" w:color="auto"/>
            </w:tcBorders>
          </w:tcPr>
          <w:p w:rsidR="009E2F8A" w:rsidRPr="00C41228" w:rsidRDefault="009E2F8A" w:rsidP="00C3586E">
            <w:pPr>
              <w:pStyle w:val="Box"/>
              <w:spacing w:before="0" w:line="120" w:lineRule="exact"/>
            </w:pPr>
          </w:p>
        </w:tc>
      </w:tr>
      <w:tr w:rsidR="009E2F8A" w:rsidRPr="00C41228" w:rsidTr="00D34E89">
        <w:tc>
          <w:tcPr>
            <w:tcW w:w="8771" w:type="dxa"/>
            <w:tcBorders>
              <w:top w:val="single" w:sz="4" w:space="0" w:color="auto"/>
              <w:left w:val="nil"/>
              <w:bottom w:val="nil"/>
              <w:right w:val="nil"/>
            </w:tcBorders>
          </w:tcPr>
          <w:p w:rsidR="009E2F8A" w:rsidRPr="00C41228" w:rsidRDefault="009E2F8A" w:rsidP="00C3586E">
            <w:pPr>
              <w:pStyle w:val="Box"/>
              <w:keepNext w:val="0"/>
              <w:spacing w:before="60" w:after="60" w:line="80" w:lineRule="exact"/>
              <w:rPr>
                <w:b/>
                <w:color w:val="FF00FF"/>
                <w:sz w:val="14"/>
              </w:rPr>
            </w:pPr>
          </w:p>
        </w:tc>
      </w:tr>
    </w:tbl>
    <w:p w:rsidR="00E65752" w:rsidRPr="00BC30B5" w:rsidRDefault="00566D67" w:rsidP="00C3586E">
      <w:pPr>
        <w:pStyle w:val="BodyText"/>
      </w:pPr>
      <w:r>
        <w:t>Re</w:t>
      </w:r>
      <w:r w:rsidR="00222F95">
        <w:t xml:space="preserve">presentation of children from </w:t>
      </w:r>
      <w:r>
        <w:t>special needs groups</w:t>
      </w:r>
      <w:r w:rsidR="00222F95">
        <w:t>, except low</w:t>
      </w:r>
      <w:r w:rsidR="00172534">
        <w:noBreakHyphen/>
      </w:r>
      <w:r w:rsidR="00222F95">
        <w:t>income families,</w:t>
      </w:r>
      <w:r>
        <w:t xml:space="preserve"> were lower than their representation in the community nationally, but the extent of the difference varied</w:t>
      </w:r>
      <w:r w:rsidRPr="00BC30B5">
        <w:t>:</w:t>
      </w:r>
      <w:r w:rsidR="00655CA0" w:rsidRPr="008B42D1">
        <w:rPr>
          <w:rStyle w:val="BoxChar"/>
        </w:rPr>
        <w:t xml:space="preserve"> </w:t>
      </w:r>
    </w:p>
    <w:p w:rsidR="00E65752" w:rsidRPr="00222F95" w:rsidRDefault="00C711A3" w:rsidP="00171F72">
      <w:pPr>
        <w:pStyle w:val="ListBullet"/>
      </w:pPr>
      <w:r>
        <w:t xml:space="preserve">Children from </w:t>
      </w:r>
      <w:proofErr w:type="spellStart"/>
      <w:r>
        <w:t>NESB</w:t>
      </w:r>
      <w:proofErr w:type="spellEnd"/>
      <w:r w:rsidR="00E65752" w:rsidRPr="00222F95">
        <w:t xml:space="preserve"> </w:t>
      </w:r>
      <w:r w:rsidR="007F1962" w:rsidRPr="00222F95">
        <w:t xml:space="preserve">aged 0–12 years </w:t>
      </w:r>
      <w:r w:rsidR="00887D84" w:rsidRPr="00222F95">
        <w:t xml:space="preserve">had a lower representation in </w:t>
      </w:r>
      <w:r w:rsidR="00E65752" w:rsidRPr="00222F95">
        <w:t>child care</w:t>
      </w:r>
      <w:r w:rsidR="00222F95" w:rsidRPr="00222F95">
        <w:t xml:space="preserve"> in 2013</w:t>
      </w:r>
      <w:r w:rsidR="00E65752" w:rsidRPr="00222F95">
        <w:t xml:space="preserve"> </w:t>
      </w:r>
      <w:r w:rsidR="006B6830" w:rsidRPr="00222F95">
        <w:t>(1</w:t>
      </w:r>
      <w:r w:rsidR="00222F95" w:rsidRPr="00222F95">
        <w:t>7</w:t>
      </w:r>
      <w:r w:rsidR="006B6830" w:rsidRPr="00222F95">
        <w:t>.</w:t>
      </w:r>
      <w:r w:rsidR="00222F95" w:rsidRPr="00222F95">
        <w:t>3</w:t>
      </w:r>
      <w:r w:rsidR="002948EF" w:rsidRPr="00222F95">
        <w:t xml:space="preserve"> per cent) </w:t>
      </w:r>
      <w:r w:rsidR="00E65752" w:rsidRPr="00222F95">
        <w:t>than this group’s representation in the community</w:t>
      </w:r>
      <w:r w:rsidR="00222F95" w:rsidRPr="00222F95">
        <w:t xml:space="preserve"> in 2011</w:t>
      </w:r>
      <w:r w:rsidR="00745A42" w:rsidRPr="00222F95">
        <w:t xml:space="preserve"> (</w:t>
      </w:r>
      <w:r w:rsidR="00643E58">
        <w:t>20.0</w:t>
      </w:r>
      <w:r w:rsidR="00745A42" w:rsidRPr="00222F95">
        <w:t xml:space="preserve"> per cent)</w:t>
      </w:r>
      <w:r w:rsidR="00E65752" w:rsidRPr="00222F95">
        <w:t xml:space="preserve">. This was the case for both the 0–5 </w:t>
      </w:r>
      <w:r w:rsidR="00BF31F1" w:rsidRPr="00222F95">
        <w:t xml:space="preserve">years </w:t>
      </w:r>
      <w:r w:rsidR="00E65752" w:rsidRPr="00222F95">
        <w:t xml:space="preserve">age group and the 6–12 </w:t>
      </w:r>
      <w:r w:rsidR="00BF31F1" w:rsidRPr="00222F95">
        <w:t xml:space="preserve">years </w:t>
      </w:r>
      <w:r w:rsidR="00E65752" w:rsidRPr="00222F95">
        <w:t>age group</w:t>
      </w:r>
      <w:r w:rsidR="003F3ABF" w:rsidRPr="00222F95">
        <w:t>.</w:t>
      </w:r>
    </w:p>
    <w:p w:rsidR="00E65752" w:rsidRPr="00643E58" w:rsidRDefault="00E65752" w:rsidP="00C3586E">
      <w:pPr>
        <w:pStyle w:val="ListBullet"/>
      </w:pPr>
      <w:r w:rsidRPr="00643E58">
        <w:t xml:space="preserve">Indigenous children </w:t>
      </w:r>
      <w:r w:rsidR="00A33EA0" w:rsidRPr="00643E58">
        <w:t xml:space="preserve">aged 0–12 years </w:t>
      </w:r>
      <w:r w:rsidR="00887D84" w:rsidRPr="00643E58">
        <w:t xml:space="preserve">had a </w:t>
      </w:r>
      <w:r w:rsidRPr="00643E58">
        <w:t xml:space="preserve">lower </w:t>
      </w:r>
      <w:r w:rsidR="00887D84" w:rsidRPr="00643E58">
        <w:t xml:space="preserve">representation in child care services </w:t>
      </w:r>
      <w:r w:rsidR="00643E58" w:rsidRPr="00643E58">
        <w:t>in 2013</w:t>
      </w:r>
      <w:r w:rsidR="00566D67" w:rsidRPr="00643E58">
        <w:t xml:space="preserve"> </w:t>
      </w:r>
      <w:r w:rsidR="002948EF" w:rsidRPr="00643E58">
        <w:t>(</w:t>
      </w:r>
      <w:r w:rsidR="00A80B56" w:rsidRPr="00643E58">
        <w:t>2</w:t>
      </w:r>
      <w:r w:rsidR="002F025B" w:rsidRPr="00643E58">
        <w:t>.</w:t>
      </w:r>
      <w:r w:rsidR="00643E58" w:rsidRPr="00643E58">
        <w:t>6</w:t>
      </w:r>
      <w:r w:rsidR="002948EF" w:rsidRPr="00643E58">
        <w:t xml:space="preserve"> per cent) </w:t>
      </w:r>
      <w:r w:rsidRPr="00643E58">
        <w:t>than their representation in the community</w:t>
      </w:r>
      <w:r w:rsidR="0038158F" w:rsidRPr="00643E58">
        <w:t xml:space="preserve"> </w:t>
      </w:r>
      <w:r w:rsidR="00643E58" w:rsidRPr="00643E58">
        <w:t>in 2012</w:t>
      </w:r>
      <w:r w:rsidR="00566D67" w:rsidRPr="00643E58">
        <w:t xml:space="preserve"> </w:t>
      </w:r>
      <w:r w:rsidR="0038158F" w:rsidRPr="00643E58">
        <w:t>(</w:t>
      </w:r>
      <w:r w:rsidR="006B6830" w:rsidRPr="00643E58">
        <w:t>4.</w:t>
      </w:r>
      <w:r w:rsidR="00643E58" w:rsidRPr="00643E58">
        <w:t>8</w:t>
      </w:r>
      <w:r w:rsidR="002948EF" w:rsidRPr="00643E58">
        <w:t xml:space="preserve"> per cent</w:t>
      </w:r>
      <w:r w:rsidR="00A33EA0" w:rsidRPr="00643E58">
        <w:t>)</w:t>
      </w:r>
      <w:r w:rsidRPr="00643E58">
        <w:t xml:space="preserve">. </w:t>
      </w:r>
      <w:r w:rsidR="0038158F" w:rsidRPr="00643E58">
        <w:t xml:space="preserve">This was the case for both the 0–5 </w:t>
      </w:r>
      <w:r w:rsidR="00BF31F1" w:rsidRPr="00643E58">
        <w:t xml:space="preserve">years </w:t>
      </w:r>
      <w:r w:rsidR="0038158F" w:rsidRPr="00643E58">
        <w:t xml:space="preserve">age group and the 6–12 </w:t>
      </w:r>
      <w:r w:rsidR="00BF31F1" w:rsidRPr="00643E58">
        <w:t xml:space="preserve">years </w:t>
      </w:r>
      <w:r w:rsidR="0038158F" w:rsidRPr="00643E58">
        <w:t>age group.</w:t>
      </w:r>
    </w:p>
    <w:p w:rsidR="008616E0" w:rsidRPr="00F11CE6" w:rsidRDefault="009B1E44" w:rsidP="00C3586E">
      <w:pPr>
        <w:pStyle w:val="ListBullet"/>
      </w:pPr>
      <w:r w:rsidRPr="00F11CE6">
        <w:t>C</w:t>
      </w:r>
      <w:r w:rsidR="00E65752" w:rsidRPr="00F11CE6">
        <w:t xml:space="preserve">hildren </w:t>
      </w:r>
      <w:r w:rsidR="00285E92" w:rsidRPr="00F11CE6">
        <w:t xml:space="preserve">aged 0–12 years </w:t>
      </w:r>
      <w:r w:rsidR="00E65752" w:rsidRPr="00F11CE6">
        <w:t xml:space="preserve">from low income families </w:t>
      </w:r>
      <w:r w:rsidR="00887D84" w:rsidRPr="00F11CE6">
        <w:t xml:space="preserve">had a </w:t>
      </w:r>
      <w:r w:rsidR="00F11CE6" w:rsidRPr="00F11CE6">
        <w:t xml:space="preserve">higher </w:t>
      </w:r>
      <w:r w:rsidR="00887D84" w:rsidRPr="00F11CE6">
        <w:t xml:space="preserve">representation </w:t>
      </w:r>
      <w:r w:rsidR="00E65752" w:rsidRPr="00F11CE6">
        <w:t xml:space="preserve">in child care services </w:t>
      </w:r>
      <w:r w:rsidR="00F11CE6" w:rsidRPr="00F11CE6">
        <w:t>in 2013</w:t>
      </w:r>
      <w:r w:rsidR="00566D67" w:rsidRPr="00F11CE6">
        <w:t xml:space="preserve"> </w:t>
      </w:r>
      <w:r w:rsidR="007C248F" w:rsidRPr="00F11CE6">
        <w:t>(</w:t>
      </w:r>
      <w:r w:rsidR="00F11CE6" w:rsidRPr="00F11CE6">
        <w:t>25.0</w:t>
      </w:r>
      <w:r w:rsidR="007C248F" w:rsidRPr="00F11CE6">
        <w:t xml:space="preserve"> per cent) </w:t>
      </w:r>
      <w:r w:rsidR="00DC7DEA">
        <w:t>compared with</w:t>
      </w:r>
      <w:r w:rsidR="00A80B56" w:rsidRPr="00F11CE6">
        <w:t xml:space="preserve"> </w:t>
      </w:r>
      <w:r w:rsidRPr="00F11CE6">
        <w:t>their representation in the community</w:t>
      </w:r>
      <w:r w:rsidR="00F11CE6" w:rsidRPr="00F11CE6">
        <w:t xml:space="preserve"> in 2011</w:t>
      </w:r>
      <w:r w:rsidR="00172534">
        <w:noBreakHyphen/>
      </w:r>
      <w:r w:rsidR="00F11CE6" w:rsidRPr="00F11CE6">
        <w:t>12</w:t>
      </w:r>
      <w:r w:rsidR="00566D67" w:rsidRPr="00F11CE6">
        <w:t xml:space="preserve"> </w:t>
      </w:r>
      <w:r w:rsidR="00285E92" w:rsidRPr="00F11CE6">
        <w:t>(</w:t>
      </w:r>
      <w:r w:rsidR="00F11CE6" w:rsidRPr="00F11CE6">
        <w:t>20</w:t>
      </w:r>
      <w:r w:rsidR="006B6830" w:rsidRPr="00F11CE6">
        <w:t>.</w:t>
      </w:r>
      <w:r w:rsidR="00F11CE6" w:rsidRPr="00F11CE6">
        <w:t>7</w:t>
      </w:r>
      <w:r w:rsidR="00D57816" w:rsidRPr="00F11CE6">
        <w:t xml:space="preserve"> per cent</w:t>
      </w:r>
      <w:r w:rsidR="00285E92" w:rsidRPr="00F11CE6">
        <w:t>)</w:t>
      </w:r>
      <w:r w:rsidRPr="00F11CE6">
        <w:t xml:space="preserve">. </w:t>
      </w:r>
      <w:r w:rsidR="00566D67" w:rsidRPr="00F11CE6">
        <w:t>This was</w:t>
      </w:r>
      <w:r w:rsidR="00A80B56" w:rsidRPr="00F11CE6">
        <w:t xml:space="preserve"> the case for both the </w:t>
      </w:r>
      <w:r w:rsidR="00DC7DEA">
        <w:br/>
      </w:r>
      <w:r w:rsidR="00A80B56" w:rsidRPr="00F11CE6">
        <w:t xml:space="preserve">0–5 </w:t>
      </w:r>
      <w:r w:rsidR="00BF31F1" w:rsidRPr="00F11CE6">
        <w:t xml:space="preserve">years </w:t>
      </w:r>
      <w:r w:rsidR="00A80B56" w:rsidRPr="00F11CE6">
        <w:t xml:space="preserve">age group and the 6–12 </w:t>
      </w:r>
      <w:r w:rsidR="00BF31F1" w:rsidRPr="00F11CE6">
        <w:t xml:space="preserve">years </w:t>
      </w:r>
      <w:r w:rsidR="00A80B56" w:rsidRPr="00F11CE6">
        <w:t>age group</w:t>
      </w:r>
      <w:r w:rsidR="00D57816" w:rsidRPr="00F11CE6">
        <w:t>.</w:t>
      </w:r>
    </w:p>
    <w:p w:rsidR="00E65752" w:rsidRPr="00F11CE6" w:rsidRDefault="00E65752" w:rsidP="00C3586E">
      <w:pPr>
        <w:pStyle w:val="ListBullet"/>
      </w:pPr>
      <w:r w:rsidRPr="00F11CE6">
        <w:t xml:space="preserve">Children </w:t>
      </w:r>
      <w:r w:rsidR="00385A32" w:rsidRPr="00F11CE6">
        <w:t xml:space="preserve">aged 0–12 years </w:t>
      </w:r>
      <w:r w:rsidR="00D51DEF" w:rsidRPr="00F11CE6">
        <w:t>with disability</w:t>
      </w:r>
      <w:r w:rsidRPr="00F11CE6">
        <w:t xml:space="preserve"> had a lower representation in child care </w:t>
      </w:r>
      <w:r w:rsidR="00F11CE6" w:rsidRPr="00F11CE6">
        <w:t>service</w:t>
      </w:r>
      <w:r w:rsidR="00DC7DEA">
        <w:t>s</w:t>
      </w:r>
      <w:r w:rsidR="00F11CE6" w:rsidRPr="00F11CE6">
        <w:t xml:space="preserve"> in 2013</w:t>
      </w:r>
      <w:r w:rsidR="00566D67" w:rsidRPr="00F11CE6">
        <w:t xml:space="preserve"> </w:t>
      </w:r>
      <w:r w:rsidR="00656047" w:rsidRPr="00F11CE6">
        <w:t>(</w:t>
      </w:r>
      <w:r w:rsidR="00F11CE6" w:rsidRPr="00F11CE6">
        <w:t>3</w:t>
      </w:r>
      <w:r w:rsidR="006B6830" w:rsidRPr="00F11CE6">
        <w:t>.</w:t>
      </w:r>
      <w:r w:rsidR="00F11CE6" w:rsidRPr="00F11CE6">
        <w:t>0</w:t>
      </w:r>
      <w:r w:rsidR="00656047" w:rsidRPr="00F11CE6">
        <w:t xml:space="preserve"> per cent) </w:t>
      </w:r>
      <w:r w:rsidR="00356FD3" w:rsidRPr="00F11CE6">
        <w:t>compared with</w:t>
      </w:r>
      <w:r w:rsidRPr="00F11CE6">
        <w:t xml:space="preserve"> their representation in the community</w:t>
      </w:r>
      <w:r w:rsidR="00C10D09" w:rsidRPr="00F11CE6">
        <w:t xml:space="preserve"> </w:t>
      </w:r>
      <w:r w:rsidR="00566D67" w:rsidRPr="00F11CE6">
        <w:t xml:space="preserve">in 2009 </w:t>
      </w:r>
      <w:r w:rsidR="00C10D09" w:rsidRPr="00F11CE6">
        <w:t>(</w:t>
      </w:r>
      <w:r w:rsidR="00A80B56" w:rsidRPr="00F11CE6">
        <w:t>6.6</w:t>
      </w:r>
      <w:r w:rsidR="00566D67" w:rsidRPr="00F11CE6">
        <w:t xml:space="preserve"> per cent). This was </w:t>
      </w:r>
      <w:r w:rsidR="00385A32" w:rsidRPr="00F11CE6">
        <w:t xml:space="preserve">the case for both the 0–5 </w:t>
      </w:r>
      <w:r w:rsidR="00BF31F1" w:rsidRPr="00F11CE6">
        <w:t>years age group and the 6</w:t>
      </w:r>
      <w:r w:rsidR="00BF31F1" w:rsidRPr="00F11CE6">
        <w:noBreakHyphen/>
      </w:r>
      <w:r w:rsidR="00385A32" w:rsidRPr="00F11CE6">
        <w:t xml:space="preserve">12 </w:t>
      </w:r>
      <w:r w:rsidR="00BF31F1" w:rsidRPr="00F11CE6">
        <w:t xml:space="preserve">years </w:t>
      </w:r>
      <w:r w:rsidR="00385A32" w:rsidRPr="00F11CE6">
        <w:t>age group.</w:t>
      </w:r>
    </w:p>
    <w:p w:rsidR="00E65752" w:rsidRPr="00D837A1" w:rsidRDefault="00A14B21" w:rsidP="007A2FF4">
      <w:pPr>
        <w:pStyle w:val="ListBullet"/>
      </w:pPr>
      <w:r w:rsidRPr="00D837A1">
        <w:t xml:space="preserve">Children aged 0–12 years </w:t>
      </w:r>
      <w:r w:rsidR="00E65752" w:rsidRPr="00D837A1">
        <w:t xml:space="preserve">from regional areas </w:t>
      </w:r>
      <w:r w:rsidR="00887D84" w:rsidRPr="00D837A1">
        <w:t xml:space="preserve">had a lower representation </w:t>
      </w:r>
      <w:r w:rsidR="00E65752" w:rsidRPr="00D837A1">
        <w:t>in child care services</w:t>
      </w:r>
      <w:r w:rsidR="00D837A1" w:rsidRPr="00D837A1">
        <w:t xml:space="preserve"> in 2013</w:t>
      </w:r>
      <w:r w:rsidR="00E65752" w:rsidRPr="00D837A1">
        <w:t xml:space="preserve"> </w:t>
      </w:r>
      <w:r w:rsidR="00B10BF8" w:rsidRPr="00D837A1">
        <w:t>(</w:t>
      </w:r>
      <w:r w:rsidR="00D837A1" w:rsidRPr="00D837A1">
        <w:t>24.1</w:t>
      </w:r>
      <w:r w:rsidR="00B10BF8" w:rsidRPr="00D837A1">
        <w:t xml:space="preserve"> per cent) </w:t>
      </w:r>
      <w:r w:rsidR="00887D84" w:rsidRPr="00D837A1">
        <w:t xml:space="preserve">compared </w:t>
      </w:r>
      <w:r w:rsidR="00DC7DEA">
        <w:t>with</w:t>
      </w:r>
      <w:r w:rsidR="00E65752" w:rsidRPr="00D837A1">
        <w:t xml:space="preserve"> </w:t>
      </w:r>
      <w:r w:rsidRPr="00D837A1">
        <w:t xml:space="preserve">their </w:t>
      </w:r>
      <w:r w:rsidR="00E65752" w:rsidRPr="00D837A1">
        <w:t xml:space="preserve">representation in the </w:t>
      </w:r>
      <w:r w:rsidR="00E65752" w:rsidRPr="00D837A1">
        <w:lastRenderedPageBreak/>
        <w:t xml:space="preserve">community </w:t>
      </w:r>
      <w:r w:rsidR="00D837A1" w:rsidRPr="00D837A1">
        <w:t>in 2011</w:t>
      </w:r>
      <w:r w:rsidR="00BF0556" w:rsidRPr="00D837A1">
        <w:t xml:space="preserve"> </w:t>
      </w:r>
      <w:r w:rsidR="00E65752" w:rsidRPr="00D837A1">
        <w:t>(</w:t>
      </w:r>
      <w:r w:rsidR="00D837A1" w:rsidRPr="00D837A1">
        <w:t>28.6</w:t>
      </w:r>
      <w:r w:rsidRPr="00D837A1">
        <w:t> </w:t>
      </w:r>
      <w:r w:rsidR="00E65752" w:rsidRPr="00D837A1">
        <w:t>per</w:t>
      </w:r>
      <w:r w:rsidRPr="00D837A1">
        <w:t> </w:t>
      </w:r>
      <w:r w:rsidR="00E65752" w:rsidRPr="00D837A1">
        <w:t xml:space="preserve">cent). </w:t>
      </w:r>
      <w:r w:rsidR="002163B3" w:rsidRPr="00D837A1">
        <w:t>This was the case for b</w:t>
      </w:r>
      <w:r w:rsidR="000F113F" w:rsidRPr="00D837A1">
        <w:t xml:space="preserve">oth the 0–5 </w:t>
      </w:r>
      <w:r w:rsidR="00BF31F1" w:rsidRPr="00D837A1">
        <w:t xml:space="preserve">years </w:t>
      </w:r>
      <w:r w:rsidR="000F113F" w:rsidRPr="00D837A1">
        <w:t>age group and the 6</w:t>
      </w:r>
      <w:r w:rsidR="000F113F" w:rsidRPr="00D837A1">
        <w:noBreakHyphen/>
      </w:r>
      <w:r w:rsidR="002163B3" w:rsidRPr="00D837A1">
        <w:t>12</w:t>
      </w:r>
      <w:r w:rsidR="000F113F" w:rsidRPr="00D837A1">
        <w:t> </w:t>
      </w:r>
      <w:r w:rsidR="00BF31F1" w:rsidRPr="00D837A1">
        <w:t xml:space="preserve">years </w:t>
      </w:r>
      <w:r w:rsidR="002163B3" w:rsidRPr="00D837A1">
        <w:t>age group.</w:t>
      </w:r>
    </w:p>
    <w:p w:rsidR="001436CC" w:rsidRPr="00D837A1" w:rsidRDefault="00E65752" w:rsidP="00C3586E">
      <w:pPr>
        <w:pStyle w:val="ListBullet"/>
      </w:pPr>
      <w:r w:rsidRPr="00D837A1">
        <w:t xml:space="preserve">Children </w:t>
      </w:r>
      <w:r w:rsidR="00FE47ED" w:rsidRPr="00D837A1">
        <w:t xml:space="preserve">aged 0–12 years </w:t>
      </w:r>
      <w:r w:rsidRPr="00D837A1">
        <w:t xml:space="preserve">from remote areas </w:t>
      </w:r>
      <w:r w:rsidR="00887D84" w:rsidRPr="00D837A1">
        <w:t xml:space="preserve">had a lower representation in </w:t>
      </w:r>
      <w:r w:rsidRPr="00D837A1">
        <w:t xml:space="preserve">child care </w:t>
      </w:r>
      <w:r w:rsidR="00D837A1" w:rsidRPr="00D837A1">
        <w:t>in 2013</w:t>
      </w:r>
      <w:r w:rsidR="00BF0556" w:rsidRPr="00D837A1">
        <w:t xml:space="preserve"> </w:t>
      </w:r>
      <w:r w:rsidR="00D91439" w:rsidRPr="00D837A1">
        <w:t>(</w:t>
      </w:r>
      <w:r w:rsidR="006B6830" w:rsidRPr="00D837A1">
        <w:t>0.9</w:t>
      </w:r>
      <w:r w:rsidR="00D91439" w:rsidRPr="00D837A1">
        <w:t xml:space="preserve"> per cent) </w:t>
      </w:r>
      <w:r w:rsidR="00887D84" w:rsidRPr="00D837A1">
        <w:t xml:space="preserve">compared </w:t>
      </w:r>
      <w:r w:rsidR="00B77468">
        <w:t>with</w:t>
      </w:r>
      <w:r w:rsidR="00FE47ED" w:rsidRPr="00D837A1">
        <w:t xml:space="preserve"> their </w:t>
      </w:r>
      <w:r w:rsidRPr="00D837A1">
        <w:t>representation in the community</w:t>
      </w:r>
      <w:r w:rsidR="00FE47ED" w:rsidRPr="00D837A1">
        <w:t xml:space="preserve"> </w:t>
      </w:r>
      <w:r w:rsidR="00D837A1" w:rsidRPr="00D837A1">
        <w:t>in 2011</w:t>
      </w:r>
      <w:r w:rsidR="00BF0556" w:rsidRPr="00D837A1">
        <w:t xml:space="preserve"> </w:t>
      </w:r>
      <w:r w:rsidR="00FE47ED" w:rsidRPr="00D837A1">
        <w:t>(</w:t>
      </w:r>
      <w:r w:rsidR="00D837A1" w:rsidRPr="00D837A1">
        <w:t>2.7</w:t>
      </w:r>
      <w:r w:rsidR="00FE47ED" w:rsidRPr="00D837A1">
        <w:t xml:space="preserve"> per cent</w:t>
      </w:r>
      <w:r w:rsidR="00D91439" w:rsidRPr="00D837A1">
        <w:t>)</w:t>
      </w:r>
      <w:r w:rsidR="00FE47ED" w:rsidRPr="00D837A1">
        <w:t>.</w:t>
      </w:r>
      <w:r w:rsidR="007A168D" w:rsidRPr="00D837A1">
        <w:t xml:space="preserve"> </w:t>
      </w:r>
      <w:r w:rsidR="00FE47ED" w:rsidRPr="00D837A1">
        <w:t xml:space="preserve">This was the case for both the 0–5 </w:t>
      </w:r>
      <w:r w:rsidR="00BF31F1" w:rsidRPr="00D837A1">
        <w:t>years a</w:t>
      </w:r>
      <w:r w:rsidR="00FE47ED" w:rsidRPr="00D837A1">
        <w:t xml:space="preserve">ge group and the 6–12 </w:t>
      </w:r>
      <w:r w:rsidR="00BF31F1" w:rsidRPr="00D837A1">
        <w:t xml:space="preserve">years </w:t>
      </w:r>
      <w:r w:rsidR="00FE47ED" w:rsidRPr="00D837A1">
        <w:t>age group</w:t>
      </w:r>
      <w:r w:rsidR="00634A17" w:rsidRPr="00D837A1">
        <w:t xml:space="preserve"> </w:t>
      </w:r>
      <w:r w:rsidR="00FE47ED" w:rsidRPr="00D837A1">
        <w:t>(tables</w:t>
      </w:r>
      <w:r w:rsidR="00172534">
        <w:t> </w:t>
      </w:r>
      <w:r w:rsidR="00923A1C" w:rsidRPr="00D837A1">
        <w:t>3.4</w:t>
      </w:r>
      <w:r w:rsidR="00BF5E2D" w:rsidRPr="00D837A1">
        <w:t xml:space="preserve"> and </w:t>
      </w:r>
      <w:proofErr w:type="spellStart"/>
      <w:r w:rsidR="00BF5E2D" w:rsidRPr="00D837A1">
        <w:t>3A.1</w:t>
      </w:r>
      <w:r w:rsidR="00B85698">
        <w:t>2</w:t>
      </w:r>
      <w:proofErr w:type="spellEnd"/>
      <w:r w:rsidR="00FE47ED" w:rsidRPr="00D837A1">
        <w:t>).</w:t>
      </w:r>
    </w:p>
    <w:p w:rsidR="002A71C2" w:rsidRPr="00C41228" w:rsidRDefault="00942E24" w:rsidP="00C3586E">
      <w:pPr>
        <w:pStyle w:val="BodyText"/>
      </w:pPr>
      <w:r w:rsidRPr="00C41228">
        <w:t>Data on representation of special needs groups in State and Territory</w:t>
      </w:r>
      <w:r w:rsidR="00F4593F">
        <w:t xml:space="preserve"> government</w:t>
      </w:r>
      <w:r w:rsidRPr="00C41228">
        <w:t xml:space="preserve"> funded and/or provided child </w:t>
      </w:r>
      <w:r w:rsidR="00001575" w:rsidRPr="00C41228">
        <w:t>care</w:t>
      </w:r>
      <w:r w:rsidRPr="00C41228">
        <w:t xml:space="preserve"> for children aged 0–12</w:t>
      </w:r>
      <w:r w:rsidR="00BF5E2D" w:rsidRPr="00C41228">
        <w:t xml:space="preserve"> </w:t>
      </w:r>
      <w:r w:rsidR="000F113F">
        <w:t xml:space="preserve">years </w:t>
      </w:r>
      <w:r w:rsidR="00BF5E2D" w:rsidRPr="00C41228">
        <w:t>are presented in table</w:t>
      </w:r>
      <w:r w:rsidR="00172534">
        <w:t> </w:t>
      </w:r>
      <w:proofErr w:type="spellStart"/>
      <w:r w:rsidR="00BF5E2D" w:rsidRPr="00C41228">
        <w:t>3A.1</w:t>
      </w:r>
      <w:r w:rsidR="00B85698">
        <w:t>4</w:t>
      </w:r>
      <w:proofErr w:type="spellEnd"/>
      <w:r w:rsidR="00E97CD1">
        <w:t>.</w:t>
      </w:r>
    </w:p>
    <w:p w:rsidR="001436CC" w:rsidRPr="008B42D1" w:rsidRDefault="001436CC" w:rsidP="00171F72">
      <w:pPr>
        <w:pStyle w:val="TableTitle"/>
        <w:rPr>
          <w:rStyle w:val="BoxChar"/>
        </w:rPr>
      </w:pPr>
      <w:r w:rsidRPr="00473977">
        <w:rPr>
          <w:b w:val="0"/>
        </w:rPr>
        <w:lastRenderedPageBreak/>
        <w:t xml:space="preserve">Table </w:t>
      </w:r>
      <w:bookmarkStart w:id="12" w:name="OLE_LINK71"/>
      <w:r w:rsidR="00923A1C" w:rsidRPr="00473977">
        <w:rPr>
          <w:b w:val="0"/>
        </w:rPr>
        <w:t>3.</w:t>
      </w:r>
      <w:r w:rsidR="002E4BE8">
        <w:rPr>
          <w:b w:val="0"/>
          <w:noProof/>
        </w:rPr>
        <w:t>4</w:t>
      </w:r>
      <w:bookmarkEnd w:id="12"/>
      <w:r w:rsidRPr="00473977">
        <w:tab/>
        <w:t>Proportion of children aged 0</w:t>
      </w:r>
      <w:r w:rsidRPr="00473977">
        <w:rPr>
          <w:rFonts w:cs="Arial"/>
        </w:rPr>
        <w:t>–</w:t>
      </w:r>
      <w:r w:rsidRPr="00473977">
        <w:t xml:space="preserve">12 years </w:t>
      </w:r>
      <w:r w:rsidR="00A26A0E" w:rsidRPr="00473977">
        <w:t>attending</w:t>
      </w:r>
      <w:r w:rsidRPr="00473977">
        <w:t xml:space="preserve"> Australian Government a</w:t>
      </w:r>
      <w:r w:rsidR="002F025B" w:rsidRPr="00473977">
        <w:t>pproved child care services</w:t>
      </w:r>
      <w:r w:rsidR="0025449C" w:rsidRPr="00473977">
        <w:t xml:space="preserve"> from special needs groups</w:t>
      </w:r>
      <w:r w:rsidR="002F025B" w:rsidRPr="00473977">
        <w:t>, 20</w:t>
      </w:r>
      <w:r w:rsidR="00473977" w:rsidRPr="00473977">
        <w:t>13</w:t>
      </w:r>
      <w:r w:rsidR="0063448A" w:rsidRPr="00473977">
        <w:t xml:space="preserve"> (per cent)</w:t>
      </w:r>
      <w:r w:rsidRPr="00473977">
        <w:rPr>
          <w:rStyle w:val="NoteLabel"/>
          <w:b/>
        </w:rPr>
        <w:t>a</w:t>
      </w:r>
      <w:r w:rsidR="00634A17" w:rsidRPr="00473977">
        <w:rPr>
          <w:rStyle w:val="NoteLabel"/>
          <w:b/>
        </w:rPr>
        <w:t>, b</w:t>
      </w:r>
      <w:r w:rsidR="00DB5A96" w:rsidRPr="00473977">
        <w:rPr>
          <w:rStyle w:val="NoteLabel"/>
          <w:b/>
        </w:rPr>
        <w:t>, c</w:t>
      </w:r>
    </w:p>
    <w:tbl>
      <w:tblPr>
        <w:tblW w:w="5000" w:type="pct"/>
        <w:tblLayout w:type="fixed"/>
        <w:tblCellMar>
          <w:left w:w="0" w:type="dxa"/>
          <w:right w:w="0" w:type="dxa"/>
        </w:tblCellMar>
        <w:tblLook w:val="0000" w:firstRow="0" w:lastRow="0" w:firstColumn="0" w:lastColumn="0" w:noHBand="0" w:noVBand="0"/>
      </w:tblPr>
      <w:tblGrid>
        <w:gridCol w:w="2835"/>
        <w:gridCol w:w="708"/>
        <w:gridCol w:w="715"/>
        <w:gridCol w:w="23"/>
        <w:gridCol w:w="638"/>
        <w:gridCol w:w="19"/>
        <w:gridCol w:w="628"/>
        <w:gridCol w:w="14"/>
        <w:gridCol w:w="631"/>
        <w:gridCol w:w="11"/>
        <w:gridCol w:w="642"/>
        <w:gridCol w:w="647"/>
        <w:gridCol w:w="647"/>
        <w:gridCol w:w="631"/>
      </w:tblGrid>
      <w:tr w:rsidR="00E923FD" w:rsidRPr="00473977" w:rsidTr="00E923FD">
        <w:tc>
          <w:tcPr>
            <w:tcW w:w="1613" w:type="pct"/>
            <w:tcBorders>
              <w:top w:val="single" w:sz="6" w:space="0" w:color="auto"/>
              <w:bottom w:val="single" w:sz="6" w:space="0" w:color="auto"/>
            </w:tcBorders>
            <w:shd w:val="clear" w:color="auto" w:fill="auto"/>
          </w:tcPr>
          <w:p w:rsidR="00685B29" w:rsidRPr="00473977" w:rsidRDefault="00685B29" w:rsidP="00C3586E">
            <w:pPr>
              <w:pStyle w:val="TableColumnHeading"/>
              <w:jc w:val="left"/>
            </w:pPr>
          </w:p>
        </w:tc>
        <w:tc>
          <w:tcPr>
            <w:tcW w:w="403" w:type="pct"/>
            <w:tcBorders>
              <w:top w:val="single" w:sz="6" w:space="0" w:color="auto"/>
              <w:bottom w:val="single" w:sz="6" w:space="0" w:color="auto"/>
            </w:tcBorders>
            <w:shd w:val="clear" w:color="auto" w:fill="auto"/>
          </w:tcPr>
          <w:p w:rsidR="00685B29" w:rsidRPr="00473977" w:rsidRDefault="00685B29" w:rsidP="00604EF6">
            <w:pPr>
              <w:pStyle w:val="TableColumnHeading"/>
            </w:pPr>
            <w:r w:rsidRPr="00473977">
              <w:t>NSW</w:t>
            </w:r>
          </w:p>
        </w:tc>
        <w:tc>
          <w:tcPr>
            <w:tcW w:w="420" w:type="pct"/>
            <w:gridSpan w:val="2"/>
            <w:tcBorders>
              <w:top w:val="single" w:sz="6" w:space="0" w:color="auto"/>
              <w:bottom w:val="single" w:sz="6" w:space="0" w:color="auto"/>
            </w:tcBorders>
            <w:shd w:val="clear" w:color="auto" w:fill="auto"/>
          </w:tcPr>
          <w:p w:rsidR="00685B29" w:rsidRPr="00473977" w:rsidRDefault="00685B29" w:rsidP="00604EF6">
            <w:pPr>
              <w:pStyle w:val="TableColumnHeading"/>
            </w:pPr>
            <w:r w:rsidRPr="00473977">
              <w:t>Vic</w:t>
            </w:r>
          </w:p>
        </w:tc>
        <w:tc>
          <w:tcPr>
            <w:tcW w:w="374" w:type="pct"/>
            <w:gridSpan w:val="2"/>
            <w:tcBorders>
              <w:top w:val="single" w:sz="6" w:space="0" w:color="auto"/>
              <w:bottom w:val="single" w:sz="6" w:space="0" w:color="auto"/>
            </w:tcBorders>
            <w:shd w:val="clear" w:color="auto" w:fill="auto"/>
          </w:tcPr>
          <w:p w:rsidR="00685B29" w:rsidRPr="00473977" w:rsidRDefault="00685B29" w:rsidP="00604EF6">
            <w:pPr>
              <w:pStyle w:val="TableColumnHeading"/>
            </w:pPr>
            <w:r w:rsidRPr="00473977">
              <w:t>Qld</w:t>
            </w:r>
          </w:p>
        </w:tc>
        <w:tc>
          <w:tcPr>
            <w:tcW w:w="365" w:type="pct"/>
            <w:gridSpan w:val="2"/>
            <w:tcBorders>
              <w:top w:val="single" w:sz="6" w:space="0" w:color="auto"/>
              <w:bottom w:val="single" w:sz="6" w:space="0" w:color="auto"/>
            </w:tcBorders>
            <w:shd w:val="clear" w:color="auto" w:fill="auto"/>
          </w:tcPr>
          <w:p w:rsidR="00685B29" w:rsidRPr="00473977" w:rsidRDefault="00685B29" w:rsidP="00604EF6">
            <w:pPr>
              <w:pStyle w:val="TableColumnHeading"/>
            </w:pPr>
            <w:r w:rsidRPr="00473977">
              <w:t>WA</w:t>
            </w:r>
          </w:p>
        </w:tc>
        <w:tc>
          <w:tcPr>
            <w:tcW w:w="365" w:type="pct"/>
            <w:gridSpan w:val="2"/>
            <w:tcBorders>
              <w:top w:val="single" w:sz="6" w:space="0" w:color="auto"/>
              <w:bottom w:val="single" w:sz="6" w:space="0" w:color="auto"/>
            </w:tcBorders>
            <w:shd w:val="clear" w:color="auto" w:fill="auto"/>
          </w:tcPr>
          <w:p w:rsidR="00685B29" w:rsidRPr="00473977" w:rsidRDefault="00685B29" w:rsidP="00604EF6">
            <w:pPr>
              <w:pStyle w:val="TableColumnHeading"/>
            </w:pPr>
            <w:r w:rsidRPr="00473977">
              <w:t>SA</w:t>
            </w:r>
          </w:p>
        </w:tc>
        <w:tc>
          <w:tcPr>
            <w:tcW w:w="365" w:type="pct"/>
            <w:tcBorders>
              <w:top w:val="single" w:sz="6" w:space="0" w:color="auto"/>
              <w:bottom w:val="single" w:sz="6" w:space="0" w:color="auto"/>
            </w:tcBorders>
            <w:shd w:val="clear" w:color="auto" w:fill="auto"/>
          </w:tcPr>
          <w:p w:rsidR="00685B29" w:rsidRPr="00473977" w:rsidRDefault="00685B29" w:rsidP="00604EF6">
            <w:pPr>
              <w:pStyle w:val="TableColumnHeading"/>
            </w:pPr>
            <w:proofErr w:type="spellStart"/>
            <w:r w:rsidRPr="00473977">
              <w:t>Tas</w:t>
            </w:r>
            <w:proofErr w:type="spellEnd"/>
          </w:p>
        </w:tc>
        <w:tc>
          <w:tcPr>
            <w:tcW w:w="368" w:type="pct"/>
            <w:tcBorders>
              <w:top w:val="single" w:sz="6" w:space="0" w:color="auto"/>
              <w:bottom w:val="single" w:sz="6" w:space="0" w:color="auto"/>
            </w:tcBorders>
            <w:shd w:val="clear" w:color="auto" w:fill="auto"/>
          </w:tcPr>
          <w:p w:rsidR="00685B29" w:rsidRPr="00473977" w:rsidRDefault="00685B29" w:rsidP="00604EF6">
            <w:pPr>
              <w:pStyle w:val="TableColumnHeading"/>
            </w:pPr>
            <w:r w:rsidRPr="00473977">
              <w:t>ACT</w:t>
            </w:r>
          </w:p>
        </w:tc>
        <w:tc>
          <w:tcPr>
            <w:tcW w:w="368" w:type="pct"/>
            <w:tcBorders>
              <w:top w:val="single" w:sz="6" w:space="0" w:color="auto"/>
              <w:bottom w:val="single" w:sz="6" w:space="0" w:color="auto"/>
            </w:tcBorders>
            <w:shd w:val="clear" w:color="auto" w:fill="auto"/>
          </w:tcPr>
          <w:p w:rsidR="00685B29" w:rsidRPr="00473977" w:rsidRDefault="00685B29" w:rsidP="00604EF6">
            <w:pPr>
              <w:pStyle w:val="TableColumnHeading"/>
            </w:pPr>
            <w:r w:rsidRPr="00473977">
              <w:t>NT</w:t>
            </w:r>
          </w:p>
        </w:tc>
        <w:tc>
          <w:tcPr>
            <w:tcW w:w="359" w:type="pct"/>
            <w:tcBorders>
              <w:top w:val="single" w:sz="6" w:space="0" w:color="auto"/>
              <w:bottom w:val="single" w:sz="6" w:space="0" w:color="auto"/>
            </w:tcBorders>
            <w:shd w:val="clear" w:color="auto" w:fill="auto"/>
          </w:tcPr>
          <w:p w:rsidR="00685B29" w:rsidRPr="00473977" w:rsidRDefault="00685B29" w:rsidP="00604EF6">
            <w:pPr>
              <w:pStyle w:val="TableColumnHeading"/>
              <w:ind w:right="28"/>
            </w:pPr>
            <w:proofErr w:type="spellStart"/>
            <w:r w:rsidRPr="00473977">
              <w:t>Aust</w:t>
            </w:r>
            <w:proofErr w:type="spellEnd"/>
          </w:p>
        </w:tc>
      </w:tr>
      <w:tr w:rsidR="00473977" w:rsidRPr="00473977" w:rsidTr="00285E92">
        <w:tc>
          <w:tcPr>
            <w:tcW w:w="5000" w:type="pct"/>
            <w:gridSpan w:val="14"/>
          </w:tcPr>
          <w:p w:rsidR="00685B29" w:rsidRPr="00473977" w:rsidRDefault="00685B29" w:rsidP="00C3586E">
            <w:pPr>
              <w:pStyle w:val="TableBodyText"/>
              <w:ind w:right="28"/>
              <w:jc w:val="left"/>
              <w:rPr>
                <w:i/>
              </w:rPr>
            </w:pPr>
            <w:r w:rsidRPr="00473977">
              <w:rPr>
                <w:i/>
              </w:rPr>
              <w:t xml:space="preserve">Children from </w:t>
            </w:r>
            <w:proofErr w:type="spellStart"/>
            <w:r w:rsidR="00C711A3">
              <w:rPr>
                <w:i/>
              </w:rPr>
              <w:t>NESB</w:t>
            </w:r>
            <w:proofErr w:type="spellEnd"/>
          </w:p>
        </w:tc>
      </w:tr>
      <w:tr w:rsidR="00473977" w:rsidRPr="00473977" w:rsidTr="00EA25C6">
        <w:tc>
          <w:tcPr>
            <w:tcW w:w="1613" w:type="pct"/>
          </w:tcPr>
          <w:p w:rsidR="00685B29" w:rsidRPr="00473977" w:rsidRDefault="00685B29" w:rsidP="00D25486">
            <w:pPr>
              <w:pStyle w:val="TableBodyText"/>
              <w:ind w:left="0" w:firstLine="142"/>
              <w:jc w:val="left"/>
              <w:rPr>
                <w:rStyle w:val="DraftingNote"/>
                <w:color w:val="auto"/>
                <w:sz w:val="20"/>
              </w:rPr>
            </w:pPr>
            <w:r w:rsidRPr="00473977">
              <w:t>In child care services</w:t>
            </w:r>
            <w:r w:rsidR="0012427D" w:rsidRPr="00473977">
              <w:t xml:space="preserve"> </w:t>
            </w:r>
          </w:p>
        </w:tc>
        <w:tc>
          <w:tcPr>
            <w:tcW w:w="403" w:type="pct"/>
            <w:vAlign w:val="center"/>
          </w:tcPr>
          <w:p w:rsidR="00685B29" w:rsidRPr="001A77E9" w:rsidRDefault="001A77E9" w:rsidP="00604EF6">
            <w:pPr>
              <w:pStyle w:val="TableBodyText"/>
            </w:pPr>
            <w:r w:rsidRPr="001A77E9">
              <w:t>21.3</w:t>
            </w:r>
          </w:p>
        </w:tc>
        <w:tc>
          <w:tcPr>
            <w:tcW w:w="407" w:type="pct"/>
            <w:vAlign w:val="center"/>
          </w:tcPr>
          <w:p w:rsidR="00685B29" w:rsidRPr="001A77E9" w:rsidRDefault="001A77E9" w:rsidP="00604EF6">
            <w:pPr>
              <w:pStyle w:val="TableBodyText"/>
            </w:pPr>
            <w:r w:rsidRPr="001A77E9">
              <w:t>24.8</w:t>
            </w:r>
          </w:p>
        </w:tc>
        <w:tc>
          <w:tcPr>
            <w:tcW w:w="387" w:type="pct"/>
            <w:gridSpan w:val="3"/>
            <w:vAlign w:val="center"/>
          </w:tcPr>
          <w:p w:rsidR="00685B29" w:rsidRPr="001A77E9" w:rsidRDefault="001A77E9" w:rsidP="00604EF6">
            <w:pPr>
              <w:pStyle w:val="TableBodyText"/>
            </w:pPr>
            <w:r w:rsidRPr="001A77E9">
              <w:t>9.0</w:t>
            </w:r>
          </w:p>
        </w:tc>
        <w:tc>
          <w:tcPr>
            <w:tcW w:w="365" w:type="pct"/>
            <w:gridSpan w:val="2"/>
            <w:vAlign w:val="center"/>
          </w:tcPr>
          <w:p w:rsidR="00685B29" w:rsidRPr="001A77E9" w:rsidRDefault="001A77E9" w:rsidP="00604EF6">
            <w:pPr>
              <w:pStyle w:val="TableBodyText"/>
            </w:pPr>
            <w:r w:rsidRPr="001A77E9">
              <w:t>13.4</w:t>
            </w:r>
          </w:p>
        </w:tc>
        <w:tc>
          <w:tcPr>
            <w:tcW w:w="365" w:type="pct"/>
            <w:gridSpan w:val="2"/>
            <w:vAlign w:val="center"/>
          </w:tcPr>
          <w:p w:rsidR="00685B29" w:rsidRPr="001A77E9" w:rsidRDefault="001A77E9" w:rsidP="00604EF6">
            <w:pPr>
              <w:pStyle w:val="TableBodyText"/>
            </w:pPr>
            <w:r w:rsidRPr="001A77E9">
              <w:t>10.4</w:t>
            </w:r>
          </w:p>
        </w:tc>
        <w:tc>
          <w:tcPr>
            <w:tcW w:w="365" w:type="pct"/>
            <w:vAlign w:val="center"/>
          </w:tcPr>
          <w:p w:rsidR="00685B29" w:rsidRPr="001A77E9" w:rsidRDefault="001F11E5" w:rsidP="00604EF6">
            <w:pPr>
              <w:pStyle w:val="TableBodyText"/>
            </w:pPr>
            <w:r w:rsidRPr="001A77E9">
              <w:t>3.</w:t>
            </w:r>
            <w:r w:rsidR="001A77E9" w:rsidRPr="001A77E9">
              <w:t>5</w:t>
            </w:r>
          </w:p>
        </w:tc>
        <w:tc>
          <w:tcPr>
            <w:tcW w:w="368" w:type="pct"/>
            <w:vAlign w:val="center"/>
          </w:tcPr>
          <w:p w:rsidR="00685B29" w:rsidRPr="001A77E9" w:rsidRDefault="001A77E9" w:rsidP="00604EF6">
            <w:pPr>
              <w:pStyle w:val="TableBodyText"/>
            </w:pPr>
            <w:r w:rsidRPr="001A77E9">
              <w:t>16.0</w:t>
            </w:r>
          </w:p>
        </w:tc>
        <w:tc>
          <w:tcPr>
            <w:tcW w:w="368" w:type="pct"/>
            <w:vAlign w:val="center"/>
          </w:tcPr>
          <w:p w:rsidR="00685B29" w:rsidRPr="001A77E9" w:rsidRDefault="001A77E9" w:rsidP="00604EF6">
            <w:pPr>
              <w:pStyle w:val="TableBodyText"/>
            </w:pPr>
            <w:r w:rsidRPr="001A77E9">
              <w:t>10</w:t>
            </w:r>
            <w:r w:rsidR="001F11E5" w:rsidRPr="001A77E9">
              <w:t>.</w:t>
            </w:r>
            <w:r w:rsidRPr="001A77E9">
              <w:t>6</w:t>
            </w:r>
          </w:p>
        </w:tc>
        <w:tc>
          <w:tcPr>
            <w:tcW w:w="359" w:type="pct"/>
            <w:vAlign w:val="center"/>
          </w:tcPr>
          <w:p w:rsidR="00685B29" w:rsidRPr="001A77E9" w:rsidRDefault="001A77E9" w:rsidP="00604EF6">
            <w:pPr>
              <w:pStyle w:val="TableBodyText"/>
              <w:ind w:right="28"/>
            </w:pPr>
            <w:r w:rsidRPr="001A77E9">
              <w:t>17.3</w:t>
            </w:r>
          </w:p>
        </w:tc>
      </w:tr>
      <w:tr w:rsidR="00473977" w:rsidRPr="00473977" w:rsidTr="00EA25C6">
        <w:tc>
          <w:tcPr>
            <w:tcW w:w="1613" w:type="pct"/>
          </w:tcPr>
          <w:p w:rsidR="0012427D" w:rsidRPr="00473977" w:rsidRDefault="00685B29" w:rsidP="00D25486">
            <w:pPr>
              <w:pStyle w:val="TableBodyText"/>
              <w:ind w:left="0" w:firstLine="142"/>
              <w:jc w:val="left"/>
            </w:pPr>
            <w:r w:rsidRPr="00473977">
              <w:t>In the community</w:t>
            </w:r>
            <w:r w:rsidR="00473977" w:rsidRPr="00473977">
              <w:t>, 2011</w:t>
            </w:r>
            <w:r w:rsidR="0012427D" w:rsidRPr="00473977">
              <w:t xml:space="preserve"> </w:t>
            </w:r>
          </w:p>
        </w:tc>
        <w:tc>
          <w:tcPr>
            <w:tcW w:w="403" w:type="pct"/>
            <w:vAlign w:val="center"/>
          </w:tcPr>
          <w:p w:rsidR="00685B29" w:rsidRPr="009B635F" w:rsidRDefault="009B635F" w:rsidP="00604EF6">
            <w:pPr>
              <w:pStyle w:val="TableBodyText"/>
            </w:pPr>
            <w:r w:rsidRPr="009B635F">
              <w:t>23.7</w:t>
            </w:r>
          </w:p>
        </w:tc>
        <w:tc>
          <w:tcPr>
            <w:tcW w:w="407" w:type="pct"/>
            <w:vAlign w:val="center"/>
          </w:tcPr>
          <w:p w:rsidR="00685B29" w:rsidRPr="009B635F" w:rsidRDefault="009B635F" w:rsidP="00604EF6">
            <w:pPr>
              <w:pStyle w:val="TableBodyText"/>
            </w:pPr>
            <w:r w:rsidRPr="009B635F">
              <w:t>23.4</w:t>
            </w:r>
          </w:p>
        </w:tc>
        <w:tc>
          <w:tcPr>
            <w:tcW w:w="387" w:type="pct"/>
            <w:gridSpan w:val="3"/>
            <w:vAlign w:val="center"/>
          </w:tcPr>
          <w:p w:rsidR="00685B29" w:rsidRPr="009B635F" w:rsidRDefault="009B635F" w:rsidP="00604EF6">
            <w:pPr>
              <w:pStyle w:val="TableBodyText"/>
            </w:pPr>
            <w:r w:rsidRPr="009B635F">
              <w:t>13.2</w:t>
            </w:r>
          </w:p>
        </w:tc>
        <w:tc>
          <w:tcPr>
            <w:tcW w:w="365" w:type="pct"/>
            <w:gridSpan w:val="2"/>
            <w:vAlign w:val="center"/>
          </w:tcPr>
          <w:p w:rsidR="00685B29" w:rsidRPr="009B635F" w:rsidRDefault="009B635F" w:rsidP="00604EF6">
            <w:pPr>
              <w:pStyle w:val="TableBodyText"/>
            </w:pPr>
            <w:r w:rsidRPr="009B635F">
              <w:t>18.0</w:t>
            </w:r>
          </w:p>
        </w:tc>
        <w:tc>
          <w:tcPr>
            <w:tcW w:w="365" w:type="pct"/>
            <w:gridSpan w:val="2"/>
            <w:vAlign w:val="center"/>
          </w:tcPr>
          <w:p w:rsidR="00685B29" w:rsidRPr="009B635F" w:rsidRDefault="009B635F" w:rsidP="00604EF6">
            <w:pPr>
              <w:pStyle w:val="TableBodyText"/>
            </w:pPr>
            <w:r w:rsidRPr="009B635F">
              <w:t>15.7</w:t>
            </w:r>
          </w:p>
        </w:tc>
        <w:tc>
          <w:tcPr>
            <w:tcW w:w="365" w:type="pct"/>
            <w:vAlign w:val="center"/>
          </w:tcPr>
          <w:p w:rsidR="00685B29" w:rsidRPr="009B635F" w:rsidRDefault="009B635F" w:rsidP="00604EF6">
            <w:pPr>
              <w:pStyle w:val="TableBodyText"/>
            </w:pPr>
            <w:r w:rsidRPr="009B635F">
              <w:t>7.3</w:t>
            </w:r>
          </w:p>
        </w:tc>
        <w:tc>
          <w:tcPr>
            <w:tcW w:w="368" w:type="pct"/>
            <w:vAlign w:val="center"/>
          </w:tcPr>
          <w:p w:rsidR="00685B29" w:rsidRPr="009B635F" w:rsidRDefault="009B635F" w:rsidP="00604EF6">
            <w:pPr>
              <w:pStyle w:val="TableBodyText"/>
            </w:pPr>
            <w:r w:rsidRPr="009B635F">
              <w:t>19</w:t>
            </w:r>
            <w:r w:rsidR="001F11E5" w:rsidRPr="009B635F">
              <w:t>.2</w:t>
            </w:r>
          </w:p>
        </w:tc>
        <w:tc>
          <w:tcPr>
            <w:tcW w:w="368" w:type="pct"/>
            <w:vAlign w:val="center"/>
          </w:tcPr>
          <w:p w:rsidR="00685B29" w:rsidRPr="009B635F" w:rsidRDefault="009B635F" w:rsidP="00604EF6">
            <w:pPr>
              <w:pStyle w:val="TableBodyText"/>
            </w:pPr>
            <w:r w:rsidRPr="009B635F">
              <w:t>40.0</w:t>
            </w:r>
          </w:p>
        </w:tc>
        <w:tc>
          <w:tcPr>
            <w:tcW w:w="359" w:type="pct"/>
            <w:vAlign w:val="center"/>
          </w:tcPr>
          <w:p w:rsidR="00685B29" w:rsidRPr="009B635F" w:rsidRDefault="009B635F" w:rsidP="00604EF6">
            <w:pPr>
              <w:pStyle w:val="TableBodyText"/>
              <w:ind w:right="28"/>
            </w:pPr>
            <w:r w:rsidRPr="009B635F">
              <w:t>20.0</w:t>
            </w:r>
          </w:p>
        </w:tc>
      </w:tr>
      <w:tr w:rsidR="00473977" w:rsidRPr="00473977" w:rsidTr="00285E92">
        <w:tc>
          <w:tcPr>
            <w:tcW w:w="5000" w:type="pct"/>
            <w:gridSpan w:val="14"/>
          </w:tcPr>
          <w:p w:rsidR="00685B29" w:rsidRPr="00473977" w:rsidRDefault="00685B29" w:rsidP="00C3586E">
            <w:pPr>
              <w:pStyle w:val="TableBodyText"/>
              <w:jc w:val="left"/>
              <w:rPr>
                <w:i/>
                <w:color w:val="FF0000"/>
              </w:rPr>
            </w:pPr>
            <w:r w:rsidRPr="001D458A">
              <w:rPr>
                <w:i/>
              </w:rPr>
              <w:t>Indigenous children</w:t>
            </w:r>
          </w:p>
        </w:tc>
      </w:tr>
      <w:tr w:rsidR="00473977" w:rsidRPr="00473977" w:rsidTr="00EB4A3F">
        <w:tc>
          <w:tcPr>
            <w:tcW w:w="1613" w:type="pct"/>
          </w:tcPr>
          <w:p w:rsidR="00685B29" w:rsidRPr="00473977" w:rsidRDefault="00685B29" w:rsidP="00D25486">
            <w:pPr>
              <w:pStyle w:val="TableBodyText"/>
              <w:ind w:left="0" w:firstLine="142"/>
              <w:jc w:val="left"/>
            </w:pPr>
            <w:r w:rsidRPr="00473977">
              <w:t>In child care services</w:t>
            </w:r>
          </w:p>
        </w:tc>
        <w:tc>
          <w:tcPr>
            <w:tcW w:w="403" w:type="pct"/>
            <w:vAlign w:val="center"/>
          </w:tcPr>
          <w:p w:rsidR="00685B29" w:rsidRPr="001D458A" w:rsidRDefault="001D458A" w:rsidP="00604EF6">
            <w:pPr>
              <w:pStyle w:val="TableBodyText"/>
            </w:pPr>
            <w:r w:rsidRPr="001D458A">
              <w:t>2.8</w:t>
            </w:r>
          </w:p>
        </w:tc>
        <w:tc>
          <w:tcPr>
            <w:tcW w:w="407" w:type="pct"/>
            <w:vAlign w:val="center"/>
          </w:tcPr>
          <w:p w:rsidR="00685B29" w:rsidRPr="001D458A" w:rsidRDefault="001D458A" w:rsidP="00604EF6">
            <w:pPr>
              <w:pStyle w:val="TableBodyText"/>
            </w:pPr>
            <w:r w:rsidRPr="001D458A">
              <w:t>0.8</w:t>
            </w:r>
          </w:p>
        </w:tc>
        <w:tc>
          <w:tcPr>
            <w:tcW w:w="387" w:type="pct"/>
            <w:gridSpan w:val="3"/>
            <w:vAlign w:val="center"/>
          </w:tcPr>
          <w:p w:rsidR="00685B29" w:rsidRPr="001D458A" w:rsidRDefault="001D458A" w:rsidP="00604EF6">
            <w:pPr>
              <w:pStyle w:val="TableBodyText"/>
            </w:pPr>
            <w:r w:rsidRPr="001D458A">
              <w:t>4.0</w:t>
            </w:r>
          </w:p>
        </w:tc>
        <w:tc>
          <w:tcPr>
            <w:tcW w:w="365" w:type="pct"/>
            <w:gridSpan w:val="2"/>
            <w:vAlign w:val="center"/>
          </w:tcPr>
          <w:p w:rsidR="00685B29" w:rsidRPr="001D458A" w:rsidRDefault="001D458A" w:rsidP="00604EF6">
            <w:pPr>
              <w:pStyle w:val="TableBodyText"/>
            </w:pPr>
            <w:r w:rsidRPr="001D458A">
              <w:t>2.6</w:t>
            </w:r>
          </w:p>
        </w:tc>
        <w:tc>
          <w:tcPr>
            <w:tcW w:w="365" w:type="pct"/>
            <w:gridSpan w:val="2"/>
            <w:vAlign w:val="center"/>
          </w:tcPr>
          <w:p w:rsidR="00685B29" w:rsidRPr="001D458A" w:rsidRDefault="001D458A" w:rsidP="00604EF6">
            <w:pPr>
              <w:pStyle w:val="TableBodyText"/>
            </w:pPr>
            <w:r w:rsidRPr="001D458A">
              <w:t>1.8</w:t>
            </w:r>
          </w:p>
        </w:tc>
        <w:tc>
          <w:tcPr>
            <w:tcW w:w="365" w:type="pct"/>
            <w:vAlign w:val="center"/>
          </w:tcPr>
          <w:p w:rsidR="00685B29" w:rsidRPr="001D458A" w:rsidRDefault="001D458A" w:rsidP="00604EF6">
            <w:pPr>
              <w:pStyle w:val="TableBodyText"/>
            </w:pPr>
            <w:r w:rsidRPr="001D458A">
              <w:t>5.7</w:t>
            </w:r>
          </w:p>
        </w:tc>
        <w:tc>
          <w:tcPr>
            <w:tcW w:w="368" w:type="pct"/>
            <w:vAlign w:val="center"/>
          </w:tcPr>
          <w:p w:rsidR="00685B29" w:rsidRPr="001D458A" w:rsidRDefault="001D458A" w:rsidP="00604EF6">
            <w:pPr>
              <w:pStyle w:val="TableBodyText"/>
            </w:pPr>
            <w:r w:rsidRPr="001D458A">
              <w:t>1.4</w:t>
            </w:r>
          </w:p>
        </w:tc>
        <w:tc>
          <w:tcPr>
            <w:tcW w:w="368" w:type="pct"/>
            <w:vAlign w:val="center"/>
          </w:tcPr>
          <w:p w:rsidR="00685B29" w:rsidRPr="001D458A" w:rsidRDefault="001D458A" w:rsidP="00604EF6">
            <w:pPr>
              <w:pStyle w:val="TableBodyText"/>
            </w:pPr>
            <w:r w:rsidRPr="001D458A">
              <w:t>11.8</w:t>
            </w:r>
          </w:p>
        </w:tc>
        <w:tc>
          <w:tcPr>
            <w:tcW w:w="359" w:type="pct"/>
            <w:vAlign w:val="center"/>
          </w:tcPr>
          <w:p w:rsidR="00685B29" w:rsidRPr="001D458A" w:rsidRDefault="001D458A" w:rsidP="00604EF6">
            <w:pPr>
              <w:pStyle w:val="TableBodyText"/>
              <w:ind w:right="28"/>
            </w:pPr>
            <w:r w:rsidRPr="001D458A">
              <w:t>2.6</w:t>
            </w:r>
          </w:p>
        </w:tc>
      </w:tr>
      <w:tr w:rsidR="00473977" w:rsidRPr="00473977" w:rsidTr="00EB4A3F">
        <w:tc>
          <w:tcPr>
            <w:tcW w:w="1613" w:type="pct"/>
          </w:tcPr>
          <w:p w:rsidR="00685B29" w:rsidRPr="00473977" w:rsidRDefault="00685B29" w:rsidP="00D25486">
            <w:pPr>
              <w:pStyle w:val="TableBodyText"/>
              <w:ind w:left="0" w:firstLine="142"/>
              <w:jc w:val="left"/>
            </w:pPr>
            <w:r w:rsidRPr="00473977">
              <w:t>In the community</w:t>
            </w:r>
            <w:r w:rsidR="008869C4" w:rsidRPr="00473977">
              <w:t>, 20</w:t>
            </w:r>
            <w:r w:rsidR="00473977" w:rsidRPr="00473977">
              <w:t>12</w:t>
            </w:r>
          </w:p>
        </w:tc>
        <w:tc>
          <w:tcPr>
            <w:tcW w:w="403" w:type="pct"/>
            <w:vAlign w:val="center"/>
          </w:tcPr>
          <w:p w:rsidR="00685B29" w:rsidRPr="001D458A" w:rsidRDefault="001D458A" w:rsidP="00604EF6">
            <w:pPr>
              <w:pStyle w:val="TableBodyText"/>
            </w:pPr>
            <w:r w:rsidRPr="001D458A">
              <w:t>4.5</w:t>
            </w:r>
          </w:p>
        </w:tc>
        <w:tc>
          <w:tcPr>
            <w:tcW w:w="407" w:type="pct"/>
            <w:vAlign w:val="center"/>
          </w:tcPr>
          <w:p w:rsidR="00685B29" w:rsidRPr="001D458A" w:rsidRDefault="00A80B56" w:rsidP="00604EF6">
            <w:pPr>
              <w:pStyle w:val="TableBodyText"/>
            </w:pPr>
            <w:r w:rsidRPr="001D458A">
              <w:t>1</w:t>
            </w:r>
            <w:r w:rsidR="001D458A" w:rsidRPr="001D458A">
              <w:t>.3</w:t>
            </w:r>
          </w:p>
        </w:tc>
        <w:tc>
          <w:tcPr>
            <w:tcW w:w="387" w:type="pct"/>
            <w:gridSpan w:val="3"/>
            <w:vAlign w:val="center"/>
          </w:tcPr>
          <w:p w:rsidR="00685B29" w:rsidRPr="001D458A" w:rsidRDefault="001D458A" w:rsidP="00604EF6">
            <w:pPr>
              <w:pStyle w:val="TableBodyText"/>
            </w:pPr>
            <w:r w:rsidRPr="001D458A">
              <w:t>6.7</w:t>
            </w:r>
          </w:p>
        </w:tc>
        <w:tc>
          <w:tcPr>
            <w:tcW w:w="365" w:type="pct"/>
            <w:gridSpan w:val="2"/>
            <w:vAlign w:val="center"/>
          </w:tcPr>
          <w:p w:rsidR="00685B29" w:rsidRPr="001D458A" w:rsidRDefault="001F11E5" w:rsidP="00604EF6">
            <w:pPr>
              <w:pStyle w:val="TableBodyText"/>
            </w:pPr>
            <w:r w:rsidRPr="001D458A">
              <w:t>5.</w:t>
            </w:r>
            <w:r w:rsidR="001D458A" w:rsidRPr="001D458A">
              <w:t>8</w:t>
            </w:r>
          </w:p>
        </w:tc>
        <w:tc>
          <w:tcPr>
            <w:tcW w:w="365" w:type="pct"/>
            <w:gridSpan w:val="2"/>
            <w:vAlign w:val="center"/>
          </w:tcPr>
          <w:p w:rsidR="00685B29" w:rsidRPr="001D458A" w:rsidRDefault="001F11E5" w:rsidP="00604EF6">
            <w:pPr>
              <w:pStyle w:val="TableBodyText"/>
            </w:pPr>
            <w:r w:rsidRPr="001D458A">
              <w:t>3.</w:t>
            </w:r>
            <w:r w:rsidR="001D458A" w:rsidRPr="001D458A">
              <w:t>7</w:t>
            </w:r>
          </w:p>
        </w:tc>
        <w:tc>
          <w:tcPr>
            <w:tcW w:w="365" w:type="pct"/>
            <w:vAlign w:val="center"/>
          </w:tcPr>
          <w:p w:rsidR="00685B29" w:rsidRPr="001D458A" w:rsidRDefault="001D458A" w:rsidP="00604EF6">
            <w:pPr>
              <w:pStyle w:val="TableBodyText"/>
            </w:pPr>
            <w:r w:rsidRPr="001D458A">
              <w:t>7.2</w:t>
            </w:r>
          </w:p>
        </w:tc>
        <w:tc>
          <w:tcPr>
            <w:tcW w:w="368" w:type="pct"/>
            <w:vAlign w:val="center"/>
          </w:tcPr>
          <w:p w:rsidR="00685B29" w:rsidRPr="001D458A" w:rsidRDefault="001F11E5" w:rsidP="00604EF6">
            <w:pPr>
              <w:pStyle w:val="TableBodyText"/>
            </w:pPr>
            <w:r w:rsidRPr="001D458A">
              <w:t>2.</w:t>
            </w:r>
            <w:r w:rsidR="001D458A" w:rsidRPr="001D458A">
              <w:t>5</w:t>
            </w:r>
          </w:p>
        </w:tc>
        <w:tc>
          <w:tcPr>
            <w:tcW w:w="368" w:type="pct"/>
            <w:vAlign w:val="center"/>
          </w:tcPr>
          <w:p w:rsidR="00685B29" w:rsidRPr="001D458A" w:rsidRDefault="001D458A" w:rsidP="00604EF6">
            <w:pPr>
              <w:pStyle w:val="TableBodyText"/>
            </w:pPr>
            <w:r w:rsidRPr="001D458A">
              <w:t>42.8</w:t>
            </w:r>
          </w:p>
        </w:tc>
        <w:tc>
          <w:tcPr>
            <w:tcW w:w="359" w:type="pct"/>
            <w:vAlign w:val="center"/>
          </w:tcPr>
          <w:p w:rsidR="00685B29" w:rsidRPr="001D458A" w:rsidRDefault="001F11E5" w:rsidP="00604EF6">
            <w:pPr>
              <w:pStyle w:val="TableBodyText"/>
              <w:ind w:right="28"/>
            </w:pPr>
            <w:r w:rsidRPr="001D458A">
              <w:t>4.</w:t>
            </w:r>
            <w:r w:rsidR="001D458A" w:rsidRPr="001D458A">
              <w:t>8</w:t>
            </w:r>
          </w:p>
        </w:tc>
      </w:tr>
      <w:tr w:rsidR="00473977" w:rsidRPr="00473977" w:rsidTr="00285E92">
        <w:tc>
          <w:tcPr>
            <w:tcW w:w="5000" w:type="pct"/>
            <w:gridSpan w:val="14"/>
          </w:tcPr>
          <w:p w:rsidR="00285E92" w:rsidRPr="00473977" w:rsidRDefault="00285E92" w:rsidP="00C3586E">
            <w:pPr>
              <w:pStyle w:val="TableBodyText"/>
              <w:jc w:val="left"/>
              <w:rPr>
                <w:i/>
                <w:color w:val="FF0000"/>
              </w:rPr>
            </w:pPr>
            <w:r w:rsidRPr="001D458A">
              <w:rPr>
                <w:i/>
              </w:rPr>
              <w:t>Children from low income families</w:t>
            </w:r>
          </w:p>
        </w:tc>
      </w:tr>
      <w:tr w:rsidR="00473977" w:rsidRPr="00473977" w:rsidTr="00EB4A3F">
        <w:trPr>
          <w:trHeight w:val="246"/>
        </w:trPr>
        <w:tc>
          <w:tcPr>
            <w:tcW w:w="1613" w:type="pct"/>
          </w:tcPr>
          <w:p w:rsidR="00285E92" w:rsidRPr="00473977" w:rsidRDefault="00285E92" w:rsidP="00D25486">
            <w:pPr>
              <w:pStyle w:val="TableBodyText"/>
              <w:ind w:left="0" w:firstLine="142"/>
              <w:jc w:val="left"/>
            </w:pPr>
            <w:r w:rsidRPr="00473977">
              <w:t>In child care services</w:t>
            </w:r>
            <w:r w:rsidR="0012427D" w:rsidRPr="00473977">
              <w:t xml:space="preserve"> </w:t>
            </w:r>
          </w:p>
        </w:tc>
        <w:tc>
          <w:tcPr>
            <w:tcW w:w="403" w:type="pct"/>
            <w:vAlign w:val="center"/>
          </w:tcPr>
          <w:p w:rsidR="00285E92" w:rsidRPr="001D458A" w:rsidRDefault="001D458A" w:rsidP="00604EF6">
            <w:pPr>
              <w:pStyle w:val="TableBodyText"/>
            </w:pPr>
            <w:r w:rsidRPr="001D458A">
              <w:t>24.4</w:t>
            </w:r>
          </w:p>
        </w:tc>
        <w:tc>
          <w:tcPr>
            <w:tcW w:w="407" w:type="pct"/>
            <w:vAlign w:val="center"/>
          </w:tcPr>
          <w:p w:rsidR="00285E92" w:rsidRPr="001D458A" w:rsidRDefault="001D458A" w:rsidP="00604EF6">
            <w:pPr>
              <w:pStyle w:val="TableBodyText"/>
            </w:pPr>
            <w:r w:rsidRPr="001D458A">
              <w:t>26.2</w:t>
            </w:r>
          </w:p>
        </w:tc>
        <w:tc>
          <w:tcPr>
            <w:tcW w:w="376" w:type="pct"/>
            <w:gridSpan w:val="2"/>
            <w:vAlign w:val="center"/>
          </w:tcPr>
          <w:p w:rsidR="00285E92" w:rsidRPr="001D458A" w:rsidRDefault="001D458A" w:rsidP="00604EF6">
            <w:pPr>
              <w:pStyle w:val="TableBodyText"/>
            </w:pPr>
            <w:r w:rsidRPr="001D458A">
              <w:t>27.5</w:t>
            </w:r>
          </w:p>
        </w:tc>
        <w:tc>
          <w:tcPr>
            <w:tcW w:w="368" w:type="pct"/>
            <w:gridSpan w:val="2"/>
            <w:vAlign w:val="center"/>
          </w:tcPr>
          <w:p w:rsidR="00285E92" w:rsidRPr="001D458A" w:rsidRDefault="001D458A" w:rsidP="00604EF6">
            <w:pPr>
              <w:pStyle w:val="TableBodyText"/>
            </w:pPr>
            <w:r w:rsidRPr="001D458A">
              <w:t>22.5</w:t>
            </w:r>
          </w:p>
        </w:tc>
        <w:tc>
          <w:tcPr>
            <w:tcW w:w="367" w:type="pct"/>
            <w:gridSpan w:val="2"/>
            <w:vAlign w:val="center"/>
          </w:tcPr>
          <w:p w:rsidR="00285E92" w:rsidRPr="001D458A" w:rsidRDefault="001D458A" w:rsidP="00604EF6">
            <w:pPr>
              <w:pStyle w:val="TableBodyText"/>
            </w:pPr>
            <w:r w:rsidRPr="001D458A">
              <w:t>23.6</w:t>
            </w:r>
          </w:p>
        </w:tc>
        <w:tc>
          <w:tcPr>
            <w:tcW w:w="371" w:type="pct"/>
            <w:gridSpan w:val="2"/>
            <w:vAlign w:val="center"/>
          </w:tcPr>
          <w:p w:rsidR="00285E92" w:rsidRPr="001D458A" w:rsidRDefault="001D458A" w:rsidP="00604EF6">
            <w:pPr>
              <w:pStyle w:val="TableBodyText"/>
            </w:pPr>
            <w:r w:rsidRPr="001D458A">
              <w:t>28.9</w:t>
            </w:r>
          </w:p>
        </w:tc>
        <w:tc>
          <w:tcPr>
            <w:tcW w:w="368" w:type="pct"/>
            <w:vAlign w:val="center"/>
          </w:tcPr>
          <w:p w:rsidR="00285E92" w:rsidRPr="001D458A" w:rsidRDefault="001D458A" w:rsidP="00604EF6">
            <w:pPr>
              <w:pStyle w:val="TableBodyText"/>
            </w:pPr>
            <w:r w:rsidRPr="001D458A">
              <w:t>7.6</w:t>
            </w:r>
          </w:p>
        </w:tc>
        <w:tc>
          <w:tcPr>
            <w:tcW w:w="368" w:type="pct"/>
            <w:vAlign w:val="center"/>
          </w:tcPr>
          <w:p w:rsidR="00285E92" w:rsidRPr="001D458A" w:rsidRDefault="001F11E5" w:rsidP="00604EF6">
            <w:pPr>
              <w:pStyle w:val="TableBodyText"/>
            </w:pPr>
            <w:r w:rsidRPr="001D458A">
              <w:t>14.4</w:t>
            </w:r>
          </w:p>
        </w:tc>
        <w:tc>
          <w:tcPr>
            <w:tcW w:w="359" w:type="pct"/>
            <w:vAlign w:val="center"/>
          </w:tcPr>
          <w:p w:rsidR="001F11E5" w:rsidRPr="001D458A" w:rsidRDefault="001D458A" w:rsidP="00604EF6">
            <w:pPr>
              <w:pStyle w:val="TableBodyText"/>
              <w:ind w:right="28"/>
            </w:pPr>
            <w:r w:rsidRPr="001D458A">
              <w:t>25.0</w:t>
            </w:r>
          </w:p>
        </w:tc>
      </w:tr>
      <w:tr w:rsidR="00473977" w:rsidRPr="00473977" w:rsidTr="00EB4A3F">
        <w:tc>
          <w:tcPr>
            <w:tcW w:w="1613" w:type="pct"/>
          </w:tcPr>
          <w:p w:rsidR="00285E92" w:rsidRPr="00473977" w:rsidRDefault="00285E92" w:rsidP="00D25486">
            <w:pPr>
              <w:pStyle w:val="TableBodyText"/>
              <w:ind w:left="0" w:firstLine="142"/>
              <w:jc w:val="left"/>
            </w:pPr>
            <w:r w:rsidRPr="00473977">
              <w:t>In the community</w:t>
            </w:r>
            <w:r w:rsidR="00473977" w:rsidRPr="00473977">
              <w:t>, 2011</w:t>
            </w:r>
            <w:r w:rsidR="00172534">
              <w:noBreakHyphen/>
            </w:r>
            <w:r w:rsidR="00473977" w:rsidRPr="00473977">
              <w:t>12</w:t>
            </w:r>
          </w:p>
        </w:tc>
        <w:tc>
          <w:tcPr>
            <w:tcW w:w="403" w:type="pct"/>
            <w:vAlign w:val="bottom"/>
          </w:tcPr>
          <w:p w:rsidR="00285E92" w:rsidRPr="00BC0B9C" w:rsidRDefault="002F025B" w:rsidP="00604EF6">
            <w:pPr>
              <w:pStyle w:val="TableBodyText"/>
            </w:pPr>
            <w:r w:rsidRPr="00BC0B9C">
              <w:t>2</w:t>
            </w:r>
            <w:r w:rsidR="001D458A" w:rsidRPr="00BC0B9C">
              <w:t>2.5</w:t>
            </w:r>
          </w:p>
        </w:tc>
        <w:tc>
          <w:tcPr>
            <w:tcW w:w="407" w:type="pct"/>
            <w:vAlign w:val="bottom"/>
          </w:tcPr>
          <w:p w:rsidR="00285E92" w:rsidRPr="00BC0B9C" w:rsidRDefault="001D458A" w:rsidP="00604EF6">
            <w:pPr>
              <w:pStyle w:val="TableBodyText"/>
            </w:pPr>
            <w:r w:rsidRPr="00BC0B9C">
              <w:t>20.4</w:t>
            </w:r>
          </w:p>
        </w:tc>
        <w:tc>
          <w:tcPr>
            <w:tcW w:w="376" w:type="pct"/>
            <w:gridSpan w:val="2"/>
            <w:vAlign w:val="bottom"/>
          </w:tcPr>
          <w:p w:rsidR="00285E92" w:rsidRPr="00BC0B9C" w:rsidRDefault="001D458A" w:rsidP="00604EF6">
            <w:pPr>
              <w:pStyle w:val="TableBodyText"/>
            </w:pPr>
            <w:r w:rsidRPr="00BC0B9C">
              <w:t>21.4</w:t>
            </w:r>
          </w:p>
        </w:tc>
        <w:tc>
          <w:tcPr>
            <w:tcW w:w="368" w:type="pct"/>
            <w:gridSpan w:val="2"/>
            <w:vAlign w:val="bottom"/>
          </w:tcPr>
          <w:p w:rsidR="00285E92" w:rsidRPr="00BC0B9C" w:rsidRDefault="001D458A" w:rsidP="00604EF6">
            <w:pPr>
              <w:pStyle w:val="TableBodyText"/>
            </w:pPr>
            <w:r w:rsidRPr="00BC0B9C">
              <w:t>13.8</w:t>
            </w:r>
          </w:p>
        </w:tc>
        <w:tc>
          <w:tcPr>
            <w:tcW w:w="367" w:type="pct"/>
            <w:gridSpan w:val="2"/>
            <w:vAlign w:val="bottom"/>
          </w:tcPr>
          <w:p w:rsidR="00285E92" w:rsidRPr="00BC0B9C" w:rsidRDefault="001D458A" w:rsidP="00604EF6">
            <w:pPr>
              <w:pStyle w:val="TableBodyText"/>
            </w:pPr>
            <w:r w:rsidRPr="00BC0B9C">
              <w:t>21.9</w:t>
            </w:r>
          </w:p>
        </w:tc>
        <w:tc>
          <w:tcPr>
            <w:tcW w:w="371" w:type="pct"/>
            <w:gridSpan w:val="2"/>
            <w:vAlign w:val="bottom"/>
          </w:tcPr>
          <w:p w:rsidR="00285E92" w:rsidRPr="00BC0B9C" w:rsidRDefault="001D458A" w:rsidP="00604EF6">
            <w:pPr>
              <w:pStyle w:val="TableBodyText"/>
            </w:pPr>
            <w:r w:rsidRPr="00BC0B9C">
              <w:t>26.9</w:t>
            </w:r>
          </w:p>
        </w:tc>
        <w:tc>
          <w:tcPr>
            <w:tcW w:w="368" w:type="pct"/>
            <w:vAlign w:val="bottom"/>
          </w:tcPr>
          <w:p w:rsidR="00285E92" w:rsidRPr="00BC0B9C" w:rsidRDefault="00BC0B9C" w:rsidP="00604EF6">
            <w:pPr>
              <w:pStyle w:val="TableBodyText"/>
            </w:pPr>
            <w:r w:rsidRPr="00BC0B9C">
              <w:t>7.8</w:t>
            </w:r>
          </w:p>
        </w:tc>
        <w:tc>
          <w:tcPr>
            <w:tcW w:w="368" w:type="pct"/>
            <w:vAlign w:val="bottom"/>
          </w:tcPr>
          <w:p w:rsidR="00285E92" w:rsidRPr="00BC0B9C" w:rsidRDefault="00BC0B9C" w:rsidP="00604EF6">
            <w:pPr>
              <w:pStyle w:val="TableBodyText"/>
            </w:pPr>
            <w:r w:rsidRPr="00BC0B9C">
              <w:t>22.5</w:t>
            </w:r>
          </w:p>
        </w:tc>
        <w:tc>
          <w:tcPr>
            <w:tcW w:w="359" w:type="pct"/>
            <w:vAlign w:val="bottom"/>
          </w:tcPr>
          <w:p w:rsidR="00285E92" w:rsidRPr="00BC0B9C" w:rsidRDefault="00BC0B9C" w:rsidP="00604EF6">
            <w:pPr>
              <w:pStyle w:val="TableBodyText"/>
              <w:ind w:right="28"/>
            </w:pPr>
            <w:r w:rsidRPr="00BC0B9C">
              <w:t>20.7</w:t>
            </w:r>
          </w:p>
        </w:tc>
      </w:tr>
      <w:tr w:rsidR="00473977" w:rsidRPr="00473977" w:rsidTr="00285E92">
        <w:tc>
          <w:tcPr>
            <w:tcW w:w="5000" w:type="pct"/>
            <w:gridSpan w:val="14"/>
          </w:tcPr>
          <w:p w:rsidR="00285E92" w:rsidRPr="00473977" w:rsidRDefault="00285E92" w:rsidP="00C3586E">
            <w:pPr>
              <w:pStyle w:val="TableBodyText"/>
              <w:jc w:val="left"/>
              <w:rPr>
                <w:i/>
                <w:color w:val="FF0000"/>
              </w:rPr>
            </w:pPr>
            <w:r w:rsidRPr="003C7367">
              <w:rPr>
                <w:i/>
              </w:rPr>
              <w:t xml:space="preserve">Children </w:t>
            </w:r>
            <w:r w:rsidR="00D51DEF" w:rsidRPr="003C7367">
              <w:rPr>
                <w:i/>
              </w:rPr>
              <w:t>with disability</w:t>
            </w:r>
          </w:p>
        </w:tc>
      </w:tr>
      <w:tr w:rsidR="00473977" w:rsidRPr="003C7367" w:rsidTr="00EB4A3F">
        <w:tc>
          <w:tcPr>
            <w:tcW w:w="1613" w:type="pct"/>
          </w:tcPr>
          <w:p w:rsidR="00285E92" w:rsidRPr="00473977" w:rsidRDefault="00285E92" w:rsidP="00D25486">
            <w:pPr>
              <w:pStyle w:val="TableBodyText"/>
              <w:ind w:left="0" w:firstLine="142"/>
              <w:jc w:val="left"/>
            </w:pPr>
            <w:r w:rsidRPr="00473977">
              <w:t>In child care services</w:t>
            </w:r>
          </w:p>
        </w:tc>
        <w:tc>
          <w:tcPr>
            <w:tcW w:w="403" w:type="pct"/>
            <w:vAlign w:val="center"/>
          </w:tcPr>
          <w:p w:rsidR="00285E92" w:rsidRPr="003C7367" w:rsidRDefault="003C7367" w:rsidP="00604EF6">
            <w:pPr>
              <w:pStyle w:val="TableBodyText"/>
            </w:pPr>
            <w:r w:rsidRPr="003C7367">
              <w:t>3.8</w:t>
            </w:r>
          </w:p>
        </w:tc>
        <w:tc>
          <w:tcPr>
            <w:tcW w:w="407" w:type="pct"/>
            <w:vAlign w:val="center"/>
          </w:tcPr>
          <w:p w:rsidR="00285E92" w:rsidRPr="003C7367" w:rsidRDefault="003C7367" w:rsidP="00604EF6">
            <w:pPr>
              <w:pStyle w:val="TableBodyText"/>
            </w:pPr>
            <w:r w:rsidRPr="003C7367">
              <w:t>2.5</w:t>
            </w:r>
          </w:p>
        </w:tc>
        <w:tc>
          <w:tcPr>
            <w:tcW w:w="387" w:type="pct"/>
            <w:gridSpan w:val="3"/>
            <w:vAlign w:val="center"/>
          </w:tcPr>
          <w:p w:rsidR="00285E92" w:rsidRPr="003C7367" w:rsidRDefault="003C7367" w:rsidP="00604EF6">
            <w:pPr>
              <w:pStyle w:val="TableBodyText"/>
            </w:pPr>
            <w:r w:rsidRPr="003C7367">
              <w:t>2.4</w:t>
            </w:r>
          </w:p>
        </w:tc>
        <w:tc>
          <w:tcPr>
            <w:tcW w:w="365" w:type="pct"/>
            <w:gridSpan w:val="2"/>
            <w:vAlign w:val="center"/>
          </w:tcPr>
          <w:p w:rsidR="00285E92" w:rsidRPr="003C7367" w:rsidRDefault="003C7367" w:rsidP="00604EF6">
            <w:pPr>
              <w:pStyle w:val="TableBodyText"/>
            </w:pPr>
            <w:r w:rsidRPr="003C7367">
              <w:t>2.1</w:t>
            </w:r>
          </w:p>
        </w:tc>
        <w:tc>
          <w:tcPr>
            <w:tcW w:w="365" w:type="pct"/>
            <w:gridSpan w:val="2"/>
            <w:vAlign w:val="center"/>
          </w:tcPr>
          <w:p w:rsidR="00285E92" w:rsidRPr="003C7367" w:rsidRDefault="003C7367" w:rsidP="00604EF6">
            <w:pPr>
              <w:pStyle w:val="TableBodyText"/>
            </w:pPr>
            <w:r w:rsidRPr="003C7367">
              <w:t>4.2</w:t>
            </w:r>
          </w:p>
        </w:tc>
        <w:tc>
          <w:tcPr>
            <w:tcW w:w="365" w:type="pct"/>
            <w:vAlign w:val="center"/>
          </w:tcPr>
          <w:p w:rsidR="00285E92" w:rsidRPr="003C7367" w:rsidRDefault="001F11E5" w:rsidP="00604EF6">
            <w:pPr>
              <w:pStyle w:val="TableBodyText"/>
            </w:pPr>
            <w:r w:rsidRPr="003C7367">
              <w:t>2.</w:t>
            </w:r>
            <w:r w:rsidR="003C7367" w:rsidRPr="003C7367">
              <w:t>4</w:t>
            </w:r>
          </w:p>
        </w:tc>
        <w:tc>
          <w:tcPr>
            <w:tcW w:w="368" w:type="pct"/>
            <w:vAlign w:val="center"/>
          </w:tcPr>
          <w:p w:rsidR="00285E92" w:rsidRPr="003C7367" w:rsidRDefault="003C7367" w:rsidP="00604EF6">
            <w:pPr>
              <w:pStyle w:val="TableBodyText"/>
            </w:pPr>
            <w:r w:rsidRPr="003C7367">
              <w:t>2.8</w:t>
            </w:r>
          </w:p>
        </w:tc>
        <w:tc>
          <w:tcPr>
            <w:tcW w:w="368" w:type="pct"/>
            <w:vAlign w:val="center"/>
          </w:tcPr>
          <w:p w:rsidR="00285E92" w:rsidRPr="003C7367" w:rsidRDefault="003C7367" w:rsidP="00604EF6">
            <w:pPr>
              <w:pStyle w:val="TableBodyText"/>
            </w:pPr>
            <w:r w:rsidRPr="003C7367">
              <w:t>4</w:t>
            </w:r>
            <w:r w:rsidR="001F11E5" w:rsidRPr="003C7367">
              <w:t>.</w:t>
            </w:r>
            <w:r w:rsidR="00A80B56" w:rsidRPr="003C7367">
              <w:t>7</w:t>
            </w:r>
          </w:p>
        </w:tc>
        <w:tc>
          <w:tcPr>
            <w:tcW w:w="359" w:type="pct"/>
            <w:vAlign w:val="center"/>
          </w:tcPr>
          <w:p w:rsidR="00285E92" w:rsidRPr="003C7367" w:rsidRDefault="003C7367" w:rsidP="00604EF6">
            <w:pPr>
              <w:pStyle w:val="TableBodyText"/>
              <w:ind w:right="28"/>
            </w:pPr>
            <w:r w:rsidRPr="003C7367">
              <w:t>3.0</w:t>
            </w:r>
          </w:p>
        </w:tc>
      </w:tr>
      <w:tr w:rsidR="00473977" w:rsidRPr="00473977" w:rsidTr="00EB4A3F">
        <w:tc>
          <w:tcPr>
            <w:tcW w:w="1613" w:type="pct"/>
          </w:tcPr>
          <w:p w:rsidR="00285E92" w:rsidRPr="00473977" w:rsidRDefault="00285E92" w:rsidP="00D25486">
            <w:pPr>
              <w:pStyle w:val="TableBodyText"/>
              <w:ind w:left="0" w:firstLine="142"/>
              <w:jc w:val="left"/>
            </w:pPr>
            <w:r w:rsidRPr="00473977">
              <w:t>In the community</w:t>
            </w:r>
            <w:r w:rsidR="00A80B56" w:rsidRPr="00473977">
              <w:t>, 2009</w:t>
            </w:r>
          </w:p>
        </w:tc>
        <w:tc>
          <w:tcPr>
            <w:tcW w:w="403" w:type="pct"/>
            <w:vAlign w:val="center"/>
          </w:tcPr>
          <w:p w:rsidR="00285E92" w:rsidRPr="009B635F" w:rsidRDefault="00A80B56" w:rsidP="00604EF6">
            <w:pPr>
              <w:pStyle w:val="TableBodyText"/>
            </w:pPr>
            <w:r w:rsidRPr="009B635F">
              <w:t>7.4</w:t>
            </w:r>
          </w:p>
        </w:tc>
        <w:tc>
          <w:tcPr>
            <w:tcW w:w="407" w:type="pct"/>
            <w:vAlign w:val="center"/>
          </w:tcPr>
          <w:p w:rsidR="00285E92" w:rsidRPr="009B635F" w:rsidRDefault="00A80B56" w:rsidP="00604EF6">
            <w:pPr>
              <w:pStyle w:val="TableBodyText"/>
            </w:pPr>
            <w:r w:rsidRPr="009B635F">
              <w:t>5.7</w:t>
            </w:r>
          </w:p>
        </w:tc>
        <w:tc>
          <w:tcPr>
            <w:tcW w:w="387" w:type="pct"/>
            <w:gridSpan w:val="3"/>
            <w:vAlign w:val="center"/>
          </w:tcPr>
          <w:p w:rsidR="00285E92" w:rsidRPr="009B635F" w:rsidRDefault="00A80B56" w:rsidP="00604EF6">
            <w:pPr>
              <w:pStyle w:val="TableBodyText"/>
            </w:pPr>
            <w:r w:rsidRPr="009B635F">
              <w:t>5.8</w:t>
            </w:r>
          </w:p>
        </w:tc>
        <w:tc>
          <w:tcPr>
            <w:tcW w:w="365" w:type="pct"/>
            <w:gridSpan w:val="2"/>
            <w:vAlign w:val="center"/>
          </w:tcPr>
          <w:p w:rsidR="00285E92" w:rsidRPr="009B635F" w:rsidRDefault="00A80B56" w:rsidP="00604EF6">
            <w:pPr>
              <w:pStyle w:val="TableBodyText"/>
            </w:pPr>
            <w:r w:rsidRPr="009B635F">
              <w:t>8.2</w:t>
            </w:r>
          </w:p>
        </w:tc>
        <w:tc>
          <w:tcPr>
            <w:tcW w:w="365" w:type="pct"/>
            <w:gridSpan w:val="2"/>
            <w:vAlign w:val="center"/>
          </w:tcPr>
          <w:p w:rsidR="00285E92" w:rsidRPr="009B635F" w:rsidRDefault="00A80B56" w:rsidP="00604EF6">
            <w:pPr>
              <w:pStyle w:val="TableBodyText"/>
            </w:pPr>
            <w:r w:rsidRPr="009B635F">
              <w:t>5.9</w:t>
            </w:r>
          </w:p>
        </w:tc>
        <w:tc>
          <w:tcPr>
            <w:tcW w:w="365" w:type="pct"/>
            <w:vAlign w:val="center"/>
          </w:tcPr>
          <w:p w:rsidR="00285E92" w:rsidRPr="009B635F" w:rsidRDefault="00A80B56" w:rsidP="00604EF6">
            <w:pPr>
              <w:pStyle w:val="TableBodyText"/>
            </w:pPr>
            <w:r w:rsidRPr="009B635F">
              <w:t>8.4</w:t>
            </w:r>
          </w:p>
        </w:tc>
        <w:tc>
          <w:tcPr>
            <w:tcW w:w="368" w:type="pct"/>
            <w:vAlign w:val="center"/>
          </w:tcPr>
          <w:p w:rsidR="00285E92" w:rsidRPr="009B635F" w:rsidRDefault="00A80B56" w:rsidP="00604EF6">
            <w:pPr>
              <w:pStyle w:val="TableBodyText"/>
            </w:pPr>
            <w:r w:rsidRPr="009B635F">
              <w:t>8.3</w:t>
            </w:r>
          </w:p>
        </w:tc>
        <w:tc>
          <w:tcPr>
            <w:tcW w:w="368" w:type="pct"/>
            <w:vAlign w:val="center"/>
          </w:tcPr>
          <w:p w:rsidR="00285E92" w:rsidRPr="009B635F" w:rsidRDefault="00A80B56" w:rsidP="00604EF6">
            <w:pPr>
              <w:pStyle w:val="TableBodyText"/>
            </w:pPr>
            <w:r w:rsidRPr="009B635F">
              <w:t>5.4</w:t>
            </w:r>
          </w:p>
        </w:tc>
        <w:tc>
          <w:tcPr>
            <w:tcW w:w="359" w:type="pct"/>
            <w:vAlign w:val="center"/>
          </w:tcPr>
          <w:p w:rsidR="00285E92" w:rsidRPr="009B635F" w:rsidRDefault="00A80B56" w:rsidP="00604EF6">
            <w:pPr>
              <w:pStyle w:val="TableBodyText"/>
              <w:ind w:right="28"/>
            </w:pPr>
            <w:r w:rsidRPr="009B635F">
              <w:t>6.6</w:t>
            </w:r>
          </w:p>
        </w:tc>
      </w:tr>
      <w:tr w:rsidR="00473977" w:rsidRPr="00473977" w:rsidTr="00285E92">
        <w:tc>
          <w:tcPr>
            <w:tcW w:w="5000" w:type="pct"/>
            <w:gridSpan w:val="14"/>
          </w:tcPr>
          <w:p w:rsidR="00285E92" w:rsidRPr="00473977" w:rsidRDefault="00285E92" w:rsidP="00C3586E">
            <w:pPr>
              <w:pStyle w:val="TableBodyText"/>
              <w:jc w:val="left"/>
              <w:rPr>
                <w:i/>
                <w:color w:val="FF0000"/>
              </w:rPr>
            </w:pPr>
            <w:r w:rsidRPr="003C7367">
              <w:rPr>
                <w:i/>
              </w:rPr>
              <w:t>Children from regional areas</w:t>
            </w:r>
          </w:p>
        </w:tc>
      </w:tr>
      <w:tr w:rsidR="00473977" w:rsidRPr="00473977" w:rsidTr="007A2FF4">
        <w:tc>
          <w:tcPr>
            <w:tcW w:w="1613" w:type="pct"/>
          </w:tcPr>
          <w:p w:rsidR="00285E92" w:rsidRPr="00473977" w:rsidRDefault="00285E92" w:rsidP="00D25486">
            <w:pPr>
              <w:pStyle w:val="TableBodyText"/>
              <w:ind w:left="0" w:firstLine="142"/>
              <w:jc w:val="left"/>
            </w:pPr>
            <w:r w:rsidRPr="00473977">
              <w:t>In child care services</w:t>
            </w:r>
            <w:r w:rsidR="00976D93" w:rsidRPr="002352A8">
              <w:rPr>
                <w:rStyle w:val="NoteLabel"/>
              </w:rPr>
              <w:t>d</w:t>
            </w:r>
          </w:p>
        </w:tc>
        <w:tc>
          <w:tcPr>
            <w:tcW w:w="403" w:type="pct"/>
            <w:vAlign w:val="center"/>
          </w:tcPr>
          <w:p w:rsidR="00285E92" w:rsidRPr="003C7367" w:rsidRDefault="003C7367" w:rsidP="00604EF6">
            <w:pPr>
              <w:pStyle w:val="TableBodyText"/>
            </w:pPr>
            <w:r w:rsidRPr="003C7367">
              <w:t>22.3</w:t>
            </w:r>
          </w:p>
        </w:tc>
        <w:tc>
          <w:tcPr>
            <w:tcW w:w="407" w:type="pct"/>
            <w:vAlign w:val="center"/>
          </w:tcPr>
          <w:p w:rsidR="00285E92" w:rsidRPr="003C7367" w:rsidRDefault="003C7367" w:rsidP="00604EF6">
            <w:pPr>
              <w:pStyle w:val="TableBodyText"/>
            </w:pPr>
            <w:r w:rsidRPr="003C7367">
              <w:t>19.3</w:t>
            </w:r>
          </w:p>
        </w:tc>
        <w:tc>
          <w:tcPr>
            <w:tcW w:w="387" w:type="pct"/>
            <w:gridSpan w:val="3"/>
            <w:vAlign w:val="center"/>
          </w:tcPr>
          <w:p w:rsidR="00285E92" w:rsidRPr="003C7367" w:rsidRDefault="003C7367" w:rsidP="00604EF6">
            <w:pPr>
              <w:pStyle w:val="TableBodyText"/>
            </w:pPr>
            <w:r w:rsidRPr="003C7367">
              <w:t>29.8</w:t>
            </w:r>
          </w:p>
        </w:tc>
        <w:tc>
          <w:tcPr>
            <w:tcW w:w="365" w:type="pct"/>
            <w:gridSpan w:val="2"/>
            <w:vAlign w:val="center"/>
          </w:tcPr>
          <w:p w:rsidR="00285E92" w:rsidRPr="003C7367" w:rsidRDefault="003C7367" w:rsidP="00604EF6">
            <w:pPr>
              <w:pStyle w:val="TableBodyText"/>
            </w:pPr>
            <w:r w:rsidRPr="003C7367">
              <w:t>14.5</w:t>
            </w:r>
          </w:p>
        </w:tc>
        <w:tc>
          <w:tcPr>
            <w:tcW w:w="365" w:type="pct"/>
            <w:gridSpan w:val="2"/>
            <w:vAlign w:val="center"/>
          </w:tcPr>
          <w:p w:rsidR="00285E92" w:rsidRPr="003C7367" w:rsidRDefault="003C7367" w:rsidP="00604EF6">
            <w:pPr>
              <w:pStyle w:val="TableBodyText"/>
            </w:pPr>
            <w:r w:rsidRPr="003C7367">
              <w:t>15.9</w:t>
            </w:r>
          </w:p>
        </w:tc>
        <w:tc>
          <w:tcPr>
            <w:tcW w:w="365" w:type="pct"/>
            <w:vAlign w:val="center"/>
          </w:tcPr>
          <w:p w:rsidR="00285E92" w:rsidRPr="003C7367" w:rsidRDefault="003C7367" w:rsidP="00604EF6">
            <w:pPr>
              <w:pStyle w:val="TableBodyText"/>
            </w:pPr>
            <w:r w:rsidRPr="003C7367">
              <w:t>100.3</w:t>
            </w:r>
          </w:p>
        </w:tc>
        <w:tc>
          <w:tcPr>
            <w:tcW w:w="368" w:type="pct"/>
            <w:vAlign w:val="center"/>
          </w:tcPr>
          <w:p w:rsidR="00285E92" w:rsidRPr="003C7367" w:rsidRDefault="003C7367" w:rsidP="00604EF6">
            <w:pPr>
              <w:pStyle w:val="TableBodyText"/>
            </w:pPr>
            <w:r w:rsidRPr="003C7367">
              <w:t>0</w:t>
            </w:r>
            <w:r w:rsidR="001F11E5" w:rsidRPr="003C7367">
              <w:t>.1</w:t>
            </w:r>
          </w:p>
        </w:tc>
        <w:tc>
          <w:tcPr>
            <w:tcW w:w="368" w:type="pct"/>
            <w:vAlign w:val="center"/>
          </w:tcPr>
          <w:p w:rsidR="00285E92" w:rsidRPr="003C7367" w:rsidRDefault="003C7367" w:rsidP="00604EF6">
            <w:pPr>
              <w:pStyle w:val="TableBodyText"/>
            </w:pPr>
            <w:r w:rsidRPr="003C7367">
              <w:t>81.1</w:t>
            </w:r>
          </w:p>
        </w:tc>
        <w:tc>
          <w:tcPr>
            <w:tcW w:w="359" w:type="pct"/>
            <w:vAlign w:val="center"/>
          </w:tcPr>
          <w:p w:rsidR="00285E92" w:rsidRPr="003C7367" w:rsidRDefault="003C7367" w:rsidP="00604EF6">
            <w:pPr>
              <w:pStyle w:val="TableBodyText"/>
              <w:ind w:right="28"/>
            </w:pPr>
            <w:r w:rsidRPr="003C7367">
              <w:t>24.1</w:t>
            </w:r>
          </w:p>
        </w:tc>
      </w:tr>
      <w:tr w:rsidR="00473977" w:rsidRPr="00473977" w:rsidTr="007A2FF4">
        <w:tc>
          <w:tcPr>
            <w:tcW w:w="1613" w:type="pct"/>
          </w:tcPr>
          <w:p w:rsidR="00285E92" w:rsidRPr="00473977" w:rsidRDefault="00285E92" w:rsidP="00D25486">
            <w:pPr>
              <w:pStyle w:val="TableBodyText"/>
              <w:ind w:left="0" w:firstLine="142"/>
              <w:jc w:val="left"/>
            </w:pPr>
            <w:r w:rsidRPr="00473977">
              <w:t>In the community</w:t>
            </w:r>
            <w:r w:rsidR="00473977" w:rsidRPr="00473977">
              <w:t>, 2011</w:t>
            </w:r>
          </w:p>
        </w:tc>
        <w:tc>
          <w:tcPr>
            <w:tcW w:w="403" w:type="pct"/>
            <w:vAlign w:val="center"/>
          </w:tcPr>
          <w:p w:rsidR="00285E92" w:rsidRPr="003C7367" w:rsidRDefault="003C7367" w:rsidP="00604EF6">
            <w:pPr>
              <w:pStyle w:val="TableBodyText"/>
            </w:pPr>
            <w:r w:rsidRPr="003C7367">
              <w:t>26.0</w:t>
            </w:r>
          </w:p>
        </w:tc>
        <w:tc>
          <w:tcPr>
            <w:tcW w:w="407" w:type="pct"/>
            <w:tcBorders>
              <w:left w:val="nil"/>
            </w:tcBorders>
            <w:vAlign w:val="center"/>
          </w:tcPr>
          <w:p w:rsidR="00285E92" w:rsidRPr="003C7367" w:rsidRDefault="003C7367" w:rsidP="00604EF6">
            <w:pPr>
              <w:pStyle w:val="TableBodyText"/>
            </w:pPr>
            <w:r w:rsidRPr="003C7367">
              <w:t>25.0</w:t>
            </w:r>
          </w:p>
        </w:tc>
        <w:tc>
          <w:tcPr>
            <w:tcW w:w="387" w:type="pct"/>
            <w:gridSpan w:val="3"/>
            <w:tcBorders>
              <w:left w:val="nil"/>
            </w:tcBorders>
            <w:vAlign w:val="center"/>
          </w:tcPr>
          <w:p w:rsidR="00285E92" w:rsidRPr="003C7367" w:rsidRDefault="003C7367" w:rsidP="00604EF6">
            <w:pPr>
              <w:pStyle w:val="TableBodyText"/>
            </w:pPr>
            <w:r w:rsidRPr="003C7367">
              <w:t>36.4</w:t>
            </w:r>
          </w:p>
        </w:tc>
        <w:tc>
          <w:tcPr>
            <w:tcW w:w="365" w:type="pct"/>
            <w:gridSpan w:val="2"/>
            <w:tcBorders>
              <w:left w:val="nil"/>
            </w:tcBorders>
            <w:vAlign w:val="center"/>
          </w:tcPr>
          <w:p w:rsidR="00285E92" w:rsidRPr="003C7367" w:rsidRDefault="003C7367" w:rsidP="00604EF6">
            <w:pPr>
              <w:pStyle w:val="TableBodyText"/>
            </w:pPr>
            <w:r w:rsidRPr="003C7367">
              <w:t>18.3</w:t>
            </w:r>
          </w:p>
        </w:tc>
        <w:tc>
          <w:tcPr>
            <w:tcW w:w="365" w:type="pct"/>
            <w:gridSpan w:val="2"/>
            <w:tcBorders>
              <w:left w:val="nil"/>
            </w:tcBorders>
            <w:vAlign w:val="center"/>
          </w:tcPr>
          <w:p w:rsidR="00285E92" w:rsidRPr="003C7367" w:rsidRDefault="003C7367" w:rsidP="00604EF6">
            <w:pPr>
              <w:pStyle w:val="TableBodyText"/>
            </w:pPr>
            <w:r w:rsidRPr="003C7367">
              <w:t>24.7</w:t>
            </w:r>
          </w:p>
        </w:tc>
        <w:tc>
          <w:tcPr>
            <w:tcW w:w="365" w:type="pct"/>
            <w:tcBorders>
              <w:left w:val="nil"/>
            </w:tcBorders>
            <w:vAlign w:val="center"/>
          </w:tcPr>
          <w:p w:rsidR="00285E92" w:rsidRPr="003C7367" w:rsidRDefault="001F11E5" w:rsidP="00604EF6">
            <w:pPr>
              <w:pStyle w:val="TableBodyText"/>
            </w:pPr>
            <w:r w:rsidRPr="003C7367">
              <w:t>97.</w:t>
            </w:r>
            <w:r w:rsidR="003C7367" w:rsidRPr="003C7367">
              <w:t>9</w:t>
            </w:r>
          </w:p>
        </w:tc>
        <w:tc>
          <w:tcPr>
            <w:tcW w:w="368" w:type="pct"/>
            <w:tcBorders>
              <w:left w:val="nil"/>
            </w:tcBorders>
            <w:vAlign w:val="center"/>
          </w:tcPr>
          <w:p w:rsidR="00285E92" w:rsidRPr="003C7367" w:rsidRDefault="001F11E5" w:rsidP="00604EF6">
            <w:pPr>
              <w:pStyle w:val="TableBodyText"/>
            </w:pPr>
            <w:r w:rsidRPr="003C7367">
              <w:t>0.2</w:t>
            </w:r>
          </w:p>
        </w:tc>
        <w:tc>
          <w:tcPr>
            <w:tcW w:w="368" w:type="pct"/>
            <w:tcBorders>
              <w:left w:val="nil"/>
            </w:tcBorders>
            <w:vAlign w:val="center"/>
          </w:tcPr>
          <w:p w:rsidR="00285E92" w:rsidRPr="003C7367" w:rsidRDefault="001F11E5" w:rsidP="00604EF6">
            <w:pPr>
              <w:pStyle w:val="TableBodyText"/>
            </w:pPr>
            <w:r w:rsidRPr="003C7367">
              <w:t>51.</w:t>
            </w:r>
            <w:r w:rsidR="003C7367" w:rsidRPr="003C7367">
              <w:t>2</w:t>
            </w:r>
          </w:p>
        </w:tc>
        <w:tc>
          <w:tcPr>
            <w:tcW w:w="359" w:type="pct"/>
            <w:tcBorders>
              <w:left w:val="nil"/>
            </w:tcBorders>
            <w:vAlign w:val="center"/>
          </w:tcPr>
          <w:p w:rsidR="00285E92" w:rsidRPr="003C7367" w:rsidRDefault="003C7367" w:rsidP="00604EF6">
            <w:pPr>
              <w:pStyle w:val="TableBodyText"/>
              <w:ind w:right="28"/>
            </w:pPr>
            <w:r w:rsidRPr="003C7367">
              <w:t>28.6</w:t>
            </w:r>
          </w:p>
        </w:tc>
      </w:tr>
      <w:tr w:rsidR="00473977" w:rsidRPr="00473977" w:rsidTr="00285E92">
        <w:tc>
          <w:tcPr>
            <w:tcW w:w="5000" w:type="pct"/>
            <w:gridSpan w:val="14"/>
            <w:shd w:val="clear" w:color="auto" w:fill="auto"/>
          </w:tcPr>
          <w:p w:rsidR="00285E92" w:rsidRPr="00473977" w:rsidRDefault="00285E92" w:rsidP="00C3586E">
            <w:pPr>
              <w:pStyle w:val="TableBodyText"/>
              <w:jc w:val="left"/>
              <w:rPr>
                <w:i/>
                <w:color w:val="FF0000"/>
              </w:rPr>
            </w:pPr>
            <w:r w:rsidRPr="00691048">
              <w:rPr>
                <w:i/>
              </w:rPr>
              <w:t>Children from remote areas</w:t>
            </w:r>
          </w:p>
        </w:tc>
      </w:tr>
      <w:tr w:rsidR="00473977" w:rsidRPr="00473977" w:rsidTr="007A2FF4">
        <w:tc>
          <w:tcPr>
            <w:tcW w:w="1613" w:type="pct"/>
            <w:shd w:val="clear" w:color="auto" w:fill="auto"/>
          </w:tcPr>
          <w:p w:rsidR="00285E92" w:rsidRPr="00473977" w:rsidRDefault="00285E92" w:rsidP="00D25486">
            <w:pPr>
              <w:pStyle w:val="TableBodyText"/>
              <w:ind w:left="0" w:firstLine="142"/>
              <w:jc w:val="left"/>
            </w:pPr>
            <w:r w:rsidRPr="00473977">
              <w:t>In child care services</w:t>
            </w:r>
          </w:p>
        </w:tc>
        <w:tc>
          <w:tcPr>
            <w:tcW w:w="403" w:type="pct"/>
            <w:shd w:val="clear" w:color="auto" w:fill="auto"/>
            <w:vAlign w:val="center"/>
          </w:tcPr>
          <w:p w:rsidR="00285E92" w:rsidRPr="00691048" w:rsidRDefault="001F11E5" w:rsidP="00604EF6">
            <w:pPr>
              <w:pStyle w:val="TableBodyText"/>
            </w:pPr>
            <w:r w:rsidRPr="00691048">
              <w:t>0.2</w:t>
            </w:r>
          </w:p>
        </w:tc>
        <w:tc>
          <w:tcPr>
            <w:tcW w:w="407" w:type="pct"/>
            <w:shd w:val="clear" w:color="auto" w:fill="auto"/>
            <w:vAlign w:val="center"/>
          </w:tcPr>
          <w:p w:rsidR="00285E92" w:rsidRPr="00691048" w:rsidRDefault="001F11E5" w:rsidP="00604EF6">
            <w:pPr>
              <w:pStyle w:val="TableBodyText"/>
            </w:pPr>
            <w:r w:rsidRPr="00691048">
              <w:t>–</w:t>
            </w:r>
          </w:p>
        </w:tc>
        <w:tc>
          <w:tcPr>
            <w:tcW w:w="387" w:type="pct"/>
            <w:gridSpan w:val="3"/>
            <w:shd w:val="clear" w:color="auto" w:fill="auto"/>
            <w:vAlign w:val="center"/>
          </w:tcPr>
          <w:p w:rsidR="00285E92" w:rsidRPr="00691048" w:rsidRDefault="003C7367" w:rsidP="00604EF6">
            <w:pPr>
              <w:pStyle w:val="TableBodyText"/>
            </w:pPr>
            <w:r w:rsidRPr="00691048">
              <w:t>1.0</w:t>
            </w:r>
          </w:p>
        </w:tc>
        <w:tc>
          <w:tcPr>
            <w:tcW w:w="365" w:type="pct"/>
            <w:gridSpan w:val="2"/>
            <w:shd w:val="clear" w:color="auto" w:fill="auto"/>
            <w:vAlign w:val="center"/>
          </w:tcPr>
          <w:p w:rsidR="00285E92" w:rsidRPr="00691048" w:rsidRDefault="003C7367" w:rsidP="00604EF6">
            <w:pPr>
              <w:pStyle w:val="TableBodyText"/>
            </w:pPr>
            <w:r w:rsidRPr="00691048">
              <w:t>3.5</w:t>
            </w:r>
          </w:p>
        </w:tc>
        <w:tc>
          <w:tcPr>
            <w:tcW w:w="365" w:type="pct"/>
            <w:gridSpan w:val="2"/>
            <w:shd w:val="clear" w:color="auto" w:fill="auto"/>
            <w:vAlign w:val="center"/>
          </w:tcPr>
          <w:p w:rsidR="00285E92" w:rsidRPr="00691048" w:rsidRDefault="003C7367" w:rsidP="00604EF6">
            <w:pPr>
              <w:pStyle w:val="TableBodyText"/>
            </w:pPr>
            <w:r w:rsidRPr="00691048">
              <w:t>1.5</w:t>
            </w:r>
          </w:p>
        </w:tc>
        <w:tc>
          <w:tcPr>
            <w:tcW w:w="365" w:type="pct"/>
            <w:shd w:val="clear" w:color="auto" w:fill="auto"/>
            <w:vAlign w:val="center"/>
          </w:tcPr>
          <w:p w:rsidR="00285E92" w:rsidRPr="00691048" w:rsidRDefault="003C7367" w:rsidP="00604EF6">
            <w:pPr>
              <w:pStyle w:val="TableBodyText"/>
            </w:pPr>
            <w:r w:rsidRPr="00691048">
              <w:t>0.9</w:t>
            </w:r>
          </w:p>
        </w:tc>
        <w:tc>
          <w:tcPr>
            <w:tcW w:w="368" w:type="pct"/>
            <w:shd w:val="clear" w:color="auto" w:fill="auto"/>
            <w:vAlign w:val="center"/>
          </w:tcPr>
          <w:p w:rsidR="00285E92" w:rsidRPr="00691048" w:rsidRDefault="00D13E5A" w:rsidP="00604EF6">
            <w:pPr>
              <w:pStyle w:val="TableBodyText"/>
            </w:pPr>
            <w:r w:rsidRPr="00691048">
              <w:t>..</w:t>
            </w:r>
          </w:p>
        </w:tc>
        <w:tc>
          <w:tcPr>
            <w:tcW w:w="368" w:type="pct"/>
            <w:shd w:val="clear" w:color="auto" w:fill="auto"/>
            <w:vAlign w:val="center"/>
          </w:tcPr>
          <w:p w:rsidR="00285E92" w:rsidRPr="00691048" w:rsidRDefault="003C7367" w:rsidP="00604EF6">
            <w:pPr>
              <w:pStyle w:val="TableBodyText"/>
            </w:pPr>
            <w:r w:rsidRPr="00691048">
              <w:t>19.1</w:t>
            </w:r>
          </w:p>
        </w:tc>
        <w:tc>
          <w:tcPr>
            <w:tcW w:w="359" w:type="pct"/>
            <w:shd w:val="clear" w:color="auto" w:fill="auto"/>
            <w:vAlign w:val="center"/>
          </w:tcPr>
          <w:p w:rsidR="00285E92" w:rsidRPr="00691048" w:rsidRDefault="001F11E5" w:rsidP="00604EF6">
            <w:pPr>
              <w:pStyle w:val="TableBodyText"/>
              <w:ind w:right="28"/>
            </w:pPr>
            <w:r w:rsidRPr="00691048">
              <w:t>0.9</w:t>
            </w:r>
          </w:p>
        </w:tc>
      </w:tr>
      <w:tr w:rsidR="00E923FD" w:rsidRPr="00473977" w:rsidTr="007A2FF4">
        <w:tc>
          <w:tcPr>
            <w:tcW w:w="1613" w:type="pct"/>
            <w:tcBorders>
              <w:bottom w:val="single" w:sz="4" w:space="0" w:color="auto"/>
            </w:tcBorders>
            <w:shd w:val="clear" w:color="auto" w:fill="auto"/>
          </w:tcPr>
          <w:p w:rsidR="00285E92" w:rsidRPr="00473977" w:rsidRDefault="00285E92" w:rsidP="00D25486">
            <w:pPr>
              <w:pStyle w:val="TableBodyText"/>
              <w:ind w:left="0" w:firstLine="142"/>
              <w:jc w:val="left"/>
            </w:pPr>
            <w:r w:rsidRPr="00473977">
              <w:t>In the community</w:t>
            </w:r>
            <w:r w:rsidR="00473977" w:rsidRPr="00473977">
              <w:t>, 2011</w:t>
            </w:r>
          </w:p>
        </w:tc>
        <w:tc>
          <w:tcPr>
            <w:tcW w:w="403" w:type="pct"/>
            <w:tcBorders>
              <w:bottom w:val="single" w:sz="4" w:space="0" w:color="auto"/>
            </w:tcBorders>
            <w:shd w:val="clear" w:color="auto" w:fill="auto"/>
            <w:vAlign w:val="center"/>
          </w:tcPr>
          <w:p w:rsidR="00285E92" w:rsidRPr="00691048" w:rsidRDefault="003C7367" w:rsidP="00604EF6">
            <w:pPr>
              <w:pStyle w:val="TableBodyText"/>
            </w:pPr>
            <w:r w:rsidRPr="00691048">
              <w:t>0.6</w:t>
            </w:r>
          </w:p>
        </w:tc>
        <w:tc>
          <w:tcPr>
            <w:tcW w:w="407" w:type="pct"/>
            <w:tcBorders>
              <w:bottom w:val="single" w:sz="4" w:space="0" w:color="auto"/>
            </w:tcBorders>
            <w:shd w:val="clear" w:color="auto" w:fill="auto"/>
            <w:vAlign w:val="center"/>
          </w:tcPr>
          <w:p w:rsidR="00285E92" w:rsidRPr="00691048" w:rsidRDefault="001F11E5" w:rsidP="00604EF6">
            <w:pPr>
              <w:pStyle w:val="TableBodyText"/>
            </w:pPr>
            <w:r w:rsidRPr="00691048">
              <w:t>0.1</w:t>
            </w:r>
          </w:p>
        </w:tc>
        <w:tc>
          <w:tcPr>
            <w:tcW w:w="387" w:type="pct"/>
            <w:gridSpan w:val="3"/>
            <w:tcBorders>
              <w:bottom w:val="single" w:sz="4" w:space="0" w:color="auto"/>
            </w:tcBorders>
            <w:shd w:val="clear" w:color="auto" w:fill="auto"/>
            <w:vAlign w:val="center"/>
          </w:tcPr>
          <w:p w:rsidR="00285E92" w:rsidRPr="00691048" w:rsidRDefault="00691048" w:rsidP="00604EF6">
            <w:pPr>
              <w:pStyle w:val="TableBodyText"/>
            </w:pPr>
            <w:r w:rsidRPr="00691048">
              <w:t>3.6</w:t>
            </w:r>
          </w:p>
        </w:tc>
        <w:tc>
          <w:tcPr>
            <w:tcW w:w="365" w:type="pct"/>
            <w:gridSpan w:val="2"/>
            <w:tcBorders>
              <w:bottom w:val="single" w:sz="4" w:space="0" w:color="auto"/>
            </w:tcBorders>
            <w:shd w:val="clear" w:color="auto" w:fill="auto"/>
            <w:vAlign w:val="center"/>
          </w:tcPr>
          <w:p w:rsidR="00285E92" w:rsidRPr="00691048" w:rsidRDefault="00691048" w:rsidP="00604EF6">
            <w:pPr>
              <w:pStyle w:val="TableBodyText"/>
            </w:pPr>
            <w:r w:rsidRPr="00691048">
              <w:t>7.7</w:t>
            </w:r>
          </w:p>
        </w:tc>
        <w:tc>
          <w:tcPr>
            <w:tcW w:w="365" w:type="pct"/>
            <w:gridSpan w:val="2"/>
            <w:tcBorders>
              <w:bottom w:val="single" w:sz="4" w:space="0" w:color="auto"/>
            </w:tcBorders>
            <w:shd w:val="clear" w:color="auto" w:fill="auto"/>
            <w:vAlign w:val="center"/>
          </w:tcPr>
          <w:p w:rsidR="00285E92" w:rsidRPr="00691048" w:rsidRDefault="00691048" w:rsidP="00604EF6">
            <w:pPr>
              <w:pStyle w:val="TableBodyText"/>
            </w:pPr>
            <w:r w:rsidRPr="00691048">
              <w:t>4.1</w:t>
            </w:r>
          </w:p>
        </w:tc>
        <w:tc>
          <w:tcPr>
            <w:tcW w:w="365" w:type="pct"/>
            <w:tcBorders>
              <w:bottom w:val="single" w:sz="4" w:space="0" w:color="auto"/>
            </w:tcBorders>
            <w:shd w:val="clear" w:color="auto" w:fill="auto"/>
            <w:vAlign w:val="center"/>
          </w:tcPr>
          <w:p w:rsidR="00285E92" w:rsidRPr="00691048" w:rsidRDefault="001F11E5" w:rsidP="00604EF6">
            <w:pPr>
              <w:pStyle w:val="TableBodyText"/>
            </w:pPr>
            <w:r w:rsidRPr="00691048">
              <w:t>2.0</w:t>
            </w:r>
          </w:p>
        </w:tc>
        <w:tc>
          <w:tcPr>
            <w:tcW w:w="368" w:type="pct"/>
            <w:tcBorders>
              <w:bottom w:val="single" w:sz="4" w:space="0" w:color="auto"/>
            </w:tcBorders>
            <w:shd w:val="clear" w:color="auto" w:fill="auto"/>
            <w:vAlign w:val="center"/>
          </w:tcPr>
          <w:p w:rsidR="00285E92" w:rsidRPr="00691048" w:rsidRDefault="00D13E5A" w:rsidP="00604EF6">
            <w:pPr>
              <w:pStyle w:val="TableBodyText"/>
            </w:pPr>
            <w:r w:rsidRPr="00691048">
              <w:t>..</w:t>
            </w:r>
          </w:p>
        </w:tc>
        <w:tc>
          <w:tcPr>
            <w:tcW w:w="368" w:type="pct"/>
            <w:tcBorders>
              <w:bottom w:val="single" w:sz="4" w:space="0" w:color="auto"/>
            </w:tcBorders>
            <w:shd w:val="clear" w:color="auto" w:fill="auto"/>
            <w:vAlign w:val="center"/>
          </w:tcPr>
          <w:p w:rsidR="00285E92" w:rsidRPr="00691048" w:rsidRDefault="003C7367" w:rsidP="00604EF6">
            <w:pPr>
              <w:pStyle w:val="TableBodyText"/>
            </w:pPr>
            <w:r w:rsidRPr="00691048">
              <w:t>48.5</w:t>
            </w:r>
          </w:p>
        </w:tc>
        <w:tc>
          <w:tcPr>
            <w:tcW w:w="359" w:type="pct"/>
            <w:tcBorders>
              <w:left w:val="nil"/>
              <w:bottom w:val="single" w:sz="4" w:space="0" w:color="auto"/>
            </w:tcBorders>
            <w:shd w:val="clear" w:color="auto" w:fill="auto"/>
            <w:vAlign w:val="center"/>
          </w:tcPr>
          <w:p w:rsidR="00285E92" w:rsidRPr="00691048" w:rsidRDefault="003C7367" w:rsidP="00604EF6">
            <w:pPr>
              <w:pStyle w:val="TableBodyText"/>
              <w:ind w:right="28"/>
            </w:pPr>
            <w:r w:rsidRPr="00691048">
              <w:t>2.7</w:t>
            </w:r>
          </w:p>
        </w:tc>
      </w:tr>
    </w:tbl>
    <w:p w:rsidR="001436CC" w:rsidRPr="008B42D1" w:rsidRDefault="00BA3D5E" w:rsidP="00A43200">
      <w:pPr>
        <w:pStyle w:val="Note"/>
        <w:keepNext/>
        <w:rPr>
          <w:rStyle w:val="BoxChar"/>
        </w:rPr>
      </w:pPr>
      <w:r w:rsidRPr="00490A9E">
        <w:rPr>
          <w:rStyle w:val="NoteLabel"/>
        </w:rPr>
        <w:t>a</w:t>
      </w:r>
      <w:r w:rsidR="00634A17" w:rsidRPr="00490A9E">
        <w:t xml:space="preserve"> Data on children in child care services </w:t>
      </w:r>
      <w:r w:rsidR="00A26A0E" w:rsidRPr="00490A9E">
        <w:t xml:space="preserve">represent the population of children attending child care in </w:t>
      </w:r>
      <w:r w:rsidR="00473977" w:rsidRPr="00490A9E">
        <w:t>2013</w:t>
      </w:r>
      <w:r w:rsidR="00634A17" w:rsidRPr="00490A9E">
        <w:t xml:space="preserve">. Data on representation in the community are </w:t>
      </w:r>
      <w:r w:rsidR="00A26A0E" w:rsidRPr="00490A9E">
        <w:t xml:space="preserve">reported for </w:t>
      </w:r>
      <w:r w:rsidR="00634A17" w:rsidRPr="00490A9E">
        <w:t xml:space="preserve">different years </w:t>
      </w:r>
      <w:r w:rsidR="00A26A0E" w:rsidRPr="00490A9E">
        <w:t>due to the availability of data</w:t>
      </w:r>
      <w:r w:rsidR="00DA7F80" w:rsidRPr="00490A9E">
        <w:t xml:space="preserve"> and </w:t>
      </w:r>
      <w:r w:rsidR="00A26A0E" w:rsidRPr="00490A9E">
        <w:t xml:space="preserve">are </w:t>
      </w:r>
      <w:r w:rsidR="00490A9E">
        <w:t>sourced from</w:t>
      </w:r>
      <w:r w:rsidR="007E0A97" w:rsidRPr="00490A9E">
        <w:t xml:space="preserve"> the </w:t>
      </w:r>
      <w:r w:rsidR="00634A17" w:rsidRPr="00490A9E">
        <w:t xml:space="preserve">ABS </w:t>
      </w:r>
      <w:r w:rsidR="00691048" w:rsidRPr="00691048">
        <w:rPr>
          <w:i/>
        </w:rPr>
        <w:t>2011 Census of Population and Housing</w:t>
      </w:r>
      <w:r w:rsidR="0084787F">
        <w:t>;</w:t>
      </w:r>
      <w:r w:rsidR="00691048">
        <w:t xml:space="preserve"> </w:t>
      </w:r>
      <w:r w:rsidR="00691048" w:rsidRPr="00490A9E">
        <w:rPr>
          <w:i/>
        </w:rPr>
        <w:t>Experimental Estimates and Projections, Aboriginal and Torres Strait Islander Australians, 1991 to 2021</w:t>
      </w:r>
      <w:r w:rsidR="0084787F">
        <w:rPr>
          <w:i/>
        </w:rPr>
        <w:t>;</w:t>
      </w:r>
      <w:r w:rsidR="003C4E5D">
        <w:rPr>
          <w:i/>
        </w:rPr>
        <w:t xml:space="preserve"> </w:t>
      </w:r>
      <w:r w:rsidR="00B77468">
        <w:rPr>
          <w:i/>
        </w:rPr>
        <w:t>Household Income and Income D</w:t>
      </w:r>
      <w:r w:rsidR="0084787F">
        <w:rPr>
          <w:i/>
        </w:rPr>
        <w:t>istribution, Australia, 2011</w:t>
      </w:r>
      <w:r w:rsidR="00172534">
        <w:rPr>
          <w:i/>
        </w:rPr>
        <w:noBreakHyphen/>
      </w:r>
      <w:r w:rsidR="0084787F">
        <w:rPr>
          <w:i/>
        </w:rPr>
        <w:t xml:space="preserve">12 and </w:t>
      </w:r>
      <w:r w:rsidR="00B77468">
        <w:rPr>
          <w:i/>
        </w:rPr>
        <w:t>Disability, Ageing and Carers, Australia, 2009.</w:t>
      </w:r>
      <w:r w:rsidR="00691048">
        <w:t xml:space="preserve"> </w:t>
      </w:r>
      <w:r w:rsidR="00634A17" w:rsidRPr="00490A9E">
        <w:rPr>
          <w:rStyle w:val="NoteLabel"/>
        </w:rPr>
        <w:t>b</w:t>
      </w:r>
      <w:r w:rsidR="001436CC" w:rsidRPr="00490A9E">
        <w:t xml:space="preserve"> </w:t>
      </w:r>
      <w:r w:rsidR="00F21EBD" w:rsidRPr="00490A9E">
        <w:t>20</w:t>
      </w:r>
      <w:r w:rsidR="00490A9E" w:rsidRPr="00490A9E">
        <w:t>13</w:t>
      </w:r>
      <w:r w:rsidR="00F21EBD" w:rsidRPr="00490A9E">
        <w:t xml:space="preserve"> data in this R</w:t>
      </w:r>
      <w:r w:rsidR="00AB7A91" w:rsidRPr="00490A9E">
        <w:t xml:space="preserve">eport are </w:t>
      </w:r>
      <w:r w:rsidR="00691048">
        <w:t xml:space="preserve">preliminary from the </w:t>
      </w:r>
      <w:r w:rsidR="00691048" w:rsidRPr="0080582B">
        <w:rPr>
          <w:i/>
        </w:rPr>
        <w:t>2013 National Early Childhood Education and Care</w:t>
      </w:r>
      <w:r w:rsidR="00AB7A91" w:rsidRPr="0080582B">
        <w:rPr>
          <w:i/>
        </w:rPr>
        <w:t xml:space="preserve"> Workforce C</w:t>
      </w:r>
      <w:r w:rsidR="005E7CC5" w:rsidRPr="0080582B">
        <w:rPr>
          <w:i/>
        </w:rPr>
        <w:t>ensus</w:t>
      </w:r>
      <w:r w:rsidR="00691048">
        <w:t>, except for Indigenous</w:t>
      </w:r>
      <w:r w:rsidR="009D4415">
        <w:t xml:space="preserve"> </w:t>
      </w:r>
      <w:r w:rsidR="00691048">
        <w:t>children</w:t>
      </w:r>
      <w:r w:rsidR="009D4415">
        <w:t xml:space="preserve"> and children from regional and remote areas</w:t>
      </w:r>
      <w:r w:rsidR="00691048">
        <w:t>, which a</w:t>
      </w:r>
      <w:r w:rsidR="004B03E7">
        <w:t>re from administrative data for</w:t>
      </w:r>
      <w:r w:rsidR="00691048">
        <w:t xml:space="preserve"> the March quarter</w:t>
      </w:r>
      <w:r w:rsidR="00AB7A91" w:rsidRPr="00490A9E">
        <w:t xml:space="preserve">. </w:t>
      </w:r>
      <w:r w:rsidR="000C43E6" w:rsidRPr="00490A9E">
        <w:t>Refer to box</w:t>
      </w:r>
      <w:r w:rsidR="00172534">
        <w:t> </w:t>
      </w:r>
      <w:r w:rsidR="00923A1C" w:rsidRPr="00490A9E">
        <w:t>3.4</w:t>
      </w:r>
      <w:r w:rsidR="000C43E6" w:rsidRPr="00490A9E">
        <w:t xml:space="preserve"> and table</w:t>
      </w:r>
      <w:r w:rsidR="00172534">
        <w:t> </w:t>
      </w:r>
      <w:proofErr w:type="spellStart"/>
      <w:r w:rsidR="000C43E6" w:rsidRPr="00490A9E">
        <w:t>3A.1</w:t>
      </w:r>
      <w:r w:rsidR="00B85698">
        <w:t>3</w:t>
      </w:r>
      <w:proofErr w:type="spellEnd"/>
      <w:r w:rsidR="000C43E6" w:rsidRPr="00490A9E">
        <w:t xml:space="preserve"> for more information.</w:t>
      </w:r>
      <w:r w:rsidR="00AB7A91" w:rsidRPr="00490A9E">
        <w:rPr>
          <w:rStyle w:val="NoteLabel"/>
        </w:rPr>
        <w:t xml:space="preserve"> c</w:t>
      </w:r>
      <w:r w:rsidR="000C43E6" w:rsidRPr="00490A9E">
        <w:t xml:space="preserve"> </w:t>
      </w:r>
      <w:r w:rsidR="00E923FD" w:rsidRPr="00490A9E">
        <w:t xml:space="preserve">See </w:t>
      </w:r>
      <w:r w:rsidR="00FB2A0B" w:rsidRPr="00490A9E">
        <w:t>table</w:t>
      </w:r>
      <w:r w:rsidR="00172534">
        <w:t> </w:t>
      </w:r>
      <w:proofErr w:type="spellStart"/>
      <w:r w:rsidR="00FB2A0B" w:rsidRPr="00490A9E">
        <w:t>3A.1</w:t>
      </w:r>
      <w:r w:rsidR="00B85698">
        <w:t>3</w:t>
      </w:r>
      <w:proofErr w:type="spellEnd"/>
      <w:r w:rsidR="00FB2A0B" w:rsidRPr="00490A9E">
        <w:t xml:space="preserve"> </w:t>
      </w:r>
      <w:r w:rsidR="00E923FD" w:rsidRPr="00490A9E">
        <w:t>for comp</w:t>
      </w:r>
      <w:r w:rsidR="007E0A97" w:rsidRPr="00490A9E">
        <w:t>l</w:t>
      </w:r>
      <w:r w:rsidR="00E923FD" w:rsidRPr="00490A9E">
        <w:t>ete footnotes and definitions</w:t>
      </w:r>
      <w:r w:rsidR="0094467D">
        <w:t>.</w:t>
      </w:r>
      <w:r w:rsidR="0094467D" w:rsidRPr="0094467D">
        <w:rPr>
          <w:rStyle w:val="NoteLabel"/>
        </w:rPr>
        <w:t xml:space="preserve"> </w:t>
      </w:r>
      <w:r w:rsidR="0094467D" w:rsidRPr="002352A8">
        <w:rPr>
          <w:rStyle w:val="NoteLabel"/>
        </w:rPr>
        <w:t>d</w:t>
      </w:r>
      <w:r w:rsidR="0094467D" w:rsidRPr="002352A8">
        <w:t xml:space="preserve"> </w:t>
      </w:r>
      <w:r w:rsidR="00976D93" w:rsidRPr="002352A8">
        <w:t>The proportion of children from regional areas in child care services ca</w:t>
      </w:r>
      <w:r w:rsidR="00023D5E" w:rsidRPr="002352A8">
        <w:t xml:space="preserve">n exceed 100 per cent. This may </w:t>
      </w:r>
      <w:r w:rsidR="00976D93" w:rsidRPr="002352A8">
        <w:t xml:space="preserve">occur because </w:t>
      </w:r>
      <w:r w:rsidR="00023D5E" w:rsidRPr="002352A8">
        <w:t xml:space="preserve">although </w:t>
      </w:r>
      <w:r w:rsidR="00976D93" w:rsidRPr="002352A8">
        <w:t>the number of children in child care services is a unique count for each state and territory</w:t>
      </w:r>
      <w:r w:rsidR="006F5FA4" w:rsidRPr="002352A8">
        <w:t xml:space="preserve">, children can attend, and be </w:t>
      </w:r>
      <w:r w:rsidR="00976D93" w:rsidRPr="002352A8">
        <w:t>counted</w:t>
      </w:r>
      <w:r w:rsidR="006F5FA4" w:rsidRPr="002352A8">
        <w:t xml:space="preserve"> in,</w:t>
      </w:r>
      <w:r w:rsidR="00976D93" w:rsidRPr="002352A8">
        <w:t xml:space="preserve"> </w:t>
      </w:r>
      <w:r w:rsidR="006F5FA4" w:rsidRPr="002352A8">
        <w:t xml:space="preserve">services located </w:t>
      </w:r>
      <w:r w:rsidR="00427313" w:rsidRPr="002352A8">
        <w:t xml:space="preserve">in </w:t>
      </w:r>
      <w:r w:rsidR="00976D93" w:rsidRPr="002352A8">
        <w:t xml:space="preserve">more than </w:t>
      </w:r>
      <w:r w:rsidR="00427313" w:rsidRPr="002352A8">
        <w:t xml:space="preserve">one </w:t>
      </w:r>
      <w:r w:rsidR="00976D93" w:rsidRPr="002352A8">
        <w:t>remoteness area</w:t>
      </w:r>
      <w:r w:rsidR="00E923FD" w:rsidRPr="002352A8">
        <w:t>.</w:t>
      </w:r>
      <w:r w:rsidR="000613DE" w:rsidRPr="00490A9E">
        <w:t xml:space="preserve"> </w:t>
      </w:r>
      <w:r w:rsidR="0037668D" w:rsidRPr="00BD2657">
        <w:t xml:space="preserve">.. </w:t>
      </w:r>
      <w:r w:rsidR="0037668D" w:rsidRPr="00490A9E">
        <w:t>Not applicable.</w:t>
      </w:r>
      <w:r w:rsidR="006F5FA4">
        <w:t xml:space="preserve"> </w:t>
      </w:r>
      <w:r w:rsidR="0037668D" w:rsidRPr="00490A9E">
        <w:t>– Nil or rounded to zero.</w:t>
      </w:r>
    </w:p>
    <w:p w:rsidR="001436CC" w:rsidRPr="00490A9E" w:rsidRDefault="001436CC" w:rsidP="00C3586E">
      <w:pPr>
        <w:pStyle w:val="Source"/>
        <w:keepNext/>
      </w:pPr>
      <w:r w:rsidRPr="00490A9E">
        <w:rPr>
          <w:i/>
        </w:rPr>
        <w:t>Source</w:t>
      </w:r>
      <w:r w:rsidRPr="00490A9E">
        <w:t xml:space="preserve">: </w:t>
      </w:r>
      <w:r w:rsidR="00E318F3">
        <w:t xml:space="preserve">Department of Education </w:t>
      </w:r>
      <w:r w:rsidRPr="00490A9E">
        <w:t xml:space="preserve">(unpublished) </w:t>
      </w:r>
      <w:r w:rsidR="00A626AB" w:rsidRPr="00490A9E">
        <w:t xml:space="preserve">administrative data collection and </w:t>
      </w:r>
      <w:r w:rsidR="001F11E5" w:rsidRPr="00490A9E">
        <w:rPr>
          <w:i/>
        </w:rPr>
        <w:t>National Early Childhood Education</w:t>
      </w:r>
      <w:r w:rsidR="009B635F">
        <w:rPr>
          <w:i/>
        </w:rPr>
        <w:t xml:space="preserve"> and Care Workforce Census, 2013 (preliminary data)</w:t>
      </w:r>
      <w:r w:rsidR="001F11E5" w:rsidRPr="00490A9E">
        <w:rPr>
          <w:i/>
        </w:rPr>
        <w:t xml:space="preserve">; </w:t>
      </w:r>
      <w:r w:rsidRPr="00490A9E">
        <w:t>ABS (unpublished)</w:t>
      </w:r>
      <w:r w:rsidR="009B635F">
        <w:t xml:space="preserve"> </w:t>
      </w:r>
      <w:r w:rsidR="009B635F" w:rsidRPr="009B635F">
        <w:rPr>
          <w:i/>
        </w:rPr>
        <w:t>2011 Census of Population and Housing;</w:t>
      </w:r>
      <w:r w:rsidR="009B635F">
        <w:t xml:space="preserve"> </w:t>
      </w:r>
      <w:r w:rsidR="009B635F">
        <w:rPr>
          <w:i/>
        </w:rPr>
        <w:t>Household Income and Income Distribution, Australia, 2011</w:t>
      </w:r>
      <w:r w:rsidR="00172534">
        <w:rPr>
          <w:i/>
        </w:rPr>
        <w:noBreakHyphen/>
      </w:r>
      <w:r w:rsidR="009B635F">
        <w:rPr>
          <w:i/>
        </w:rPr>
        <w:t>12,</w:t>
      </w:r>
      <w:r w:rsidR="009B635F">
        <w:t xml:space="preserve"> Cat. no. 6523.0; </w:t>
      </w:r>
      <w:r w:rsidR="009B635F" w:rsidRPr="009B635F">
        <w:rPr>
          <w:i/>
        </w:rPr>
        <w:t>Disability, Ageing and Carers, Australia: Summary of Findings, 2009</w:t>
      </w:r>
      <w:r w:rsidR="009B635F">
        <w:t xml:space="preserve">, Cat. no. 4430.0 </w:t>
      </w:r>
      <w:r w:rsidR="00176D16" w:rsidRPr="00490A9E">
        <w:t xml:space="preserve">and </w:t>
      </w:r>
      <w:r w:rsidR="00176D16" w:rsidRPr="00490A9E">
        <w:rPr>
          <w:i/>
        </w:rPr>
        <w:t>Experimental E</w:t>
      </w:r>
      <w:r w:rsidR="00473977" w:rsidRPr="00490A9E">
        <w:rPr>
          <w:i/>
        </w:rPr>
        <w:t xml:space="preserve">stimates and Projections, </w:t>
      </w:r>
      <w:r w:rsidR="00176D16" w:rsidRPr="00490A9E">
        <w:rPr>
          <w:i/>
        </w:rPr>
        <w:t>Aboriginal and T</w:t>
      </w:r>
      <w:r w:rsidR="00473977" w:rsidRPr="00490A9E">
        <w:rPr>
          <w:i/>
        </w:rPr>
        <w:t>orres Strait Islander Australians</w:t>
      </w:r>
      <w:r w:rsidR="00176D16" w:rsidRPr="00490A9E">
        <w:rPr>
          <w:i/>
        </w:rPr>
        <w:t>, 1991 to 20</w:t>
      </w:r>
      <w:r w:rsidR="003D0169" w:rsidRPr="00490A9E">
        <w:rPr>
          <w:i/>
        </w:rPr>
        <w:t>21</w:t>
      </w:r>
      <w:r w:rsidR="00176D16" w:rsidRPr="00490A9E">
        <w:t xml:space="preserve"> </w:t>
      </w:r>
      <w:r w:rsidR="00176D16" w:rsidRPr="009B635F">
        <w:rPr>
          <w:i/>
        </w:rPr>
        <w:t>(Series B),</w:t>
      </w:r>
      <w:r w:rsidR="00176D16" w:rsidRPr="00490A9E">
        <w:t xml:space="preserve"> </w:t>
      </w:r>
      <w:r w:rsidR="0018652C">
        <w:br/>
      </w:r>
      <w:r w:rsidR="00176D16" w:rsidRPr="00490A9E">
        <w:t xml:space="preserve">Cat. no. 3238.0; </w:t>
      </w:r>
      <w:r w:rsidR="00BF5E2D" w:rsidRPr="00490A9E">
        <w:t>table </w:t>
      </w:r>
      <w:proofErr w:type="spellStart"/>
      <w:r w:rsidR="00BF5E2D" w:rsidRPr="00490A9E">
        <w:t>3A.1</w:t>
      </w:r>
      <w:r w:rsidR="00B85698">
        <w:t>3</w:t>
      </w:r>
      <w:proofErr w:type="spellEnd"/>
      <w:r w:rsidRPr="00490A9E">
        <w:t>.</w:t>
      </w:r>
    </w:p>
    <w:p w:rsidR="000E50ED" w:rsidRPr="00C41228" w:rsidRDefault="000E50ED" w:rsidP="005E7CC5">
      <w:pPr>
        <w:pStyle w:val="Heading5"/>
      </w:pPr>
      <w:r w:rsidRPr="00C41228">
        <w:t>Access — participation rates for special needs groups</w:t>
      </w:r>
      <w:r>
        <w:t xml:space="preserve"> in preschool</w:t>
      </w:r>
    </w:p>
    <w:p w:rsidR="000E50ED" w:rsidRPr="00C41228" w:rsidRDefault="000E50ED" w:rsidP="005E7CC5">
      <w:pPr>
        <w:pStyle w:val="BodyText"/>
      </w:pPr>
      <w:r w:rsidRPr="00C41228">
        <w:t>‘Participation rates for special needs groups</w:t>
      </w:r>
      <w:r>
        <w:t xml:space="preserve"> in preschool</w:t>
      </w:r>
      <w:r w:rsidRPr="00C41228">
        <w:t xml:space="preserve">’ is an indicator of governments’ objective to ensure that </w:t>
      </w:r>
      <w:r>
        <w:t xml:space="preserve">services </w:t>
      </w:r>
      <w:r w:rsidRPr="00C41228">
        <w:t xml:space="preserve">are provided in an equitable manner to all special needs groups in the community, and that there is consideration of the needs of those groups </w:t>
      </w:r>
      <w:r w:rsidR="00011E10">
        <w:t>that</w:t>
      </w:r>
      <w:r w:rsidRPr="00C41228">
        <w:t xml:space="preserve"> can have </w:t>
      </w:r>
      <w:r w:rsidR="00C64D4B">
        <w:t xml:space="preserve">special </w:t>
      </w:r>
      <w:r w:rsidRPr="00C41228">
        <w:t>diffic</w:t>
      </w:r>
      <w:r w:rsidR="005E7CC5">
        <w:t>ulty in accessing services (box </w:t>
      </w:r>
      <w:r w:rsidR="00122A73">
        <w:t>3.5</w:t>
      </w:r>
      <w:r w:rsidRPr="00C41228">
        <w:t>).</w:t>
      </w:r>
    </w:p>
    <w:p w:rsidR="005D5427" w:rsidRDefault="005D5427">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D5427">
        <w:tc>
          <w:tcPr>
            <w:tcW w:w="8771" w:type="dxa"/>
            <w:tcBorders>
              <w:top w:val="single" w:sz="6" w:space="0" w:color="auto"/>
              <w:bottom w:val="nil"/>
            </w:tcBorders>
          </w:tcPr>
          <w:p w:rsidR="005D5427" w:rsidRPr="006F505F" w:rsidRDefault="005D5427" w:rsidP="00683EFF">
            <w:pPr>
              <w:pStyle w:val="BoxTitle"/>
              <w:rPr>
                <w:color w:val="1F497D" w:themeColor="text2"/>
              </w:rPr>
            </w:pPr>
            <w:r w:rsidRPr="00DF669E">
              <w:rPr>
                <w:b w:val="0"/>
              </w:rPr>
              <w:t>Box 3.5</w:t>
            </w:r>
            <w:r w:rsidRPr="00DF669E">
              <w:tab/>
              <w:t>Participation rates for special needs groups in preschool</w:t>
            </w:r>
          </w:p>
        </w:tc>
      </w:tr>
      <w:tr w:rsidR="005D5427">
        <w:trPr>
          <w:cantSplit/>
        </w:trPr>
        <w:tc>
          <w:tcPr>
            <w:tcW w:w="8771" w:type="dxa"/>
            <w:tcBorders>
              <w:top w:val="nil"/>
              <w:left w:val="single" w:sz="6" w:space="0" w:color="auto"/>
              <w:bottom w:val="nil"/>
              <w:right w:val="single" w:sz="6" w:space="0" w:color="auto"/>
            </w:tcBorders>
          </w:tcPr>
          <w:p w:rsidR="005D5427" w:rsidRPr="00DF669E" w:rsidRDefault="005D5427">
            <w:pPr>
              <w:pStyle w:val="Box"/>
            </w:pPr>
            <w:r w:rsidRPr="00DF669E">
              <w:t xml:space="preserve">‘Participation rates for special needs </w:t>
            </w:r>
            <w:r w:rsidR="00B16C80" w:rsidRPr="00DF669E">
              <w:t>groups in preschool’ is defined by two measures:</w:t>
            </w:r>
          </w:p>
          <w:p w:rsidR="00B16C80" w:rsidRPr="00DF669E" w:rsidRDefault="00B16C80" w:rsidP="00751B02">
            <w:pPr>
              <w:pStyle w:val="BoxListBullet"/>
            </w:pPr>
            <w:r w:rsidRPr="00DF669E">
              <w:t xml:space="preserve">proportion of children aged 3–5 years enrolled in </w:t>
            </w:r>
            <w:r w:rsidR="00E837EC" w:rsidRPr="00DF669E">
              <w:t xml:space="preserve">a </w:t>
            </w:r>
            <w:r w:rsidRPr="00DF669E">
              <w:t>preschool</w:t>
            </w:r>
            <w:r w:rsidR="00E837EC" w:rsidRPr="00DF669E">
              <w:t xml:space="preserve"> program</w:t>
            </w:r>
            <w:r w:rsidRPr="00DF669E">
              <w:t xml:space="preserve"> who are from targeted special needs groups</w:t>
            </w:r>
            <w:r w:rsidR="00E837EC" w:rsidRPr="00DF669E">
              <w:t xml:space="preserve">, compared with the representation of these groups in the community. Targeted special needs groups include children from </w:t>
            </w:r>
            <w:proofErr w:type="spellStart"/>
            <w:r w:rsidR="00E837EC" w:rsidRPr="00DF669E">
              <w:t>NESB</w:t>
            </w:r>
            <w:proofErr w:type="spellEnd"/>
            <w:r w:rsidR="00E837EC" w:rsidRPr="00DF669E">
              <w:t>, Indigenous children, children with disability and children</w:t>
            </w:r>
            <w:r w:rsidR="00710A0A">
              <w:t xml:space="preserve"> from regional and remote areas</w:t>
            </w:r>
          </w:p>
          <w:p w:rsidR="00B16C80" w:rsidRDefault="00B16C80" w:rsidP="00751B02">
            <w:pPr>
              <w:pStyle w:val="BoxListBullet"/>
            </w:pPr>
            <w:r w:rsidRPr="00DF669E">
              <w:t>proportion of children enrolled in a preschool program in the year before full time schooling who are disadvantaged</w:t>
            </w:r>
            <w:r w:rsidR="00E837EC" w:rsidRPr="00DF669E">
              <w:t>, compared with the representation of these groups in the community.</w:t>
            </w:r>
            <w:r w:rsidR="006A39E2" w:rsidRPr="00DF669E">
              <w:t xml:space="preserve"> Children who are disadvan</w:t>
            </w:r>
            <w:r w:rsidR="00170804" w:rsidRPr="00DF669E">
              <w:t>taged are defined</w:t>
            </w:r>
            <w:r w:rsidR="006A39E2" w:rsidRPr="00DF669E">
              <w:t xml:space="preserve"> as residing in an area with a Socio</w:t>
            </w:r>
            <w:r w:rsidR="00172534">
              <w:noBreakHyphen/>
            </w:r>
            <w:r w:rsidR="006A39E2" w:rsidRPr="00DF669E">
              <w:t>Economic Index for Areas (</w:t>
            </w:r>
            <w:proofErr w:type="spellStart"/>
            <w:r w:rsidR="006A39E2" w:rsidRPr="00DF669E">
              <w:t>SEIFA</w:t>
            </w:r>
            <w:proofErr w:type="spellEnd"/>
            <w:r w:rsidR="006A39E2" w:rsidRPr="00DF669E">
              <w:t>) Index of Relative Socio</w:t>
            </w:r>
            <w:r w:rsidR="00172534">
              <w:noBreakHyphen/>
            </w:r>
            <w:r w:rsidR="006A39E2" w:rsidRPr="00DF669E">
              <w:t>economic Disadvantage (</w:t>
            </w:r>
            <w:proofErr w:type="spellStart"/>
            <w:r w:rsidR="006A39E2" w:rsidRPr="00DF669E">
              <w:t>IRSD</w:t>
            </w:r>
            <w:proofErr w:type="spellEnd"/>
            <w:r w:rsidR="006A39E2" w:rsidRPr="00DF669E">
              <w:t xml:space="preserve">) quintile of 1. The </w:t>
            </w:r>
            <w:proofErr w:type="spellStart"/>
            <w:r w:rsidR="006A39E2" w:rsidRPr="00DF669E">
              <w:t>SEIFA</w:t>
            </w:r>
            <w:proofErr w:type="spellEnd"/>
            <w:r w:rsidR="006A39E2" w:rsidRPr="00DF669E">
              <w:t xml:space="preserve"> </w:t>
            </w:r>
            <w:proofErr w:type="spellStart"/>
            <w:r w:rsidR="006A39E2" w:rsidRPr="00DF669E">
              <w:t>IRSD</w:t>
            </w:r>
            <w:proofErr w:type="spellEnd"/>
            <w:r w:rsidR="006A39E2" w:rsidRPr="00DF669E">
              <w:t xml:space="preserve"> quintile of 1 is used as a proxy for the most disadvantaged. </w:t>
            </w:r>
            <w:r w:rsidR="006B6B3B" w:rsidRPr="002352A8">
              <w:t xml:space="preserve">The use of </w:t>
            </w:r>
            <w:proofErr w:type="spellStart"/>
            <w:r w:rsidR="006B6B3B" w:rsidRPr="002352A8">
              <w:t>SEIFA</w:t>
            </w:r>
            <w:proofErr w:type="spellEnd"/>
            <w:r w:rsidR="006B6B3B" w:rsidRPr="002352A8">
              <w:t xml:space="preserve"> </w:t>
            </w:r>
            <w:proofErr w:type="spellStart"/>
            <w:r w:rsidR="006B6B3B" w:rsidRPr="002352A8">
              <w:t>IRSD</w:t>
            </w:r>
            <w:proofErr w:type="spellEnd"/>
            <w:r w:rsidR="006B6B3B" w:rsidRPr="002352A8">
              <w:t xml:space="preserve"> as a prox</w:t>
            </w:r>
            <w:r w:rsidR="00507F63" w:rsidRPr="002352A8">
              <w:t xml:space="preserve">y for disadvantage needs to be interpreted with care as </w:t>
            </w:r>
            <w:r w:rsidR="006B6B3B" w:rsidRPr="002352A8">
              <w:t>it pertains to the ar</w:t>
            </w:r>
            <w:r w:rsidR="00507F63" w:rsidRPr="002352A8">
              <w:t>ea in which the child resides, rather than to the child specifically</w:t>
            </w:r>
            <w:r w:rsidR="006B6B3B" w:rsidRPr="002352A8">
              <w:t>.</w:t>
            </w:r>
          </w:p>
          <w:p w:rsidR="00C4039E" w:rsidRPr="00DF669E" w:rsidRDefault="00C4039E" w:rsidP="003564FB">
            <w:pPr>
              <w:pStyle w:val="Box"/>
            </w:pPr>
            <w:r w:rsidRPr="00DF669E">
              <w:t xml:space="preserve">A high or increasing proportion of children from special needs groups and who are disadvantaged enrolled in a preschool program is desirable. If the representation of special needs groups </w:t>
            </w:r>
            <w:r w:rsidR="006A39E2" w:rsidRPr="00DF669E">
              <w:t xml:space="preserve">and disadvantage </w:t>
            </w:r>
            <w:r w:rsidRPr="00DF669E">
              <w:t>among children enrolled in a preschool program is broadly similar to their representation in the community, this suggests equitable access.</w:t>
            </w:r>
          </w:p>
          <w:p w:rsidR="003564FB" w:rsidRPr="00DF669E" w:rsidRDefault="003564FB" w:rsidP="003564FB">
            <w:pPr>
              <w:pStyle w:val="Box"/>
            </w:pPr>
            <w:r w:rsidRPr="00DF669E">
              <w:t xml:space="preserve">Data reported for </w:t>
            </w:r>
            <w:r w:rsidR="00170804" w:rsidRPr="00DF669E">
              <w:t xml:space="preserve">these measures </w:t>
            </w:r>
            <w:r w:rsidRPr="00DF669E">
              <w:t>are:</w:t>
            </w:r>
          </w:p>
          <w:p w:rsidR="00170804" w:rsidRPr="00DF669E" w:rsidRDefault="00170804" w:rsidP="00751B02">
            <w:pPr>
              <w:pStyle w:val="BoxListBullet"/>
            </w:pPr>
            <w:r w:rsidRPr="00DF669E">
              <w:t>comparable (subject to caveats)</w:t>
            </w:r>
            <w:r w:rsidRPr="00DF669E">
              <w:rPr>
                <w:rFonts w:eastAsiaTheme="minorHAnsi"/>
              </w:rPr>
              <w:t xml:space="preserve"> within jurisdictions for 2012 data but a break in series means that data for 2012 are not comparable to data for 2011 (in the previous Report) for </w:t>
            </w:r>
            <w:r w:rsidRPr="00DF669E">
              <w:t>special needs groups but are comparable (subject to caveats) across jurisdictions for children who are disadvantaged</w:t>
            </w:r>
            <w:r w:rsidRPr="00DF669E">
              <w:rPr>
                <w:rFonts w:eastAsiaTheme="minorHAnsi"/>
              </w:rPr>
              <w:t xml:space="preserve">. Data are not comparable across jurisdictions for </w:t>
            </w:r>
            <w:r w:rsidRPr="00DF669E">
              <w:t>special needs groups</w:t>
            </w:r>
          </w:p>
          <w:p w:rsidR="00170804" w:rsidRPr="00683EFF" w:rsidRDefault="00170804" w:rsidP="00751B02">
            <w:pPr>
              <w:pStyle w:val="BoxListBullet"/>
              <w:rPr>
                <w:b/>
                <w:sz w:val="24"/>
                <w:u w:val="dotted"/>
              </w:rPr>
            </w:pPr>
            <w:r w:rsidRPr="00683EFF">
              <w:t xml:space="preserve">complete </w:t>
            </w:r>
            <w:r w:rsidR="00D31E74" w:rsidRPr="00683EFF">
              <w:t xml:space="preserve">(subject to caveats) </w:t>
            </w:r>
            <w:r w:rsidRPr="00683EFF">
              <w:t>for the current report</w:t>
            </w:r>
            <w:r w:rsidR="00710A0A" w:rsidRPr="00683EFF">
              <w:t xml:space="preserve">ing period </w:t>
            </w:r>
            <w:r w:rsidRPr="00683EFF">
              <w:rPr>
                <w:rFonts w:eastAsiaTheme="minorHAnsi"/>
              </w:rPr>
              <w:t xml:space="preserve">for </w:t>
            </w:r>
            <w:r w:rsidRPr="00683EFF">
              <w:t xml:space="preserve">special needs groups. All required 2012 data are available for all jurisdictions </w:t>
            </w:r>
            <w:r w:rsidRPr="00683EFF">
              <w:rPr>
                <w:rFonts w:eastAsiaTheme="minorHAnsi"/>
              </w:rPr>
              <w:t xml:space="preserve">for </w:t>
            </w:r>
            <w:r w:rsidRPr="00683EFF">
              <w:t>special needs groups but incomplete for the current reporting period for children who are disadvantaged. All required data were not available for Queensland for children who are disadvantaged.</w:t>
            </w:r>
          </w:p>
          <w:p w:rsidR="003564FB" w:rsidRPr="006F505F" w:rsidRDefault="00C2453F" w:rsidP="003564FB">
            <w:pPr>
              <w:pStyle w:val="BoxListBullet"/>
              <w:numPr>
                <w:ilvl w:val="0"/>
                <w:numId w:val="0"/>
              </w:numPr>
              <w:rPr>
                <w:color w:val="1F497D" w:themeColor="text2"/>
              </w:rPr>
            </w:pPr>
            <w:r>
              <w:rPr>
                <w:rFonts w:cs="Arial"/>
                <w:szCs w:val="26"/>
              </w:rPr>
              <w:t>D</w:t>
            </w:r>
            <w:r w:rsidR="003564FB" w:rsidRPr="00DF669E">
              <w:rPr>
                <w:rFonts w:cs="Arial"/>
                <w:szCs w:val="26"/>
              </w:rPr>
              <w:t xml:space="preserve">ata quality </w:t>
            </w:r>
            <w:r>
              <w:rPr>
                <w:rFonts w:cs="Arial"/>
                <w:szCs w:val="26"/>
              </w:rPr>
              <w:t xml:space="preserve">information </w:t>
            </w:r>
            <w:r w:rsidR="003564FB" w:rsidRPr="00DF669E">
              <w:rPr>
                <w:rFonts w:cs="Arial"/>
                <w:szCs w:val="26"/>
              </w:rPr>
              <w:t xml:space="preserve">for this indicator is at </w:t>
            </w:r>
            <w:proofErr w:type="spellStart"/>
            <w:r w:rsidR="003564FB" w:rsidRPr="00DF669E">
              <w:rPr>
                <w:rFonts w:cs="Arial"/>
                <w:szCs w:val="26"/>
              </w:rPr>
              <w:t>www.pc.gov.au</w:t>
            </w:r>
            <w:proofErr w:type="spellEnd"/>
            <w:r w:rsidR="003564FB" w:rsidRPr="00DF669E">
              <w:rPr>
                <w:rFonts w:cs="Arial"/>
                <w:szCs w:val="26"/>
              </w:rPr>
              <w:t>/</w:t>
            </w:r>
            <w:proofErr w:type="spellStart"/>
            <w:r w:rsidR="003564FB" w:rsidRPr="00DF669E">
              <w:rPr>
                <w:rFonts w:cs="Arial"/>
                <w:szCs w:val="26"/>
              </w:rPr>
              <w:t>gsp</w:t>
            </w:r>
            <w:proofErr w:type="spellEnd"/>
            <w:r w:rsidR="003564FB" w:rsidRPr="00DF669E">
              <w:rPr>
                <w:rFonts w:cs="Arial"/>
                <w:szCs w:val="26"/>
              </w:rPr>
              <w:t>/reports/</w:t>
            </w:r>
            <w:proofErr w:type="spellStart"/>
            <w:r w:rsidR="003564FB" w:rsidRPr="00DF669E">
              <w:rPr>
                <w:rFonts w:cs="Arial"/>
                <w:szCs w:val="26"/>
              </w:rPr>
              <w:t>rogs</w:t>
            </w:r>
            <w:proofErr w:type="spellEnd"/>
            <w:r w:rsidR="003564FB" w:rsidRPr="00DF669E">
              <w:rPr>
                <w:rFonts w:cs="Arial"/>
                <w:szCs w:val="26"/>
              </w:rPr>
              <w:t>/2014.</w:t>
            </w:r>
          </w:p>
        </w:tc>
      </w:tr>
      <w:tr w:rsidR="005D5427">
        <w:trPr>
          <w:cantSplit/>
        </w:trPr>
        <w:tc>
          <w:tcPr>
            <w:tcW w:w="8771" w:type="dxa"/>
            <w:tcBorders>
              <w:top w:val="nil"/>
              <w:left w:val="single" w:sz="6" w:space="0" w:color="auto"/>
              <w:bottom w:val="single" w:sz="6" w:space="0" w:color="auto"/>
              <w:right w:val="single" w:sz="6" w:space="0" w:color="auto"/>
            </w:tcBorders>
          </w:tcPr>
          <w:p w:rsidR="005D5427" w:rsidRDefault="005D5427">
            <w:pPr>
              <w:pStyle w:val="Box"/>
              <w:spacing w:before="0" w:line="120" w:lineRule="exact"/>
            </w:pPr>
          </w:p>
        </w:tc>
      </w:tr>
      <w:tr w:rsidR="005D5427" w:rsidRPr="000863A5">
        <w:tc>
          <w:tcPr>
            <w:tcW w:w="8771" w:type="dxa"/>
            <w:tcBorders>
              <w:top w:val="nil"/>
              <w:left w:val="nil"/>
              <w:bottom w:val="nil"/>
              <w:right w:val="nil"/>
            </w:tcBorders>
          </w:tcPr>
          <w:p w:rsidR="005D5427" w:rsidRPr="00626D32" w:rsidRDefault="005D5427" w:rsidP="00342DDB">
            <w:pPr>
              <w:pStyle w:val="BoxSpaceBelow"/>
            </w:pPr>
          </w:p>
        </w:tc>
      </w:tr>
    </w:tbl>
    <w:p w:rsidR="00DA43DB" w:rsidRDefault="00391C7C" w:rsidP="00391C7C">
      <w:pPr>
        <w:pStyle w:val="Heading5"/>
      </w:pPr>
      <w:r>
        <w:t>Proportion of children aged 3–</w:t>
      </w:r>
      <w:r w:rsidR="00DA43DB">
        <w:t xml:space="preserve">5 years enrolled in </w:t>
      </w:r>
      <w:r w:rsidR="00E837EC">
        <w:t>a preschoo</w:t>
      </w:r>
      <w:r w:rsidR="00DA43DB">
        <w:t>l</w:t>
      </w:r>
      <w:r w:rsidR="00E837EC">
        <w:t xml:space="preserve"> program</w:t>
      </w:r>
      <w:r w:rsidR="00DA43DB">
        <w:t xml:space="preserve"> who are from targeted special needs groups</w:t>
      </w:r>
    </w:p>
    <w:p w:rsidR="00FC4176" w:rsidRDefault="007C332E" w:rsidP="00C3586E">
      <w:pPr>
        <w:pStyle w:val="BodyText"/>
      </w:pPr>
      <w:r w:rsidRPr="00C41228">
        <w:t>Data</w:t>
      </w:r>
      <w:r w:rsidR="00342A4D" w:rsidRPr="00C41228">
        <w:t xml:space="preserve"> </w:t>
      </w:r>
      <w:r w:rsidR="00DA43DB">
        <w:t>for participation by specia</w:t>
      </w:r>
      <w:r w:rsidR="00207808">
        <w:t xml:space="preserve">l needs groups in preschool are provided by </w:t>
      </w:r>
      <w:r w:rsidR="00391C7C">
        <w:t>State and Territory g</w:t>
      </w:r>
      <w:r w:rsidR="00207808">
        <w:t xml:space="preserve">overnments for children from </w:t>
      </w:r>
      <w:proofErr w:type="spellStart"/>
      <w:r w:rsidR="00C711A3">
        <w:t>NESB</w:t>
      </w:r>
      <w:proofErr w:type="spellEnd"/>
      <w:r w:rsidR="00207808">
        <w:t xml:space="preserve"> and children with disability. Data for Indigenous children and children from regi</w:t>
      </w:r>
      <w:r w:rsidR="00C711A3">
        <w:t xml:space="preserve">onal and remote areas are drawn </w:t>
      </w:r>
      <w:r w:rsidR="00207808">
        <w:t xml:space="preserve">from the </w:t>
      </w:r>
      <w:r w:rsidR="00DA43DB">
        <w:t xml:space="preserve">National </w:t>
      </w:r>
      <w:proofErr w:type="spellStart"/>
      <w:r w:rsidR="00DA43DB">
        <w:t>ECEC</w:t>
      </w:r>
      <w:proofErr w:type="spellEnd"/>
      <w:r w:rsidR="00DA43DB">
        <w:t xml:space="preserve"> Collection 2012. Box</w:t>
      </w:r>
      <w:r w:rsidR="00172534">
        <w:t> </w:t>
      </w:r>
      <w:r w:rsidR="00DA43DB">
        <w:t xml:space="preserve">3.6 contains additional information on the collection. </w:t>
      </w:r>
    </w:p>
    <w:p w:rsidR="00FC4176" w:rsidRDefault="00FC4176" w:rsidP="00C3586E">
      <w:pPr>
        <w:pStyle w:val="BodyText"/>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C4176" w:rsidRPr="008725A8" w:rsidTr="00AC0879">
        <w:tc>
          <w:tcPr>
            <w:tcW w:w="8771" w:type="dxa"/>
            <w:tcBorders>
              <w:top w:val="single" w:sz="6" w:space="0" w:color="auto"/>
              <w:bottom w:val="nil"/>
            </w:tcBorders>
          </w:tcPr>
          <w:p w:rsidR="00FC4176" w:rsidRPr="008725A8" w:rsidRDefault="00FC4176" w:rsidP="00AC0879">
            <w:pPr>
              <w:pStyle w:val="BoxTitle"/>
            </w:pPr>
            <w:r w:rsidRPr="008725A8">
              <w:rPr>
                <w:b w:val="0"/>
              </w:rPr>
              <w:t>Box 3.6</w:t>
            </w:r>
            <w:r w:rsidRPr="008725A8">
              <w:tab/>
              <w:t>National Early Childhood Education and Care Collection</w:t>
            </w:r>
          </w:p>
        </w:tc>
      </w:tr>
      <w:tr w:rsidR="00FC4176" w:rsidRPr="008725A8" w:rsidTr="00AC0879">
        <w:trPr>
          <w:cantSplit/>
        </w:trPr>
        <w:tc>
          <w:tcPr>
            <w:tcW w:w="8771" w:type="dxa"/>
            <w:tcBorders>
              <w:top w:val="nil"/>
              <w:left w:val="single" w:sz="6" w:space="0" w:color="auto"/>
              <w:bottom w:val="nil"/>
              <w:right w:val="single" w:sz="6" w:space="0" w:color="auto"/>
            </w:tcBorders>
          </w:tcPr>
          <w:p w:rsidR="00FC4176" w:rsidRDefault="00FC4176" w:rsidP="00AC0879">
            <w:pPr>
              <w:pStyle w:val="Box"/>
            </w:pPr>
            <w:r w:rsidRPr="008725A8">
              <w:t>The National Early Childhood Education and Care (</w:t>
            </w:r>
            <w:proofErr w:type="spellStart"/>
            <w:r w:rsidRPr="008725A8">
              <w:t>ECEC</w:t>
            </w:r>
            <w:proofErr w:type="spellEnd"/>
            <w:r w:rsidRPr="008725A8">
              <w:t>) Collection was conducted for the third time in 2012 and will continue to be conducted annually. The collection date is the first Friday in August each year, with a reference period of a week including the collection date. Some jurisdictions incorporate a reference period of two weeks that include</w:t>
            </w:r>
            <w:r w:rsidR="00C66E40">
              <w:t>s</w:t>
            </w:r>
            <w:r w:rsidRPr="008725A8">
              <w:t xml:space="preserve"> the collection date, to better reflect their preschool program delivery model</w:t>
            </w:r>
            <w:r>
              <w:t>.</w:t>
            </w:r>
          </w:p>
          <w:p w:rsidR="00FC4176" w:rsidRPr="008725A8" w:rsidRDefault="00FC4176" w:rsidP="00AC0879">
            <w:pPr>
              <w:pStyle w:val="Box"/>
            </w:pPr>
            <w:r w:rsidRPr="008725A8">
              <w:t xml:space="preserve">The aim of the National </w:t>
            </w:r>
            <w:proofErr w:type="spellStart"/>
            <w:r w:rsidRPr="008725A8">
              <w:t>ECEC</w:t>
            </w:r>
            <w:proofErr w:type="spellEnd"/>
            <w:r w:rsidRPr="008725A8">
              <w:t xml:space="preserve"> Collection</w:t>
            </w:r>
            <w:r w:rsidR="00C54340">
              <w:t xml:space="preserve"> is to provide comparable State and T</w:t>
            </w:r>
            <w:r w:rsidRPr="008725A8">
              <w:t>erritory statistics on early childhood education. Data have been compiled according to the national standards outlined in the Early Childhood Education and Care National Minimum Data Set (</w:t>
            </w:r>
            <w:proofErr w:type="spellStart"/>
            <w:r w:rsidRPr="008725A8">
              <w:t>ECEC</w:t>
            </w:r>
            <w:proofErr w:type="spellEnd"/>
            <w:r w:rsidRPr="008725A8">
              <w:t xml:space="preserve"> </w:t>
            </w:r>
            <w:proofErr w:type="spellStart"/>
            <w:r w:rsidRPr="008725A8">
              <w:t>NMDS</w:t>
            </w:r>
            <w:proofErr w:type="spellEnd"/>
            <w:r w:rsidRPr="008725A8">
              <w:t>). Alignment with these standards has not been completely achieved by all jurisdictions for 2012, and care should be taken when comparison</w:t>
            </w:r>
            <w:r w:rsidR="00391C7C">
              <w:t>s</w:t>
            </w:r>
            <w:r w:rsidRPr="008725A8">
              <w:t xml:space="preserve"> across jurisdictions are made.</w:t>
            </w:r>
          </w:p>
          <w:p w:rsidR="00FC4176" w:rsidRPr="008725A8" w:rsidRDefault="00FC4176" w:rsidP="00AC0879">
            <w:pPr>
              <w:pStyle w:val="Box"/>
            </w:pPr>
            <w:r w:rsidRPr="008725A8">
              <w:t xml:space="preserve">The National </w:t>
            </w:r>
            <w:proofErr w:type="spellStart"/>
            <w:r w:rsidRPr="008725A8">
              <w:t>E</w:t>
            </w:r>
            <w:r w:rsidR="00643F17">
              <w:t>CEC</w:t>
            </w:r>
            <w:proofErr w:type="spellEnd"/>
            <w:r w:rsidR="00643F17">
              <w:t xml:space="preserve"> Collection is derived from </w:t>
            </w:r>
            <w:r w:rsidR="00C54340">
              <w:t>data provided by S</w:t>
            </w:r>
            <w:r w:rsidRPr="008725A8">
              <w:t>tat</w:t>
            </w:r>
            <w:r w:rsidR="00C54340">
              <w:t>e and T</w:t>
            </w:r>
            <w:r w:rsidR="008771C9">
              <w:t>erritory and Australian</w:t>
            </w:r>
            <w:r w:rsidRPr="008725A8">
              <w:t xml:space="preserve"> government departments with responsibility for early childhood education and care. </w:t>
            </w:r>
          </w:p>
          <w:p w:rsidR="00FC4176" w:rsidRPr="008725A8" w:rsidRDefault="00FC4176" w:rsidP="00AC0879">
            <w:pPr>
              <w:pStyle w:val="Box"/>
            </w:pPr>
            <w:r w:rsidRPr="008725A8">
              <w:t>The scope of the collection consists of all service providers delivering a preschool program. A preschool program i</w:t>
            </w:r>
            <w:r w:rsidR="00391C7C">
              <w:t>s defined as a structured, play</w:t>
            </w:r>
            <w:r w:rsidR="00172534">
              <w:noBreakHyphen/>
            </w:r>
            <w:r w:rsidRPr="008725A8">
              <w:t>based learning program, delivered by a degr</w:t>
            </w:r>
            <w:r w:rsidR="007008D2">
              <w:t xml:space="preserve">ee qualified teacher, </w:t>
            </w:r>
            <w:r w:rsidRPr="008725A8">
              <w:t xml:space="preserve">aimed at children in the year </w:t>
            </w:r>
            <w:r w:rsidR="007008D2" w:rsidRPr="001E1784">
              <w:t>or two</w:t>
            </w:r>
            <w:r w:rsidR="007008D2">
              <w:t xml:space="preserve"> </w:t>
            </w:r>
            <w:r w:rsidRPr="008725A8">
              <w:t>before they commence full time schooling. This is irrespective of the type</w:t>
            </w:r>
            <w:r w:rsidR="00391C7C">
              <w:t xml:space="preserve"> of institution that provides the program</w:t>
            </w:r>
            <w:r w:rsidRPr="008725A8">
              <w:t xml:space="preserve">, or whether it is government funded or privately provided. </w:t>
            </w:r>
          </w:p>
          <w:p w:rsidR="00FC4176" w:rsidRPr="008725A8" w:rsidRDefault="00FC4176" w:rsidP="005675FA">
            <w:pPr>
              <w:pStyle w:val="Box"/>
            </w:pPr>
            <w:r w:rsidRPr="005675FA">
              <w:t>Programs may be delivered in a variety of service settings including separate preschools or kindergartens, long day care centres or in association with a school. Long day care centres that do not operate a preschool program are not included.</w:t>
            </w:r>
            <w:r w:rsidRPr="008725A8">
              <w:t xml:space="preserve"> </w:t>
            </w:r>
            <w:r w:rsidR="005675FA" w:rsidRPr="001E1784">
              <w:t>The ABS’ Preschool Provider Frame project, and subsequent 2012 Australian Government supplementary communication and collection activities, have improved the coverage of long day care service providers reported as delivering a preschool program within the Child Care Management System (</w:t>
            </w:r>
            <w:proofErr w:type="spellStart"/>
            <w:r w:rsidR="005675FA" w:rsidRPr="001E1784">
              <w:t>CCMS</w:t>
            </w:r>
            <w:proofErr w:type="spellEnd"/>
            <w:r w:rsidR="005675FA" w:rsidRPr="001E1784">
              <w:t>)</w:t>
            </w:r>
            <w:r w:rsidR="00BF7E5D" w:rsidRPr="001E1784">
              <w:t>. A</w:t>
            </w:r>
            <w:r w:rsidR="005675FA" w:rsidRPr="001E1784">
              <w:t>lthough there have been some collection improvements, there is still an unknown level of under</w:t>
            </w:r>
            <w:r w:rsidR="00172534">
              <w:noBreakHyphen/>
            </w:r>
            <w:r w:rsidR="005675FA" w:rsidRPr="001E1784">
              <w:t xml:space="preserve">coverage of long day care service providers which are delivering a preschool program and are not currently captured in </w:t>
            </w:r>
            <w:proofErr w:type="spellStart"/>
            <w:r w:rsidR="005675FA" w:rsidRPr="001E1784">
              <w:t>CCMS</w:t>
            </w:r>
            <w:proofErr w:type="spellEnd"/>
            <w:r w:rsidR="005675FA" w:rsidRPr="001E1784">
              <w:t xml:space="preserve"> or state and territory </w:t>
            </w:r>
            <w:proofErr w:type="spellStart"/>
            <w:r w:rsidR="005675FA" w:rsidRPr="001E1784">
              <w:t>ECEC</w:t>
            </w:r>
            <w:proofErr w:type="spellEnd"/>
            <w:r w:rsidR="005675FA" w:rsidRPr="001E1784">
              <w:t xml:space="preserve"> collections.</w:t>
            </w:r>
          </w:p>
          <w:p w:rsidR="00FC4176" w:rsidRPr="008725A8" w:rsidRDefault="00FC4176" w:rsidP="00AC0879">
            <w:pPr>
              <w:pStyle w:val="Box"/>
            </w:pPr>
            <w:r w:rsidRPr="008725A8">
              <w:t xml:space="preserve">All children who </w:t>
            </w:r>
            <w:r>
              <w:t xml:space="preserve">on </w:t>
            </w:r>
            <w:r w:rsidRPr="008725A8">
              <w:t xml:space="preserve">1 July in the collection year were </w:t>
            </w:r>
            <w:r>
              <w:t xml:space="preserve">aged between 3 and </w:t>
            </w:r>
            <w:r w:rsidR="004B6144">
              <w:t>6 years (inclusive) are in</w:t>
            </w:r>
            <w:r w:rsidR="00172534">
              <w:noBreakHyphen/>
            </w:r>
            <w:r w:rsidR="004B6144">
              <w:t>scope of</w:t>
            </w:r>
            <w:r w:rsidRPr="008725A8">
              <w:t xml:space="preserve"> the collection if they were enrolled </w:t>
            </w:r>
            <w:r>
              <w:t xml:space="preserve">in a preschool program </w:t>
            </w:r>
            <w:r w:rsidRPr="008725A8">
              <w:t>during the referen</w:t>
            </w:r>
            <w:r>
              <w:t>ce period</w:t>
            </w:r>
            <w:r w:rsidRPr="008725A8">
              <w:t>. To be considered as enrolled, the child must have attended the preschool program for at least one hour during the reference period, or be absent due to illness or extended holiday leave and expected to return.</w:t>
            </w:r>
          </w:p>
          <w:p w:rsidR="00FC4176" w:rsidRPr="008725A8" w:rsidRDefault="00FC4176" w:rsidP="00AC0879">
            <w:pPr>
              <w:pStyle w:val="Box"/>
            </w:pPr>
            <w:r w:rsidRPr="008725A8">
              <w:t xml:space="preserve">All paid employees </w:t>
            </w:r>
            <w:r w:rsidR="007008D2" w:rsidRPr="001E1784">
              <w:t>delivering a preschool program</w:t>
            </w:r>
            <w:r w:rsidR="007008D2">
              <w:t xml:space="preserve"> </w:t>
            </w:r>
            <w:r w:rsidRPr="008725A8">
              <w:t>at an in</w:t>
            </w:r>
            <w:r w:rsidR="00172534">
              <w:noBreakHyphen/>
            </w:r>
            <w:r w:rsidRPr="008725A8">
              <w:t>scope service provider during th</w:t>
            </w:r>
            <w:r>
              <w:t xml:space="preserve">e reference period are included in </w:t>
            </w:r>
            <w:r w:rsidRPr="008725A8">
              <w:t xml:space="preserve">the collection. </w:t>
            </w:r>
          </w:p>
        </w:tc>
      </w:tr>
      <w:tr w:rsidR="00FC4176" w:rsidRPr="008725A8" w:rsidTr="00AC0879">
        <w:trPr>
          <w:cantSplit/>
        </w:trPr>
        <w:tc>
          <w:tcPr>
            <w:tcW w:w="8771" w:type="dxa"/>
            <w:tcBorders>
              <w:top w:val="nil"/>
              <w:left w:val="single" w:sz="6" w:space="0" w:color="auto"/>
              <w:bottom w:val="single" w:sz="6" w:space="0" w:color="auto"/>
              <w:right w:val="single" w:sz="6" w:space="0" w:color="auto"/>
            </w:tcBorders>
          </w:tcPr>
          <w:p w:rsidR="00FC4176" w:rsidRPr="008725A8" w:rsidRDefault="00FC4176" w:rsidP="00AC0879">
            <w:pPr>
              <w:pStyle w:val="BoxSource"/>
            </w:pPr>
            <w:r w:rsidRPr="008725A8">
              <w:rPr>
                <w:i/>
              </w:rPr>
              <w:t>Source</w:t>
            </w:r>
            <w:r w:rsidR="008771C9">
              <w:t>: ABS (2013</w:t>
            </w:r>
            <w:r w:rsidRPr="008725A8">
              <w:t>).</w:t>
            </w:r>
          </w:p>
        </w:tc>
      </w:tr>
    </w:tbl>
    <w:p w:rsidR="00A7405E" w:rsidRPr="00C41228" w:rsidRDefault="00FC4176" w:rsidP="00C3586E">
      <w:pPr>
        <w:pStyle w:val="BodyText"/>
      </w:pPr>
      <w:r>
        <w:t xml:space="preserve">Data </w:t>
      </w:r>
      <w:r w:rsidR="00342A4D" w:rsidRPr="00C41228">
        <w:t xml:space="preserve">on the representation of special needs groups for children in </w:t>
      </w:r>
      <w:r>
        <w:t xml:space="preserve">a preschool program </w:t>
      </w:r>
      <w:r w:rsidR="00342A4D" w:rsidRPr="00C41228">
        <w:t>are provided in table</w:t>
      </w:r>
      <w:r w:rsidR="00833A46" w:rsidRPr="00C41228">
        <w:t> </w:t>
      </w:r>
      <w:r w:rsidR="00923A1C" w:rsidRPr="00C41228">
        <w:t>3.5</w:t>
      </w:r>
      <w:r w:rsidR="00342A4D" w:rsidRPr="00C41228">
        <w:t xml:space="preserve">. </w:t>
      </w:r>
      <w:r w:rsidR="00A7405E" w:rsidRPr="00C41228">
        <w:t xml:space="preserve">For jurisdictions that were able to provide data, the patterns for </w:t>
      </w:r>
      <w:r w:rsidR="00A7405E" w:rsidRPr="00F60F5E">
        <w:t>children</w:t>
      </w:r>
      <w:r w:rsidR="00A7405E" w:rsidRPr="00C41228">
        <w:t xml:space="preserve"> from special needs groups in preschool varied</w:t>
      </w:r>
      <w:r>
        <w:t>:</w:t>
      </w:r>
      <w:r w:rsidR="00655CA0">
        <w:t xml:space="preserve"> </w:t>
      </w:r>
    </w:p>
    <w:p w:rsidR="00A7405E" w:rsidRDefault="00A7405E" w:rsidP="00E75084">
      <w:pPr>
        <w:pStyle w:val="ListBullet"/>
        <w:shd w:val="clear" w:color="auto" w:fill="FFFFFF" w:themeFill="background1"/>
      </w:pPr>
      <w:r w:rsidRPr="00C41228">
        <w:lastRenderedPageBreak/>
        <w:t>F</w:t>
      </w:r>
      <w:r w:rsidR="00837FEF">
        <w:t>or jurisdictions where data are</w:t>
      </w:r>
      <w:r w:rsidRPr="00C41228">
        <w:t xml:space="preserve"> available (NSW, Victoria, Queensland</w:t>
      </w:r>
      <w:r w:rsidR="006B6830" w:rsidRPr="00C41228">
        <w:t xml:space="preserve">, </w:t>
      </w:r>
      <w:r w:rsidRPr="00C41228">
        <w:t>SA</w:t>
      </w:r>
      <w:r w:rsidR="00C66E40">
        <w:t>, Tasmania</w:t>
      </w:r>
      <w:r w:rsidR="006B6830" w:rsidRPr="00C41228">
        <w:t xml:space="preserve"> and </w:t>
      </w:r>
      <w:r w:rsidR="00391C7C">
        <w:t xml:space="preserve">the </w:t>
      </w:r>
      <w:r w:rsidR="006B6830" w:rsidRPr="00C41228">
        <w:t>ACT</w:t>
      </w:r>
      <w:r w:rsidRPr="00C41228">
        <w:t xml:space="preserve">), the </w:t>
      </w:r>
      <w:r w:rsidRPr="00B37558">
        <w:t>representation of</w:t>
      </w:r>
      <w:r w:rsidR="0025449C" w:rsidRPr="00B37558">
        <w:t xml:space="preserve"> children aged 3–5 years from </w:t>
      </w:r>
      <w:proofErr w:type="spellStart"/>
      <w:r w:rsidR="00C711A3">
        <w:t>NESB</w:t>
      </w:r>
      <w:proofErr w:type="spellEnd"/>
      <w:r w:rsidR="00C711A3">
        <w:t xml:space="preserve"> </w:t>
      </w:r>
      <w:r w:rsidR="00AB5504" w:rsidRPr="00B37558">
        <w:t xml:space="preserve">in preschool </w:t>
      </w:r>
      <w:r w:rsidR="0059644D" w:rsidRPr="00B37558">
        <w:t>was</w:t>
      </w:r>
      <w:r w:rsidR="0059644D" w:rsidRPr="00F448A0">
        <w:t xml:space="preserve"> </w:t>
      </w:r>
      <w:r w:rsidR="00090DD8" w:rsidRPr="001E1784">
        <w:t>10.2</w:t>
      </w:r>
      <w:r w:rsidR="00AB5504" w:rsidRPr="00090DD8">
        <w:t xml:space="preserve"> </w:t>
      </w:r>
      <w:r w:rsidR="0059644D" w:rsidRPr="00F448A0">
        <w:t>per</w:t>
      </w:r>
      <w:r w:rsidR="0059644D" w:rsidRPr="00C41228">
        <w:t xml:space="preserve"> cent</w:t>
      </w:r>
      <w:r w:rsidRPr="00C41228">
        <w:t xml:space="preserve">. </w:t>
      </w:r>
      <w:r w:rsidR="00FC4176">
        <w:t>Nationally</w:t>
      </w:r>
      <w:r w:rsidRPr="00C41228">
        <w:t xml:space="preserve">, </w:t>
      </w:r>
      <w:r w:rsidR="00FC4176">
        <w:t>20.0</w:t>
      </w:r>
      <w:r w:rsidRPr="00C41228">
        <w:t> per cent of children aged 3–5 years in the</w:t>
      </w:r>
      <w:r w:rsidR="0025449C">
        <w:t xml:space="preserve"> community were children from </w:t>
      </w:r>
      <w:proofErr w:type="spellStart"/>
      <w:r w:rsidR="00C711A3">
        <w:t>NESB</w:t>
      </w:r>
      <w:proofErr w:type="spellEnd"/>
      <w:r w:rsidRPr="00C41228">
        <w:t>.</w:t>
      </w:r>
    </w:p>
    <w:p w:rsidR="00837FEF" w:rsidRPr="00C41228" w:rsidRDefault="00837FEF" w:rsidP="00837FEF">
      <w:pPr>
        <w:pStyle w:val="ListBullet"/>
      </w:pPr>
      <w:r>
        <w:t xml:space="preserve">Nationally, </w:t>
      </w:r>
      <w:r w:rsidRPr="00DC19CF">
        <w:t>the representation of childr</w:t>
      </w:r>
      <w:r w:rsidR="00C66E40">
        <w:t xml:space="preserve">en with disability </w:t>
      </w:r>
      <w:r w:rsidRPr="00DC19CF">
        <w:t xml:space="preserve">aged 3–5 years </w:t>
      </w:r>
      <w:r w:rsidR="00C66E40">
        <w:t>in a preschool program (</w:t>
      </w:r>
      <w:r w:rsidR="00090DD8" w:rsidRPr="001E1784">
        <w:t>5.1</w:t>
      </w:r>
      <w:r w:rsidR="00C66E40" w:rsidRPr="00090DD8">
        <w:t xml:space="preserve"> </w:t>
      </w:r>
      <w:r w:rsidR="00C66E40">
        <w:t>per cent) was lower than their representation in the community (6.3 per cent) though this varies across jurisdictions.</w:t>
      </w:r>
    </w:p>
    <w:p w:rsidR="00A7405E" w:rsidRPr="00C41228" w:rsidRDefault="00DD18EB" w:rsidP="00E75084">
      <w:pPr>
        <w:pStyle w:val="ListBullet"/>
        <w:shd w:val="clear" w:color="auto" w:fill="FFFFFF" w:themeFill="background1"/>
      </w:pPr>
      <w:r w:rsidRPr="00C41228">
        <w:t xml:space="preserve">Nationally, </w:t>
      </w:r>
      <w:r w:rsidR="00735664" w:rsidRPr="00C41228">
        <w:t xml:space="preserve">the representation of </w:t>
      </w:r>
      <w:r w:rsidR="00A7405E" w:rsidRPr="00C41228">
        <w:t xml:space="preserve">Indigenous children aged 3–5 </w:t>
      </w:r>
      <w:r w:rsidR="00A7405E" w:rsidRPr="00DC19CF">
        <w:t xml:space="preserve">years in </w:t>
      </w:r>
      <w:r w:rsidR="00FC4176">
        <w:t xml:space="preserve">a </w:t>
      </w:r>
      <w:r w:rsidR="00A7405E" w:rsidRPr="00DC19CF">
        <w:t>preschool</w:t>
      </w:r>
      <w:r w:rsidR="00FC4176">
        <w:t xml:space="preserve"> program</w:t>
      </w:r>
      <w:r w:rsidR="00A7405E" w:rsidRPr="00DC19CF">
        <w:t xml:space="preserve"> </w:t>
      </w:r>
      <w:r w:rsidR="000065D3" w:rsidRPr="00DC19CF">
        <w:t>(</w:t>
      </w:r>
      <w:r w:rsidR="00837FEF" w:rsidRPr="00837FEF">
        <w:rPr>
          <w:shd w:val="clear" w:color="auto" w:fill="FFFFFF" w:themeFill="background1"/>
        </w:rPr>
        <w:t>4</w:t>
      </w:r>
      <w:r w:rsidR="006B6830" w:rsidRPr="00837FEF">
        <w:rPr>
          <w:shd w:val="clear" w:color="auto" w:fill="FFFFFF" w:themeFill="background1"/>
        </w:rPr>
        <w:t>.</w:t>
      </w:r>
      <w:r w:rsidR="00837FEF" w:rsidRPr="00837FEF">
        <w:rPr>
          <w:shd w:val="clear" w:color="auto" w:fill="FFFFFF" w:themeFill="background1"/>
        </w:rPr>
        <w:t>4</w:t>
      </w:r>
      <w:r w:rsidR="0059644D" w:rsidRPr="00837FEF">
        <w:t> </w:t>
      </w:r>
      <w:r w:rsidR="00D814D0" w:rsidRPr="00DC19CF">
        <w:t>per cent</w:t>
      </w:r>
      <w:r w:rsidR="000065D3" w:rsidRPr="00DC19CF">
        <w:t xml:space="preserve">) was </w:t>
      </w:r>
      <w:r w:rsidR="00FC4176" w:rsidRPr="00837FEF">
        <w:t>lower</w:t>
      </w:r>
      <w:r w:rsidR="000065D3" w:rsidRPr="00FC4176">
        <w:rPr>
          <w:color w:val="FF0000"/>
        </w:rPr>
        <w:t xml:space="preserve"> </w:t>
      </w:r>
      <w:r w:rsidR="000065D3" w:rsidRPr="00DC19CF">
        <w:t>than their representation in the communi</w:t>
      </w:r>
      <w:r w:rsidR="000065D3" w:rsidRPr="00C41228">
        <w:t>ty (</w:t>
      </w:r>
      <w:r w:rsidR="00DC19CF">
        <w:t>4.8</w:t>
      </w:r>
      <w:r w:rsidR="00205E27" w:rsidRPr="00C41228">
        <w:t> </w:t>
      </w:r>
      <w:r w:rsidR="00A7405E" w:rsidRPr="00C41228">
        <w:t>per</w:t>
      </w:r>
      <w:r w:rsidR="00205E27" w:rsidRPr="00C41228">
        <w:t> </w:t>
      </w:r>
      <w:r w:rsidR="00A7405E" w:rsidRPr="00C41228">
        <w:t>cent</w:t>
      </w:r>
      <w:r w:rsidR="000065D3" w:rsidRPr="00C41228">
        <w:t>) though this varies across jurisdictions</w:t>
      </w:r>
      <w:r w:rsidR="00AB5504">
        <w:t>.</w:t>
      </w:r>
    </w:p>
    <w:p w:rsidR="00A7405E" w:rsidRPr="00C41228" w:rsidRDefault="00D25486" w:rsidP="00171F72">
      <w:pPr>
        <w:pStyle w:val="ListBullet"/>
      </w:pPr>
      <w:r>
        <w:t>Nationally,</w:t>
      </w:r>
      <w:r w:rsidR="00A7405E" w:rsidRPr="00C41228">
        <w:t xml:space="preserve"> </w:t>
      </w:r>
      <w:r w:rsidR="005E7CC5">
        <w:t>the representation of children aged 3</w:t>
      </w:r>
      <w:r w:rsidR="009D5D36">
        <w:t>–</w:t>
      </w:r>
      <w:r w:rsidR="005E7CC5">
        <w:t>5 ye</w:t>
      </w:r>
      <w:r w:rsidR="002F395B">
        <w:t xml:space="preserve">ars </w:t>
      </w:r>
      <w:r w:rsidR="00FC4176">
        <w:t xml:space="preserve">in a preschool program </w:t>
      </w:r>
      <w:r w:rsidR="002F395B">
        <w:t xml:space="preserve">from regional </w:t>
      </w:r>
      <w:r w:rsidR="002F395B" w:rsidRPr="00DC19CF">
        <w:t xml:space="preserve">areas was </w:t>
      </w:r>
      <w:r w:rsidR="00837FEF" w:rsidRPr="00837FEF">
        <w:rPr>
          <w:shd w:val="clear" w:color="auto" w:fill="FFFFFF" w:themeFill="background1"/>
        </w:rPr>
        <w:t>28.9</w:t>
      </w:r>
      <w:r w:rsidR="005E7CC5" w:rsidRPr="00837FEF">
        <w:t xml:space="preserve"> per </w:t>
      </w:r>
      <w:r w:rsidR="005E7CC5" w:rsidRPr="00DC19CF">
        <w:t xml:space="preserve">cent. </w:t>
      </w:r>
      <w:r>
        <w:t>Nationally</w:t>
      </w:r>
      <w:r w:rsidR="00F4593F" w:rsidRPr="00DC19CF">
        <w:t>,</w:t>
      </w:r>
      <w:r w:rsidR="005E7CC5" w:rsidRPr="00DC19CF">
        <w:t xml:space="preserve"> </w:t>
      </w:r>
      <w:r w:rsidR="00FC4176">
        <w:t>28</w:t>
      </w:r>
      <w:r w:rsidR="006B6830" w:rsidRPr="00DC19CF">
        <w:t>.</w:t>
      </w:r>
      <w:r w:rsidR="00FC4176">
        <w:t>1</w:t>
      </w:r>
      <w:r w:rsidR="00FB2A0B" w:rsidRPr="00DC19CF">
        <w:t> </w:t>
      </w:r>
      <w:r w:rsidR="00A7405E" w:rsidRPr="00DC19CF">
        <w:t>per</w:t>
      </w:r>
      <w:r w:rsidR="00FB2A0B" w:rsidRPr="00DC19CF">
        <w:t> </w:t>
      </w:r>
      <w:r w:rsidR="00A7405E" w:rsidRPr="00DC19CF">
        <w:t>cent</w:t>
      </w:r>
      <w:r w:rsidR="005E7CC5" w:rsidRPr="00DC19CF">
        <w:t xml:space="preserve"> of children in the community</w:t>
      </w:r>
      <w:r w:rsidR="005E7CC5">
        <w:t xml:space="preserve"> were from regional areas.</w:t>
      </w:r>
    </w:p>
    <w:p w:rsidR="009D5792" w:rsidRPr="00E6087C" w:rsidRDefault="00A7405E" w:rsidP="00E6087C">
      <w:pPr>
        <w:pStyle w:val="ListBullet"/>
      </w:pPr>
      <w:r w:rsidRPr="00E6087C">
        <w:t xml:space="preserve">Nationally, </w:t>
      </w:r>
      <w:r w:rsidR="00887D84" w:rsidRPr="00DC19CF">
        <w:t xml:space="preserve">the representation of </w:t>
      </w:r>
      <w:r w:rsidRPr="00DC19CF">
        <w:t xml:space="preserve">children aged 3–5 years </w:t>
      </w:r>
      <w:r w:rsidR="00887D84" w:rsidRPr="00DC19CF">
        <w:t xml:space="preserve">in preschool </w:t>
      </w:r>
      <w:r w:rsidRPr="00DC19CF">
        <w:t>from remote areas (</w:t>
      </w:r>
      <w:r w:rsidR="00837FEF" w:rsidRPr="00837FEF">
        <w:rPr>
          <w:shd w:val="clear" w:color="auto" w:fill="FFFFFF" w:themeFill="background1"/>
        </w:rPr>
        <w:t>2.6</w:t>
      </w:r>
      <w:r w:rsidR="00B34740" w:rsidRPr="00837FEF">
        <w:t xml:space="preserve"> </w:t>
      </w:r>
      <w:r w:rsidRPr="00DC19CF">
        <w:t xml:space="preserve">per cent) </w:t>
      </w:r>
      <w:r w:rsidR="00C812EF">
        <w:t>was lower</w:t>
      </w:r>
      <w:r w:rsidR="00887D84" w:rsidRPr="00DC19CF">
        <w:t xml:space="preserve"> </w:t>
      </w:r>
      <w:r w:rsidR="005E7CC5" w:rsidRPr="00DC19CF">
        <w:t xml:space="preserve">than </w:t>
      </w:r>
      <w:r w:rsidRPr="00DC19CF">
        <w:t>their representation in the community (</w:t>
      </w:r>
      <w:r w:rsidR="00FC4176">
        <w:t>2.8</w:t>
      </w:r>
      <w:r w:rsidR="00B34740" w:rsidRPr="00E6087C">
        <w:t xml:space="preserve"> </w:t>
      </w:r>
      <w:r w:rsidRPr="00E6087C">
        <w:t>per</w:t>
      </w:r>
      <w:r w:rsidR="00B34740" w:rsidRPr="00E6087C">
        <w:t xml:space="preserve"> </w:t>
      </w:r>
      <w:r w:rsidRPr="00E6087C">
        <w:t>cent)</w:t>
      </w:r>
      <w:r w:rsidR="004639A1" w:rsidRPr="00E6087C">
        <w:t xml:space="preserve"> (table</w:t>
      </w:r>
      <w:r w:rsidR="00E43B75" w:rsidRPr="00E6087C">
        <w:t> </w:t>
      </w:r>
      <w:r w:rsidR="00923A1C" w:rsidRPr="00E6087C">
        <w:t>3.5</w:t>
      </w:r>
      <w:r w:rsidR="004639A1" w:rsidRPr="00E6087C">
        <w:t>)</w:t>
      </w:r>
      <w:r w:rsidR="001F6085" w:rsidRPr="00E6087C">
        <w:t>.</w:t>
      </w:r>
    </w:p>
    <w:p w:rsidR="008A5DBA" w:rsidRPr="00C41228" w:rsidRDefault="008871D6" w:rsidP="00C3586E">
      <w:pPr>
        <w:pStyle w:val="BodyText"/>
      </w:pPr>
      <w:r w:rsidRPr="00C41228">
        <w:t xml:space="preserve">Data on the representation of special needs groups in </w:t>
      </w:r>
      <w:r w:rsidR="00FC4176">
        <w:t xml:space="preserve">a </w:t>
      </w:r>
      <w:r w:rsidRPr="00C41228">
        <w:t xml:space="preserve">preschool </w:t>
      </w:r>
      <w:r w:rsidR="00FC4176">
        <w:t xml:space="preserve">program </w:t>
      </w:r>
      <w:r w:rsidRPr="00C41228">
        <w:t>in the year before full time schoo</w:t>
      </w:r>
      <w:r w:rsidR="00942E24" w:rsidRPr="00C41228">
        <w:t>l</w:t>
      </w:r>
      <w:r w:rsidR="00FC4176">
        <w:t>ing</w:t>
      </w:r>
      <w:r w:rsidR="00942E24" w:rsidRPr="00C41228">
        <w:t xml:space="preserve"> are presented in table</w:t>
      </w:r>
      <w:r w:rsidR="00172534">
        <w:t> </w:t>
      </w:r>
      <w:proofErr w:type="spellStart"/>
      <w:r w:rsidR="00942E24" w:rsidRPr="00C41228">
        <w:t>3A.</w:t>
      </w:r>
      <w:r w:rsidR="00A626AB" w:rsidRPr="00C41228">
        <w:t>1</w:t>
      </w:r>
      <w:r w:rsidR="00B85698">
        <w:t>4</w:t>
      </w:r>
      <w:proofErr w:type="spellEnd"/>
      <w:r w:rsidR="00942E24" w:rsidRPr="00C41228">
        <w:t>.</w:t>
      </w:r>
    </w:p>
    <w:p w:rsidR="00763BB6" w:rsidRPr="008B42D1" w:rsidRDefault="00763BB6" w:rsidP="005A003E">
      <w:pPr>
        <w:pStyle w:val="TableTitle"/>
        <w:rPr>
          <w:rStyle w:val="BoxChar"/>
        </w:rPr>
      </w:pPr>
      <w:r w:rsidRPr="004F694F">
        <w:rPr>
          <w:b w:val="0"/>
        </w:rPr>
        <w:lastRenderedPageBreak/>
        <w:t>Table 3.</w:t>
      </w:r>
      <w:r>
        <w:rPr>
          <w:b w:val="0"/>
        </w:rPr>
        <w:t>5</w:t>
      </w:r>
      <w:r w:rsidRPr="004F694F">
        <w:tab/>
        <w:t>Proportion of children (aged 3–5 years) enrol</w:t>
      </w:r>
      <w:r>
        <w:t xml:space="preserve">led in a preschool program </w:t>
      </w:r>
      <w:r w:rsidRPr="004F694F">
        <w:t>from special needs groups, 2012 (per cent)</w:t>
      </w:r>
      <w:r w:rsidRPr="004F694F">
        <w:rPr>
          <w:rStyle w:val="NoteLabel"/>
          <w:b/>
        </w:rPr>
        <w:t>a, b, c</w:t>
      </w:r>
      <w:r>
        <w:rPr>
          <w:rStyle w:val="NoteLabel"/>
          <w:b/>
        </w:rPr>
        <w:t>, d</w:t>
      </w:r>
    </w:p>
    <w:tbl>
      <w:tblPr>
        <w:tblW w:w="8845" w:type="dxa"/>
        <w:tblBorders>
          <w:left w:val="single" w:sz="4" w:space="0" w:color="auto"/>
        </w:tblBorders>
        <w:tblLayout w:type="fixed"/>
        <w:tblCellMar>
          <w:left w:w="0" w:type="dxa"/>
          <w:right w:w="0" w:type="dxa"/>
        </w:tblCellMar>
        <w:tblLook w:val="0000" w:firstRow="0" w:lastRow="0" w:firstColumn="0" w:lastColumn="0" w:noHBand="0" w:noVBand="0"/>
      </w:tblPr>
      <w:tblGrid>
        <w:gridCol w:w="2568"/>
        <w:gridCol w:w="713"/>
        <w:gridCol w:w="712"/>
        <w:gridCol w:w="713"/>
        <w:gridCol w:w="713"/>
        <w:gridCol w:w="713"/>
        <w:gridCol w:w="712"/>
        <w:gridCol w:w="570"/>
        <w:gridCol w:w="713"/>
        <w:gridCol w:w="718"/>
      </w:tblGrid>
      <w:tr w:rsidR="00763BB6" w:rsidRPr="003D5159" w:rsidTr="00704931">
        <w:tc>
          <w:tcPr>
            <w:tcW w:w="2552" w:type="dxa"/>
            <w:tcBorders>
              <w:top w:val="single" w:sz="4" w:space="0" w:color="auto"/>
              <w:left w:val="nil"/>
              <w:bottom w:val="single" w:sz="4" w:space="0" w:color="auto"/>
            </w:tcBorders>
          </w:tcPr>
          <w:p w:rsidR="00763BB6" w:rsidRPr="003D5159" w:rsidRDefault="00763BB6" w:rsidP="00AC0879">
            <w:pPr>
              <w:pStyle w:val="TableColumnHeading"/>
              <w:jc w:val="left"/>
              <w:rPr>
                <w:color w:val="FF0000"/>
              </w:rPr>
            </w:pPr>
          </w:p>
        </w:tc>
        <w:tc>
          <w:tcPr>
            <w:tcW w:w="709" w:type="dxa"/>
            <w:tcBorders>
              <w:top w:val="single" w:sz="4" w:space="0" w:color="auto"/>
              <w:bottom w:val="single" w:sz="4" w:space="0" w:color="auto"/>
            </w:tcBorders>
          </w:tcPr>
          <w:p w:rsidR="00763BB6" w:rsidRPr="000C0D10" w:rsidRDefault="00763BB6" w:rsidP="00604EF6">
            <w:pPr>
              <w:pStyle w:val="TableColumnHeading"/>
              <w:ind w:right="0"/>
            </w:pPr>
            <w:r w:rsidRPr="000C0D10">
              <w:t>NSW</w:t>
            </w:r>
            <w:r>
              <w:rPr>
                <w:rStyle w:val="NoteLabel"/>
                <w:i w:val="0"/>
              </w:rPr>
              <w:t>e</w:t>
            </w:r>
          </w:p>
        </w:tc>
        <w:tc>
          <w:tcPr>
            <w:tcW w:w="708" w:type="dxa"/>
            <w:tcBorders>
              <w:top w:val="single" w:sz="4" w:space="0" w:color="auto"/>
              <w:bottom w:val="single" w:sz="4" w:space="0" w:color="auto"/>
            </w:tcBorders>
          </w:tcPr>
          <w:p w:rsidR="00763BB6" w:rsidRPr="000C0D10" w:rsidRDefault="00763BB6" w:rsidP="00604EF6">
            <w:pPr>
              <w:pStyle w:val="TableColumnHeading"/>
              <w:ind w:right="0"/>
            </w:pPr>
            <w:r w:rsidRPr="000C0D10">
              <w:t>Vic</w:t>
            </w:r>
            <w:r>
              <w:rPr>
                <w:rStyle w:val="NoteLabel"/>
                <w:i w:val="0"/>
              </w:rPr>
              <w:t>f</w:t>
            </w:r>
          </w:p>
        </w:tc>
        <w:tc>
          <w:tcPr>
            <w:tcW w:w="709" w:type="dxa"/>
            <w:tcBorders>
              <w:top w:val="single" w:sz="4" w:space="0" w:color="auto"/>
              <w:bottom w:val="single" w:sz="4" w:space="0" w:color="auto"/>
            </w:tcBorders>
          </w:tcPr>
          <w:p w:rsidR="00763BB6" w:rsidRPr="000C0D10" w:rsidRDefault="00763BB6" w:rsidP="00604EF6">
            <w:pPr>
              <w:pStyle w:val="TableColumnHeading"/>
              <w:ind w:right="0"/>
            </w:pPr>
            <w:r w:rsidRPr="000C0D10">
              <w:t>Qld</w:t>
            </w:r>
            <w:r>
              <w:rPr>
                <w:rStyle w:val="NoteLabel"/>
                <w:i w:val="0"/>
              </w:rPr>
              <w:t>g</w:t>
            </w:r>
          </w:p>
        </w:tc>
        <w:tc>
          <w:tcPr>
            <w:tcW w:w="709" w:type="dxa"/>
            <w:tcBorders>
              <w:top w:val="single" w:sz="4" w:space="0" w:color="auto"/>
              <w:bottom w:val="single" w:sz="4" w:space="0" w:color="auto"/>
            </w:tcBorders>
          </w:tcPr>
          <w:p w:rsidR="00763BB6" w:rsidRPr="000C0D10" w:rsidRDefault="00763BB6" w:rsidP="00604EF6">
            <w:pPr>
              <w:pStyle w:val="TableColumnHeading"/>
            </w:pPr>
            <w:r w:rsidRPr="000C0D10">
              <w:t>WA</w:t>
            </w:r>
          </w:p>
        </w:tc>
        <w:tc>
          <w:tcPr>
            <w:tcW w:w="709" w:type="dxa"/>
            <w:tcBorders>
              <w:top w:val="single" w:sz="4" w:space="0" w:color="auto"/>
              <w:bottom w:val="single" w:sz="4" w:space="0" w:color="auto"/>
            </w:tcBorders>
          </w:tcPr>
          <w:p w:rsidR="00763BB6" w:rsidRPr="000C0D10" w:rsidRDefault="00763BB6" w:rsidP="00604EF6">
            <w:pPr>
              <w:pStyle w:val="TableColumnHeading"/>
            </w:pPr>
            <w:r w:rsidRPr="000C0D10">
              <w:t>SA</w:t>
            </w:r>
          </w:p>
        </w:tc>
        <w:tc>
          <w:tcPr>
            <w:tcW w:w="708" w:type="dxa"/>
            <w:tcBorders>
              <w:top w:val="single" w:sz="4" w:space="0" w:color="auto"/>
              <w:bottom w:val="single" w:sz="4" w:space="0" w:color="auto"/>
            </w:tcBorders>
          </w:tcPr>
          <w:p w:rsidR="00763BB6" w:rsidRPr="000C0D10" w:rsidRDefault="00763BB6" w:rsidP="00604EF6">
            <w:pPr>
              <w:pStyle w:val="TableColumnHeading"/>
            </w:pPr>
            <w:proofErr w:type="spellStart"/>
            <w:r w:rsidRPr="000C0D10">
              <w:t>Tas</w:t>
            </w:r>
            <w:proofErr w:type="spellEnd"/>
          </w:p>
        </w:tc>
        <w:tc>
          <w:tcPr>
            <w:tcW w:w="567" w:type="dxa"/>
            <w:tcBorders>
              <w:top w:val="single" w:sz="4" w:space="0" w:color="auto"/>
              <w:bottom w:val="single" w:sz="4" w:space="0" w:color="auto"/>
            </w:tcBorders>
          </w:tcPr>
          <w:p w:rsidR="00763BB6" w:rsidRPr="000C0D10" w:rsidRDefault="00763BB6" w:rsidP="00604EF6">
            <w:pPr>
              <w:pStyle w:val="TableColumnHeading"/>
            </w:pPr>
            <w:r w:rsidRPr="000C0D10">
              <w:t>ACT</w:t>
            </w:r>
          </w:p>
        </w:tc>
        <w:tc>
          <w:tcPr>
            <w:tcW w:w="709" w:type="dxa"/>
            <w:tcBorders>
              <w:top w:val="single" w:sz="4" w:space="0" w:color="auto"/>
              <w:bottom w:val="single" w:sz="4" w:space="0" w:color="auto"/>
            </w:tcBorders>
          </w:tcPr>
          <w:p w:rsidR="00763BB6" w:rsidRPr="000C0D10" w:rsidRDefault="00763BB6" w:rsidP="00604EF6">
            <w:pPr>
              <w:pStyle w:val="TableColumnHeading"/>
              <w:ind w:right="0"/>
            </w:pPr>
            <w:r w:rsidRPr="000C0D10">
              <w:t>NT</w:t>
            </w:r>
            <w:r>
              <w:rPr>
                <w:rStyle w:val="NoteLabel"/>
                <w:i w:val="0"/>
              </w:rPr>
              <w:t>h</w:t>
            </w:r>
          </w:p>
        </w:tc>
        <w:tc>
          <w:tcPr>
            <w:tcW w:w="714" w:type="dxa"/>
            <w:tcBorders>
              <w:top w:val="single" w:sz="4" w:space="0" w:color="auto"/>
              <w:bottom w:val="single" w:sz="4" w:space="0" w:color="auto"/>
              <w:right w:val="nil"/>
            </w:tcBorders>
          </w:tcPr>
          <w:p w:rsidR="00763BB6" w:rsidRPr="000C0D10" w:rsidRDefault="00763BB6" w:rsidP="00604EF6">
            <w:pPr>
              <w:pStyle w:val="TableColumnHeading"/>
              <w:ind w:right="28"/>
            </w:pPr>
            <w:proofErr w:type="spellStart"/>
            <w:r w:rsidRPr="000C0D10">
              <w:t>Aust</w:t>
            </w:r>
            <w:r>
              <w:rPr>
                <w:rStyle w:val="NoteLabel"/>
                <w:i w:val="0"/>
              </w:rPr>
              <w:t>i</w:t>
            </w:r>
            <w:proofErr w:type="spellEnd"/>
          </w:p>
        </w:tc>
      </w:tr>
      <w:tr w:rsidR="00763BB6" w:rsidRPr="0029457C" w:rsidTr="001E1784">
        <w:trPr>
          <w:cantSplit/>
        </w:trPr>
        <w:tc>
          <w:tcPr>
            <w:tcW w:w="8794" w:type="dxa"/>
            <w:gridSpan w:val="10"/>
            <w:tcBorders>
              <w:top w:val="single" w:sz="4" w:space="0" w:color="auto"/>
              <w:left w:val="nil"/>
              <w:right w:val="nil"/>
            </w:tcBorders>
            <w:shd w:val="clear" w:color="auto" w:fill="auto"/>
          </w:tcPr>
          <w:p w:rsidR="00763BB6" w:rsidRPr="0029457C" w:rsidRDefault="00763BB6" w:rsidP="00AC0879">
            <w:pPr>
              <w:pStyle w:val="TableBodyText"/>
              <w:jc w:val="left"/>
            </w:pPr>
            <w:r w:rsidRPr="0029457C">
              <w:t xml:space="preserve">Children from </w:t>
            </w:r>
            <w:proofErr w:type="spellStart"/>
            <w:r w:rsidR="00C711A3">
              <w:t>NESB</w:t>
            </w:r>
            <w:proofErr w:type="spellEnd"/>
          </w:p>
        </w:tc>
      </w:tr>
      <w:tr w:rsidR="00763BB6" w:rsidRPr="0029457C" w:rsidTr="001E1784">
        <w:trPr>
          <w:trHeight w:val="270"/>
        </w:trPr>
        <w:tc>
          <w:tcPr>
            <w:tcW w:w="2552" w:type="dxa"/>
            <w:tcBorders>
              <w:left w:val="nil"/>
            </w:tcBorders>
            <w:shd w:val="clear" w:color="auto" w:fill="auto"/>
          </w:tcPr>
          <w:p w:rsidR="00763BB6" w:rsidRPr="0029457C" w:rsidRDefault="00763BB6" w:rsidP="00AC0879">
            <w:pPr>
              <w:pStyle w:val="TableBodyText"/>
              <w:ind w:left="0" w:firstLine="142"/>
              <w:jc w:val="left"/>
            </w:pPr>
            <w:r>
              <w:t>In a preschool program</w:t>
            </w:r>
            <w:r>
              <w:rPr>
                <w:rStyle w:val="NoteLabel"/>
              </w:rPr>
              <w:t>j</w:t>
            </w:r>
          </w:p>
        </w:tc>
        <w:tc>
          <w:tcPr>
            <w:tcW w:w="709" w:type="dxa"/>
            <w:shd w:val="clear" w:color="auto" w:fill="auto"/>
            <w:vAlign w:val="center"/>
          </w:tcPr>
          <w:p w:rsidR="00763BB6" w:rsidRPr="0029457C" w:rsidRDefault="00723641" w:rsidP="00604EF6">
            <w:pPr>
              <w:pStyle w:val="TableBodyText"/>
            </w:pPr>
            <w:r>
              <w:t>12.2</w:t>
            </w:r>
          </w:p>
        </w:tc>
        <w:tc>
          <w:tcPr>
            <w:tcW w:w="708" w:type="dxa"/>
            <w:shd w:val="clear" w:color="auto" w:fill="auto"/>
            <w:vAlign w:val="center"/>
          </w:tcPr>
          <w:p w:rsidR="00763BB6" w:rsidRPr="0029457C" w:rsidRDefault="005A003E" w:rsidP="00604EF6">
            <w:pPr>
              <w:pStyle w:val="TableBodyText"/>
            </w:pPr>
            <w:r w:rsidRPr="005A003E">
              <w:t>14.1</w:t>
            </w:r>
          </w:p>
        </w:tc>
        <w:tc>
          <w:tcPr>
            <w:tcW w:w="709" w:type="dxa"/>
            <w:shd w:val="clear" w:color="auto" w:fill="auto"/>
            <w:vAlign w:val="center"/>
          </w:tcPr>
          <w:p w:rsidR="00763BB6" w:rsidRPr="0029457C" w:rsidRDefault="00723641" w:rsidP="00604EF6">
            <w:pPr>
              <w:pStyle w:val="TableBodyText"/>
            </w:pPr>
            <w:r>
              <w:t>8.2</w:t>
            </w:r>
          </w:p>
        </w:tc>
        <w:tc>
          <w:tcPr>
            <w:tcW w:w="709" w:type="dxa"/>
            <w:shd w:val="clear" w:color="auto" w:fill="auto"/>
            <w:vAlign w:val="center"/>
          </w:tcPr>
          <w:p w:rsidR="00763BB6" w:rsidRPr="0029457C" w:rsidRDefault="00763BB6" w:rsidP="00604EF6">
            <w:pPr>
              <w:pStyle w:val="TableBodyText"/>
            </w:pPr>
            <w:proofErr w:type="spellStart"/>
            <w:r w:rsidRPr="0029457C">
              <w:t>na</w:t>
            </w:r>
            <w:proofErr w:type="spellEnd"/>
          </w:p>
        </w:tc>
        <w:tc>
          <w:tcPr>
            <w:tcW w:w="709" w:type="dxa"/>
            <w:shd w:val="clear" w:color="auto" w:fill="auto"/>
            <w:vAlign w:val="center"/>
          </w:tcPr>
          <w:p w:rsidR="00763BB6" w:rsidRPr="0029457C" w:rsidRDefault="00723641" w:rsidP="00604EF6">
            <w:pPr>
              <w:pStyle w:val="TableBodyText"/>
            </w:pPr>
            <w:r>
              <w:t>12.4</w:t>
            </w:r>
          </w:p>
        </w:tc>
        <w:tc>
          <w:tcPr>
            <w:tcW w:w="708" w:type="dxa"/>
            <w:shd w:val="clear" w:color="auto" w:fill="auto"/>
            <w:vAlign w:val="center"/>
          </w:tcPr>
          <w:p w:rsidR="00763BB6" w:rsidRPr="0029457C" w:rsidRDefault="00723641" w:rsidP="00604EF6">
            <w:pPr>
              <w:pStyle w:val="TableBodyText"/>
            </w:pPr>
            <w:r>
              <w:t>2.8</w:t>
            </w:r>
          </w:p>
        </w:tc>
        <w:tc>
          <w:tcPr>
            <w:tcW w:w="567" w:type="dxa"/>
            <w:shd w:val="clear" w:color="auto" w:fill="auto"/>
            <w:vAlign w:val="center"/>
          </w:tcPr>
          <w:p w:rsidR="00763BB6" w:rsidRPr="0029457C" w:rsidRDefault="00723641" w:rsidP="00604EF6">
            <w:pPr>
              <w:pStyle w:val="TableBodyText"/>
            </w:pPr>
            <w:r>
              <w:t>22</w:t>
            </w:r>
            <w:r w:rsidR="00763BB6" w:rsidRPr="0029457C">
              <w:t>.6</w:t>
            </w:r>
          </w:p>
        </w:tc>
        <w:tc>
          <w:tcPr>
            <w:tcW w:w="709" w:type="dxa"/>
            <w:shd w:val="clear" w:color="auto" w:fill="auto"/>
            <w:vAlign w:val="center"/>
          </w:tcPr>
          <w:p w:rsidR="00763BB6" w:rsidRPr="0029457C" w:rsidRDefault="00763BB6" w:rsidP="00604EF6">
            <w:pPr>
              <w:pStyle w:val="TableBodyText"/>
            </w:pPr>
            <w:proofErr w:type="spellStart"/>
            <w:r w:rsidRPr="0029457C">
              <w:t>na</w:t>
            </w:r>
            <w:proofErr w:type="spellEnd"/>
          </w:p>
        </w:tc>
        <w:tc>
          <w:tcPr>
            <w:tcW w:w="714" w:type="dxa"/>
            <w:tcBorders>
              <w:right w:val="nil"/>
            </w:tcBorders>
            <w:shd w:val="clear" w:color="auto" w:fill="auto"/>
            <w:vAlign w:val="center"/>
          </w:tcPr>
          <w:p w:rsidR="00763BB6" w:rsidRPr="0029457C" w:rsidRDefault="005A003E" w:rsidP="00604EF6">
            <w:pPr>
              <w:pStyle w:val="TableBodyText"/>
            </w:pPr>
            <w:r w:rsidRPr="005A003E">
              <w:t>10.2</w:t>
            </w:r>
          </w:p>
        </w:tc>
      </w:tr>
      <w:tr w:rsidR="00763BB6" w:rsidRPr="0029457C" w:rsidTr="001E1784">
        <w:trPr>
          <w:trHeight w:val="270"/>
        </w:trPr>
        <w:tc>
          <w:tcPr>
            <w:tcW w:w="2552" w:type="dxa"/>
            <w:tcBorders>
              <w:left w:val="nil"/>
            </w:tcBorders>
            <w:shd w:val="clear" w:color="auto" w:fill="auto"/>
          </w:tcPr>
          <w:p w:rsidR="00763BB6" w:rsidRPr="0029457C" w:rsidRDefault="00763BB6" w:rsidP="00AC0879">
            <w:pPr>
              <w:pStyle w:val="TableBodyText"/>
              <w:ind w:left="0" w:firstLine="142"/>
              <w:jc w:val="left"/>
            </w:pPr>
            <w:r w:rsidRPr="0029457C">
              <w:t>In the community, 2011</w:t>
            </w:r>
          </w:p>
        </w:tc>
        <w:tc>
          <w:tcPr>
            <w:tcW w:w="709" w:type="dxa"/>
            <w:shd w:val="clear" w:color="auto" w:fill="auto"/>
            <w:vAlign w:val="center"/>
          </w:tcPr>
          <w:p w:rsidR="00763BB6" w:rsidRPr="0029457C" w:rsidRDefault="00763BB6" w:rsidP="00604EF6">
            <w:pPr>
              <w:pStyle w:val="TableBodyText"/>
            </w:pPr>
            <w:r w:rsidRPr="0029457C">
              <w:t>23.7</w:t>
            </w:r>
          </w:p>
        </w:tc>
        <w:tc>
          <w:tcPr>
            <w:tcW w:w="708" w:type="dxa"/>
            <w:shd w:val="clear" w:color="auto" w:fill="auto"/>
            <w:vAlign w:val="center"/>
          </w:tcPr>
          <w:p w:rsidR="00763BB6" w:rsidRPr="0029457C" w:rsidRDefault="00763BB6" w:rsidP="00604EF6">
            <w:pPr>
              <w:pStyle w:val="TableBodyText"/>
            </w:pPr>
            <w:r w:rsidRPr="0029457C">
              <w:t>23.4</w:t>
            </w:r>
          </w:p>
        </w:tc>
        <w:tc>
          <w:tcPr>
            <w:tcW w:w="709" w:type="dxa"/>
            <w:shd w:val="clear" w:color="auto" w:fill="auto"/>
            <w:vAlign w:val="center"/>
          </w:tcPr>
          <w:p w:rsidR="00763BB6" w:rsidRPr="0029457C" w:rsidRDefault="00763BB6" w:rsidP="00604EF6">
            <w:pPr>
              <w:pStyle w:val="TableBodyText"/>
            </w:pPr>
            <w:r w:rsidRPr="0029457C">
              <w:t>13.2</w:t>
            </w:r>
          </w:p>
        </w:tc>
        <w:tc>
          <w:tcPr>
            <w:tcW w:w="709" w:type="dxa"/>
            <w:shd w:val="clear" w:color="auto" w:fill="auto"/>
            <w:vAlign w:val="center"/>
          </w:tcPr>
          <w:p w:rsidR="00763BB6" w:rsidRPr="0029457C" w:rsidRDefault="00763BB6" w:rsidP="00604EF6">
            <w:pPr>
              <w:pStyle w:val="TableBodyText"/>
            </w:pPr>
            <w:r w:rsidRPr="0029457C">
              <w:t>17.7</w:t>
            </w:r>
          </w:p>
        </w:tc>
        <w:tc>
          <w:tcPr>
            <w:tcW w:w="709" w:type="dxa"/>
            <w:shd w:val="clear" w:color="auto" w:fill="auto"/>
            <w:vAlign w:val="center"/>
          </w:tcPr>
          <w:p w:rsidR="00763BB6" w:rsidRPr="0029457C" w:rsidRDefault="00763BB6" w:rsidP="00604EF6">
            <w:pPr>
              <w:pStyle w:val="TableBodyText"/>
            </w:pPr>
            <w:r w:rsidRPr="0029457C">
              <w:t>15.4</w:t>
            </w:r>
          </w:p>
        </w:tc>
        <w:tc>
          <w:tcPr>
            <w:tcW w:w="708" w:type="dxa"/>
            <w:shd w:val="clear" w:color="auto" w:fill="auto"/>
            <w:vAlign w:val="center"/>
          </w:tcPr>
          <w:p w:rsidR="00763BB6" w:rsidRPr="0029457C" w:rsidRDefault="00763BB6" w:rsidP="00604EF6">
            <w:pPr>
              <w:pStyle w:val="TableBodyText"/>
            </w:pPr>
            <w:r w:rsidRPr="0029457C">
              <w:t>7.4</w:t>
            </w:r>
          </w:p>
        </w:tc>
        <w:tc>
          <w:tcPr>
            <w:tcW w:w="567" w:type="dxa"/>
            <w:shd w:val="clear" w:color="auto" w:fill="auto"/>
            <w:vAlign w:val="center"/>
          </w:tcPr>
          <w:p w:rsidR="00763BB6" w:rsidRPr="0029457C" w:rsidRDefault="00763BB6" w:rsidP="00604EF6">
            <w:pPr>
              <w:pStyle w:val="TableBodyText"/>
            </w:pPr>
            <w:r w:rsidRPr="0029457C">
              <w:t>19.6</w:t>
            </w:r>
          </w:p>
        </w:tc>
        <w:tc>
          <w:tcPr>
            <w:tcW w:w="709" w:type="dxa"/>
            <w:shd w:val="clear" w:color="auto" w:fill="auto"/>
            <w:vAlign w:val="center"/>
          </w:tcPr>
          <w:p w:rsidR="00763BB6" w:rsidRPr="0029457C" w:rsidRDefault="00763BB6" w:rsidP="00604EF6">
            <w:pPr>
              <w:pStyle w:val="TableBodyText"/>
            </w:pPr>
            <w:r w:rsidRPr="0029457C">
              <w:t>39.3</w:t>
            </w:r>
          </w:p>
        </w:tc>
        <w:tc>
          <w:tcPr>
            <w:tcW w:w="714" w:type="dxa"/>
            <w:tcBorders>
              <w:right w:val="nil"/>
            </w:tcBorders>
            <w:shd w:val="clear" w:color="auto" w:fill="auto"/>
            <w:vAlign w:val="center"/>
          </w:tcPr>
          <w:p w:rsidR="00763BB6" w:rsidRPr="0029457C" w:rsidRDefault="00763BB6" w:rsidP="00604EF6">
            <w:pPr>
              <w:pStyle w:val="TableBodyText"/>
            </w:pPr>
            <w:r w:rsidRPr="0029457C">
              <w:t>20.0</w:t>
            </w:r>
          </w:p>
        </w:tc>
      </w:tr>
      <w:tr w:rsidR="00763BB6" w:rsidRPr="0029457C" w:rsidTr="00704931">
        <w:trPr>
          <w:cantSplit/>
        </w:trPr>
        <w:tc>
          <w:tcPr>
            <w:tcW w:w="8794" w:type="dxa"/>
            <w:gridSpan w:val="10"/>
            <w:tcBorders>
              <w:left w:val="nil"/>
              <w:right w:val="nil"/>
            </w:tcBorders>
            <w:shd w:val="clear" w:color="auto" w:fill="auto"/>
          </w:tcPr>
          <w:p w:rsidR="00763BB6" w:rsidRPr="0029457C" w:rsidRDefault="00763BB6" w:rsidP="00AC0879">
            <w:pPr>
              <w:pStyle w:val="TableBodyText"/>
              <w:jc w:val="left"/>
            </w:pPr>
            <w:r>
              <w:t>Children with disability</w:t>
            </w:r>
          </w:p>
        </w:tc>
      </w:tr>
      <w:tr w:rsidR="00763BB6" w:rsidRPr="0029457C" w:rsidTr="00704931">
        <w:trPr>
          <w:cantSplit/>
        </w:trPr>
        <w:tc>
          <w:tcPr>
            <w:tcW w:w="8794" w:type="dxa"/>
            <w:gridSpan w:val="10"/>
            <w:tcBorders>
              <w:left w:val="nil"/>
              <w:right w:val="nil"/>
            </w:tcBorders>
            <w:shd w:val="clear" w:color="auto" w:fill="auto"/>
          </w:tcPr>
          <w:tbl>
            <w:tblPr>
              <w:tblW w:w="8794" w:type="dxa"/>
              <w:tblBorders>
                <w:left w:val="single" w:sz="4" w:space="0" w:color="auto"/>
              </w:tblBorders>
              <w:tblLayout w:type="fixed"/>
              <w:tblCellMar>
                <w:left w:w="0" w:type="dxa"/>
                <w:right w:w="0" w:type="dxa"/>
              </w:tblCellMar>
              <w:tblLook w:val="0000" w:firstRow="0" w:lastRow="0" w:firstColumn="0" w:lastColumn="0" w:noHBand="0" w:noVBand="0"/>
            </w:tblPr>
            <w:tblGrid>
              <w:gridCol w:w="8794"/>
            </w:tblGrid>
            <w:tr w:rsidR="00763BB6" w:rsidRPr="0029457C" w:rsidTr="00AC0879">
              <w:trPr>
                <w:trHeight w:val="300"/>
              </w:trPr>
              <w:tc>
                <w:tcPr>
                  <w:tcW w:w="8794" w:type="dxa"/>
                  <w:tcBorders>
                    <w:left w:val="nil"/>
                  </w:tcBorders>
                </w:tcPr>
                <w:tbl>
                  <w:tblPr>
                    <w:tblW w:w="8845" w:type="dxa"/>
                    <w:tblBorders>
                      <w:left w:val="single" w:sz="4" w:space="0" w:color="auto"/>
                    </w:tblBorders>
                    <w:tblLayout w:type="fixed"/>
                    <w:tblCellMar>
                      <w:left w:w="0" w:type="dxa"/>
                      <w:right w:w="0" w:type="dxa"/>
                    </w:tblCellMar>
                    <w:tblLook w:val="0000" w:firstRow="0" w:lastRow="0" w:firstColumn="0" w:lastColumn="0" w:noHBand="0" w:noVBand="0"/>
                  </w:tblPr>
                  <w:tblGrid>
                    <w:gridCol w:w="2568"/>
                    <w:gridCol w:w="713"/>
                    <w:gridCol w:w="712"/>
                    <w:gridCol w:w="713"/>
                    <w:gridCol w:w="713"/>
                    <w:gridCol w:w="713"/>
                    <w:gridCol w:w="712"/>
                    <w:gridCol w:w="570"/>
                    <w:gridCol w:w="713"/>
                    <w:gridCol w:w="718"/>
                  </w:tblGrid>
                  <w:tr w:rsidR="00763BB6" w:rsidRPr="0029457C" w:rsidTr="001E1784">
                    <w:trPr>
                      <w:trHeight w:val="272"/>
                    </w:trPr>
                    <w:tc>
                      <w:tcPr>
                        <w:tcW w:w="2552" w:type="dxa"/>
                        <w:tcBorders>
                          <w:left w:val="nil"/>
                        </w:tcBorders>
                      </w:tcPr>
                      <w:p w:rsidR="00763BB6" w:rsidRPr="0029457C" w:rsidRDefault="00763BB6" w:rsidP="00AC0879">
                        <w:pPr>
                          <w:pStyle w:val="TableBodyText"/>
                          <w:ind w:left="0" w:firstLine="142"/>
                          <w:jc w:val="left"/>
                          <w:rPr>
                            <w:b/>
                            <w:position w:val="6"/>
                            <w:sz w:val="18"/>
                          </w:rPr>
                        </w:pPr>
                        <w:r>
                          <w:t>In a preschool program</w:t>
                        </w:r>
                        <w:r>
                          <w:rPr>
                            <w:rStyle w:val="NoteLabel"/>
                          </w:rPr>
                          <w:t>j,</w:t>
                        </w:r>
                        <w:r w:rsidR="00704931">
                          <w:rPr>
                            <w:rStyle w:val="NoteLabel"/>
                          </w:rPr>
                          <w:t xml:space="preserve"> </w:t>
                        </w:r>
                        <w:r>
                          <w:rPr>
                            <w:rStyle w:val="NoteLabel"/>
                          </w:rPr>
                          <w:t>k</w:t>
                        </w:r>
                      </w:p>
                    </w:tc>
                    <w:tc>
                      <w:tcPr>
                        <w:tcW w:w="709" w:type="dxa"/>
                        <w:vAlign w:val="center"/>
                      </w:tcPr>
                      <w:p w:rsidR="00763BB6" w:rsidRPr="0029457C" w:rsidRDefault="00723641" w:rsidP="00AC0879">
                        <w:pPr>
                          <w:pStyle w:val="TableBodyText"/>
                        </w:pPr>
                        <w:r>
                          <w:t>7.4</w:t>
                        </w:r>
                      </w:p>
                    </w:tc>
                    <w:tc>
                      <w:tcPr>
                        <w:tcW w:w="708" w:type="dxa"/>
                        <w:shd w:val="clear" w:color="auto" w:fill="auto"/>
                        <w:vAlign w:val="center"/>
                      </w:tcPr>
                      <w:p w:rsidR="00763BB6" w:rsidRPr="0029457C" w:rsidRDefault="005A003E" w:rsidP="00AC0879">
                        <w:pPr>
                          <w:pStyle w:val="TableBodyText"/>
                        </w:pPr>
                        <w:r w:rsidRPr="005A003E">
                          <w:t>3.9</w:t>
                        </w:r>
                      </w:p>
                    </w:tc>
                    <w:tc>
                      <w:tcPr>
                        <w:tcW w:w="709" w:type="dxa"/>
                        <w:vAlign w:val="center"/>
                      </w:tcPr>
                      <w:p w:rsidR="00763BB6" w:rsidRPr="0029457C" w:rsidRDefault="00723641" w:rsidP="00AC0879">
                        <w:pPr>
                          <w:pStyle w:val="TableBodyText"/>
                        </w:pPr>
                        <w:r>
                          <w:t>2.8</w:t>
                        </w:r>
                      </w:p>
                    </w:tc>
                    <w:tc>
                      <w:tcPr>
                        <w:tcW w:w="709" w:type="dxa"/>
                        <w:vAlign w:val="center"/>
                      </w:tcPr>
                      <w:p w:rsidR="00763BB6" w:rsidRPr="0029457C" w:rsidRDefault="00723641" w:rsidP="00AC0879">
                        <w:pPr>
                          <w:pStyle w:val="TableBodyText"/>
                        </w:pPr>
                        <w:r>
                          <w:t>3.1</w:t>
                        </w:r>
                      </w:p>
                    </w:tc>
                    <w:tc>
                      <w:tcPr>
                        <w:tcW w:w="709" w:type="dxa"/>
                        <w:vAlign w:val="center"/>
                      </w:tcPr>
                      <w:p w:rsidR="00763BB6" w:rsidRPr="0029457C" w:rsidRDefault="00723641" w:rsidP="00AC0879">
                        <w:pPr>
                          <w:pStyle w:val="TableBodyText"/>
                        </w:pPr>
                        <w:r>
                          <w:t>12.0</w:t>
                        </w:r>
                      </w:p>
                    </w:tc>
                    <w:tc>
                      <w:tcPr>
                        <w:tcW w:w="708" w:type="dxa"/>
                        <w:vAlign w:val="center"/>
                      </w:tcPr>
                      <w:p w:rsidR="00763BB6" w:rsidRPr="0029457C" w:rsidRDefault="00723641" w:rsidP="00AC0879">
                        <w:pPr>
                          <w:pStyle w:val="TableBodyText"/>
                        </w:pPr>
                        <w:r>
                          <w:t>1.0</w:t>
                        </w:r>
                      </w:p>
                    </w:tc>
                    <w:tc>
                      <w:tcPr>
                        <w:tcW w:w="567" w:type="dxa"/>
                        <w:vAlign w:val="center"/>
                      </w:tcPr>
                      <w:p w:rsidR="00763BB6" w:rsidRPr="0029457C" w:rsidRDefault="00763BB6" w:rsidP="00723641">
                        <w:pPr>
                          <w:pStyle w:val="TableBodyText"/>
                        </w:pPr>
                        <w:r w:rsidRPr="0029457C">
                          <w:t>3.</w:t>
                        </w:r>
                        <w:r w:rsidR="00723641">
                          <w:t>1</w:t>
                        </w:r>
                      </w:p>
                    </w:tc>
                    <w:tc>
                      <w:tcPr>
                        <w:tcW w:w="709" w:type="dxa"/>
                        <w:vAlign w:val="center"/>
                      </w:tcPr>
                      <w:p w:rsidR="00763BB6" w:rsidRPr="0029457C" w:rsidRDefault="00763BB6" w:rsidP="00AC0879">
                        <w:pPr>
                          <w:pStyle w:val="TableBodyText"/>
                        </w:pPr>
                        <w:r w:rsidRPr="0029457C">
                          <w:t>4.2</w:t>
                        </w:r>
                      </w:p>
                    </w:tc>
                    <w:tc>
                      <w:tcPr>
                        <w:tcW w:w="714" w:type="dxa"/>
                        <w:tcBorders>
                          <w:right w:val="nil"/>
                        </w:tcBorders>
                        <w:shd w:val="clear" w:color="auto" w:fill="auto"/>
                        <w:vAlign w:val="center"/>
                      </w:tcPr>
                      <w:p w:rsidR="00763BB6" w:rsidRPr="0029457C" w:rsidRDefault="005A003E" w:rsidP="00AC0879">
                        <w:pPr>
                          <w:pStyle w:val="TableBodyText"/>
                        </w:pPr>
                        <w:r w:rsidRPr="005A003E">
                          <w:t>5.1</w:t>
                        </w:r>
                      </w:p>
                    </w:tc>
                  </w:tr>
                  <w:tr w:rsidR="00763BB6" w:rsidRPr="0029457C" w:rsidTr="00704931">
                    <w:trPr>
                      <w:trHeight w:val="272"/>
                    </w:trPr>
                    <w:tc>
                      <w:tcPr>
                        <w:tcW w:w="2552" w:type="dxa"/>
                        <w:tcBorders>
                          <w:left w:val="nil"/>
                        </w:tcBorders>
                      </w:tcPr>
                      <w:p w:rsidR="00763BB6" w:rsidRPr="0029457C" w:rsidRDefault="00763BB6" w:rsidP="00AC0879">
                        <w:pPr>
                          <w:pStyle w:val="TableBodyText"/>
                          <w:ind w:left="0" w:firstLine="142"/>
                          <w:jc w:val="left"/>
                        </w:pPr>
                        <w:r w:rsidRPr="0029457C">
                          <w:t>In the community, 2009</w:t>
                        </w:r>
                      </w:p>
                    </w:tc>
                    <w:tc>
                      <w:tcPr>
                        <w:tcW w:w="709" w:type="dxa"/>
                        <w:vAlign w:val="center"/>
                      </w:tcPr>
                      <w:p w:rsidR="00763BB6" w:rsidRPr="0029457C" w:rsidRDefault="00763BB6" w:rsidP="00AC0879">
                        <w:pPr>
                          <w:pStyle w:val="TableBodyText"/>
                        </w:pPr>
                        <w:r w:rsidRPr="0029457C">
                          <w:t>7.3</w:t>
                        </w:r>
                      </w:p>
                    </w:tc>
                    <w:tc>
                      <w:tcPr>
                        <w:tcW w:w="708" w:type="dxa"/>
                        <w:vAlign w:val="center"/>
                      </w:tcPr>
                      <w:p w:rsidR="00763BB6" w:rsidRPr="0029457C" w:rsidRDefault="00763BB6" w:rsidP="00AC0879">
                        <w:pPr>
                          <w:pStyle w:val="TableBodyText"/>
                        </w:pPr>
                        <w:r w:rsidRPr="0029457C">
                          <w:t>3.9</w:t>
                        </w:r>
                      </w:p>
                    </w:tc>
                    <w:tc>
                      <w:tcPr>
                        <w:tcW w:w="709" w:type="dxa"/>
                        <w:vAlign w:val="center"/>
                      </w:tcPr>
                      <w:p w:rsidR="00763BB6" w:rsidRPr="0029457C" w:rsidRDefault="00763BB6" w:rsidP="00AC0879">
                        <w:pPr>
                          <w:pStyle w:val="TableBodyText"/>
                        </w:pPr>
                        <w:r w:rsidRPr="0029457C">
                          <w:t>7.3</w:t>
                        </w:r>
                      </w:p>
                    </w:tc>
                    <w:tc>
                      <w:tcPr>
                        <w:tcW w:w="709" w:type="dxa"/>
                        <w:vAlign w:val="center"/>
                      </w:tcPr>
                      <w:p w:rsidR="00763BB6" w:rsidRPr="0029457C" w:rsidRDefault="00763BB6" w:rsidP="00AC0879">
                        <w:pPr>
                          <w:pStyle w:val="TableBodyText"/>
                        </w:pPr>
                        <w:r w:rsidRPr="0029457C">
                          <w:t>6.8</w:t>
                        </w:r>
                      </w:p>
                    </w:tc>
                    <w:tc>
                      <w:tcPr>
                        <w:tcW w:w="709" w:type="dxa"/>
                        <w:vAlign w:val="center"/>
                      </w:tcPr>
                      <w:p w:rsidR="00763BB6" w:rsidRPr="0029457C" w:rsidRDefault="00763BB6" w:rsidP="00AC0879">
                        <w:pPr>
                          <w:pStyle w:val="TableBodyText"/>
                        </w:pPr>
                        <w:r w:rsidRPr="0029457C">
                          <w:t>5.5</w:t>
                        </w:r>
                      </w:p>
                    </w:tc>
                    <w:tc>
                      <w:tcPr>
                        <w:tcW w:w="708" w:type="dxa"/>
                        <w:vAlign w:val="center"/>
                      </w:tcPr>
                      <w:p w:rsidR="00763BB6" w:rsidRPr="0029457C" w:rsidRDefault="00763BB6" w:rsidP="00AC0879">
                        <w:pPr>
                          <w:pStyle w:val="TableBodyText"/>
                        </w:pPr>
                        <w:r w:rsidRPr="0029457C">
                          <w:t>7.2</w:t>
                        </w:r>
                      </w:p>
                    </w:tc>
                    <w:tc>
                      <w:tcPr>
                        <w:tcW w:w="567" w:type="dxa"/>
                        <w:vAlign w:val="center"/>
                      </w:tcPr>
                      <w:p w:rsidR="00763BB6" w:rsidRPr="0029457C" w:rsidRDefault="00763BB6" w:rsidP="00AC0879">
                        <w:pPr>
                          <w:pStyle w:val="TableBodyText"/>
                        </w:pPr>
                        <w:r w:rsidRPr="0029457C">
                          <w:t>7.3</w:t>
                        </w:r>
                      </w:p>
                    </w:tc>
                    <w:tc>
                      <w:tcPr>
                        <w:tcW w:w="709" w:type="dxa"/>
                        <w:vAlign w:val="center"/>
                      </w:tcPr>
                      <w:p w:rsidR="00763BB6" w:rsidRPr="0029457C" w:rsidRDefault="00763BB6" w:rsidP="00AC0879">
                        <w:pPr>
                          <w:pStyle w:val="TableBodyText"/>
                        </w:pPr>
                        <w:proofErr w:type="spellStart"/>
                        <w:r w:rsidRPr="0029457C">
                          <w:t>np</w:t>
                        </w:r>
                        <w:proofErr w:type="spellEnd"/>
                      </w:p>
                    </w:tc>
                    <w:tc>
                      <w:tcPr>
                        <w:tcW w:w="714" w:type="dxa"/>
                        <w:tcBorders>
                          <w:right w:val="nil"/>
                        </w:tcBorders>
                        <w:shd w:val="clear" w:color="auto" w:fill="auto"/>
                        <w:vAlign w:val="center"/>
                      </w:tcPr>
                      <w:p w:rsidR="00763BB6" w:rsidRPr="0029457C" w:rsidRDefault="00763BB6" w:rsidP="00AC0879">
                        <w:pPr>
                          <w:pStyle w:val="TableBodyText"/>
                        </w:pPr>
                        <w:r w:rsidRPr="0029457C">
                          <w:t>6.3</w:t>
                        </w:r>
                      </w:p>
                    </w:tc>
                  </w:tr>
                </w:tbl>
                <w:p w:rsidR="00763BB6" w:rsidRPr="0029457C" w:rsidRDefault="00763BB6" w:rsidP="00AC0879">
                  <w:pPr>
                    <w:pStyle w:val="TableBodyText"/>
                    <w:ind w:left="0" w:firstLine="142"/>
                    <w:jc w:val="left"/>
                    <w:rPr>
                      <w:b/>
                      <w:position w:val="6"/>
                      <w:sz w:val="18"/>
                    </w:rPr>
                  </w:pPr>
                </w:p>
              </w:tc>
            </w:tr>
          </w:tbl>
          <w:p w:rsidR="00763BB6" w:rsidRPr="0029457C" w:rsidRDefault="00763BB6" w:rsidP="00AC0879">
            <w:pPr>
              <w:pStyle w:val="TableBodyText"/>
              <w:jc w:val="left"/>
            </w:pPr>
          </w:p>
        </w:tc>
      </w:tr>
      <w:tr w:rsidR="00763BB6" w:rsidRPr="0029457C" w:rsidTr="00704931">
        <w:trPr>
          <w:cantSplit/>
        </w:trPr>
        <w:tc>
          <w:tcPr>
            <w:tcW w:w="8794" w:type="dxa"/>
            <w:gridSpan w:val="10"/>
            <w:tcBorders>
              <w:left w:val="nil"/>
              <w:right w:val="nil"/>
            </w:tcBorders>
            <w:shd w:val="clear" w:color="auto" w:fill="auto"/>
          </w:tcPr>
          <w:p w:rsidR="00763BB6" w:rsidRPr="0029457C" w:rsidRDefault="00763BB6" w:rsidP="00AC0879">
            <w:pPr>
              <w:pStyle w:val="TableBodyText"/>
              <w:jc w:val="left"/>
            </w:pPr>
            <w:r w:rsidRPr="0029457C">
              <w:t>Indigenous children</w:t>
            </w:r>
          </w:p>
        </w:tc>
      </w:tr>
      <w:tr w:rsidR="00763BB6" w:rsidRPr="0029457C" w:rsidTr="00704931">
        <w:trPr>
          <w:trHeight w:val="270"/>
        </w:trPr>
        <w:tc>
          <w:tcPr>
            <w:tcW w:w="2552" w:type="dxa"/>
            <w:tcBorders>
              <w:left w:val="nil"/>
            </w:tcBorders>
          </w:tcPr>
          <w:p w:rsidR="00763BB6" w:rsidRPr="0029457C" w:rsidRDefault="00763BB6" w:rsidP="00AC0879">
            <w:pPr>
              <w:pStyle w:val="TableBodyText"/>
              <w:ind w:left="0" w:firstLine="142"/>
              <w:jc w:val="left"/>
            </w:pPr>
            <w:r>
              <w:t>In a preschool program</w:t>
            </w:r>
          </w:p>
        </w:tc>
        <w:tc>
          <w:tcPr>
            <w:tcW w:w="709" w:type="dxa"/>
            <w:vAlign w:val="center"/>
          </w:tcPr>
          <w:p w:rsidR="00763BB6" w:rsidRPr="0029457C" w:rsidRDefault="00723641" w:rsidP="00AC0879">
            <w:pPr>
              <w:pStyle w:val="TableBodyText"/>
            </w:pPr>
            <w:r>
              <w:t>4.5</w:t>
            </w:r>
          </w:p>
        </w:tc>
        <w:tc>
          <w:tcPr>
            <w:tcW w:w="708" w:type="dxa"/>
            <w:vAlign w:val="center"/>
          </w:tcPr>
          <w:p w:rsidR="00763BB6" w:rsidRPr="0029457C" w:rsidRDefault="00763BB6" w:rsidP="00AC0879">
            <w:pPr>
              <w:pStyle w:val="TableBodyText"/>
            </w:pPr>
            <w:r w:rsidRPr="0029457C">
              <w:t>1.2</w:t>
            </w:r>
          </w:p>
        </w:tc>
        <w:tc>
          <w:tcPr>
            <w:tcW w:w="709" w:type="dxa"/>
            <w:vAlign w:val="center"/>
          </w:tcPr>
          <w:p w:rsidR="00763BB6" w:rsidRPr="0029457C" w:rsidRDefault="00723641" w:rsidP="00AC0879">
            <w:pPr>
              <w:pStyle w:val="TableBodyText"/>
            </w:pPr>
            <w:r>
              <w:t>4.4</w:t>
            </w:r>
          </w:p>
        </w:tc>
        <w:tc>
          <w:tcPr>
            <w:tcW w:w="709" w:type="dxa"/>
            <w:vAlign w:val="center"/>
          </w:tcPr>
          <w:p w:rsidR="00763BB6" w:rsidRPr="0029457C" w:rsidRDefault="00723641" w:rsidP="00AC0879">
            <w:pPr>
              <w:pStyle w:val="TableBodyText"/>
            </w:pPr>
            <w:r>
              <w:t>6.8</w:t>
            </w:r>
          </w:p>
        </w:tc>
        <w:tc>
          <w:tcPr>
            <w:tcW w:w="709" w:type="dxa"/>
            <w:vAlign w:val="center"/>
          </w:tcPr>
          <w:p w:rsidR="00763BB6" w:rsidRPr="0029457C" w:rsidRDefault="00723641" w:rsidP="00AC0879">
            <w:pPr>
              <w:pStyle w:val="TableBodyText"/>
            </w:pPr>
            <w:r>
              <w:t>6.1</w:t>
            </w:r>
          </w:p>
        </w:tc>
        <w:tc>
          <w:tcPr>
            <w:tcW w:w="708" w:type="dxa"/>
            <w:vAlign w:val="center"/>
          </w:tcPr>
          <w:p w:rsidR="00763BB6" w:rsidRPr="0029457C" w:rsidRDefault="00723641" w:rsidP="00AC0879">
            <w:pPr>
              <w:pStyle w:val="TableBodyText"/>
            </w:pPr>
            <w:r>
              <w:t>7.5</w:t>
            </w:r>
          </w:p>
        </w:tc>
        <w:tc>
          <w:tcPr>
            <w:tcW w:w="567" w:type="dxa"/>
            <w:vAlign w:val="center"/>
          </w:tcPr>
          <w:p w:rsidR="00763BB6" w:rsidRPr="0029457C" w:rsidRDefault="00723641" w:rsidP="00AC0879">
            <w:pPr>
              <w:pStyle w:val="TableBodyText"/>
            </w:pPr>
            <w:r>
              <w:t>3.1</w:t>
            </w:r>
          </w:p>
        </w:tc>
        <w:tc>
          <w:tcPr>
            <w:tcW w:w="709" w:type="dxa"/>
            <w:vAlign w:val="center"/>
          </w:tcPr>
          <w:p w:rsidR="00763BB6" w:rsidRPr="0029457C" w:rsidRDefault="00723641" w:rsidP="00AC0879">
            <w:pPr>
              <w:pStyle w:val="TableBodyText"/>
            </w:pPr>
            <w:r>
              <w:t>38.4</w:t>
            </w:r>
          </w:p>
        </w:tc>
        <w:tc>
          <w:tcPr>
            <w:tcW w:w="714" w:type="dxa"/>
            <w:tcBorders>
              <w:right w:val="nil"/>
            </w:tcBorders>
            <w:shd w:val="clear" w:color="auto" w:fill="auto"/>
            <w:vAlign w:val="center"/>
          </w:tcPr>
          <w:p w:rsidR="00763BB6" w:rsidRPr="0029457C" w:rsidRDefault="00723641" w:rsidP="00AC0879">
            <w:pPr>
              <w:pStyle w:val="TableBodyText"/>
            </w:pPr>
            <w:r>
              <w:t>4.4</w:t>
            </w:r>
          </w:p>
        </w:tc>
      </w:tr>
      <w:tr w:rsidR="00763BB6" w:rsidRPr="0029457C" w:rsidTr="00704931">
        <w:trPr>
          <w:trHeight w:val="270"/>
        </w:trPr>
        <w:tc>
          <w:tcPr>
            <w:tcW w:w="2552" w:type="dxa"/>
            <w:tcBorders>
              <w:left w:val="nil"/>
              <w:bottom w:val="nil"/>
            </w:tcBorders>
          </w:tcPr>
          <w:p w:rsidR="00763BB6" w:rsidRPr="0029457C" w:rsidRDefault="00763BB6" w:rsidP="00AC0879">
            <w:pPr>
              <w:pStyle w:val="TableBodyText"/>
              <w:ind w:left="0" w:firstLine="142"/>
              <w:jc w:val="left"/>
            </w:pPr>
            <w:r w:rsidRPr="0029457C">
              <w:t xml:space="preserve">In the community, </w:t>
            </w:r>
            <w:r w:rsidRPr="0029457C">
              <w:rPr>
                <w:shd w:val="clear" w:color="auto" w:fill="FFFFFF" w:themeFill="background1"/>
              </w:rPr>
              <w:t>2012</w:t>
            </w:r>
          </w:p>
        </w:tc>
        <w:tc>
          <w:tcPr>
            <w:tcW w:w="709" w:type="dxa"/>
            <w:tcBorders>
              <w:bottom w:val="nil"/>
            </w:tcBorders>
            <w:vAlign w:val="center"/>
          </w:tcPr>
          <w:p w:rsidR="00763BB6" w:rsidRPr="0029457C" w:rsidRDefault="00763BB6" w:rsidP="00AC0879">
            <w:pPr>
              <w:pStyle w:val="TableBodyText"/>
            </w:pPr>
            <w:r w:rsidRPr="0029457C">
              <w:t>4.6</w:t>
            </w:r>
          </w:p>
        </w:tc>
        <w:tc>
          <w:tcPr>
            <w:tcW w:w="708" w:type="dxa"/>
            <w:tcBorders>
              <w:bottom w:val="nil"/>
            </w:tcBorders>
            <w:vAlign w:val="center"/>
          </w:tcPr>
          <w:p w:rsidR="00763BB6" w:rsidRPr="0029457C" w:rsidRDefault="00763BB6" w:rsidP="00AC0879">
            <w:pPr>
              <w:pStyle w:val="TableBodyText"/>
            </w:pPr>
            <w:r w:rsidRPr="0029457C">
              <w:t>1.2</w:t>
            </w:r>
          </w:p>
        </w:tc>
        <w:tc>
          <w:tcPr>
            <w:tcW w:w="709" w:type="dxa"/>
            <w:tcBorders>
              <w:bottom w:val="nil"/>
            </w:tcBorders>
            <w:vAlign w:val="center"/>
          </w:tcPr>
          <w:p w:rsidR="00763BB6" w:rsidRPr="0029457C" w:rsidRDefault="00763BB6" w:rsidP="00AC0879">
            <w:pPr>
              <w:pStyle w:val="TableBodyText"/>
            </w:pPr>
            <w:r w:rsidRPr="0029457C">
              <w:t>6.7</w:t>
            </w:r>
          </w:p>
        </w:tc>
        <w:tc>
          <w:tcPr>
            <w:tcW w:w="709" w:type="dxa"/>
            <w:tcBorders>
              <w:bottom w:val="nil"/>
            </w:tcBorders>
            <w:vAlign w:val="center"/>
          </w:tcPr>
          <w:p w:rsidR="00763BB6" w:rsidRPr="0029457C" w:rsidRDefault="00763BB6" w:rsidP="00AC0879">
            <w:pPr>
              <w:pStyle w:val="TableBodyText"/>
            </w:pPr>
            <w:r w:rsidRPr="0029457C">
              <w:t>5.7</w:t>
            </w:r>
          </w:p>
        </w:tc>
        <w:tc>
          <w:tcPr>
            <w:tcW w:w="709" w:type="dxa"/>
            <w:tcBorders>
              <w:bottom w:val="nil"/>
            </w:tcBorders>
            <w:vAlign w:val="center"/>
          </w:tcPr>
          <w:p w:rsidR="00763BB6" w:rsidRPr="0029457C" w:rsidRDefault="00763BB6" w:rsidP="00AC0879">
            <w:pPr>
              <w:pStyle w:val="TableBodyText"/>
            </w:pPr>
            <w:r w:rsidRPr="0029457C">
              <w:t>3.6</w:t>
            </w:r>
          </w:p>
        </w:tc>
        <w:tc>
          <w:tcPr>
            <w:tcW w:w="708" w:type="dxa"/>
            <w:tcBorders>
              <w:bottom w:val="nil"/>
            </w:tcBorders>
            <w:vAlign w:val="center"/>
          </w:tcPr>
          <w:p w:rsidR="00763BB6" w:rsidRPr="0029457C" w:rsidRDefault="00763BB6" w:rsidP="00AC0879">
            <w:pPr>
              <w:pStyle w:val="TableBodyText"/>
            </w:pPr>
            <w:r w:rsidRPr="0029457C">
              <w:t>7.0</w:t>
            </w:r>
          </w:p>
        </w:tc>
        <w:tc>
          <w:tcPr>
            <w:tcW w:w="567" w:type="dxa"/>
            <w:tcBorders>
              <w:bottom w:val="nil"/>
            </w:tcBorders>
            <w:vAlign w:val="center"/>
          </w:tcPr>
          <w:p w:rsidR="00763BB6" w:rsidRPr="0029457C" w:rsidRDefault="00763BB6" w:rsidP="00AC0879">
            <w:pPr>
              <w:pStyle w:val="TableBodyText"/>
            </w:pPr>
            <w:r w:rsidRPr="0029457C">
              <w:t>2.5</w:t>
            </w:r>
          </w:p>
        </w:tc>
        <w:tc>
          <w:tcPr>
            <w:tcW w:w="709" w:type="dxa"/>
            <w:tcBorders>
              <w:bottom w:val="nil"/>
            </w:tcBorders>
            <w:vAlign w:val="center"/>
          </w:tcPr>
          <w:p w:rsidR="00763BB6" w:rsidRPr="0029457C" w:rsidRDefault="00763BB6" w:rsidP="00AC0879">
            <w:pPr>
              <w:pStyle w:val="TableBodyText"/>
            </w:pPr>
            <w:r w:rsidRPr="0029457C">
              <w:t>40.9</w:t>
            </w:r>
          </w:p>
        </w:tc>
        <w:tc>
          <w:tcPr>
            <w:tcW w:w="714" w:type="dxa"/>
            <w:tcBorders>
              <w:bottom w:val="nil"/>
              <w:right w:val="nil"/>
            </w:tcBorders>
            <w:shd w:val="clear" w:color="auto" w:fill="auto"/>
            <w:vAlign w:val="center"/>
          </w:tcPr>
          <w:p w:rsidR="00763BB6" w:rsidRPr="0029457C" w:rsidRDefault="00763BB6" w:rsidP="00AC0879">
            <w:pPr>
              <w:pStyle w:val="TableBodyText"/>
            </w:pPr>
            <w:r w:rsidRPr="0029457C">
              <w:t>4.8</w:t>
            </w:r>
          </w:p>
        </w:tc>
      </w:tr>
      <w:tr w:rsidR="00763BB6" w:rsidRPr="003D5159" w:rsidTr="00704931">
        <w:tc>
          <w:tcPr>
            <w:tcW w:w="8794" w:type="dxa"/>
            <w:gridSpan w:val="10"/>
            <w:tcBorders>
              <w:left w:val="nil"/>
              <w:right w:val="nil"/>
            </w:tcBorders>
            <w:shd w:val="clear" w:color="auto" w:fill="auto"/>
          </w:tcPr>
          <w:p w:rsidR="00763BB6" w:rsidRPr="00DB07F9" w:rsidRDefault="00763BB6" w:rsidP="00AC0879">
            <w:pPr>
              <w:pStyle w:val="TableBodyText"/>
              <w:jc w:val="left"/>
            </w:pPr>
            <w:r w:rsidRPr="00DB07F9">
              <w:t>Children from regional areas</w:t>
            </w:r>
          </w:p>
        </w:tc>
      </w:tr>
      <w:tr w:rsidR="00763BB6" w:rsidRPr="003D5159" w:rsidTr="00704931">
        <w:trPr>
          <w:trHeight w:val="270"/>
        </w:trPr>
        <w:tc>
          <w:tcPr>
            <w:tcW w:w="2552" w:type="dxa"/>
            <w:tcBorders>
              <w:left w:val="nil"/>
            </w:tcBorders>
            <w:shd w:val="clear" w:color="auto" w:fill="auto"/>
          </w:tcPr>
          <w:p w:rsidR="00763BB6" w:rsidRPr="00DB07F9" w:rsidRDefault="00763BB6" w:rsidP="00AC0879">
            <w:pPr>
              <w:pStyle w:val="TableBodyText"/>
              <w:ind w:left="0" w:firstLine="142"/>
              <w:jc w:val="left"/>
            </w:pPr>
            <w:r>
              <w:t>In a preschool program</w:t>
            </w:r>
          </w:p>
        </w:tc>
        <w:tc>
          <w:tcPr>
            <w:tcW w:w="709" w:type="dxa"/>
            <w:shd w:val="clear" w:color="auto" w:fill="auto"/>
            <w:vAlign w:val="center"/>
          </w:tcPr>
          <w:p w:rsidR="00763BB6" w:rsidRPr="00DB07F9" w:rsidRDefault="00723641" w:rsidP="00AC0879">
            <w:pPr>
              <w:pStyle w:val="TableBodyText"/>
            </w:pPr>
            <w:r>
              <w:t>31.3</w:t>
            </w:r>
          </w:p>
        </w:tc>
        <w:tc>
          <w:tcPr>
            <w:tcW w:w="708" w:type="dxa"/>
            <w:shd w:val="clear" w:color="auto" w:fill="auto"/>
            <w:vAlign w:val="center"/>
          </w:tcPr>
          <w:p w:rsidR="00763BB6" w:rsidRPr="00DB07F9" w:rsidRDefault="00723641" w:rsidP="00AC0879">
            <w:pPr>
              <w:pStyle w:val="TableBodyText"/>
            </w:pPr>
            <w:r>
              <w:t>23</w:t>
            </w:r>
            <w:r w:rsidR="00763BB6" w:rsidRPr="00DB07F9">
              <w:t>.3</w:t>
            </w:r>
          </w:p>
        </w:tc>
        <w:tc>
          <w:tcPr>
            <w:tcW w:w="709" w:type="dxa"/>
            <w:tcBorders>
              <w:bottom w:val="nil"/>
            </w:tcBorders>
            <w:shd w:val="clear" w:color="auto" w:fill="auto"/>
            <w:vAlign w:val="center"/>
          </w:tcPr>
          <w:p w:rsidR="00763BB6" w:rsidRPr="00DB07F9" w:rsidRDefault="00723641" w:rsidP="00AC0879">
            <w:pPr>
              <w:pStyle w:val="TableBodyText"/>
            </w:pPr>
            <w:r>
              <w:t>33.4</w:t>
            </w:r>
          </w:p>
        </w:tc>
        <w:tc>
          <w:tcPr>
            <w:tcW w:w="709" w:type="dxa"/>
            <w:tcBorders>
              <w:bottom w:val="nil"/>
            </w:tcBorders>
            <w:shd w:val="clear" w:color="auto" w:fill="auto"/>
            <w:vAlign w:val="center"/>
          </w:tcPr>
          <w:p w:rsidR="00763BB6" w:rsidRPr="00DB07F9" w:rsidRDefault="00723641" w:rsidP="00AC0879">
            <w:pPr>
              <w:pStyle w:val="TableBodyText"/>
            </w:pPr>
            <w:r>
              <w:t>17.7</w:t>
            </w:r>
          </w:p>
        </w:tc>
        <w:tc>
          <w:tcPr>
            <w:tcW w:w="709" w:type="dxa"/>
            <w:tcBorders>
              <w:bottom w:val="nil"/>
            </w:tcBorders>
            <w:shd w:val="clear" w:color="auto" w:fill="auto"/>
            <w:vAlign w:val="center"/>
          </w:tcPr>
          <w:p w:rsidR="00763BB6" w:rsidRPr="00DB07F9" w:rsidRDefault="00723641" w:rsidP="00AC0879">
            <w:pPr>
              <w:pStyle w:val="TableBodyText"/>
            </w:pPr>
            <w:r>
              <w:t>24.3</w:t>
            </w:r>
          </w:p>
        </w:tc>
        <w:tc>
          <w:tcPr>
            <w:tcW w:w="708" w:type="dxa"/>
            <w:tcBorders>
              <w:bottom w:val="nil"/>
            </w:tcBorders>
            <w:shd w:val="clear" w:color="auto" w:fill="auto"/>
            <w:vAlign w:val="center"/>
          </w:tcPr>
          <w:p w:rsidR="00763BB6" w:rsidRPr="00DB07F9" w:rsidRDefault="00723641" w:rsidP="00AC0879">
            <w:pPr>
              <w:pStyle w:val="TableBodyText"/>
            </w:pPr>
            <w:r>
              <w:t>98.0</w:t>
            </w:r>
          </w:p>
        </w:tc>
        <w:tc>
          <w:tcPr>
            <w:tcW w:w="567" w:type="dxa"/>
            <w:tcBorders>
              <w:bottom w:val="nil"/>
            </w:tcBorders>
            <w:shd w:val="clear" w:color="auto" w:fill="auto"/>
            <w:vAlign w:val="center"/>
          </w:tcPr>
          <w:p w:rsidR="00763BB6" w:rsidRPr="00DB07F9" w:rsidRDefault="00723641" w:rsidP="00AC0879">
            <w:pPr>
              <w:pStyle w:val="TableBodyText"/>
            </w:pPr>
            <w:r>
              <w:t>3.2</w:t>
            </w:r>
          </w:p>
        </w:tc>
        <w:tc>
          <w:tcPr>
            <w:tcW w:w="709" w:type="dxa"/>
            <w:tcBorders>
              <w:bottom w:val="nil"/>
            </w:tcBorders>
            <w:shd w:val="clear" w:color="auto" w:fill="auto"/>
            <w:vAlign w:val="center"/>
          </w:tcPr>
          <w:p w:rsidR="00763BB6" w:rsidRPr="00DB07F9" w:rsidRDefault="00723641" w:rsidP="00AC0879">
            <w:pPr>
              <w:pStyle w:val="TableBodyText"/>
            </w:pPr>
            <w:r>
              <w:t>51</w:t>
            </w:r>
            <w:r w:rsidR="00763BB6" w:rsidRPr="00DB07F9">
              <w:t>.7</w:t>
            </w:r>
          </w:p>
        </w:tc>
        <w:tc>
          <w:tcPr>
            <w:tcW w:w="714" w:type="dxa"/>
            <w:tcBorders>
              <w:bottom w:val="nil"/>
              <w:right w:val="nil"/>
            </w:tcBorders>
            <w:shd w:val="clear" w:color="auto" w:fill="auto"/>
            <w:vAlign w:val="center"/>
          </w:tcPr>
          <w:p w:rsidR="00763BB6" w:rsidRPr="00DB07F9" w:rsidRDefault="00723641" w:rsidP="00AC0879">
            <w:pPr>
              <w:pStyle w:val="TableBodyText"/>
            </w:pPr>
            <w:r>
              <w:t>28.9</w:t>
            </w:r>
          </w:p>
        </w:tc>
      </w:tr>
      <w:tr w:rsidR="00763BB6" w:rsidRPr="003D5159" w:rsidTr="00704931">
        <w:trPr>
          <w:trHeight w:val="270"/>
        </w:trPr>
        <w:tc>
          <w:tcPr>
            <w:tcW w:w="2552" w:type="dxa"/>
            <w:tcBorders>
              <w:left w:val="nil"/>
            </w:tcBorders>
            <w:shd w:val="clear" w:color="auto" w:fill="auto"/>
          </w:tcPr>
          <w:p w:rsidR="00763BB6" w:rsidRPr="00DB07F9" w:rsidRDefault="00763BB6" w:rsidP="00AC0879">
            <w:pPr>
              <w:pStyle w:val="TableBodyText"/>
              <w:ind w:left="0" w:firstLine="142"/>
              <w:jc w:val="left"/>
            </w:pPr>
            <w:r w:rsidRPr="00DB07F9">
              <w:t>In the community, 2011</w:t>
            </w:r>
          </w:p>
        </w:tc>
        <w:tc>
          <w:tcPr>
            <w:tcW w:w="709" w:type="dxa"/>
            <w:shd w:val="clear" w:color="auto" w:fill="auto"/>
            <w:vAlign w:val="center"/>
          </w:tcPr>
          <w:p w:rsidR="00763BB6" w:rsidRPr="00DB07F9" w:rsidRDefault="00763BB6" w:rsidP="00AC0879">
            <w:pPr>
              <w:pStyle w:val="TableBodyText"/>
            </w:pPr>
            <w:r w:rsidRPr="00DB07F9">
              <w:t>25.5</w:t>
            </w:r>
          </w:p>
        </w:tc>
        <w:tc>
          <w:tcPr>
            <w:tcW w:w="708" w:type="dxa"/>
            <w:shd w:val="clear" w:color="auto" w:fill="auto"/>
            <w:vAlign w:val="center"/>
          </w:tcPr>
          <w:p w:rsidR="00763BB6" w:rsidRPr="00DB07F9" w:rsidRDefault="00763BB6" w:rsidP="00AC0879">
            <w:pPr>
              <w:pStyle w:val="TableBodyText"/>
            </w:pPr>
            <w:r w:rsidRPr="00DB07F9">
              <w:t>24.6</w:t>
            </w:r>
          </w:p>
        </w:tc>
        <w:tc>
          <w:tcPr>
            <w:tcW w:w="709" w:type="dxa"/>
            <w:tcBorders>
              <w:right w:val="nil"/>
            </w:tcBorders>
            <w:shd w:val="clear" w:color="auto" w:fill="auto"/>
            <w:vAlign w:val="center"/>
          </w:tcPr>
          <w:p w:rsidR="00763BB6" w:rsidRPr="00DB07F9" w:rsidRDefault="00763BB6" w:rsidP="00AC0879">
            <w:pPr>
              <w:pStyle w:val="TableBodyText"/>
            </w:pPr>
            <w:r w:rsidRPr="00DB07F9">
              <w:t>36.0</w:t>
            </w:r>
          </w:p>
        </w:tc>
        <w:tc>
          <w:tcPr>
            <w:tcW w:w="709" w:type="dxa"/>
            <w:tcBorders>
              <w:left w:val="nil"/>
              <w:right w:val="nil"/>
            </w:tcBorders>
            <w:shd w:val="clear" w:color="auto" w:fill="auto"/>
            <w:vAlign w:val="center"/>
          </w:tcPr>
          <w:p w:rsidR="00763BB6" w:rsidRPr="00DB07F9" w:rsidRDefault="00763BB6" w:rsidP="00AC0879">
            <w:pPr>
              <w:pStyle w:val="TableBodyText"/>
            </w:pPr>
            <w:r w:rsidRPr="00DB07F9">
              <w:t>18.0</w:t>
            </w:r>
          </w:p>
        </w:tc>
        <w:tc>
          <w:tcPr>
            <w:tcW w:w="709" w:type="dxa"/>
            <w:tcBorders>
              <w:left w:val="nil"/>
              <w:right w:val="nil"/>
            </w:tcBorders>
            <w:shd w:val="clear" w:color="auto" w:fill="auto"/>
            <w:vAlign w:val="center"/>
          </w:tcPr>
          <w:p w:rsidR="00763BB6" w:rsidRPr="00DB07F9" w:rsidRDefault="00763BB6" w:rsidP="00AC0879">
            <w:pPr>
              <w:pStyle w:val="TableBodyText"/>
            </w:pPr>
            <w:r w:rsidRPr="00DB07F9">
              <w:t>24.4</w:t>
            </w:r>
          </w:p>
        </w:tc>
        <w:tc>
          <w:tcPr>
            <w:tcW w:w="708" w:type="dxa"/>
            <w:tcBorders>
              <w:left w:val="nil"/>
              <w:right w:val="nil"/>
            </w:tcBorders>
            <w:shd w:val="clear" w:color="auto" w:fill="auto"/>
            <w:vAlign w:val="center"/>
          </w:tcPr>
          <w:p w:rsidR="00763BB6" w:rsidRPr="00DB07F9" w:rsidRDefault="00763BB6" w:rsidP="00AC0879">
            <w:pPr>
              <w:pStyle w:val="TableBodyText"/>
            </w:pPr>
            <w:r w:rsidRPr="00DB07F9">
              <w:t>97.8</w:t>
            </w:r>
          </w:p>
        </w:tc>
        <w:tc>
          <w:tcPr>
            <w:tcW w:w="567" w:type="dxa"/>
            <w:tcBorders>
              <w:left w:val="nil"/>
              <w:right w:val="nil"/>
            </w:tcBorders>
            <w:shd w:val="clear" w:color="auto" w:fill="auto"/>
            <w:vAlign w:val="center"/>
          </w:tcPr>
          <w:p w:rsidR="00763BB6" w:rsidRPr="00DB07F9" w:rsidRDefault="00763BB6" w:rsidP="00AC0879">
            <w:pPr>
              <w:pStyle w:val="TableBodyText"/>
            </w:pPr>
            <w:r w:rsidRPr="00DB07F9">
              <w:t>0.2</w:t>
            </w:r>
          </w:p>
        </w:tc>
        <w:tc>
          <w:tcPr>
            <w:tcW w:w="709" w:type="dxa"/>
            <w:tcBorders>
              <w:left w:val="nil"/>
              <w:right w:val="nil"/>
            </w:tcBorders>
            <w:shd w:val="clear" w:color="auto" w:fill="auto"/>
            <w:vAlign w:val="center"/>
          </w:tcPr>
          <w:p w:rsidR="00763BB6" w:rsidRPr="00DB07F9" w:rsidRDefault="00763BB6" w:rsidP="00AC0879">
            <w:pPr>
              <w:pStyle w:val="TableBodyText"/>
            </w:pPr>
            <w:r w:rsidRPr="00DB07F9">
              <w:t>51.4</w:t>
            </w:r>
          </w:p>
        </w:tc>
        <w:tc>
          <w:tcPr>
            <w:tcW w:w="714" w:type="dxa"/>
            <w:tcBorders>
              <w:left w:val="nil"/>
              <w:right w:val="nil"/>
            </w:tcBorders>
            <w:shd w:val="clear" w:color="auto" w:fill="auto"/>
            <w:vAlign w:val="center"/>
          </w:tcPr>
          <w:p w:rsidR="00763BB6" w:rsidRPr="00DB07F9" w:rsidRDefault="00763BB6" w:rsidP="00AC0879">
            <w:pPr>
              <w:pStyle w:val="TableBodyText"/>
            </w:pPr>
            <w:r w:rsidRPr="00DB07F9">
              <w:t>28.1</w:t>
            </w:r>
          </w:p>
        </w:tc>
      </w:tr>
      <w:tr w:rsidR="00763BB6" w:rsidRPr="003D5159" w:rsidTr="00704931">
        <w:tc>
          <w:tcPr>
            <w:tcW w:w="8794" w:type="dxa"/>
            <w:gridSpan w:val="10"/>
            <w:tcBorders>
              <w:left w:val="nil"/>
              <w:right w:val="nil"/>
            </w:tcBorders>
            <w:shd w:val="clear" w:color="auto" w:fill="auto"/>
          </w:tcPr>
          <w:p w:rsidR="00763BB6" w:rsidRPr="0043714C" w:rsidRDefault="00763BB6" w:rsidP="00AC0879">
            <w:pPr>
              <w:pStyle w:val="TableBodyText"/>
              <w:jc w:val="left"/>
            </w:pPr>
            <w:r w:rsidRPr="0043714C">
              <w:t>Children from remote areas</w:t>
            </w:r>
          </w:p>
        </w:tc>
      </w:tr>
      <w:tr w:rsidR="00763BB6" w:rsidRPr="003D5159" w:rsidTr="00704931">
        <w:trPr>
          <w:trHeight w:val="270"/>
        </w:trPr>
        <w:tc>
          <w:tcPr>
            <w:tcW w:w="2552" w:type="dxa"/>
            <w:tcBorders>
              <w:left w:val="nil"/>
              <w:bottom w:val="nil"/>
            </w:tcBorders>
            <w:shd w:val="clear" w:color="auto" w:fill="auto"/>
          </w:tcPr>
          <w:p w:rsidR="00763BB6" w:rsidRPr="0043714C" w:rsidRDefault="00763BB6" w:rsidP="00AC0879">
            <w:pPr>
              <w:pStyle w:val="TableBodyText"/>
              <w:ind w:left="0" w:firstLine="142"/>
              <w:jc w:val="left"/>
            </w:pPr>
            <w:r>
              <w:t>In a preschool program</w:t>
            </w:r>
          </w:p>
        </w:tc>
        <w:tc>
          <w:tcPr>
            <w:tcW w:w="709" w:type="dxa"/>
            <w:tcBorders>
              <w:bottom w:val="nil"/>
            </w:tcBorders>
            <w:shd w:val="clear" w:color="auto" w:fill="auto"/>
            <w:vAlign w:val="center"/>
          </w:tcPr>
          <w:p w:rsidR="00763BB6" w:rsidRPr="0043714C" w:rsidRDefault="00763BB6" w:rsidP="00AC0879">
            <w:pPr>
              <w:pStyle w:val="TableBodyText"/>
            </w:pPr>
            <w:r w:rsidRPr="0043714C">
              <w:t>0.7</w:t>
            </w:r>
          </w:p>
        </w:tc>
        <w:tc>
          <w:tcPr>
            <w:tcW w:w="708" w:type="dxa"/>
            <w:tcBorders>
              <w:bottom w:val="nil"/>
            </w:tcBorders>
            <w:shd w:val="clear" w:color="auto" w:fill="auto"/>
            <w:vAlign w:val="center"/>
          </w:tcPr>
          <w:p w:rsidR="00763BB6" w:rsidRPr="0043714C" w:rsidRDefault="00763BB6" w:rsidP="00AC0879">
            <w:pPr>
              <w:pStyle w:val="TableBodyText"/>
            </w:pPr>
            <w:r w:rsidRPr="0043714C">
              <w:t>0.1</w:t>
            </w:r>
          </w:p>
        </w:tc>
        <w:tc>
          <w:tcPr>
            <w:tcW w:w="709" w:type="dxa"/>
            <w:tcBorders>
              <w:bottom w:val="nil"/>
            </w:tcBorders>
            <w:shd w:val="clear" w:color="auto" w:fill="auto"/>
            <w:vAlign w:val="center"/>
          </w:tcPr>
          <w:p w:rsidR="00763BB6" w:rsidRPr="0043714C" w:rsidRDefault="006541DF" w:rsidP="00AC0879">
            <w:pPr>
              <w:pStyle w:val="TableBodyText"/>
            </w:pPr>
            <w:r>
              <w:t>3.4</w:t>
            </w:r>
          </w:p>
        </w:tc>
        <w:tc>
          <w:tcPr>
            <w:tcW w:w="709" w:type="dxa"/>
            <w:tcBorders>
              <w:bottom w:val="nil"/>
            </w:tcBorders>
            <w:shd w:val="clear" w:color="auto" w:fill="auto"/>
            <w:vAlign w:val="center"/>
          </w:tcPr>
          <w:p w:rsidR="00763BB6" w:rsidRPr="0043714C" w:rsidRDefault="00763BB6" w:rsidP="00AC0879">
            <w:pPr>
              <w:pStyle w:val="TableBodyText"/>
            </w:pPr>
            <w:r w:rsidRPr="0043714C">
              <w:t>7.6</w:t>
            </w:r>
          </w:p>
        </w:tc>
        <w:tc>
          <w:tcPr>
            <w:tcW w:w="709" w:type="dxa"/>
            <w:tcBorders>
              <w:bottom w:val="nil"/>
            </w:tcBorders>
            <w:shd w:val="clear" w:color="auto" w:fill="auto"/>
            <w:vAlign w:val="center"/>
          </w:tcPr>
          <w:p w:rsidR="00763BB6" w:rsidRPr="0043714C" w:rsidRDefault="00763BB6" w:rsidP="00AC0879">
            <w:pPr>
              <w:pStyle w:val="TableBodyText"/>
            </w:pPr>
            <w:r w:rsidRPr="0043714C">
              <w:t>4.0</w:t>
            </w:r>
          </w:p>
        </w:tc>
        <w:tc>
          <w:tcPr>
            <w:tcW w:w="708" w:type="dxa"/>
            <w:tcBorders>
              <w:bottom w:val="nil"/>
            </w:tcBorders>
            <w:shd w:val="clear" w:color="auto" w:fill="auto"/>
            <w:vAlign w:val="center"/>
          </w:tcPr>
          <w:p w:rsidR="00763BB6" w:rsidRPr="0043714C" w:rsidRDefault="006541DF" w:rsidP="00AC0879">
            <w:pPr>
              <w:pStyle w:val="TableBodyText"/>
            </w:pPr>
            <w:r>
              <w:t>2.0</w:t>
            </w:r>
          </w:p>
        </w:tc>
        <w:tc>
          <w:tcPr>
            <w:tcW w:w="567" w:type="dxa"/>
            <w:tcBorders>
              <w:bottom w:val="nil"/>
            </w:tcBorders>
            <w:shd w:val="clear" w:color="auto" w:fill="auto"/>
            <w:vAlign w:val="center"/>
          </w:tcPr>
          <w:p w:rsidR="00763BB6" w:rsidRPr="0043714C" w:rsidRDefault="00763BB6" w:rsidP="00AC0879">
            <w:pPr>
              <w:pStyle w:val="TableBodyText"/>
            </w:pPr>
            <w:r w:rsidRPr="0043714C">
              <w:t>..</w:t>
            </w:r>
          </w:p>
        </w:tc>
        <w:tc>
          <w:tcPr>
            <w:tcW w:w="709" w:type="dxa"/>
            <w:tcBorders>
              <w:bottom w:val="nil"/>
            </w:tcBorders>
            <w:shd w:val="clear" w:color="auto" w:fill="auto"/>
            <w:vAlign w:val="center"/>
          </w:tcPr>
          <w:p w:rsidR="00763BB6" w:rsidRPr="0043714C" w:rsidRDefault="006541DF" w:rsidP="00AC0879">
            <w:pPr>
              <w:pStyle w:val="TableBodyText"/>
            </w:pPr>
            <w:r>
              <w:t>48</w:t>
            </w:r>
            <w:r w:rsidR="00763BB6" w:rsidRPr="0043714C">
              <w:t>.3</w:t>
            </w:r>
          </w:p>
        </w:tc>
        <w:tc>
          <w:tcPr>
            <w:tcW w:w="714" w:type="dxa"/>
            <w:tcBorders>
              <w:bottom w:val="nil"/>
              <w:right w:val="nil"/>
            </w:tcBorders>
            <w:shd w:val="clear" w:color="auto" w:fill="auto"/>
            <w:vAlign w:val="center"/>
          </w:tcPr>
          <w:p w:rsidR="00763BB6" w:rsidRPr="0043714C" w:rsidRDefault="006541DF" w:rsidP="00AC0879">
            <w:pPr>
              <w:pStyle w:val="TableBodyText"/>
            </w:pPr>
            <w:r>
              <w:t>2.6</w:t>
            </w:r>
          </w:p>
        </w:tc>
      </w:tr>
      <w:tr w:rsidR="00763BB6" w:rsidRPr="003D5159" w:rsidTr="00704931">
        <w:trPr>
          <w:trHeight w:val="270"/>
        </w:trPr>
        <w:tc>
          <w:tcPr>
            <w:tcW w:w="2552" w:type="dxa"/>
            <w:tcBorders>
              <w:left w:val="nil"/>
              <w:bottom w:val="single" w:sz="4" w:space="0" w:color="auto"/>
            </w:tcBorders>
          </w:tcPr>
          <w:p w:rsidR="00763BB6" w:rsidRPr="0043714C" w:rsidRDefault="00763BB6" w:rsidP="00AC0879">
            <w:pPr>
              <w:pStyle w:val="TableBodyText"/>
              <w:ind w:left="0" w:firstLine="142"/>
              <w:jc w:val="left"/>
            </w:pPr>
            <w:r w:rsidRPr="0043714C">
              <w:t>In the community, 2011</w:t>
            </w:r>
          </w:p>
        </w:tc>
        <w:tc>
          <w:tcPr>
            <w:tcW w:w="709" w:type="dxa"/>
            <w:tcBorders>
              <w:bottom w:val="single" w:sz="4" w:space="0" w:color="auto"/>
              <w:right w:val="nil"/>
            </w:tcBorders>
            <w:vAlign w:val="center"/>
          </w:tcPr>
          <w:p w:rsidR="00763BB6" w:rsidRPr="0043714C" w:rsidRDefault="00763BB6" w:rsidP="00AC0879">
            <w:pPr>
              <w:pStyle w:val="TableBodyText"/>
            </w:pPr>
            <w:r w:rsidRPr="0043714C">
              <w:t>0.6</w:t>
            </w:r>
          </w:p>
        </w:tc>
        <w:tc>
          <w:tcPr>
            <w:tcW w:w="708" w:type="dxa"/>
            <w:tcBorders>
              <w:left w:val="nil"/>
              <w:bottom w:val="single" w:sz="4" w:space="0" w:color="auto"/>
            </w:tcBorders>
            <w:vAlign w:val="center"/>
          </w:tcPr>
          <w:p w:rsidR="00763BB6" w:rsidRPr="0043714C" w:rsidRDefault="00763BB6" w:rsidP="00AC0879">
            <w:pPr>
              <w:pStyle w:val="TableBodyText"/>
            </w:pPr>
            <w:r w:rsidRPr="0043714C">
              <w:t>0.1</w:t>
            </w:r>
          </w:p>
        </w:tc>
        <w:tc>
          <w:tcPr>
            <w:tcW w:w="709" w:type="dxa"/>
            <w:tcBorders>
              <w:bottom w:val="single" w:sz="4" w:space="0" w:color="auto"/>
              <w:right w:val="nil"/>
            </w:tcBorders>
            <w:vAlign w:val="center"/>
          </w:tcPr>
          <w:p w:rsidR="00763BB6" w:rsidRPr="0043714C" w:rsidRDefault="00763BB6" w:rsidP="00AC0879">
            <w:pPr>
              <w:pStyle w:val="TableBodyText"/>
            </w:pPr>
            <w:r w:rsidRPr="0043714C">
              <w:t>3.8</w:t>
            </w:r>
          </w:p>
        </w:tc>
        <w:tc>
          <w:tcPr>
            <w:tcW w:w="709" w:type="dxa"/>
            <w:tcBorders>
              <w:left w:val="nil"/>
              <w:bottom w:val="single" w:sz="4" w:space="0" w:color="auto"/>
              <w:right w:val="nil"/>
            </w:tcBorders>
            <w:vAlign w:val="center"/>
          </w:tcPr>
          <w:p w:rsidR="00763BB6" w:rsidRPr="0043714C" w:rsidRDefault="00763BB6" w:rsidP="00AC0879">
            <w:pPr>
              <w:pStyle w:val="TableBodyText"/>
            </w:pPr>
            <w:r w:rsidRPr="0043714C">
              <w:t>7.9</w:t>
            </w:r>
          </w:p>
        </w:tc>
        <w:tc>
          <w:tcPr>
            <w:tcW w:w="709" w:type="dxa"/>
            <w:tcBorders>
              <w:left w:val="nil"/>
              <w:bottom w:val="single" w:sz="4" w:space="0" w:color="auto"/>
              <w:right w:val="nil"/>
            </w:tcBorders>
            <w:vAlign w:val="center"/>
          </w:tcPr>
          <w:p w:rsidR="00763BB6" w:rsidRPr="0043714C" w:rsidRDefault="00763BB6" w:rsidP="00AC0879">
            <w:pPr>
              <w:pStyle w:val="TableBodyText"/>
            </w:pPr>
            <w:r w:rsidRPr="0043714C">
              <w:t>3.9</w:t>
            </w:r>
          </w:p>
        </w:tc>
        <w:tc>
          <w:tcPr>
            <w:tcW w:w="708" w:type="dxa"/>
            <w:tcBorders>
              <w:left w:val="nil"/>
              <w:bottom w:val="single" w:sz="4" w:space="0" w:color="auto"/>
              <w:right w:val="nil"/>
            </w:tcBorders>
            <w:vAlign w:val="center"/>
          </w:tcPr>
          <w:p w:rsidR="00763BB6" w:rsidRPr="0043714C" w:rsidRDefault="00763BB6" w:rsidP="00AC0879">
            <w:pPr>
              <w:pStyle w:val="TableBodyText"/>
            </w:pPr>
            <w:r w:rsidRPr="0043714C">
              <w:t>2.0</w:t>
            </w:r>
          </w:p>
        </w:tc>
        <w:tc>
          <w:tcPr>
            <w:tcW w:w="567" w:type="dxa"/>
            <w:tcBorders>
              <w:left w:val="nil"/>
              <w:bottom w:val="single" w:sz="4" w:space="0" w:color="auto"/>
            </w:tcBorders>
            <w:vAlign w:val="center"/>
          </w:tcPr>
          <w:p w:rsidR="00763BB6" w:rsidRPr="0043714C" w:rsidRDefault="00763BB6" w:rsidP="00AC0879">
            <w:pPr>
              <w:pStyle w:val="TableBodyText"/>
            </w:pPr>
            <w:r w:rsidRPr="0043714C">
              <w:t>..</w:t>
            </w:r>
          </w:p>
        </w:tc>
        <w:tc>
          <w:tcPr>
            <w:tcW w:w="709" w:type="dxa"/>
            <w:tcBorders>
              <w:bottom w:val="single" w:sz="4" w:space="0" w:color="auto"/>
              <w:right w:val="nil"/>
            </w:tcBorders>
            <w:vAlign w:val="center"/>
          </w:tcPr>
          <w:p w:rsidR="00763BB6" w:rsidRPr="0043714C" w:rsidRDefault="00763BB6" w:rsidP="00AC0879">
            <w:pPr>
              <w:pStyle w:val="TableBodyText"/>
            </w:pPr>
            <w:r w:rsidRPr="0043714C">
              <w:t>48.2</w:t>
            </w:r>
          </w:p>
        </w:tc>
        <w:tc>
          <w:tcPr>
            <w:tcW w:w="714" w:type="dxa"/>
            <w:tcBorders>
              <w:left w:val="nil"/>
              <w:bottom w:val="single" w:sz="4" w:space="0" w:color="auto"/>
              <w:right w:val="nil"/>
            </w:tcBorders>
            <w:vAlign w:val="center"/>
          </w:tcPr>
          <w:p w:rsidR="00763BB6" w:rsidRPr="0043714C" w:rsidRDefault="00763BB6" w:rsidP="00AC0879">
            <w:pPr>
              <w:pStyle w:val="TableBodyText"/>
            </w:pPr>
            <w:r w:rsidRPr="0043714C">
              <w:t>2.8</w:t>
            </w:r>
          </w:p>
        </w:tc>
      </w:tr>
    </w:tbl>
    <w:p w:rsidR="00763BB6" w:rsidRPr="00DD0C03" w:rsidRDefault="00763BB6" w:rsidP="00763BB6">
      <w:pPr>
        <w:pStyle w:val="Note"/>
        <w:shd w:val="clear" w:color="auto" w:fill="FFFFFF" w:themeFill="background1"/>
      </w:pPr>
      <w:r w:rsidRPr="00DD0C03">
        <w:rPr>
          <w:rStyle w:val="NoteLabel"/>
        </w:rPr>
        <w:t>a</w:t>
      </w:r>
      <w:r>
        <w:rPr>
          <w:rStyle w:val="NoteLabel"/>
        </w:rPr>
        <w:t xml:space="preserve"> </w:t>
      </w:r>
      <w:r>
        <w:t xml:space="preserve">Data for children from </w:t>
      </w:r>
      <w:proofErr w:type="spellStart"/>
      <w:r w:rsidR="00C711A3">
        <w:t>NESB</w:t>
      </w:r>
      <w:proofErr w:type="spellEnd"/>
      <w:r>
        <w:t xml:space="preserve"> and chi</w:t>
      </w:r>
      <w:r w:rsidR="00C54340">
        <w:t>ldren with disability are from State and T</w:t>
      </w:r>
      <w:r>
        <w:t xml:space="preserve">erritory governments. Data for Indigenous children and children from regional and remote areas are from the National </w:t>
      </w:r>
      <w:proofErr w:type="spellStart"/>
      <w:r>
        <w:t>ECEC</w:t>
      </w:r>
      <w:proofErr w:type="spellEnd"/>
      <w:r>
        <w:t xml:space="preserve"> Collection published by ABS in </w:t>
      </w:r>
      <w:r w:rsidRPr="009A11CB">
        <w:rPr>
          <w:i/>
        </w:rPr>
        <w:t>Preschool Education, Australia, 2012</w:t>
      </w:r>
      <w:r w:rsidR="00446433">
        <w:t xml:space="preserve">. </w:t>
      </w:r>
      <w:r>
        <w:t xml:space="preserve">Due to the different data sources for preschool data for special needs groups, caution should be used when making comparisons across special needs groups. </w:t>
      </w:r>
      <w:r>
        <w:rPr>
          <w:rStyle w:val="NoteLabel"/>
        </w:rPr>
        <w:t>b</w:t>
      </w:r>
      <w:r>
        <w:t xml:space="preserve"> Data for children from </w:t>
      </w:r>
      <w:proofErr w:type="spellStart"/>
      <w:r w:rsidR="00C711A3">
        <w:t>NESB</w:t>
      </w:r>
      <w:proofErr w:type="spellEnd"/>
      <w:r w:rsidRPr="00DD0C03">
        <w:t xml:space="preserve"> and children with disability</w:t>
      </w:r>
      <w:r>
        <w:t xml:space="preserve"> in a preschool program</w:t>
      </w:r>
      <w:r w:rsidRPr="00DD0C03">
        <w:t xml:space="preserve"> include only State and Territory governme</w:t>
      </w:r>
      <w:r>
        <w:t>nt funded or provided preschool services. Data on enrolment in a preschool program</w:t>
      </w:r>
      <w:r w:rsidRPr="00DD0C03">
        <w:t xml:space="preserve"> for Indigenous children and children from regional and remote areas include preschool programs as defined by the scope of the National </w:t>
      </w:r>
      <w:proofErr w:type="spellStart"/>
      <w:r w:rsidRPr="00DD0C03">
        <w:t>ECEC</w:t>
      </w:r>
      <w:proofErr w:type="spellEnd"/>
      <w:r w:rsidRPr="00DD0C03">
        <w:t xml:space="preserve"> Collection</w:t>
      </w:r>
      <w:r>
        <w:t xml:space="preserve">. This means preschool programs </w:t>
      </w:r>
      <w:r w:rsidRPr="00DD0C03">
        <w:t>are included irrespective of the type</w:t>
      </w:r>
      <w:r w:rsidR="008C7290">
        <w:t xml:space="preserve"> of institution that provides them or whether they are</w:t>
      </w:r>
      <w:r w:rsidRPr="00DD0C03">
        <w:t xml:space="preserve"> governmen</w:t>
      </w:r>
      <w:r>
        <w:t xml:space="preserve">t funded or privately provided. </w:t>
      </w:r>
      <w:r>
        <w:rPr>
          <w:rStyle w:val="NoteLabel"/>
        </w:rPr>
        <w:t>c</w:t>
      </w:r>
      <w:r w:rsidR="00CF2745">
        <w:t xml:space="preserve"> </w:t>
      </w:r>
      <w:r w:rsidRPr="00DD0C03">
        <w:t xml:space="preserve">Data on representation in the community are reported for different years due to the availability of data and are sourced from the ABS </w:t>
      </w:r>
      <w:r w:rsidR="00820C99" w:rsidRPr="00820C99">
        <w:rPr>
          <w:i/>
        </w:rPr>
        <w:t>2011</w:t>
      </w:r>
      <w:r w:rsidR="00820C99" w:rsidRPr="00DD0C03">
        <w:t xml:space="preserve"> </w:t>
      </w:r>
      <w:r w:rsidR="00820C99" w:rsidRPr="00DD0C03">
        <w:rPr>
          <w:i/>
        </w:rPr>
        <w:t>Census of Population and Housing</w:t>
      </w:r>
      <w:r w:rsidR="0084787F">
        <w:rPr>
          <w:i/>
        </w:rPr>
        <w:t>;</w:t>
      </w:r>
      <w:r w:rsidR="00820C99">
        <w:rPr>
          <w:i/>
        </w:rPr>
        <w:t xml:space="preserve"> </w:t>
      </w:r>
      <w:r w:rsidRPr="00DD0C03">
        <w:rPr>
          <w:i/>
        </w:rPr>
        <w:t>Disability, Ageing and Carers</w:t>
      </w:r>
      <w:r w:rsidR="00820C99">
        <w:rPr>
          <w:i/>
        </w:rPr>
        <w:t>, Australia,</w:t>
      </w:r>
      <w:r w:rsidRPr="00DD0C03">
        <w:rPr>
          <w:i/>
        </w:rPr>
        <w:t xml:space="preserve"> 2009</w:t>
      </w:r>
      <w:r w:rsidR="0018652C">
        <w:t xml:space="preserve"> and </w:t>
      </w:r>
      <w:r w:rsidRPr="00DD0C03">
        <w:rPr>
          <w:i/>
        </w:rPr>
        <w:t>Experiment</w:t>
      </w:r>
      <w:r>
        <w:rPr>
          <w:i/>
        </w:rPr>
        <w:t>al Estimates and Projections,</w:t>
      </w:r>
      <w:r w:rsidRPr="00DD0C03">
        <w:rPr>
          <w:i/>
        </w:rPr>
        <w:t xml:space="preserve"> Aboriginal a</w:t>
      </w:r>
      <w:r>
        <w:rPr>
          <w:i/>
        </w:rPr>
        <w:t>nd Torres Strait Islander Australians, 1991 to 2021</w:t>
      </w:r>
      <w:r w:rsidRPr="00DD0C03">
        <w:t>.</w:t>
      </w:r>
      <w:r>
        <w:t xml:space="preserve"> </w:t>
      </w:r>
      <w:r>
        <w:rPr>
          <w:rStyle w:val="NoteLabel"/>
        </w:rPr>
        <w:t>d</w:t>
      </w:r>
      <w:r w:rsidRPr="00DD0C03">
        <w:rPr>
          <w:rStyle w:val="NoteLabel"/>
        </w:rPr>
        <w:t> </w:t>
      </w:r>
      <w:r>
        <w:t>Includes children aged 3</w:t>
      </w:r>
      <w:r w:rsidR="009D5D36">
        <w:t>–</w:t>
      </w:r>
      <w:r>
        <w:t>5 years on 1</w:t>
      </w:r>
      <w:r w:rsidR="00172534">
        <w:t> </w:t>
      </w:r>
      <w:r>
        <w:t xml:space="preserve">July 2012. </w:t>
      </w:r>
      <w:r>
        <w:rPr>
          <w:rStyle w:val="NoteLabel"/>
        </w:rPr>
        <w:t>e</w:t>
      </w:r>
      <w:r w:rsidRPr="001921CC">
        <w:rPr>
          <w:rStyle w:val="NoteLabel"/>
        </w:rPr>
        <w:t xml:space="preserve"> </w:t>
      </w:r>
      <w:r w:rsidRPr="001921CC">
        <w:t>Not all children undertaking a preschool program in a long day care setting in NSW are captured in the relevant data collections, resulting in an undercount for NSW.</w:t>
      </w:r>
      <w:r>
        <w:rPr>
          <w:rStyle w:val="NoteLabel"/>
        </w:rPr>
        <w:t xml:space="preserve"> f</w:t>
      </w:r>
      <w:r w:rsidRPr="001921CC">
        <w:rPr>
          <w:rStyle w:val="NoteLabel"/>
        </w:rPr>
        <w:t xml:space="preserve"> </w:t>
      </w:r>
      <w:r w:rsidR="00656D1E" w:rsidRPr="001E1784">
        <w:t xml:space="preserve">Victorian data </w:t>
      </w:r>
      <w:r w:rsidR="00CC5689">
        <w:t xml:space="preserve">for children from </w:t>
      </w:r>
      <w:proofErr w:type="spellStart"/>
      <w:r w:rsidR="00CC5689">
        <w:t>NESB</w:t>
      </w:r>
      <w:proofErr w:type="spellEnd"/>
      <w:r w:rsidR="00CC5689">
        <w:t xml:space="preserve"> and with disability in preschool programs </w:t>
      </w:r>
      <w:r w:rsidR="00656D1E" w:rsidRPr="001E1784">
        <w:t xml:space="preserve">only include </w:t>
      </w:r>
      <w:r w:rsidRPr="001E1784">
        <w:t>3 year old children who h</w:t>
      </w:r>
      <w:r w:rsidR="00656D1E" w:rsidRPr="001E1784">
        <w:t xml:space="preserve">ave been approved to attend </w:t>
      </w:r>
      <w:r w:rsidRPr="001E1784">
        <w:t>funded 4 year old kindergarten programs</w:t>
      </w:r>
      <w:r w:rsidR="00656D1E" w:rsidRPr="001E1784">
        <w:t>, and so do not include children in programs for 3 year olds</w:t>
      </w:r>
      <w:r w:rsidRPr="001E1784">
        <w:t>.</w:t>
      </w:r>
      <w:r w:rsidR="00656D1E" w:rsidRPr="001E1784">
        <w:t xml:space="preserve"> </w:t>
      </w:r>
      <w:r w:rsidR="007A2C2B" w:rsidRPr="001E1784">
        <w:t xml:space="preserve"> Victorian data for children from </w:t>
      </w:r>
      <w:proofErr w:type="spellStart"/>
      <w:r w:rsidR="007A2C2B" w:rsidRPr="001E1784">
        <w:t>NESB</w:t>
      </w:r>
      <w:proofErr w:type="spellEnd"/>
      <w:r w:rsidR="007A2C2B" w:rsidRPr="001E1784">
        <w:t xml:space="preserve"> and with disabilit</w:t>
      </w:r>
      <w:r w:rsidR="00656D1E" w:rsidRPr="001E1784">
        <w:t xml:space="preserve">y </w:t>
      </w:r>
      <w:r w:rsidR="005A003E" w:rsidRPr="001E1784">
        <w:t>are reported as at 30</w:t>
      </w:r>
      <w:r w:rsidR="00172534">
        <w:t> </w:t>
      </w:r>
      <w:r w:rsidR="005A003E" w:rsidRPr="001E1784">
        <w:t>June 2012.</w:t>
      </w:r>
      <w:r w:rsidR="007A2C2B" w:rsidRPr="007A2C2B">
        <w:t xml:space="preserve"> </w:t>
      </w:r>
      <w:r>
        <w:rPr>
          <w:rStyle w:val="NoteLabel"/>
        </w:rPr>
        <w:t>g</w:t>
      </w:r>
      <w:r w:rsidRPr="002B1E45">
        <w:rPr>
          <w:rStyle w:val="NoteLabel"/>
        </w:rPr>
        <w:t xml:space="preserve"> </w:t>
      </w:r>
      <w:r w:rsidRPr="002B1E45">
        <w:t>Episode, rather</w:t>
      </w:r>
      <w:r>
        <w:t xml:space="preserve"> than child data are used for Queensland</w:t>
      </w:r>
      <w:r w:rsidRPr="002B1E45">
        <w:t xml:space="preserve"> Indigenous children and children from regional and remote areas. These data are included in the national total.</w:t>
      </w:r>
      <w:r w:rsidRPr="002B1E45">
        <w:rPr>
          <w:rStyle w:val="NoteLabel"/>
          <w:color w:val="FF0000"/>
        </w:rPr>
        <w:t xml:space="preserve"> </w:t>
      </w:r>
      <w:r>
        <w:rPr>
          <w:rStyle w:val="NoteLabel"/>
        </w:rPr>
        <w:t>h</w:t>
      </w:r>
      <w:r w:rsidRPr="0066577B">
        <w:rPr>
          <w:rStyle w:val="NoteLabel"/>
        </w:rPr>
        <w:t xml:space="preserve"> </w:t>
      </w:r>
      <w:r w:rsidRPr="0066577B">
        <w:t xml:space="preserve">Preschool data </w:t>
      </w:r>
      <w:r w:rsidR="00C711A3">
        <w:t xml:space="preserve">for children from </w:t>
      </w:r>
      <w:proofErr w:type="spellStart"/>
      <w:r w:rsidR="00C711A3">
        <w:t>NESB</w:t>
      </w:r>
      <w:proofErr w:type="spellEnd"/>
      <w:r w:rsidR="00C711A3">
        <w:t xml:space="preserve"> </w:t>
      </w:r>
      <w:r>
        <w:t xml:space="preserve">and children with disability </w:t>
      </w:r>
      <w:r w:rsidRPr="0066577B">
        <w:t>in the NT include</w:t>
      </w:r>
      <w:r w:rsidR="008C7290">
        <w:t xml:space="preserve"> some children aged over</w:t>
      </w:r>
      <w:r w:rsidRPr="0066577B">
        <w:t xml:space="preserve"> 5 years. </w:t>
      </w:r>
      <w:proofErr w:type="spellStart"/>
      <w:r>
        <w:rPr>
          <w:rStyle w:val="NoteLabel"/>
        </w:rPr>
        <w:t>i</w:t>
      </w:r>
      <w:proofErr w:type="spellEnd"/>
      <w:r w:rsidRPr="0066577B">
        <w:rPr>
          <w:rStyle w:val="NoteLabel"/>
        </w:rPr>
        <w:t xml:space="preserve"> </w:t>
      </w:r>
      <w:r w:rsidRPr="0066577B">
        <w:t>Data for Australia for c</w:t>
      </w:r>
      <w:r w:rsidR="00C711A3">
        <w:t xml:space="preserve">hildren from </w:t>
      </w:r>
      <w:proofErr w:type="spellStart"/>
      <w:r w:rsidR="00C711A3">
        <w:t>NESB</w:t>
      </w:r>
      <w:proofErr w:type="spellEnd"/>
      <w:r w:rsidR="00C711A3">
        <w:t xml:space="preserve"> </w:t>
      </w:r>
      <w:r w:rsidRPr="0066577B">
        <w:t>and children with disability, in preschool, are the total of the sum of the states and territories for which data are available, and should not b</w:t>
      </w:r>
      <w:r>
        <w:t xml:space="preserve">e interpreted as national data. </w:t>
      </w:r>
      <w:r>
        <w:rPr>
          <w:rStyle w:val="NoteLabel"/>
        </w:rPr>
        <w:t>j</w:t>
      </w:r>
      <w:r w:rsidRPr="007F7C29">
        <w:rPr>
          <w:rStyle w:val="NoteLabel"/>
        </w:rPr>
        <w:t xml:space="preserve"> </w:t>
      </w:r>
      <w:r w:rsidRPr="007F7C29">
        <w:t xml:space="preserve">Data exclude innovative or flexible services that receive direct funding from the Australian Government and are targeted towards children from these groups. </w:t>
      </w:r>
      <w:r w:rsidR="0018652C">
        <w:rPr>
          <w:rStyle w:val="NoteLabel"/>
        </w:rPr>
        <w:t>k</w:t>
      </w:r>
      <w:r>
        <w:rPr>
          <w:rStyle w:val="NoteLabel"/>
        </w:rPr>
        <w:t xml:space="preserve"> </w:t>
      </w:r>
      <w:r w:rsidR="008C7290">
        <w:t>Data on children with</w:t>
      </w:r>
      <w:r w:rsidRPr="002B1E45">
        <w:t xml:space="preserve"> disability are not directly comparable because the definition of disabili</w:t>
      </w:r>
      <w:r w:rsidR="007A2C2B">
        <w:t xml:space="preserve">ty varies across jurisdictions. </w:t>
      </w:r>
      <w:proofErr w:type="spellStart"/>
      <w:r w:rsidRPr="001921CC">
        <w:rPr>
          <w:b/>
        </w:rPr>
        <w:t>na</w:t>
      </w:r>
      <w:proofErr w:type="spellEnd"/>
      <w:r w:rsidR="007A2C2B">
        <w:rPr>
          <w:b/>
        </w:rPr>
        <w:t xml:space="preserve"> </w:t>
      </w:r>
      <w:r w:rsidR="007A2C2B">
        <w:t xml:space="preserve">Not </w:t>
      </w:r>
      <w:r w:rsidRPr="001921CC">
        <w:t>available.</w:t>
      </w:r>
      <w:r w:rsidR="00EA1F70" w:rsidRPr="00EA1F70">
        <w:rPr>
          <w:b/>
        </w:rPr>
        <w:t xml:space="preserve"> </w:t>
      </w:r>
      <w:r w:rsidR="00EA1F70" w:rsidRPr="00BD2657">
        <w:t>..</w:t>
      </w:r>
      <w:r w:rsidR="00EA1F70" w:rsidRPr="001921CC">
        <w:t xml:space="preserve"> Not applicable.</w:t>
      </w:r>
      <w:r w:rsidRPr="001921CC">
        <w:t xml:space="preserve"> </w:t>
      </w:r>
      <w:proofErr w:type="spellStart"/>
      <w:r w:rsidRPr="001921CC">
        <w:rPr>
          <w:b/>
        </w:rPr>
        <w:t>np</w:t>
      </w:r>
      <w:proofErr w:type="spellEnd"/>
      <w:r w:rsidRPr="001921CC">
        <w:t xml:space="preserve"> Not published. </w:t>
      </w:r>
    </w:p>
    <w:p w:rsidR="00763BB6" w:rsidRPr="00EF3151" w:rsidRDefault="00763BB6" w:rsidP="00763BB6">
      <w:pPr>
        <w:pStyle w:val="Source"/>
      </w:pPr>
      <w:r w:rsidRPr="00EF3151">
        <w:rPr>
          <w:i/>
        </w:rPr>
        <w:t>Source</w:t>
      </w:r>
      <w:r w:rsidRPr="00EF3151">
        <w:t xml:space="preserve">: ABS (unpublished) </w:t>
      </w:r>
      <w:r w:rsidRPr="00EF3151">
        <w:rPr>
          <w:i/>
        </w:rPr>
        <w:t>Preschool Education, Australia, 2012</w:t>
      </w:r>
      <w:r w:rsidRPr="00EF3151">
        <w:t xml:space="preserve">, Cat. no. 4240.0; State and Territory governments (unpublished); ABS (unpublished) </w:t>
      </w:r>
      <w:r w:rsidRPr="00EF3151">
        <w:rPr>
          <w:i/>
        </w:rPr>
        <w:t>2011 Ce</w:t>
      </w:r>
      <w:r>
        <w:rPr>
          <w:i/>
        </w:rPr>
        <w:t>nsus of Population and Housing</w:t>
      </w:r>
      <w:r w:rsidRPr="00EF3151">
        <w:t xml:space="preserve">; </w:t>
      </w:r>
      <w:r w:rsidRPr="00EF3151">
        <w:rPr>
          <w:i/>
        </w:rPr>
        <w:t>Disability, Ageing and Carers</w:t>
      </w:r>
      <w:r w:rsidR="00820C99">
        <w:rPr>
          <w:i/>
        </w:rPr>
        <w:t xml:space="preserve">, Australia: Summary of </w:t>
      </w:r>
      <w:proofErr w:type="spellStart"/>
      <w:r w:rsidR="00820C99">
        <w:rPr>
          <w:i/>
        </w:rPr>
        <w:t>Findings,</w:t>
      </w:r>
      <w:r w:rsidRPr="00EF3151">
        <w:rPr>
          <w:i/>
        </w:rPr>
        <w:t>2009</w:t>
      </w:r>
      <w:proofErr w:type="spellEnd"/>
      <w:r w:rsidRPr="00EF3151">
        <w:t>, Cat. no. 4430.0 and</w:t>
      </w:r>
      <w:r w:rsidRPr="00EF3151">
        <w:rPr>
          <w:i/>
        </w:rPr>
        <w:t xml:space="preserve"> Experimental </w:t>
      </w:r>
      <w:r>
        <w:rPr>
          <w:i/>
        </w:rPr>
        <w:t>Estimates and Projections,</w:t>
      </w:r>
      <w:r w:rsidRPr="00EF3151">
        <w:rPr>
          <w:i/>
        </w:rPr>
        <w:t xml:space="preserve"> Aboriginal and Torres Strait </w:t>
      </w:r>
      <w:r>
        <w:rPr>
          <w:i/>
        </w:rPr>
        <w:t>Islander Australians</w:t>
      </w:r>
      <w:r w:rsidRPr="00EF3151">
        <w:rPr>
          <w:i/>
        </w:rPr>
        <w:t xml:space="preserve">, 1991 to </w:t>
      </w:r>
      <w:r w:rsidRPr="00742AE0">
        <w:rPr>
          <w:i/>
        </w:rPr>
        <w:t>2021 (Series B),</w:t>
      </w:r>
      <w:r w:rsidR="00B85698">
        <w:t xml:space="preserve"> Cat. no. 3238.0; table </w:t>
      </w:r>
      <w:proofErr w:type="spellStart"/>
      <w:r w:rsidR="00B85698">
        <w:t>3A.14</w:t>
      </w:r>
      <w:proofErr w:type="spellEnd"/>
      <w:r w:rsidRPr="00EF3151">
        <w:t xml:space="preserve">. </w:t>
      </w:r>
    </w:p>
    <w:p w:rsidR="0094542E" w:rsidRPr="008B42D1" w:rsidRDefault="00D57AE6" w:rsidP="0094542E">
      <w:pPr>
        <w:pStyle w:val="Heading5"/>
        <w:rPr>
          <w:rStyle w:val="BoxChar"/>
        </w:rPr>
      </w:pPr>
      <w:r>
        <w:lastRenderedPageBreak/>
        <w:t>Proportion of children enrolled in a preschool program</w:t>
      </w:r>
      <w:r w:rsidR="00B16C80">
        <w:t xml:space="preserve"> in the year before full time schooling</w:t>
      </w:r>
      <w:r>
        <w:t xml:space="preserve"> who are disadvantaged</w:t>
      </w:r>
    </w:p>
    <w:p w:rsidR="00D57AE6" w:rsidRDefault="00E4719C" w:rsidP="00D57AE6">
      <w:pPr>
        <w:pStyle w:val="BodyText"/>
      </w:pPr>
      <w:r>
        <w:t>Nationally in 2012 (excluding Queensland), 13</w:t>
      </w:r>
      <w:r w:rsidR="00D57AE6">
        <w:t xml:space="preserve">.9 per cent of children enrolled in a preschool program resided in an area with a </w:t>
      </w:r>
      <w:proofErr w:type="spellStart"/>
      <w:r w:rsidR="00D57AE6">
        <w:t>SEIFA</w:t>
      </w:r>
      <w:proofErr w:type="spellEnd"/>
      <w:r w:rsidR="00D57AE6">
        <w:t xml:space="preserve"> </w:t>
      </w:r>
      <w:proofErr w:type="spellStart"/>
      <w:r w:rsidR="00D57AE6">
        <w:t>IRSD</w:t>
      </w:r>
      <w:proofErr w:type="spellEnd"/>
      <w:r w:rsidR="00D57AE6">
        <w:t xml:space="preserve"> qui</w:t>
      </w:r>
      <w:r w:rsidR="0080582B">
        <w:t>ntile of 1 (figure</w:t>
      </w:r>
      <w:r w:rsidR="00172534">
        <w:t> </w:t>
      </w:r>
      <w:r w:rsidR="0080582B">
        <w:t xml:space="preserve">3.2). </w:t>
      </w:r>
      <w:r w:rsidR="009E4D5C">
        <w:t>These proportions varied across jurisdictions.</w:t>
      </w:r>
    </w:p>
    <w:p w:rsidR="0014648F" w:rsidRPr="00E4719C" w:rsidRDefault="0014648F" w:rsidP="00E4719C">
      <w:pPr>
        <w:pStyle w:val="FigureTitle"/>
        <w:rPr>
          <w:rFonts w:cs="Arial"/>
          <w:position w:val="6"/>
          <w:sz w:val="18"/>
          <w:szCs w:val="18"/>
        </w:rPr>
      </w:pPr>
      <w:r>
        <w:rPr>
          <w:b w:val="0"/>
        </w:rPr>
        <w:t>Figure 3.</w:t>
      </w:r>
      <w:r w:rsidR="002E4BE8">
        <w:rPr>
          <w:b w:val="0"/>
          <w:noProof/>
        </w:rPr>
        <w:t>2</w:t>
      </w:r>
      <w:r>
        <w:tab/>
        <w:t>Proportion of children aged 4 and 5 years enrolled in a preschool program in the year before full time schooling who are disadvantaged, 2012</w:t>
      </w:r>
      <w:r w:rsidRPr="00E46F3F">
        <w:rPr>
          <w:rFonts w:cs="Arial"/>
          <w:position w:val="6"/>
          <w:sz w:val="18"/>
          <w:szCs w:val="18"/>
        </w:rPr>
        <w:t>a, b, c, d, e</w:t>
      </w:r>
      <w:r w:rsidR="00683EFF">
        <w:rPr>
          <w:rFonts w:cs="Arial"/>
          <w:position w:val="6"/>
          <w:sz w:val="18"/>
          <w:szCs w:val="18"/>
        </w:rPr>
        <w:t>, f</w:t>
      </w:r>
      <w:r w:rsidR="00E4719C">
        <w:rPr>
          <w:rFonts w:cs="Arial"/>
          <w:position w:val="6"/>
          <w:sz w:val="18"/>
          <w:szCs w:val="18"/>
        </w:rPr>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4648F" w:rsidTr="00AC0879">
        <w:tc>
          <w:tcPr>
            <w:tcW w:w="8777" w:type="dxa"/>
          </w:tcPr>
          <w:p w:rsidR="0014648F" w:rsidRDefault="00F230C0" w:rsidP="00F73AA3">
            <w:pPr>
              <w:pStyle w:val="Figure"/>
            </w:pPr>
            <w:r>
              <w:rPr>
                <w:noProof/>
              </w:rPr>
              <w:drawing>
                <wp:inline distT="0" distB="0" distL="0" distR="0" wp14:anchorId="0F709891" wp14:editId="6D99A999">
                  <wp:extent cx="5401310" cy="2700655"/>
                  <wp:effectExtent l="0" t="0" r="8890" b="4445"/>
                  <wp:docPr id="1" name="Picture 1" descr="Figure 3.2 Proportion of children aged 4 and 5 years enrolled in a preschool program in the year before full time schooling who are disadvantaged,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1310" cy="2700655"/>
                          </a:xfrm>
                          <a:prstGeom prst="rect">
                            <a:avLst/>
                          </a:prstGeom>
                          <a:noFill/>
                          <a:ln>
                            <a:noFill/>
                          </a:ln>
                        </pic:spPr>
                      </pic:pic>
                    </a:graphicData>
                  </a:graphic>
                </wp:inline>
              </w:drawing>
            </w:r>
          </w:p>
        </w:tc>
      </w:tr>
    </w:tbl>
    <w:p w:rsidR="0014648F" w:rsidRPr="00AD6479" w:rsidRDefault="0014648F" w:rsidP="0014648F">
      <w:pPr>
        <w:pStyle w:val="Note"/>
      </w:pPr>
      <w:r w:rsidRPr="00AD6479">
        <w:rPr>
          <w:rStyle w:val="NoteLabel"/>
        </w:rPr>
        <w:t>a</w:t>
      </w:r>
      <w:r w:rsidRPr="00AD6479">
        <w:t xml:space="preserve"> </w:t>
      </w:r>
      <w:r w:rsidR="002C2BFF" w:rsidRPr="00AD6479">
        <w:t>Year before full time schooling data include children aged 4 or 5 years on 1 July, except c</w:t>
      </w:r>
      <w:r w:rsidRPr="00AD6479">
        <w:t xml:space="preserve">hildren aged </w:t>
      </w:r>
      <w:r w:rsidR="005C2C17">
        <w:br/>
      </w:r>
      <w:r w:rsidRPr="00AD6479">
        <w:t>5 years</w:t>
      </w:r>
      <w:r w:rsidR="00683EFF">
        <w:t xml:space="preserve"> </w:t>
      </w:r>
      <w:r w:rsidRPr="00AD6479">
        <w:t>who were enrolled in preschool in the previous year as a 4 year o</w:t>
      </w:r>
      <w:r w:rsidR="002C2BFF" w:rsidRPr="00AD6479">
        <w:t>ld</w:t>
      </w:r>
      <w:r w:rsidR="00C56799">
        <w:t>.</w:t>
      </w:r>
      <w:r w:rsidRPr="00AD6479">
        <w:rPr>
          <w:rStyle w:val="NoteLabel"/>
        </w:rPr>
        <w:t xml:space="preserve"> b</w:t>
      </w:r>
      <w:r w:rsidRPr="00AD6479">
        <w:t xml:space="preserve"> Disadvantage is defined for this measure to be children residing in an area w</w:t>
      </w:r>
      <w:r w:rsidR="002C2BFF" w:rsidRPr="00AD6479">
        <w:t xml:space="preserve">ith a </w:t>
      </w:r>
      <w:proofErr w:type="spellStart"/>
      <w:r w:rsidR="002C2BFF" w:rsidRPr="00AD6479">
        <w:t>SEIFA</w:t>
      </w:r>
      <w:proofErr w:type="spellEnd"/>
      <w:r w:rsidR="002C2BFF" w:rsidRPr="00AD6479">
        <w:t xml:space="preserve"> </w:t>
      </w:r>
      <w:proofErr w:type="spellStart"/>
      <w:r w:rsidR="002C2BFF" w:rsidRPr="00AD6479">
        <w:t>IRSD</w:t>
      </w:r>
      <w:proofErr w:type="spellEnd"/>
      <w:r w:rsidR="002C2BFF" w:rsidRPr="00AD6479">
        <w:t xml:space="preserve"> quintile of 1.</w:t>
      </w:r>
      <w:r w:rsidR="009E4D5C">
        <w:t xml:space="preserve"> Areas with a </w:t>
      </w:r>
      <w:proofErr w:type="spellStart"/>
      <w:r w:rsidR="009E4D5C">
        <w:t>SEIFA</w:t>
      </w:r>
      <w:proofErr w:type="spellEnd"/>
      <w:r w:rsidR="009E4D5C">
        <w:t xml:space="preserve"> </w:t>
      </w:r>
      <w:proofErr w:type="spellStart"/>
      <w:r w:rsidR="009E4D5C">
        <w:t>IRSD</w:t>
      </w:r>
      <w:proofErr w:type="spellEnd"/>
      <w:r w:rsidR="009E4D5C">
        <w:t xml:space="preserve"> quintile of 1 are not evenl</w:t>
      </w:r>
      <w:r w:rsidR="0087615C">
        <w:t>y distributed across Australia</w:t>
      </w:r>
      <w:r w:rsidR="009E4D5C">
        <w:t>.</w:t>
      </w:r>
      <w:r w:rsidR="0087615C">
        <w:t xml:space="preserve"> </w:t>
      </w:r>
      <w:r w:rsidR="00C56799" w:rsidRPr="00AD6479">
        <w:rPr>
          <w:rStyle w:val="NoteLabel"/>
        </w:rPr>
        <w:t>c</w:t>
      </w:r>
      <w:r w:rsidR="00C56799" w:rsidRPr="00AD6479">
        <w:t xml:space="preserve"> </w:t>
      </w:r>
      <w:r w:rsidR="0080582B">
        <w:t xml:space="preserve">Data on representation </w:t>
      </w:r>
      <w:r w:rsidR="00C56799">
        <w:t xml:space="preserve">in the community are reported using the same definition as the measure of enrolment. That is, of children residing in an area with a </w:t>
      </w:r>
      <w:proofErr w:type="spellStart"/>
      <w:r w:rsidR="00C56799">
        <w:t>SEIFA</w:t>
      </w:r>
      <w:proofErr w:type="spellEnd"/>
      <w:r w:rsidR="00C56799">
        <w:t xml:space="preserve"> </w:t>
      </w:r>
      <w:proofErr w:type="spellStart"/>
      <w:r w:rsidR="00C56799">
        <w:t>IRSD</w:t>
      </w:r>
      <w:proofErr w:type="spellEnd"/>
      <w:r w:rsidR="00C56799">
        <w:t xml:space="preserve"> quintile of 1. Data are based on the </w:t>
      </w:r>
      <w:r w:rsidR="00C56799" w:rsidRPr="0080582B">
        <w:rPr>
          <w:i/>
        </w:rPr>
        <w:t xml:space="preserve">2011 Census of Population and Housing </w:t>
      </w:r>
      <w:r w:rsidR="00C56799" w:rsidRPr="00F73AA3">
        <w:t xml:space="preserve">population </w:t>
      </w:r>
      <w:r w:rsidR="00C56799">
        <w:t>of 4 and 5 year olds.</w:t>
      </w:r>
      <w:r w:rsidR="002C2BFF" w:rsidRPr="00AD6479">
        <w:t xml:space="preserve"> </w:t>
      </w:r>
      <w:r w:rsidR="00C56799">
        <w:rPr>
          <w:rStyle w:val="NoteLabel"/>
        </w:rPr>
        <w:t>d</w:t>
      </w:r>
      <w:r w:rsidRPr="00AD6479">
        <w:t xml:space="preserve"> </w:t>
      </w:r>
      <w:r w:rsidR="00BF7E5D" w:rsidRPr="00AD6479">
        <w:t xml:space="preserve">Not all children undertaking a preschool program in a long day care setting in NSW are captured in the collection, resulting in </w:t>
      </w:r>
      <w:r w:rsidR="00BF7E5D">
        <w:t xml:space="preserve">an undercount. </w:t>
      </w:r>
      <w:r w:rsidR="00C56799">
        <w:rPr>
          <w:rStyle w:val="NoteLabel"/>
        </w:rPr>
        <w:t>e</w:t>
      </w:r>
      <w:r w:rsidRPr="00AD6479">
        <w:t xml:space="preserve"> </w:t>
      </w:r>
      <w:r w:rsidR="00BF7E5D" w:rsidRPr="001E1784">
        <w:t>Queensland data are not published for children enrolled who are disadvantaged or included in the data for Australia.</w:t>
      </w:r>
      <w:r w:rsidR="00BF7E5D" w:rsidRPr="00AD6479">
        <w:t xml:space="preserve"> </w:t>
      </w:r>
      <w:r w:rsidR="00C56799">
        <w:rPr>
          <w:rStyle w:val="NoteLabel"/>
        </w:rPr>
        <w:t>f</w:t>
      </w:r>
      <w:r w:rsidRPr="00AD6479">
        <w:t xml:space="preserve"> Totals for the ACT exclude data for preschools within independent schools, which were unavailable for 2012.</w:t>
      </w:r>
    </w:p>
    <w:p w:rsidR="0014648F" w:rsidRPr="00AD6479" w:rsidRDefault="0014648F" w:rsidP="0014648F">
      <w:pPr>
        <w:pStyle w:val="Source"/>
      </w:pPr>
      <w:r w:rsidRPr="00AD6479">
        <w:rPr>
          <w:i/>
        </w:rPr>
        <w:t>Source</w:t>
      </w:r>
      <w:r w:rsidRPr="00AD6479">
        <w:t xml:space="preserve">: Derived from ABS (2013) </w:t>
      </w:r>
      <w:r w:rsidRPr="00AD6479">
        <w:rPr>
          <w:i/>
        </w:rPr>
        <w:t xml:space="preserve">Preschool Education, Australia, 2012, </w:t>
      </w:r>
      <w:r w:rsidRPr="00AD6479">
        <w:t>Cat. no. 4240.0;</w:t>
      </w:r>
      <w:r w:rsidR="006D623C">
        <w:t xml:space="preserve"> (unpublished) </w:t>
      </w:r>
      <w:r w:rsidR="00C4039E">
        <w:br/>
      </w:r>
      <w:r w:rsidR="006D623C" w:rsidRPr="006D623C">
        <w:rPr>
          <w:i/>
        </w:rPr>
        <w:t>2011 Census of Population and Housing</w:t>
      </w:r>
      <w:r w:rsidR="006D623C">
        <w:t>;</w:t>
      </w:r>
      <w:r w:rsidR="00B85698">
        <w:t xml:space="preserve"> table</w:t>
      </w:r>
      <w:r w:rsidR="00172534">
        <w:t> </w:t>
      </w:r>
      <w:proofErr w:type="spellStart"/>
      <w:r w:rsidR="00B85698">
        <w:t>3A.15</w:t>
      </w:r>
      <w:proofErr w:type="spellEnd"/>
      <w:r w:rsidRPr="00AD6479">
        <w:t>.</w:t>
      </w:r>
    </w:p>
    <w:p w:rsidR="0014648F" w:rsidRPr="00C04BEE" w:rsidRDefault="0014648F" w:rsidP="0014648F">
      <w:pPr>
        <w:pStyle w:val="BodyText"/>
      </w:pPr>
      <w:r>
        <w:t>Data on the proportion of children attending a preschool program who are disadvanta</w:t>
      </w:r>
      <w:r w:rsidR="00B85698">
        <w:t>ged are presented in table</w:t>
      </w:r>
      <w:r w:rsidR="00172534">
        <w:t> </w:t>
      </w:r>
      <w:proofErr w:type="spellStart"/>
      <w:r w:rsidR="00B85698">
        <w:t>3A.15</w:t>
      </w:r>
      <w:proofErr w:type="spellEnd"/>
      <w:r>
        <w:t>.</w:t>
      </w:r>
    </w:p>
    <w:p w:rsidR="00D57AE6" w:rsidRDefault="00D57AE6" w:rsidP="00D85F32">
      <w:pPr>
        <w:pStyle w:val="BodyText"/>
      </w:pPr>
    </w:p>
    <w:p w:rsidR="00342A4D" w:rsidRDefault="00FE040F" w:rsidP="00C3586E">
      <w:pPr>
        <w:pStyle w:val="Heading4"/>
      </w:pPr>
      <w:r w:rsidRPr="00FE040F">
        <w:lastRenderedPageBreak/>
        <w:t>Effectiveness</w:t>
      </w:r>
    </w:p>
    <w:p w:rsidR="00342A4D" w:rsidRDefault="0014648F" w:rsidP="00C3586E">
      <w:pPr>
        <w:pStyle w:val="Heading5"/>
      </w:pPr>
      <w:r w:rsidRPr="00C41228">
        <w:t xml:space="preserve">Access — </w:t>
      </w:r>
      <w:r>
        <w:t>c</w:t>
      </w:r>
      <w:r w:rsidR="00C85D95">
        <w:t>hildren using child care</w:t>
      </w:r>
    </w:p>
    <w:p w:rsidR="00C87815" w:rsidRDefault="009A6BA7" w:rsidP="00C3586E">
      <w:pPr>
        <w:pStyle w:val="BodyText"/>
      </w:pPr>
      <w:r w:rsidRPr="009A6BA7">
        <w:t>‘</w:t>
      </w:r>
      <w:r w:rsidR="00F44BAB">
        <w:t>C</w:t>
      </w:r>
      <w:r w:rsidRPr="009A6BA7">
        <w:t xml:space="preserve">hildren using child care’ is an indicator of governments’ objective to ensure that all families have equitable access to child care services </w:t>
      </w:r>
      <w:r w:rsidR="00FE040F" w:rsidRPr="00FE040F">
        <w:t>(box</w:t>
      </w:r>
      <w:r w:rsidR="00172534">
        <w:t> </w:t>
      </w:r>
      <w:r w:rsidR="0026206E">
        <w:t>3.7</w:t>
      </w:r>
      <w:r w:rsidR="00FE040F" w:rsidRPr="00FE040F">
        <w:t>).</w:t>
      </w:r>
    </w:p>
    <w:p w:rsidR="00C87815" w:rsidRDefault="00C8781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87815">
        <w:tc>
          <w:tcPr>
            <w:tcW w:w="8771" w:type="dxa"/>
            <w:tcBorders>
              <w:top w:val="single" w:sz="6" w:space="0" w:color="auto"/>
              <w:bottom w:val="nil"/>
            </w:tcBorders>
          </w:tcPr>
          <w:p w:rsidR="00C87815" w:rsidRPr="00C87815" w:rsidRDefault="00C87815" w:rsidP="00060F9B">
            <w:pPr>
              <w:pStyle w:val="BoxTitle"/>
              <w:rPr>
                <w:color w:val="1F497D" w:themeColor="text2"/>
              </w:rPr>
            </w:pPr>
            <w:r w:rsidRPr="00DF669E">
              <w:rPr>
                <w:b w:val="0"/>
              </w:rPr>
              <w:t>Box 3.7</w:t>
            </w:r>
            <w:r w:rsidRPr="00DF669E">
              <w:tab/>
              <w:t>Children using child care</w:t>
            </w:r>
          </w:p>
        </w:tc>
      </w:tr>
      <w:tr w:rsidR="00C87815" w:rsidTr="00C87815">
        <w:trPr>
          <w:cantSplit/>
          <w:trHeight w:val="80"/>
        </w:trPr>
        <w:tc>
          <w:tcPr>
            <w:tcW w:w="8771" w:type="dxa"/>
            <w:tcBorders>
              <w:top w:val="nil"/>
              <w:left w:val="single" w:sz="6" w:space="0" w:color="auto"/>
              <w:bottom w:val="nil"/>
              <w:right w:val="single" w:sz="6" w:space="0" w:color="auto"/>
            </w:tcBorders>
          </w:tcPr>
          <w:p w:rsidR="00C87815" w:rsidRPr="00DF669E" w:rsidRDefault="00C87815">
            <w:pPr>
              <w:pStyle w:val="Box"/>
            </w:pPr>
            <w:r w:rsidRPr="00DF669E">
              <w:t>‘Children using child care’ is defined by three measures:</w:t>
            </w:r>
          </w:p>
          <w:p w:rsidR="00C87815" w:rsidRPr="00DF669E" w:rsidRDefault="00C87815" w:rsidP="00751B02">
            <w:pPr>
              <w:pStyle w:val="BoxListBullet"/>
            </w:pPr>
            <w:r w:rsidRPr="00DF669E">
              <w:t>proportion of children using Australian Government approved plus State and Territory government funded and/or provided child care</w:t>
            </w:r>
          </w:p>
          <w:p w:rsidR="00C87815" w:rsidRPr="00DF669E" w:rsidRDefault="00C87815" w:rsidP="00751B02">
            <w:pPr>
              <w:pStyle w:val="BoxListBullet"/>
            </w:pPr>
            <w:r w:rsidRPr="00DF669E">
              <w:t>proportion of children aged 0–12 years using Australian Government approved child care</w:t>
            </w:r>
          </w:p>
          <w:p w:rsidR="00C87815" w:rsidRPr="00DF669E" w:rsidRDefault="00C87815" w:rsidP="00751B02">
            <w:pPr>
              <w:pStyle w:val="BoxListBullet"/>
            </w:pPr>
            <w:r w:rsidRPr="00DF669E">
              <w:t>average hours of attendance at Australian Government approved child care services by service model.</w:t>
            </w:r>
          </w:p>
          <w:p w:rsidR="00F40D0C" w:rsidRPr="00DF669E" w:rsidRDefault="00F40D0C" w:rsidP="00F40D0C">
            <w:pPr>
              <w:pStyle w:val="Box"/>
            </w:pPr>
            <w:r w:rsidRPr="00DF669E">
              <w:t>A higher or increasing proportion of children using the services can indicate a higher level of service availability. This indicator does not provide information on parental preferences for using child care, or other factors, such as school starting age, which can affect use of child care.</w:t>
            </w:r>
          </w:p>
          <w:p w:rsidR="00936C9C" w:rsidRPr="00DF669E" w:rsidRDefault="00936C9C" w:rsidP="00936C9C">
            <w:pPr>
              <w:pStyle w:val="BoxListBullet2"/>
              <w:numPr>
                <w:ilvl w:val="0"/>
                <w:numId w:val="0"/>
              </w:numPr>
            </w:pPr>
            <w:r w:rsidRPr="00DF669E">
              <w:t xml:space="preserve">Data reported for </w:t>
            </w:r>
            <w:r w:rsidR="00416817" w:rsidRPr="00DF669E">
              <w:t xml:space="preserve">these measures </w:t>
            </w:r>
            <w:r w:rsidRPr="00DF669E">
              <w:t>are:</w:t>
            </w:r>
          </w:p>
          <w:p w:rsidR="00936C9C" w:rsidRPr="00DF669E" w:rsidRDefault="00936C9C" w:rsidP="00751B02">
            <w:pPr>
              <w:pStyle w:val="BoxListBullet"/>
            </w:pPr>
            <w:r w:rsidRPr="00DF669E">
              <w:t>comparable (subject to caveats) within jurisdictions over time but are not comparable across jurisdictions</w:t>
            </w:r>
            <w:r w:rsidR="00416817" w:rsidRPr="00DF669E">
              <w:t xml:space="preserve"> for Australian Government approved plus State and Territory government funded and/or provided child care. Data are comparable (subject to caveats) across jurisdictions and over time for children aged 0–12 years using Australian Government approved child care and average hours of attendance</w:t>
            </w:r>
          </w:p>
          <w:p w:rsidR="00416817" w:rsidRPr="00DF669E" w:rsidRDefault="00936C9C" w:rsidP="00751B02">
            <w:pPr>
              <w:pStyle w:val="BoxListBullet"/>
            </w:pPr>
            <w:r w:rsidRPr="00DF669E">
              <w:t xml:space="preserve">complete </w:t>
            </w:r>
            <w:r w:rsidR="00D31E74" w:rsidRPr="00DF669E">
              <w:t xml:space="preserve">(subject to caveats) </w:t>
            </w:r>
            <w:r w:rsidRPr="00DF669E">
              <w:t>for the current reporting period</w:t>
            </w:r>
            <w:r w:rsidR="00D31E74" w:rsidRPr="00DF669E">
              <w:t>.</w:t>
            </w:r>
            <w:r w:rsidRPr="00DF669E">
              <w:t xml:space="preserve"> All required 2012</w:t>
            </w:r>
            <w:r w:rsidR="00172534">
              <w:noBreakHyphen/>
            </w:r>
            <w:r w:rsidRPr="00DF669E">
              <w:t>13 data are available for all jurisdictions</w:t>
            </w:r>
            <w:r w:rsidR="00416817" w:rsidRPr="00DF669E">
              <w:t xml:space="preserve"> for Australian Government approved plus State and Territory government funded and/or provided child care and all required 2013 data are available for all jurisdictions for children aged 0–12 years using Australian Government approved child care and average hours of attendance</w:t>
            </w:r>
          </w:p>
          <w:p w:rsidR="00C87815" w:rsidRPr="00416817" w:rsidRDefault="00C2453F" w:rsidP="00416817">
            <w:pPr>
              <w:pStyle w:val="BoxListBullet"/>
              <w:numPr>
                <w:ilvl w:val="0"/>
                <w:numId w:val="0"/>
              </w:numPr>
              <w:rPr>
                <w:color w:val="1F497D" w:themeColor="text2"/>
              </w:rPr>
            </w:pPr>
            <w:r>
              <w:rPr>
                <w:rFonts w:cs="Arial"/>
                <w:szCs w:val="26"/>
              </w:rPr>
              <w:t>D</w:t>
            </w:r>
            <w:r w:rsidR="000C49A1" w:rsidRPr="00DF669E">
              <w:rPr>
                <w:rFonts w:cs="Arial"/>
                <w:szCs w:val="26"/>
              </w:rPr>
              <w:t xml:space="preserve">ata quality </w:t>
            </w:r>
            <w:r>
              <w:rPr>
                <w:rFonts w:cs="Arial"/>
                <w:szCs w:val="26"/>
              </w:rPr>
              <w:t xml:space="preserve">information </w:t>
            </w:r>
            <w:r w:rsidR="000C49A1" w:rsidRPr="00DF669E">
              <w:rPr>
                <w:rFonts w:cs="Arial"/>
                <w:szCs w:val="26"/>
              </w:rPr>
              <w:t xml:space="preserve">for this indicator is at </w:t>
            </w:r>
            <w:proofErr w:type="spellStart"/>
            <w:r w:rsidR="000C49A1" w:rsidRPr="00DF669E">
              <w:rPr>
                <w:rFonts w:cs="Arial"/>
                <w:szCs w:val="26"/>
              </w:rPr>
              <w:t>www.pc.gov.au</w:t>
            </w:r>
            <w:proofErr w:type="spellEnd"/>
            <w:r w:rsidR="000C49A1" w:rsidRPr="00DF669E">
              <w:rPr>
                <w:rFonts w:cs="Arial"/>
                <w:szCs w:val="26"/>
              </w:rPr>
              <w:t>/</w:t>
            </w:r>
            <w:proofErr w:type="spellStart"/>
            <w:r w:rsidR="000C49A1" w:rsidRPr="00DF669E">
              <w:rPr>
                <w:rFonts w:cs="Arial"/>
                <w:szCs w:val="26"/>
              </w:rPr>
              <w:t>gsp</w:t>
            </w:r>
            <w:proofErr w:type="spellEnd"/>
            <w:r w:rsidR="000C49A1" w:rsidRPr="00DF669E">
              <w:rPr>
                <w:rFonts w:cs="Arial"/>
                <w:szCs w:val="26"/>
              </w:rPr>
              <w:t>/reports/</w:t>
            </w:r>
            <w:proofErr w:type="spellStart"/>
            <w:r w:rsidR="000C49A1" w:rsidRPr="00DF669E">
              <w:rPr>
                <w:rFonts w:cs="Arial"/>
                <w:szCs w:val="26"/>
              </w:rPr>
              <w:t>rogs</w:t>
            </w:r>
            <w:proofErr w:type="spellEnd"/>
            <w:r w:rsidR="000C49A1" w:rsidRPr="00DF669E">
              <w:rPr>
                <w:rFonts w:cs="Arial"/>
                <w:szCs w:val="26"/>
              </w:rPr>
              <w:t>/2014</w:t>
            </w:r>
            <w:r w:rsidR="005D5427" w:rsidRPr="00DF669E">
              <w:rPr>
                <w:rFonts w:cs="Arial"/>
                <w:szCs w:val="26"/>
              </w:rPr>
              <w:t>.</w:t>
            </w:r>
          </w:p>
        </w:tc>
      </w:tr>
      <w:tr w:rsidR="00C87815">
        <w:trPr>
          <w:cantSplit/>
        </w:trPr>
        <w:tc>
          <w:tcPr>
            <w:tcW w:w="8771" w:type="dxa"/>
            <w:tcBorders>
              <w:top w:val="nil"/>
              <w:left w:val="single" w:sz="6" w:space="0" w:color="auto"/>
              <w:bottom w:val="single" w:sz="6" w:space="0" w:color="auto"/>
              <w:right w:val="single" w:sz="6" w:space="0" w:color="auto"/>
            </w:tcBorders>
          </w:tcPr>
          <w:p w:rsidR="00C87815" w:rsidRDefault="00C87815">
            <w:pPr>
              <w:pStyle w:val="Box"/>
              <w:spacing w:before="0" w:line="120" w:lineRule="exact"/>
            </w:pPr>
          </w:p>
        </w:tc>
      </w:tr>
      <w:tr w:rsidR="00C87815" w:rsidRPr="000863A5">
        <w:tc>
          <w:tcPr>
            <w:tcW w:w="8771" w:type="dxa"/>
            <w:tcBorders>
              <w:top w:val="nil"/>
              <w:left w:val="nil"/>
              <w:bottom w:val="nil"/>
              <w:right w:val="nil"/>
            </w:tcBorders>
          </w:tcPr>
          <w:p w:rsidR="00C87815" w:rsidRPr="00626D32" w:rsidRDefault="00C87815" w:rsidP="00342DDB">
            <w:pPr>
              <w:pStyle w:val="BoxSpaceBelow"/>
            </w:pPr>
          </w:p>
        </w:tc>
      </w:tr>
    </w:tbl>
    <w:p w:rsidR="001A0B9F" w:rsidRPr="001A0B9F" w:rsidRDefault="00302CB7" w:rsidP="00C3586E">
      <w:pPr>
        <w:pStyle w:val="BodyText"/>
      </w:pPr>
      <w:r>
        <w:t xml:space="preserve">The employment status of parents </w:t>
      </w:r>
      <w:r w:rsidR="005C7263">
        <w:t>can</w:t>
      </w:r>
      <w:r>
        <w:t xml:space="preserve"> influence children’s access to services</w:t>
      </w:r>
      <w:r w:rsidR="005C1C4F">
        <w:t xml:space="preserve">, depending on the service </w:t>
      </w:r>
      <w:r w:rsidR="00E47AF3">
        <w:t>model</w:t>
      </w:r>
      <w:r>
        <w:t xml:space="preserve">. Those services eligible for </w:t>
      </w:r>
      <w:proofErr w:type="spellStart"/>
      <w:r w:rsidR="00152D04">
        <w:t>CCB</w:t>
      </w:r>
      <w:proofErr w:type="spellEnd"/>
      <w:r>
        <w:t xml:space="preserve">, for example, </w:t>
      </w:r>
      <w:r w:rsidR="00DA33A5">
        <w:t xml:space="preserve">must follow the Australian Government’s ‘priority of access’ guidelines when filling vacant places. The guidelines give </w:t>
      </w:r>
      <w:r>
        <w:t>a high priority to children at risk and children of parents with work</w:t>
      </w:r>
      <w:r w:rsidR="00172534">
        <w:noBreakHyphen/>
      </w:r>
      <w:r>
        <w:t xml:space="preserve">related </w:t>
      </w:r>
      <w:r w:rsidR="00C85D95">
        <w:t>child care</w:t>
      </w:r>
      <w:r>
        <w:t xml:space="preserve"> needs</w:t>
      </w:r>
      <w:r w:rsidR="00651446">
        <w:t xml:space="preserve"> (s</w:t>
      </w:r>
      <w:r w:rsidR="00CE0C7E">
        <w:t>ection</w:t>
      </w:r>
      <w:r w:rsidR="00172534">
        <w:t> </w:t>
      </w:r>
      <w:r w:rsidR="00923A1C">
        <w:t>3.6</w:t>
      </w:r>
      <w:r w:rsidR="006D7884">
        <w:t xml:space="preserve"> </w:t>
      </w:r>
      <w:r w:rsidR="00651446">
        <w:t xml:space="preserve">contains </w:t>
      </w:r>
      <w:r w:rsidR="00CE0C7E">
        <w:t xml:space="preserve">more detail). </w:t>
      </w:r>
      <w:r>
        <w:t>Details of the employment status of parents whos</w:t>
      </w:r>
      <w:r w:rsidR="007B5C59">
        <w:t>e children use these services</w:t>
      </w:r>
      <w:r w:rsidR="00C4602B">
        <w:t xml:space="preserve">, for 2008 and 2011, </w:t>
      </w:r>
      <w:r>
        <w:t>are shown in table</w:t>
      </w:r>
      <w:r w:rsidR="00172534">
        <w:t> </w:t>
      </w:r>
      <w:proofErr w:type="spellStart"/>
      <w:r>
        <w:t>3A</w:t>
      </w:r>
      <w:r w:rsidRPr="001A0B9F">
        <w:t>.</w:t>
      </w:r>
      <w:r w:rsidR="00084DB4">
        <w:t>20</w:t>
      </w:r>
      <w:proofErr w:type="spellEnd"/>
      <w:r w:rsidR="00980149">
        <w:t>.</w:t>
      </w:r>
    </w:p>
    <w:p w:rsidR="00936C9C" w:rsidRPr="00936C9C" w:rsidRDefault="00936C9C" w:rsidP="00F40D0C">
      <w:pPr>
        <w:pStyle w:val="Heading5"/>
      </w:pPr>
      <w:r w:rsidRPr="00936C9C">
        <w:lastRenderedPageBreak/>
        <w:t>Proportion of children using Australian Government approved plus State and Territory government funded and/or provided child care</w:t>
      </w:r>
    </w:p>
    <w:p w:rsidR="00FE040F" w:rsidRPr="00804634" w:rsidRDefault="007936A0" w:rsidP="00D85F32">
      <w:pPr>
        <w:pStyle w:val="BodyText"/>
      </w:pPr>
      <w:r w:rsidRPr="00804634">
        <w:t xml:space="preserve">Nationally, </w:t>
      </w:r>
      <w:r w:rsidR="00807C6B" w:rsidRPr="00807C6B">
        <w:t>30.7</w:t>
      </w:r>
      <w:r w:rsidR="007F6963" w:rsidRPr="00807C6B">
        <w:t xml:space="preserve"> </w:t>
      </w:r>
      <w:r w:rsidRPr="00804634">
        <w:t xml:space="preserve">per cent of children aged 0–12 years attended Australian </w:t>
      </w:r>
      <w:r w:rsidR="006B18EF" w:rsidRPr="00804634">
        <w:t>G</w:t>
      </w:r>
      <w:r w:rsidR="002D47F2" w:rsidRPr="00804634">
        <w:t xml:space="preserve">overnment </w:t>
      </w:r>
      <w:r w:rsidRPr="00804634">
        <w:t xml:space="preserve">approved and State and Territory government funded and/or provided child care in </w:t>
      </w:r>
      <w:r w:rsidR="00940985" w:rsidRPr="00804634">
        <w:t>201</w:t>
      </w:r>
      <w:r w:rsidR="00804634" w:rsidRPr="00804634">
        <w:t>2</w:t>
      </w:r>
      <w:r w:rsidR="00172534">
        <w:noBreakHyphen/>
      </w:r>
      <w:r w:rsidR="00804634" w:rsidRPr="00804634">
        <w:t>13</w:t>
      </w:r>
      <w:r w:rsidR="007F21DD" w:rsidRPr="00804634">
        <w:t xml:space="preserve">. </w:t>
      </w:r>
      <w:r w:rsidR="002D47F2" w:rsidRPr="00804634">
        <w:t xml:space="preserve">Amongst </w:t>
      </w:r>
      <w:r w:rsidR="007F21DD" w:rsidRPr="00804634">
        <w:t>children aged 0–5 years</w:t>
      </w:r>
      <w:r w:rsidR="00DA290D" w:rsidRPr="00807C6B">
        <w:t xml:space="preserve">, </w:t>
      </w:r>
      <w:r w:rsidR="00807C6B" w:rsidRPr="00807C6B">
        <w:t>45.7</w:t>
      </w:r>
      <w:r w:rsidR="004C1AEF" w:rsidRPr="00807C6B">
        <w:t xml:space="preserve"> </w:t>
      </w:r>
      <w:r w:rsidR="004C1AEF" w:rsidRPr="00804634">
        <w:t xml:space="preserve">per cent </w:t>
      </w:r>
      <w:r w:rsidR="00F72D98" w:rsidRPr="00804634">
        <w:t xml:space="preserve">attended </w:t>
      </w:r>
      <w:r w:rsidR="002D47F2" w:rsidRPr="00804634">
        <w:t xml:space="preserve">and amongst </w:t>
      </w:r>
      <w:r w:rsidR="00F72D98" w:rsidRPr="00804634">
        <w:t xml:space="preserve">children aged </w:t>
      </w:r>
      <w:r w:rsidR="002D47F2" w:rsidRPr="00804634">
        <w:t>6–12</w:t>
      </w:r>
      <w:r w:rsidR="006B18EF" w:rsidRPr="00804634">
        <w:t> </w:t>
      </w:r>
      <w:r w:rsidR="002D47F2" w:rsidRPr="00804634">
        <w:t>years</w:t>
      </w:r>
      <w:r w:rsidR="00F72D98" w:rsidRPr="00804634">
        <w:t>,</w:t>
      </w:r>
      <w:r w:rsidR="002D47F2" w:rsidRPr="00804634">
        <w:t xml:space="preserve"> </w:t>
      </w:r>
      <w:r w:rsidR="00050F59" w:rsidRPr="00807C6B">
        <w:rPr>
          <w:shd w:val="clear" w:color="auto" w:fill="FFFFFF" w:themeFill="background1"/>
        </w:rPr>
        <w:t>17</w:t>
      </w:r>
      <w:r w:rsidR="005670F4" w:rsidRPr="00807C6B">
        <w:rPr>
          <w:shd w:val="clear" w:color="auto" w:fill="FFFFFF" w:themeFill="background1"/>
        </w:rPr>
        <w:t>.</w:t>
      </w:r>
      <w:r w:rsidR="00807C6B" w:rsidRPr="00807C6B">
        <w:rPr>
          <w:shd w:val="clear" w:color="auto" w:fill="FFFFFF" w:themeFill="background1"/>
        </w:rPr>
        <w:t>1</w:t>
      </w:r>
      <w:r w:rsidR="0047102C" w:rsidRPr="00807C6B">
        <w:t xml:space="preserve"> </w:t>
      </w:r>
      <w:r w:rsidR="00DA290D" w:rsidRPr="00804634">
        <w:t xml:space="preserve">per cent attended </w:t>
      </w:r>
      <w:r w:rsidRPr="00804634">
        <w:t>(</w:t>
      </w:r>
      <w:r w:rsidR="000958B0" w:rsidRPr="00804634">
        <w:t>figure</w:t>
      </w:r>
      <w:r w:rsidR="00172534">
        <w:t> </w:t>
      </w:r>
      <w:r w:rsidR="00923A1C" w:rsidRPr="00804634">
        <w:t>3.</w:t>
      </w:r>
      <w:r w:rsidR="002A619D" w:rsidRPr="00804634">
        <w:t>3</w:t>
      </w:r>
      <w:r w:rsidRPr="00804634">
        <w:t xml:space="preserve">). </w:t>
      </w:r>
      <w:r w:rsidR="00C0426B" w:rsidRPr="00804634">
        <w:t>Of those children aged 0</w:t>
      </w:r>
      <w:r w:rsidR="006B18EF" w:rsidRPr="00804634">
        <w:t>–</w:t>
      </w:r>
      <w:r w:rsidR="00C0426B" w:rsidRPr="00804634">
        <w:t>12 years that attended child care, n</w:t>
      </w:r>
      <w:r w:rsidRPr="00804634">
        <w:t>early all (</w:t>
      </w:r>
      <w:r w:rsidR="00807C6B" w:rsidRPr="00807C6B">
        <w:t>89.4</w:t>
      </w:r>
      <w:r w:rsidR="00D97494" w:rsidRPr="00807C6B">
        <w:t xml:space="preserve"> </w:t>
      </w:r>
      <w:r w:rsidRPr="00804634">
        <w:t>per cent) attended Australian Government approved child care services (</w:t>
      </w:r>
      <w:r w:rsidR="000F2CAA" w:rsidRPr="00804634">
        <w:t>table</w:t>
      </w:r>
      <w:r w:rsidR="00172534">
        <w:t> </w:t>
      </w:r>
      <w:proofErr w:type="spellStart"/>
      <w:r w:rsidR="000F2CAA" w:rsidRPr="00804634">
        <w:t>3A.</w:t>
      </w:r>
      <w:r w:rsidR="000A1C4E" w:rsidRPr="00804634">
        <w:t>1</w:t>
      </w:r>
      <w:r w:rsidR="00B85698">
        <w:t>0</w:t>
      </w:r>
      <w:proofErr w:type="spellEnd"/>
      <w:r w:rsidR="00523583" w:rsidRPr="00804634">
        <w:t>).</w:t>
      </w:r>
    </w:p>
    <w:p w:rsidR="00FC1052" w:rsidRPr="00DD4088" w:rsidRDefault="00FC1052" w:rsidP="00C3586E">
      <w:pPr>
        <w:pStyle w:val="FigureTitle"/>
      </w:pPr>
      <w:r w:rsidRPr="00DD4088">
        <w:rPr>
          <w:b w:val="0"/>
        </w:rPr>
        <w:t xml:space="preserve">Figure </w:t>
      </w:r>
      <w:bookmarkStart w:id="13" w:name="OLE_LINK73"/>
      <w:r w:rsidR="00923A1C" w:rsidRPr="00DD4088">
        <w:rPr>
          <w:b w:val="0"/>
        </w:rPr>
        <w:t>3.</w:t>
      </w:r>
      <w:r w:rsidR="002E4BE8">
        <w:rPr>
          <w:b w:val="0"/>
          <w:noProof/>
        </w:rPr>
        <w:t>3</w:t>
      </w:r>
      <w:bookmarkEnd w:id="13"/>
      <w:r w:rsidRPr="00C86801">
        <w:tab/>
        <w:t xml:space="preserve">Proportion of children using Australian Government approved plus State and Territory government funded and/or provided child care, </w:t>
      </w:r>
      <w:r w:rsidR="00B5525F" w:rsidRPr="00C86801">
        <w:t>201</w:t>
      </w:r>
      <w:r w:rsidR="000A70FB">
        <w:t>2</w:t>
      </w:r>
      <w:r w:rsidR="00172534">
        <w:noBreakHyphen/>
      </w:r>
      <w:r w:rsidR="000A70FB">
        <w:t>13</w:t>
      </w:r>
      <w:r w:rsidRPr="00C86801">
        <w:rPr>
          <w:rFonts w:cs="Arial"/>
          <w:position w:val="6"/>
          <w:sz w:val="18"/>
          <w:szCs w:val="18"/>
        </w:rPr>
        <w:t>a, b</w:t>
      </w:r>
      <w:r w:rsidR="00EC4478" w:rsidRPr="00C86801">
        <w:rPr>
          <w:rFonts w:cs="Arial"/>
          <w:position w:val="6"/>
          <w:sz w:val="18"/>
          <w:szCs w:val="18"/>
        </w:rPr>
        <w:t>, c</w:t>
      </w:r>
      <w:r w:rsidR="00397D8C" w:rsidRPr="00C86801">
        <w:rPr>
          <w:rFonts w:cs="Arial"/>
          <w:position w:val="6"/>
          <w:sz w:val="18"/>
          <w:szCs w:val="18"/>
        </w:rPr>
        <w:t>, d</w:t>
      </w:r>
      <w:r w:rsidR="003D2AB9">
        <w:rPr>
          <w:rFonts w:cs="Arial"/>
          <w:position w:val="6"/>
          <w:sz w:val="18"/>
          <w:szCs w:val="18"/>
        </w:rPr>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C1052" w:rsidRPr="003906FE" w:rsidTr="001766B7">
        <w:tc>
          <w:tcPr>
            <w:tcW w:w="8777" w:type="dxa"/>
          </w:tcPr>
          <w:p w:rsidR="00FC1052" w:rsidRPr="003906FE" w:rsidRDefault="00F230C0" w:rsidP="00C3586E">
            <w:pPr>
              <w:pStyle w:val="Figure"/>
            </w:pPr>
            <w:r>
              <w:rPr>
                <w:noProof/>
              </w:rPr>
              <w:drawing>
                <wp:inline distT="0" distB="0" distL="0" distR="0" wp14:anchorId="3B0C31E4" wp14:editId="5DE2D377">
                  <wp:extent cx="5401310" cy="2658110"/>
                  <wp:effectExtent l="0" t="0" r="8890" b="8890"/>
                  <wp:docPr id="3" name="Picture 3" descr="Figure 3.3 Proportion of children using Australian Government approved plus State and Territory government funded and/or provided child care,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1310" cy="2658110"/>
                          </a:xfrm>
                          <a:prstGeom prst="rect">
                            <a:avLst/>
                          </a:prstGeom>
                          <a:noFill/>
                          <a:ln>
                            <a:noFill/>
                          </a:ln>
                        </pic:spPr>
                      </pic:pic>
                    </a:graphicData>
                  </a:graphic>
                </wp:inline>
              </w:drawing>
            </w:r>
          </w:p>
        </w:tc>
      </w:tr>
    </w:tbl>
    <w:p w:rsidR="003D7739" w:rsidRPr="003D7739" w:rsidRDefault="003D7739" w:rsidP="003D7739">
      <w:pPr>
        <w:keepNext/>
        <w:keepLines/>
        <w:spacing w:before="80" w:line="220" w:lineRule="exact"/>
        <w:jc w:val="both"/>
        <w:rPr>
          <w:rFonts w:ascii="Arial" w:hAnsi="Arial"/>
          <w:b/>
          <w:sz w:val="18"/>
          <w:szCs w:val="20"/>
        </w:rPr>
      </w:pPr>
      <w:proofErr w:type="spellStart"/>
      <w:r w:rsidRPr="003D7739">
        <w:rPr>
          <w:rStyle w:val="NoteLabel"/>
        </w:rPr>
        <w:t>a</w:t>
      </w:r>
      <w:proofErr w:type="spellEnd"/>
      <w:r w:rsidRPr="003D7739">
        <w:rPr>
          <w:rFonts w:ascii="Arial" w:hAnsi="Arial"/>
          <w:b/>
          <w:position w:val="6"/>
          <w:sz w:val="18"/>
          <w:szCs w:val="20"/>
        </w:rPr>
        <w:t xml:space="preserve"> </w:t>
      </w:r>
      <w:r w:rsidRPr="003D7739">
        <w:rPr>
          <w:rStyle w:val="NoteChar"/>
        </w:rPr>
        <w:t>The population measure is the estimated resident population as at 31</w:t>
      </w:r>
      <w:r w:rsidR="00172534">
        <w:rPr>
          <w:rStyle w:val="NoteChar"/>
        </w:rPr>
        <w:t> </w:t>
      </w:r>
      <w:r w:rsidRPr="003D7739">
        <w:rPr>
          <w:rStyle w:val="NoteChar"/>
        </w:rPr>
        <w:t>December 2012</w:t>
      </w:r>
      <w:r w:rsidRPr="003D7739">
        <w:rPr>
          <w:rFonts w:ascii="Arial" w:hAnsi="Arial"/>
          <w:sz w:val="18"/>
          <w:szCs w:val="20"/>
        </w:rPr>
        <w:t>.</w:t>
      </w:r>
      <w:r w:rsidRPr="003D7739">
        <w:rPr>
          <w:rFonts w:ascii="Arial" w:hAnsi="Arial"/>
          <w:b/>
          <w:position w:val="6"/>
          <w:sz w:val="18"/>
          <w:szCs w:val="20"/>
        </w:rPr>
        <w:t xml:space="preserve"> </w:t>
      </w:r>
      <w:r w:rsidRPr="003D7739">
        <w:rPr>
          <w:rStyle w:val="NoteLabel"/>
        </w:rPr>
        <w:t>b</w:t>
      </w:r>
      <w:r w:rsidRPr="003D7739">
        <w:rPr>
          <w:rFonts w:ascii="Arial" w:hAnsi="Arial"/>
          <w:b/>
          <w:position w:val="6"/>
          <w:sz w:val="18"/>
          <w:szCs w:val="20"/>
          <w:shd w:val="clear" w:color="auto" w:fill="FFFFFF" w:themeFill="background1"/>
        </w:rPr>
        <w:t xml:space="preserve"> </w:t>
      </w:r>
      <w:r w:rsidRPr="003D7739">
        <w:rPr>
          <w:rStyle w:val="NoteChar"/>
        </w:rPr>
        <w:t>Due to the integrated nature of early childhood education and care in NSW, many children undertaking a preschool program do so in a long day care setting. This Report predominantly classifies the services provided by long day care centres as child care services.</w:t>
      </w:r>
      <w:r w:rsidRPr="003D7739">
        <w:rPr>
          <w:rFonts w:ascii="Arial" w:hAnsi="Arial"/>
          <w:sz w:val="18"/>
          <w:szCs w:val="20"/>
        </w:rPr>
        <w:t xml:space="preserve"> </w:t>
      </w:r>
      <w:r w:rsidRPr="003D7739">
        <w:rPr>
          <w:rStyle w:val="NoteLabel"/>
        </w:rPr>
        <w:t>c</w:t>
      </w:r>
      <w:r w:rsidRPr="003D7739">
        <w:rPr>
          <w:rFonts w:ascii="Arial" w:hAnsi="Arial"/>
          <w:b/>
          <w:position w:val="6"/>
          <w:sz w:val="18"/>
          <w:szCs w:val="20"/>
        </w:rPr>
        <w:t xml:space="preserve"> </w:t>
      </w:r>
      <w:r w:rsidRPr="003D7739">
        <w:rPr>
          <w:rStyle w:val="NoteChar"/>
        </w:rPr>
        <w:t>Due to the non</w:t>
      </w:r>
      <w:r w:rsidR="00172534">
        <w:rPr>
          <w:rStyle w:val="NoteChar"/>
        </w:rPr>
        <w:noBreakHyphen/>
      </w:r>
      <w:r w:rsidRPr="003D7739">
        <w:rPr>
          <w:rStyle w:val="NoteChar"/>
        </w:rPr>
        <w:t>comparability of NSW data with data of other jurisdictions, the Australian total should be interpreted with caution.</w:t>
      </w:r>
      <w:r w:rsidRPr="003D7739">
        <w:rPr>
          <w:rFonts w:ascii="Arial" w:hAnsi="Arial"/>
          <w:sz w:val="18"/>
          <w:szCs w:val="20"/>
        </w:rPr>
        <w:t xml:space="preserve"> </w:t>
      </w:r>
      <w:r w:rsidRPr="003D7739">
        <w:rPr>
          <w:rStyle w:val="NoteLabel"/>
        </w:rPr>
        <w:t xml:space="preserve">d </w:t>
      </w:r>
      <w:r w:rsidRPr="003D7739">
        <w:rPr>
          <w:rStyle w:val="NoteChar"/>
        </w:rPr>
        <w:t>There may be some double counting of children across the State and Territory, and Australian, governments’ collections.</w:t>
      </w:r>
      <w:r w:rsidRPr="003D7739">
        <w:rPr>
          <w:rFonts w:ascii="Arial" w:hAnsi="Arial"/>
          <w:sz w:val="18"/>
          <w:szCs w:val="20"/>
        </w:rPr>
        <w:t xml:space="preserve"> </w:t>
      </w:r>
    </w:p>
    <w:p w:rsidR="00FC1052" w:rsidRDefault="00FC1052" w:rsidP="00C3586E">
      <w:pPr>
        <w:pStyle w:val="Source"/>
      </w:pPr>
      <w:r w:rsidRPr="003906FE">
        <w:rPr>
          <w:i/>
        </w:rPr>
        <w:t>Source</w:t>
      </w:r>
      <w:r w:rsidRPr="003906FE">
        <w:t xml:space="preserve">: </w:t>
      </w:r>
      <w:r w:rsidR="00645776" w:rsidRPr="003906FE">
        <w:t xml:space="preserve">ABS (unpublished) </w:t>
      </w:r>
      <w:r w:rsidR="00645776" w:rsidRPr="003906FE">
        <w:rPr>
          <w:i/>
        </w:rPr>
        <w:t>Australian Demographic Statistics</w:t>
      </w:r>
      <w:r w:rsidR="00645776" w:rsidRPr="003906FE">
        <w:t>,</w:t>
      </w:r>
      <w:r w:rsidR="00645776">
        <w:t xml:space="preserve"> </w:t>
      </w:r>
      <w:r w:rsidR="00804634" w:rsidRPr="003906FE">
        <w:t>Cat. no. 3101.0</w:t>
      </w:r>
      <w:r w:rsidR="00804634">
        <w:t xml:space="preserve">; </w:t>
      </w:r>
      <w:r w:rsidR="00E318F3">
        <w:t xml:space="preserve">Department of Education </w:t>
      </w:r>
      <w:r w:rsidRPr="003906FE">
        <w:t>(unpublished); State and Terr</w:t>
      </w:r>
      <w:r w:rsidR="00932F86">
        <w:t>itory governments (unpublished)</w:t>
      </w:r>
      <w:r w:rsidRPr="003906FE">
        <w:t xml:space="preserve">; </w:t>
      </w:r>
      <w:r w:rsidR="004A095D" w:rsidRPr="00C86801">
        <w:t>table</w:t>
      </w:r>
      <w:r w:rsidR="00172534">
        <w:t> </w:t>
      </w:r>
      <w:proofErr w:type="spellStart"/>
      <w:r w:rsidRPr="00C86801">
        <w:t>3A.</w:t>
      </w:r>
      <w:r w:rsidR="00046E75" w:rsidRPr="00C86801">
        <w:t>1</w:t>
      </w:r>
      <w:r w:rsidR="00B85698">
        <w:t>0</w:t>
      </w:r>
      <w:proofErr w:type="spellEnd"/>
      <w:r w:rsidRPr="00C86801">
        <w:t>.</w:t>
      </w:r>
    </w:p>
    <w:p w:rsidR="00936C9C" w:rsidRPr="00936C9C" w:rsidRDefault="00936C9C" w:rsidP="00936C9C">
      <w:pPr>
        <w:pStyle w:val="Heading5"/>
      </w:pPr>
      <w:r w:rsidRPr="00936C9C">
        <w:t>Proportion of children aged 0–12 years using Australian Government approved child care</w:t>
      </w:r>
    </w:p>
    <w:p w:rsidR="008B465E" w:rsidRPr="00AC175A" w:rsidRDefault="008124A8" w:rsidP="00C3586E">
      <w:pPr>
        <w:pStyle w:val="BodyText"/>
      </w:pPr>
      <w:r w:rsidRPr="00AC175A">
        <w:t>Nationally in 20</w:t>
      </w:r>
      <w:r w:rsidR="006A65B2" w:rsidRPr="00AC175A">
        <w:t>1</w:t>
      </w:r>
      <w:r w:rsidR="00AC175A" w:rsidRPr="00AC175A">
        <w:t>3</w:t>
      </w:r>
      <w:r w:rsidRPr="00AC175A">
        <w:t xml:space="preserve">, </w:t>
      </w:r>
      <w:r w:rsidR="00722939" w:rsidRPr="00722939">
        <w:t>27.5</w:t>
      </w:r>
      <w:r w:rsidRPr="00722939">
        <w:t xml:space="preserve"> </w:t>
      </w:r>
      <w:r w:rsidRPr="00AC175A">
        <w:t xml:space="preserve">per cent of all </w:t>
      </w:r>
      <w:r w:rsidR="00674B6B" w:rsidRPr="00AC175A">
        <w:t xml:space="preserve">children aged </w:t>
      </w:r>
      <w:r w:rsidRPr="00AC175A">
        <w:t>0–12</w:t>
      </w:r>
      <w:r w:rsidR="002824D0" w:rsidRPr="00AC175A">
        <w:t xml:space="preserve"> </w:t>
      </w:r>
      <w:r w:rsidRPr="00AC175A">
        <w:t>year</w:t>
      </w:r>
      <w:r w:rsidR="00674B6B" w:rsidRPr="00AC175A">
        <w:t>s</w:t>
      </w:r>
      <w:r w:rsidRPr="00AC175A">
        <w:t xml:space="preserve"> attended Australian Government approved child care (figure</w:t>
      </w:r>
      <w:r w:rsidR="00172534">
        <w:t> </w:t>
      </w:r>
      <w:r w:rsidR="00923A1C" w:rsidRPr="00AC175A">
        <w:t>3.</w:t>
      </w:r>
      <w:r w:rsidR="002A619D" w:rsidRPr="00AC175A">
        <w:t>4</w:t>
      </w:r>
      <w:r w:rsidRPr="00AC175A">
        <w:t>).</w:t>
      </w:r>
      <w:r w:rsidR="00C3563F" w:rsidRPr="00AC175A">
        <w:t xml:space="preserve"> </w:t>
      </w:r>
      <w:r w:rsidR="00523583" w:rsidRPr="00AC175A">
        <w:t>The majority of children attending Australian Government approved child care in 20</w:t>
      </w:r>
      <w:r w:rsidR="006A65B2" w:rsidRPr="00AC175A">
        <w:t>1</w:t>
      </w:r>
      <w:r w:rsidR="00AC175A">
        <w:t>3</w:t>
      </w:r>
      <w:r w:rsidR="00523583" w:rsidRPr="00AC175A">
        <w:t xml:space="preserve"> </w:t>
      </w:r>
      <w:r w:rsidR="00523583" w:rsidRPr="00722939">
        <w:t>(</w:t>
      </w:r>
      <w:r w:rsidR="00722939" w:rsidRPr="00722939">
        <w:t>712</w:t>
      </w:r>
      <w:r w:rsidR="00523583" w:rsidRPr="00722939">
        <w:t> </w:t>
      </w:r>
      <w:r w:rsidR="00722939" w:rsidRPr="00722939">
        <w:t>545</w:t>
      </w:r>
      <w:r w:rsidR="00523583" w:rsidRPr="00722939">
        <w:t xml:space="preserve">, or </w:t>
      </w:r>
      <w:r w:rsidR="00722939" w:rsidRPr="00722939">
        <w:t>69.0</w:t>
      </w:r>
      <w:r w:rsidR="00523583" w:rsidRPr="00722939">
        <w:t xml:space="preserve"> per cent) </w:t>
      </w:r>
      <w:r w:rsidR="00523583" w:rsidRPr="00AC175A">
        <w:t>were aged 0–5 years (table</w:t>
      </w:r>
      <w:r w:rsidR="00172534">
        <w:t> </w:t>
      </w:r>
      <w:proofErr w:type="spellStart"/>
      <w:r w:rsidR="00523583" w:rsidRPr="00AC175A">
        <w:t>3A.</w:t>
      </w:r>
      <w:r w:rsidR="00B85698">
        <w:t>8</w:t>
      </w:r>
      <w:proofErr w:type="spellEnd"/>
      <w:r w:rsidR="00523583" w:rsidRPr="00AC175A">
        <w:t xml:space="preserve">). </w:t>
      </w:r>
      <w:r w:rsidR="006A65B2" w:rsidRPr="00AC175A">
        <w:t>In 201</w:t>
      </w:r>
      <w:r w:rsidR="00AC175A">
        <w:t>3</w:t>
      </w:r>
      <w:r w:rsidRPr="00AC175A">
        <w:t xml:space="preserve">, </w:t>
      </w:r>
      <w:r w:rsidR="00722939" w:rsidRPr="00722939">
        <w:t>52.7</w:t>
      </w:r>
      <w:r w:rsidR="00BF2626" w:rsidRPr="00722939">
        <w:t xml:space="preserve"> </w:t>
      </w:r>
      <w:r w:rsidR="00BF2626" w:rsidRPr="00AC175A">
        <w:t xml:space="preserve">per cent of all </w:t>
      </w:r>
      <w:r w:rsidR="00674B6B" w:rsidRPr="00AC175A">
        <w:lastRenderedPageBreak/>
        <w:t xml:space="preserve">children aged </w:t>
      </w:r>
      <w:r w:rsidR="000D438C" w:rsidRPr="00AC175A">
        <w:t>2</w:t>
      </w:r>
      <w:r w:rsidR="002824D0" w:rsidRPr="00AC175A">
        <w:t xml:space="preserve"> </w:t>
      </w:r>
      <w:r w:rsidR="00BF2626" w:rsidRPr="00AC175A">
        <w:t>year</w:t>
      </w:r>
      <w:r w:rsidR="00674B6B" w:rsidRPr="00AC175A">
        <w:t>s</w:t>
      </w:r>
      <w:r w:rsidR="00BF2626" w:rsidRPr="00AC175A">
        <w:t xml:space="preserve">, </w:t>
      </w:r>
      <w:r w:rsidR="00722939" w:rsidRPr="00722939">
        <w:t>59.7</w:t>
      </w:r>
      <w:r w:rsidR="002824D0" w:rsidRPr="00722939">
        <w:t xml:space="preserve"> </w:t>
      </w:r>
      <w:r w:rsidRPr="00AC175A">
        <w:t>per</w:t>
      </w:r>
      <w:r w:rsidR="002824D0" w:rsidRPr="00AC175A">
        <w:t xml:space="preserve"> </w:t>
      </w:r>
      <w:r w:rsidRPr="00AC175A">
        <w:t xml:space="preserve">cent of all </w:t>
      </w:r>
      <w:r w:rsidR="00674B6B" w:rsidRPr="00AC175A">
        <w:t xml:space="preserve">children aged </w:t>
      </w:r>
      <w:r w:rsidR="000D438C" w:rsidRPr="00AC175A">
        <w:t>3</w:t>
      </w:r>
      <w:r w:rsidR="002824D0" w:rsidRPr="00AC175A">
        <w:t xml:space="preserve"> </w:t>
      </w:r>
      <w:r w:rsidRPr="00AC175A">
        <w:t>year</w:t>
      </w:r>
      <w:r w:rsidR="00674B6B" w:rsidRPr="00AC175A">
        <w:t>s</w:t>
      </w:r>
      <w:r w:rsidRPr="00AC175A">
        <w:t xml:space="preserve">, </w:t>
      </w:r>
      <w:r w:rsidR="00BF2626" w:rsidRPr="00AC175A">
        <w:t xml:space="preserve">and </w:t>
      </w:r>
      <w:r w:rsidR="00722939" w:rsidRPr="00722939">
        <w:t>51.1</w:t>
      </w:r>
      <w:r w:rsidR="002824D0" w:rsidRPr="00722939">
        <w:t xml:space="preserve"> </w:t>
      </w:r>
      <w:r w:rsidRPr="00AC175A">
        <w:t>per</w:t>
      </w:r>
      <w:r w:rsidR="002824D0" w:rsidRPr="00AC175A">
        <w:t xml:space="preserve"> </w:t>
      </w:r>
      <w:r w:rsidRPr="00AC175A">
        <w:t xml:space="preserve">cent of all </w:t>
      </w:r>
      <w:r w:rsidR="00674B6B" w:rsidRPr="00AC175A">
        <w:t xml:space="preserve">children aged </w:t>
      </w:r>
      <w:r w:rsidR="000D438C" w:rsidRPr="00AC175A">
        <w:t>4</w:t>
      </w:r>
      <w:r w:rsidR="002824D0" w:rsidRPr="00AC175A">
        <w:t xml:space="preserve"> </w:t>
      </w:r>
      <w:r w:rsidRPr="00AC175A">
        <w:t>year</w:t>
      </w:r>
      <w:r w:rsidR="00674B6B" w:rsidRPr="00AC175A">
        <w:t>s</w:t>
      </w:r>
      <w:r w:rsidRPr="00AC175A">
        <w:t xml:space="preserve"> attended Australian Govern</w:t>
      </w:r>
      <w:r w:rsidR="00674B6B" w:rsidRPr="00AC175A">
        <w:t>ment approved child care (table </w:t>
      </w:r>
      <w:proofErr w:type="spellStart"/>
      <w:r w:rsidRPr="00AC175A">
        <w:t>3A.</w:t>
      </w:r>
      <w:r w:rsidR="00B85698">
        <w:t>9</w:t>
      </w:r>
      <w:proofErr w:type="spellEnd"/>
      <w:r w:rsidR="005A4034" w:rsidRPr="00AC175A">
        <w:t>).</w:t>
      </w:r>
      <w:r w:rsidR="00737DC3" w:rsidRPr="00AC175A">
        <w:t xml:space="preserve"> </w:t>
      </w:r>
    </w:p>
    <w:p w:rsidR="00E30DEE" w:rsidRPr="003C3458" w:rsidRDefault="00E30DEE" w:rsidP="00C3586E">
      <w:pPr>
        <w:pStyle w:val="FigureTitle"/>
        <w:rPr>
          <w:color w:val="00B050"/>
        </w:rPr>
      </w:pPr>
      <w:r w:rsidRPr="001B1FD4">
        <w:rPr>
          <w:b w:val="0"/>
        </w:rPr>
        <w:t xml:space="preserve">Figure </w:t>
      </w:r>
      <w:bookmarkStart w:id="14" w:name="OLE_LINK62"/>
      <w:r w:rsidR="00923A1C" w:rsidRPr="001B1FD4">
        <w:rPr>
          <w:b w:val="0"/>
        </w:rPr>
        <w:t>3.</w:t>
      </w:r>
      <w:r w:rsidR="002E4BE8">
        <w:rPr>
          <w:b w:val="0"/>
          <w:noProof/>
        </w:rPr>
        <w:t>4</w:t>
      </w:r>
      <w:bookmarkEnd w:id="14"/>
      <w:r w:rsidRPr="001B1FD4">
        <w:tab/>
        <w:t xml:space="preserve">Proportion of children aged 0–12 years using Australian Government approved </w:t>
      </w:r>
      <w:r w:rsidR="00C85D95" w:rsidRPr="001B1FD4">
        <w:t>child care</w:t>
      </w:r>
      <w:r w:rsidRPr="001B1FD4">
        <w:rPr>
          <w:rStyle w:val="NoteLabel"/>
          <w:b/>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30DEE" w:rsidTr="00715AEA">
        <w:tc>
          <w:tcPr>
            <w:tcW w:w="8777" w:type="dxa"/>
          </w:tcPr>
          <w:p w:rsidR="00E30DEE" w:rsidRPr="00E30DEE" w:rsidRDefault="00F230C0" w:rsidP="00C3586E">
            <w:pPr>
              <w:pStyle w:val="Figure"/>
            </w:pPr>
            <w:r>
              <w:rPr>
                <w:noProof/>
              </w:rPr>
              <w:drawing>
                <wp:inline distT="0" distB="0" distL="0" distR="0" wp14:anchorId="61D75BB0" wp14:editId="1DE55884">
                  <wp:extent cx="5358765" cy="2743200"/>
                  <wp:effectExtent l="0" t="0" r="0" b="0"/>
                  <wp:docPr id="4" name="Picture 4" descr="Figure 3.4 Proportion of children aged 0-12 years using Australian Government approved child ca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58765" cy="2743200"/>
                          </a:xfrm>
                          <a:prstGeom prst="rect">
                            <a:avLst/>
                          </a:prstGeom>
                          <a:noFill/>
                          <a:ln>
                            <a:noFill/>
                          </a:ln>
                        </pic:spPr>
                      </pic:pic>
                    </a:graphicData>
                  </a:graphic>
                </wp:inline>
              </w:drawing>
            </w:r>
          </w:p>
        </w:tc>
      </w:tr>
    </w:tbl>
    <w:p w:rsidR="00E30DEE" w:rsidRPr="006E2ACE" w:rsidRDefault="00D52B63" w:rsidP="00C3586E">
      <w:pPr>
        <w:pStyle w:val="Note"/>
        <w:keepNext/>
      </w:pPr>
      <w:proofErr w:type="spellStart"/>
      <w:r w:rsidRPr="008C585F">
        <w:rPr>
          <w:rStyle w:val="NoteLabel"/>
        </w:rPr>
        <w:t>a</w:t>
      </w:r>
      <w:proofErr w:type="spellEnd"/>
      <w:r w:rsidRPr="008C585F">
        <w:t> The population measure is the estimated reside</w:t>
      </w:r>
      <w:r w:rsidR="00497EEA">
        <w:t>nt population as at 31 </w:t>
      </w:r>
      <w:r w:rsidR="00CC5689">
        <w:t>December of the previous calendar year</w:t>
      </w:r>
      <w:r w:rsidR="00497EEA" w:rsidRPr="00CF10A4">
        <w:t>.</w:t>
      </w:r>
      <w:r w:rsidR="00A8644B" w:rsidRPr="00CF10A4">
        <w:t xml:space="preserve"> </w:t>
      </w:r>
      <w:r w:rsidR="00A8644B" w:rsidRPr="008C585F">
        <w:rPr>
          <w:rStyle w:val="NoteLabel"/>
        </w:rPr>
        <w:t>b</w:t>
      </w:r>
      <w:r w:rsidR="00A8644B" w:rsidRPr="008C585F">
        <w:rPr>
          <w:rStyle w:val="NoteLabel"/>
          <w:b w:val="0"/>
          <w:position w:val="0"/>
        </w:rPr>
        <w:t xml:space="preserve"> </w:t>
      </w:r>
      <w:r w:rsidR="002B0891" w:rsidRPr="008C585F">
        <w:rPr>
          <w:rStyle w:val="NoteLabel"/>
          <w:b w:val="0"/>
          <w:position w:val="0"/>
        </w:rPr>
        <w:t>Children can use more th</w:t>
      </w:r>
      <w:r w:rsidR="003C3458">
        <w:rPr>
          <w:rStyle w:val="NoteLabel"/>
          <w:b w:val="0"/>
          <w:position w:val="0"/>
        </w:rPr>
        <w:t xml:space="preserve">an one type of care. In </w:t>
      </w:r>
      <w:r w:rsidR="002B0891" w:rsidRPr="008C585F">
        <w:rPr>
          <w:rStyle w:val="NoteLabel"/>
          <w:b w:val="0"/>
          <w:position w:val="0"/>
        </w:rPr>
        <w:t>2009</w:t>
      </w:r>
      <w:r w:rsidR="006B18EF">
        <w:rPr>
          <w:rStyle w:val="NoteLabel"/>
          <w:b w:val="0"/>
          <w:position w:val="0"/>
        </w:rPr>
        <w:t>,</w:t>
      </w:r>
      <w:r w:rsidR="002B0891" w:rsidRPr="008C585F">
        <w:rPr>
          <w:rStyle w:val="NoteLabel"/>
          <w:b w:val="0"/>
          <w:position w:val="0"/>
        </w:rPr>
        <w:t xml:space="preserve"> each child attending child care is counted once, even if they atten</w:t>
      </w:r>
      <w:r w:rsidR="002E54BD">
        <w:rPr>
          <w:rStyle w:val="NoteLabel"/>
          <w:b w:val="0"/>
          <w:position w:val="0"/>
        </w:rPr>
        <w:t>d more than one type of care. From</w:t>
      </w:r>
      <w:r w:rsidR="002B0891" w:rsidRPr="008C585F">
        <w:rPr>
          <w:rStyle w:val="NoteLabel"/>
          <w:b w:val="0"/>
          <w:position w:val="0"/>
        </w:rPr>
        <w:t xml:space="preserve"> 2010</w:t>
      </w:r>
      <w:r w:rsidR="003C3458">
        <w:rPr>
          <w:rStyle w:val="NoteLabel"/>
          <w:b w:val="0"/>
          <w:position w:val="0"/>
        </w:rPr>
        <w:t xml:space="preserve"> onwards </w:t>
      </w:r>
      <w:r w:rsidR="002B0891" w:rsidRPr="008C585F">
        <w:rPr>
          <w:rStyle w:val="NoteLabel"/>
          <w:b w:val="0"/>
          <w:position w:val="0"/>
        </w:rPr>
        <w:t xml:space="preserve">children </w:t>
      </w:r>
      <w:r w:rsidR="003334D1" w:rsidRPr="008C585F">
        <w:t>are counted once for each type of care they use.</w:t>
      </w:r>
      <w:r w:rsidR="007A3916" w:rsidRPr="008C585F">
        <w:t xml:space="preserve"> </w:t>
      </w:r>
      <w:r w:rsidRPr="008C585F">
        <w:rPr>
          <w:rStyle w:val="NoteLabel"/>
        </w:rPr>
        <w:t>c</w:t>
      </w:r>
      <w:r w:rsidR="007A3916" w:rsidRPr="008C585F">
        <w:rPr>
          <w:rStyle w:val="NoteLabel"/>
        </w:rPr>
        <w:t> </w:t>
      </w:r>
      <w:r w:rsidR="002B0891" w:rsidRPr="008C585F">
        <w:t>Attendance counted as the number of children attending during the we</w:t>
      </w:r>
      <w:r w:rsidR="003C3458">
        <w:t>ek</w:t>
      </w:r>
      <w:r w:rsidR="002B0891" w:rsidRPr="008C585F">
        <w:t xml:space="preserve"> 23</w:t>
      </w:r>
      <w:r w:rsidR="006B18EF">
        <w:t>–</w:t>
      </w:r>
      <w:r w:rsidR="003C3458">
        <w:t xml:space="preserve">29 March for 2009. </w:t>
      </w:r>
      <w:r w:rsidR="002B0891" w:rsidRPr="008C585F">
        <w:t>A</w:t>
      </w:r>
      <w:r w:rsidR="00E2372B" w:rsidRPr="008C585F">
        <w:t>t</w:t>
      </w:r>
      <w:r w:rsidR="003334D1" w:rsidRPr="008C585F">
        <w:t xml:space="preserve">tendance data relate to the March quarter </w:t>
      </w:r>
      <w:r w:rsidR="002B0891" w:rsidRPr="008C585F">
        <w:t xml:space="preserve">for </w:t>
      </w:r>
      <w:r w:rsidR="003334D1" w:rsidRPr="008C585F">
        <w:t>2010</w:t>
      </w:r>
      <w:r w:rsidR="003C3458">
        <w:t xml:space="preserve"> onwards</w:t>
      </w:r>
      <w:r w:rsidR="003334D1" w:rsidRPr="008C585F">
        <w:t>.</w:t>
      </w:r>
    </w:p>
    <w:p w:rsidR="00E30DEE" w:rsidRDefault="00E30DEE" w:rsidP="00C3586E">
      <w:pPr>
        <w:pStyle w:val="Source"/>
        <w:keepNext/>
      </w:pPr>
      <w:r>
        <w:rPr>
          <w:i/>
        </w:rPr>
        <w:t>Source</w:t>
      </w:r>
      <w:r w:rsidRPr="00E30DEE">
        <w:t xml:space="preserve">: </w:t>
      </w:r>
      <w:r w:rsidR="00E318F3">
        <w:t xml:space="preserve">Department of Education </w:t>
      </w:r>
      <w:r w:rsidR="00E05FA3">
        <w:t xml:space="preserve">(unpublished); </w:t>
      </w:r>
      <w:r w:rsidR="00E05FA3" w:rsidRPr="00E05FA3">
        <w:t xml:space="preserve">ABS (unpublished) </w:t>
      </w:r>
      <w:r w:rsidR="00E05FA3" w:rsidRPr="00406194">
        <w:rPr>
          <w:i/>
        </w:rPr>
        <w:t>Australian Demographic Statistics</w:t>
      </w:r>
      <w:r w:rsidR="00E966A2">
        <w:t xml:space="preserve">, </w:t>
      </w:r>
      <w:r w:rsidR="00BD2657">
        <w:br/>
      </w:r>
      <w:r w:rsidR="00E966A2">
        <w:t>Cat. no. 3101.0</w:t>
      </w:r>
      <w:r w:rsidR="006B02CA" w:rsidRPr="00A07DD6">
        <w:t xml:space="preserve">; </w:t>
      </w:r>
      <w:r w:rsidRPr="00A07DD6">
        <w:t>table</w:t>
      </w:r>
      <w:r w:rsidR="00131DC6">
        <w:t>s</w:t>
      </w:r>
      <w:r w:rsidR="00E966A2">
        <w:t> </w:t>
      </w:r>
      <w:proofErr w:type="spellStart"/>
      <w:r w:rsidR="00131DC6">
        <w:t>3A.2</w:t>
      </w:r>
      <w:proofErr w:type="spellEnd"/>
      <w:r w:rsidR="00131DC6">
        <w:t xml:space="preserve"> and </w:t>
      </w:r>
      <w:proofErr w:type="spellStart"/>
      <w:r>
        <w:t>3</w:t>
      </w:r>
      <w:r w:rsidRPr="00147AD9">
        <w:t>A.</w:t>
      </w:r>
      <w:r w:rsidR="00B85698">
        <w:t>8</w:t>
      </w:r>
      <w:proofErr w:type="spellEnd"/>
      <w:r w:rsidRPr="00147AD9">
        <w:t>.</w:t>
      </w:r>
    </w:p>
    <w:p w:rsidR="00936C9C" w:rsidRPr="00936C9C" w:rsidRDefault="00936C9C" w:rsidP="00936C9C">
      <w:pPr>
        <w:pStyle w:val="Heading5"/>
      </w:pPr>
      <w:r w:rsidRPr="00936C9C">
        <w:t>Average hours of attendance at Australian Government approved child care services by service model</w:t>
      </w:r>
    </w:p>
    <w:p w:rsidR="007936A0" w:rsidRPr="0097179F" w:rsidRDefault="007936A0" w:rsidP="002D7C3E">
      <w:pPr>
        <w:pStyle w:val="BodyText"/>
      </w:pPr>
      <w:r w:rsidRPr="0097179F">
        <w:t xml:space="preserve">The average hours of attendance in </w:t>
      </w:r>
      <w:r w:rsidR="002D7C3E" w:rsidRPr="0097179F">
        <w:t xml:space="preserve">Australian Government approved </w:t>
      </w:r>
      <w:r w:rsidRPr="0097179F">
        <w:t xml:space="preserve">child care in </w:t>
      </w:r>
      <w:r w:rsidR="00CC1958" w:rsidRPr="0097179F">
        <w:t>20</w:t>
      </w:r>
      <w:r w:rsidR="006A65B2" w:rsidRPr="0097179F">
        <w:t>1</w:t>
      </w:r>
      <w:r w:rsidR="0097179F">
        <w:t>3</w:t>
      </w:r>
      <w:r w:rsidR="00E66C2F" w:rsidRPr="0097179F">
        <w:t xml:space="preserve"> </w:t>
      </w:r>
      <w:r w:rsidRPr="0097179F">
        <w:t>varied considerably across jurisdictions, for all service</w:t>
      </w:r>
      <w:r w:rsidR="00E47AF3" w:rsidRPr="0097179F">
        <w:t xml:space="preserve"> models</w:t>
      </w:r>
      <w:r w:rsidRPr="0097179F">
        <w:t>. Nationally, average attendance per child at centre</w:t>
      </w:r>
      <w:r w:rsidR="00172534">
        <w:noBreakHyphen/>
      </w:r>
      <w:r w:rsidRPr="0097179F">
        <w:t xml:space="preserve">based long day care centres was </w:t>
      </w:r>
      <w:r w:rsidR="00722939" w:rsidRPr="00722939">
        <w:t>27.6</w:t>
      </w:r>
      <w:r w:rsidRPr="00722939">
        <w:t xml:space="preserve"> </w:t>
      </w:r>
      <w:r w:rsidRPr="0097179F">
        <w:t xml:space="preserve">hours per week, while the average attendance per child at family day care was </w:t>
      </w:r>
      <w:r w:rsidR="00722939" w:rsidRPr="00722939">
        <w:t>25.3</w:t>
      </w:r>
      <w:r w:rsidR="001E6B10" w:rsidRPr="00722939">
        <w:t xml:space="preserve"> </w:t>
      </w:r>
      <w:r w:rsidRPr="0097179F">
        <w:t xml:space="preserve">hours per week. </w:t>
      </w:r>
      <w:r w:rsidR="00A467EF" w:rsidRPr="0097179F">
        <w:t>Nationally, t</w:t>
      </w:r>
      <w:r w:rsidRPr="0097179F">
        <w:t xml:space="preserve">he average attendance per child at occasional care was </w:t>
      </w:r>
      <w:r w:rsidR="00722939" w:rsidRPr="00722939">
        <w:t>11.4</w:t>
      </w:r>
      <w:r w:rsidR="00645776" w:rsidRPr="00722939">
        <w:t> </w:t>
      </w:r>
      <w:r w:rsidRPr="0097179F">
        <w:t>hours per week</w:t>
      </w:r>
      <w:r w:rsidR="00631ED1" w:rsidRPr="0097179F">
        <w:t>, the average attendance per child at outside school hours care was</w:t>
      </w:r>
      <w:r w:rsidR="001E6B10" w:rsidRPr="0097179F">
        <w:t xml:space="preserve"> </w:t>
      </w:r>
      <w:r w:rsidR="00722939" w:rsidRPr="00722939">
        <w:t>7.4</w:t>
      </w:r>
      <w:r w:rsidR="00737DC3" w:rsidRPr="00722939">
        <w:t xml:space="preserve"> </w:t>
      </w:r>
      <w:r w:rsidR="00631ED1" w:rsidRPr="0097179F">
        <w:t>hours</w:t>
      </w:r>
      <w:r w:rsidR="001E6B10" w:rsidRPr="0097179F">
        <w:t xml:space="preserve"> </w:t>
      </w:r>
      <w:r w:rsidR="00631ED1" w:rsidRPr="0097179F">
        <w:t>per</w:t>
      </w:r>
      <w:r w:rsidR="001E6B10" w:rsidRPr="0097179F">
        <w:t xml:space="preserve"> </w:t>
      </w:r>
      <w:r w:rsidR="00631ED1" w:rsidRPr="0097179F">
        <w:t xml:space="preserve">week, </w:t>
      </w:r>
      <w:r w:rsidRPr="0097179F">
        <w:t xml:space="preserve">and the average attendance at vacation care during school holidays was </w:t>
      </w:r>
      <w:r w:rsidR="006B6830" w:rsidRPr="00722939">
        <w:t>2</w:t>
      </w:r>
      <w:r w:rsidR="006A65B2" w:rsidRPr="00722939">
        <w:t>8</w:t>
      </w:r>
      <w:r w:rsidR="006B6830" w:rsidRPr="00722939">
        <w:t>.</w:t>
      </w:r>
      <w:r w:rsidR="006A65B2" w:rsidRPr="00722939">
        <w:t>9</w:t>
      </w:r>
      <w:r w:rsidR="00631ED1" w:rsidRPr="00722939">
        <w:t xml:space="preserve"> </w:t>
      </w:r>
      <w:r w:rsidR="00631ED1" w:rsidRPr="0097179F">
        <w:t>hours</w:t>
      </w:r>
      <w:r w:rsidR="001E498B" w:rsidRPr="0097179F">
        <w:t xml:space="preserve"> per week </w:t>
      </w:r>
      <w:r w:rsidR="006A65B2" w:rsidRPr="0097179F">
        <w:t>(figure</w:t>
      </w:r>
      <w:r w:rsidR="00172534">
        <w:t> </w:t>
      </w:r>
      <w:r w:rsidR="006A65B2" w:rsidRPr="0097179F">
        <w:t>3.</w:t>
      </w:r>
      <w:r w:rsidR="002A619D" w:rsidRPr="0097179F">
        <w:t>5</w:t>
      </w:r>
      <w:r w:rsidRPr="0097179F">
        <w:t>).</w:t>
      </w:r>
    </w:p>
    <w:p w:rsidR="001E498B" w:rsidRDefault="001E498B" w:rsidP="002D7C3E">
      <w:pPr>
        <w:pStyle w:val="FigureTitle"/>
      </w:pPr>
      <w:r w:rsidRPr="00497EEA">
        <w:rPr>
          <w:b w:val="0"/>
        </w:rPr>
        <w:lastRenderedPageBreak/>
        <w:t>Figure 3.</w:t>
      </w:r>
      <w:r w:rsidR="002E4BE8">
        <w:rPr>
          <w:b w:val="0"/>
          <w:noProof/>
        </w:rPr>
        <w:t>5</w:t>
      </w:r>
      <w:r w:rsidRPr="00497EEA">
        <w:tab/>
        <w:t>Average hours of attendance at Australian Government approved child care, 201</w:t>
      </w:r>
      <w:r w:rsidR="000A70FB">
        <w:t>3</w:t>
      </w:r>
      <w:r w:rsidR="00C55D44" w:rsidRPr="00497EEA">
        <w:rPr>
          <w:rStyle w:val="NoteLabel"/>
          <w:b/>
        </w:rPr>
        <w:t>a, b</w:t>
      </w:r>
      <w:r w:rsidR="0097179F">
        <w:rPr>
          <w:rStyle w:val="NoteLabel"/>
          <w:b/>
        </w:rPr>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E498B">
        <w:tc>
          <w:tcPr>
            <w:tcW w:w="8777" w:type="dxa"/>
          </w:tcPr>
          <w:p w:rsidR="001E498B" w:rsidRDefault="00F230C0" w:rsidP="00980149">
            <w:pPr>
              <w:pStyle w:val="Figure"/>
              <w:pBdr>
                <w:right w:val="single" w:sz="6" w:space="4" w:color="auto"/>
              </w:pBdr>
            </w:pPr>
            <w:r>
              <w:rPr>
                <w:noProof/>
              </w:rPr>
              <w:drawing>
                <wp:inline distT="0" distB="0" distL="0" distR="0" wp14:anchorId="028170CF" wp14:editId="3AD17929">
                  <wp:extent cx="5401310" cy="2689860"/>
                  <wp:effectExtent l="0" t="0" r="8890" b="0"/>
                  <wp:docPr id="5" name="Picture 5" descr="Figure 3.5 Average hours of attendance at Australian Government approved child care,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1310" cy="2689860"/>
                          </a:xfrm>
                          <a:prstGeom prst="rect">
                            <a:avLst/>
                          </a:prstGeom>
                          <a:noFill/>
                          <a:ln>
                            <a:noFill/>
                          </a:ln>
                        </pic:spPr>
                      </pic:pic>
                    </a:graphicData>
                  </a:graphic>
                </wp:inline>
              </w:drawing>
            </w:r>
          </w:p>
        </w:tc>
      </w:tr>
    </w:tbl>
    <w:p w:rsidR="001E498B" w:rsidRPr="002E54BD" w:rsidRDefault="001E498B">
      <w:pPr>
        <w:pStyle w:val="Note"/>
      </w:pPr>
      <w:proofErr w:type="spellStart"/>
      <w:r w:rsidRPr="00CF10A4">
        <w:rPr>
          <w:rStyle w:val="NoteLabel"/>
        </w:rPr>
        <w:t>a</w:t>
      </w:r>
      <w:proofErr w:type="spellEnd"/>
      <w:r w:rsidRPr="00CF10A4">
        <w:sym w:font="Symbol" w:char="F020"/>
      </w:r>
      <w:r w:rsidR="00C55D44" w:rsidRPr="00CF10A4">
        <w:t xml:space="preserve">Average attendance hours are defined as the total hours </w:t>
      </w:r>
      <w:r w:rsidR="00C354D2">
        <w:t>attended within each sector divided</w:t>
      </w:r>
      <w:r w:rsidR="00C55D44" w:rsidRPr="00CF10A4">
        <w:t xml:space="preserve"> by the number of children who attended in the reference week (excludes allowable absences). </w:t>
      </w:r>
      <w:r w:rsidR="002D7C3E" w:rsidRPr="00CF10A4">
        <w:rPr>
          <w:rStyle w:val="NoteLabel"/>
        </w:rPr>
        <w:t>b</w:t>
      </w:r>
      <w:r w:rsidR="002D7C3E" w:rsidRPr="00CF10A4">
        <w:sym w:font="Symbol" w:char="F020"/>
      </w:r>
      <w:r w:rsidR="002D7C3E" w:rsidRPr="002E54BD">
        <w:t xml:space="preserve">Average hours of attendance at occasional care and other care in the </w:t>
      </w:r>
      <w:r w:rsidR="00645776" w:rsidRPr="002E54BD">
        <w:t xml:space="preserve">NT </w:t>
      </w:r>
      <w:r w:rsidR="002D7C3E" w:rsidRPr="002E54BD">
        <w:t>was zero during 201</w:t>
      </w:r>
      <w:r w:rsidR="002E54BD" w:rsidRPr="002E54BD">
        <w:t>3</w:t>
      </w:r>
      <w:r w:rsidR="002D7C3E" w:rsidRPr="002E54BD">
        <w:t>.</w:t>
      </w:r>
    </w:p>
    <w:p w:rsidR="001E498B" w:rsidRDefault="004A020D">
      <w:pPr>
        <w:pStyle w:val="Source"/>
      </w:pPr>
      <w:r>
        <w:rPr>
          <w:i/>
        </w:rPr>
        <w:t>S</w:t>
      </w:r>
      <w:r w:rsidR="001E498B">
        <w:rPr>
          <w:i/>
        </w:rPr>
        <w:t>ource</w:t>
      </w:r>
      <w:r w:rsidR="001E498B" w:rsidRPr="00167F06">
        <w:t>:</w:t>
      </w:r>
      <w:r w:rsidR="00C55D44">
        <w:t xml:space="preserve"> </w:t>
      </w:r>
      <w:r w:rsidR="00E318F3">
        <w:t xml:space="preserve">Department of Education </w:t>
      </w:r>
      <w:r w:rsidR="00C55D44">
        <w:t>(unpublished) administrative data collection;</w:t>
      </w:r>
      <w:r w:rsidR="001E498B" w:rsidRPr="00167F06">
        <w:t xml:space="preserve"> </w:t>
      </w:r>
      <w:r w:rsidR="001E498B">
        <w:t>table</w:t>
      </w:r>
      <w:r w:rsidR="00172534">
        <w:t> </w:t>
      </w:r>
      <w:proofErr w:type="spellStart"/>
      <w:r w:rsidR="001E498B">
        <w:t>3A.1</w:t>
      </w:r>
      <w:r w:rsidR="00B85698">
        <w:t>1</w:t>
      </w:r>
      <w:proofErr w:type="spellEnd"/>
      <w:r w:rsidR="00645776">
        <w:t>.</w:t>
      </w:r>
    </w:p>
    <w:p w:rsidR="0097179F" w:rsidRDefault="0097179F" w:rsidP="0097179F">
      <w:pPr>
        <w:pStyle w:val="Heading5"/>
      </w:pPr>
      <w:r w:rsidRPr="00C41228">
        <w:t xml:space="preserve">Access — </w:t>
      </w:r>
      <w:r>
        <w:t>c</w:t>
      </w:r>
      <w:r w:rsidRPr="00E30DEE">
        <w:t>hildren enrolled in preschool</w:t>
      </w:r>
    </w:p>
    <w:p w:rsidR="0097179F" w:rsidRDefault="0097179F" w:rsidP="0097179F">
      <w:pPr>
        <w:pStyle w:val="BodyText"/>
      </w:pPr>
      <w:r w:rsidRPr="006B4110">
        <w:t>‘</w:t>
      </w:r>
      <w:r>
        <w:t>C</w:t>
      </w:r>
      <w:r w:rsidRPr="006B4110">
        <w:t xml:space="preserve">hildren enrolled in preschool’ is an indicator of governments’ objective to ensure that all families have equitable access to preschool services </w:t>
      </w:r>
      <w:r w:rsidRPr="00E30DEE">
        <w:t>(box</w:t>
      </w:r>
      <w:r w:rsidR="00172534">
        <w:t> </w:t>
      </w:r>
      <w:r>
        <w:t>3.8</w:t>
      </w:r>
      <w:r w:rsidRPr="00E30DEE">
        <w:t>).</w:t>
      </w:r>
    </w:p>
    <w:p w:rsidR="00A638C5" w:rsidRDefault="00A638C5" w:rsidP="0015378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638C5" w:rsidTr="00314791">
        <w:tc>
          <w:tcPr>
            <w:tcW w:w="8771" w:type="dxa"/>
            <w:tcBorders>
              <w:top w:val="single" w:sz="6" w:space="0" w:color="auto"/>
              <w:bottom w:val="single" w:sz="6" w:space="0" w:color="auto"/>
            </w:tcBorders>
          </w:tcPr>
          <w:p w:rsidR="00A638C5" w:rsidRPr="00A042B4" w:rsidRDefault="00A638C5">
            <w:pPr>
              <w:pStyle w:val="BoxTitle"/>
              <w:rPr>
                <w:color w:val="1F497D" w:themeColor="text2"/>
              </w:rPr>
            </w:pPr>
            <w:r w:rsidRPr="00DF669E">
              <w:rPr>
                <w:b w:val="0"/>
              </w:rPr>
              <w:t xml:space="preserve">Box </w:t>
            </w:r>
            <w:r w:rsidR="00632561" w:rsidRPr="00DF669E">
              <w:rPr>
                <w:b w:val="0"/>
              </w:rPr>
              <w:t>3.8</w:t>
            </w:r>
            <w:r w:rsidRPr="00DF669E">
              <w:tab/>
              <w:t>Children enrolled in preschool</w:t>
            </w:r>
          </w:p>
          <w:p w:rsidR="00632561" w:rsidRPr="00DF669E" w:rsidRDefault="00632561" w:rsidP="00632561">
            <w:pPr>
              <w:pStyle w:val="Box"/>
            </w:pPr>
            <w:r w:rsidRPr="00DF669E">
              <w:t>‘Children enrolled in preschool’ is defined by two measures:</w:t>
            </w:r>
          </w:p>
          <w:p w:rsidR="00D32B26" w:rsidRPr="00DF669E" w:rsidRDefault="001F1D2C" w:rsidP="00751B02">
            <w:pPr>
              <w:pStyle w:val="BoxListBullet"/>
            </w:pPr>
            <w:r w:rsidRPr="00DF669E">
              <w:t>proportion of children who are enrolled in a preschool program in the year before full time schooling</w:t>
            </w:r>
            <w:r w:rsidR="00FA642E" w:rsidRPr="00DF669E">
              <w:t>. The proportion of children is calculated using children aged 4 years as a proxy for children in the year before full time schooling and is sou</w:t>
            </w:r>
            <w:r w:rsidR="000B52D5" w:rsidRPr="00DF669E">
              <w:t>rced from ABS’ population data</w:t>
            </w:r>
          </w:p>
          <w:p w:rsidR="00FA642E" w:rsidRPr="00DF669E" w:rsidRDefault="001F1D2C" w:rsidP="00751B02">
            <w:pPr>
              <w:pStyle w:val="BoxListBullet"/>
            </w:pPr>
            <w:r w:rsidRPr="00DF669E">
              <w:t xml:space="preserve">proportion of Indigenous children (by geographic location) who are enrolled in a preschool program </w:t>
            </w:r>
            <w:r w:rsidR="007A2886" w:rsidRPr="00DF669E">
              <w:t>in the year before full time schooling</w:t>
            </w:r>
            <w:r w:rsidR="00FA642E" w:rsidRPr="00DF669E">
              <w:t>. The proportion of Indigenous children is calculated using Indigenous children aged 4 years as a proxy for children in the year before full time schooling and is derived from ABS’ population data.</w:t>
            </w:r>
            <w:r w:rsidR="00632561" w:rsidRPr="00DF669E">
              <w:t xml:space="preserve"> These data are provided on a national basis by remoteness categories ‘major cities’, ‘inner/outer regional areas’ and ‘remote/very remote areas’. </w:t>
            </w:r>
          </w:p>
          <w:p w:rsidR="001F1D2C" w:rsidRPr="00DF669E" w:rsidRDefault="00703A80" w:rsidP="00D32B26">
            <w:pPr>
              <w:pStyle w:val="Box"/>
            </w:pPr>
            <w:r w:rsidRPr="00DF669E">
              <w:t>Data reported for children who are enrolled in a preschool program in the year before full time schooling includes children aged 4 and 5 years on 1</w:t>
            </w:r>
            <w:r w:rsidR="00172534">
              <w:t> </w:t>
            </w:r>
            <w:r w:rsidRPr="00DF669E">
              <w:t>July 20</w:t>
            </w:r>
            <w:r w:rsidR="00644DE2">
              <w:t xml:space="preserve">12, but excludes children aged </w:t>
            </w:r>
            <w:r w:rsidR="00644DE2" w:rsidRPr="001E1784">
              <w:t>5</w:t>
            </w:r>
            <w:r w:rsidRPr="001E1784">
              <w:t xml:space="preserve"> </w:t>
            </w:r>
            <w:r w:rsidRPr="00DF669E">
              <w:t xml:space="preserve">years who were enrolled in preschool in the previous year as a 4 year old. </w:t>
            </w:r>
            <w:r w:rsidR="001F1D2C" w:rsidRPr="00DF669E">
              <w:t>To be considered as enrolled, the child must have attended the preschool program for at least one hour during the reference period, or be absent due to illness or extended holiday leave and expected to return.</w:t>
            </w:r>
          </w:p>
          <w:p w:rsidR="00D32B26" w:rsidRPr="00DF669E" w:rsidRDefault="00D32B26" w:rsidP="00D32B26">
            <w:pPr>
              <w:pStyle w:val="Box"/>
            </w:pPr>
            <w:r w:rsidRPr="00DF669E">
              <w:t>A high or increasing proportion of children enrolled in a preschool program can indicate a high or increasing level of service availability, and is desirable. However, this indicator can be difficult to interpret as:</w:t>
            </w:r>
          </w:p>
          <w:p w:rsidR="00D32B26" w:rsidRPr="00DF669E" w:rsidRDefault="00D32B26" w:rsidP="00751B02">
            <w:pPr>
              <w:pStyle w:val="BoxListBullet"/>
            </w:pPr>
            <w:r w:rsidRPr="00DF669E">
              <w:t>the preschool starting age for children varies across states and territories. A higher proportion of children enrolled at a particular age can reflect the preschool starting age in a particular jurisdiction</w:t>
            </w:r>
          </w:p>
          <w:p w:rsidR="00703A80" w:rsidRPr="00DF669E" w:rsidRDefault="00D32B26" w:rsidP="00751B02">
            <w:pPr>
              <w:pStyle w:val="BoxListBullet"/>
            </w:pPr>
            <w:r w:rsidRPr="00DF669E">
              <w:t>participation in preschool is not compulsory. This indicator does not provide information on parental preferences for using preschool, or other factors, such as school starting age, wh</w:t>
            </w:r>
            <w:r w:rsidR="00063447" w:rsidRPr="00DF669E">
              <w:t>ich can affect use of preschool</w:t>
            </w:r>
          </w:p>
          <w:p w:rsidR="00D32B26" w:rsidRPr="00DF669E" w:rsidRDefault="00D32B26" w:rsidP="00751B02">
            <w:pPr>
              <w:pStyle w:val="BoxListBullet"/>
            </w:pPr>
            <w:r w:rsidRPr="00DF669E">
              <w:t xml:space="preserve">overestimation of enrolment in some states and territories (for example, where enrolment rates exceed 100 per cent) can be due to children: moving interstate during a preschool year; attending multiple providers to access an appropriate amount of care; attending multiple service types and/or attending preschool for more than one year. Overestimation may also result from children enrolled in a preschool program in a jurisdiction different to the one in which they live, for example, between the </w:t>
            </w:r>
            <w:r w:rsidR="00EF6BB5" w:rsidRPr="00DF669E">
              <w:t>ACT and NSW or because the measures are based on the number of 4 and 5 year olds who are enrolled as a proportion of the number of 4 year olds in the population.</w:t>
            </w:r>
          </w:p>
          <w:p w:rsidR="00E524EF" w:rsidRPr="00DF669E" w:rsidRDefault="00E524EF" w:rsidP="00E524EF">
            <w:pPr>
              <w:pStyle w:val="Box"/>
            </w:pPr>
            <w:r w:rsidRPr="00DF669E">
              <w:t>Data reported for these measures are:</w:t>
            </w:r>
          </w:p>
          <w:p w:rsidR="00F67071" w:rsidRPr="00DF669E" w:rsidRDefault="00E524EF" w:rsidP="00E524EF">
            <w:pPr>
              <w:pStyle w:val="BoxListBullet"/>
            </w:pPr>
            <w:r w:rsidRPr="00DF669E">
              <w:t xml:space="preserve">comparable (subject to caveats) across jurisdictions but a break in series means that data </w:t>
            </w:r>
            <w:r>
              <w:t xml:space="preserve">for </w:t>
            </w:r>
            <w:r w:rsidRPr="00DF669E">
              <w:t>2012 are not comparable to data for 2011 (in the previous Report) for</w:t>
            </w:r>
            <w:r w:rsidR="008E11BF">
              <w:t xml:space="preserve"> children who are enrolled in a preschool program in the year before full time schooling. Data are not on a jurisdiction basis so comparability is not applicable for</w:t>
            </w:r>
          </w:p>
          <w:p w:rsidR="00F67071" w:rsidRPr="00DF669E" w:rsidRDefault="008E11BF" w:rsidP="008E11BF">
            <w:pPr>
              <w:pStyle w:val="Continued"/>
            </w:pPr>
            <w:r w:rsidRPr="00DF669E">
              <w:t>(Continued next page)</w:t>
            </w:r>
          </w:p>
          <w:p w:rsidR="00F67071" w:rsidRPr="00DF669E" w:rsidRDefault="00314791" w:rsidP="00314791">
            <w:pPr>
              <w:pStyle w:val="BoxTitle"/>
            </w:pPr>
            <w:r w:rsidRPr="00DF669E">
              <w:rPr>
                <w:b w:val="0"/>
              </w:rPr>
              <w:lastRenderedPageBreak/>
              <w:t>Box 3.8</w:t>
            </w:r>
            <w:r w:rsidRPr="00DF669E">
              <w:tab/>
            </w:r>
            <w:r w:rsidRPr="00DF669E">
              <w:rPr>
                <w:sz w:val="18"/>
                <w:szCs w:val="18"/>
              </w:rPr>
              <w:t>(continued)</w:t>
            </w:r>
          </w:p>
          <w:p w:rsidR="00063447" w:rsidRPr="00DF669E" w:rsidRDefault="00F67071" w:rsidP="008E11BF">
            <w:pPr>
              <w:pStyle w:val="Box"/>
              <w:ind w:left="283"/>
            </w:pPr>
            <w:r w:rsidRPr="00DF669E">
              <w:t>Indigenous children (by geographic location) who are enrolled in a preschool program in the year before full time schooling</w:t>
            </w:r>
          </w:p>
          <w:p w:rsidR="00D32B26" w:rsidRPr="00DF669E" w:rsidRDefault="00D32B26" w:rsidP="00751B02">
            <w:pPr>
              <w:pStyle w:val="BoxListBullet"/>
            </w:pPr>
            <w:r w:rsidRPr="00DF669E">
              <w:t xml:space="preserve">complete </w:t>
            </w:r>
            <w:r w:rsidR="000B52D5" w:rsidRPr="00DF669E">
              <w:t xml:space="preserve">(subject to caveats) </w:t>
            </w:r>
            <w:r w:rsidRPr="00DF669E">
              <w:t>for the current repor</w:t>
            </w:r>
            <w:r w:rsidR="000B52D5" w:rsidRPr="00DF669E">
              <w:t>ting period</w:t>
            </w:r>
            <w:r w:rsidRPr="00DF669E">
              <w:t xml:space="preserve">. All required 2012 data are available for all jurisdictions. </w:t>
            </w:r>
          </w:p>
          <w:p w:rsidR="00632561" w:rsidRPr="00D32B26" w:rsidRDefault="009A7EF2" w:rsidP="001F1D2C">
            <w:pPr>
              <w:pStyle w:val="Box"/>
              <w:rPr>
                <w:color w:val="FF0000"/>
              </w:rPr>
            </w:pPr>
            <w:r>
              <w:t>D</w:t>
            </w:r>
            <w:r w:rsidR="001F1D2C" w:rsidRPr="00DF669E">
              <w:t>ata quality</w:t>
            </w:r>
            <w:r>
              <w:t xml:space="preserve"> information</w:t>
            </w:r>
            <w:r w:rsidR="001F1D2C" w:rsidRPr="00DF669E">
              <w:t xml:space="preserve"> for this indicator is at </w:t>
            </w:r>
            <w:proofErr w:type="spellStart"/>
            <w:r w:rsidR="001F1D2C" w:rsidRPr="00DF669E">
              <w:t>www.pc.gov.au</w:t>
            </w:r>
            <w:proofErr w:type="spellEnd"/>
            <w:r w:rsidR="001F1D2C" w:rsidRPr="00DF669E">
              <w:t>/</w:t>
            </w:r>
            <w:proofErr w:type="spellStart"/>
            <w:r w:rsidR="001F1D2C" w:rsidRPr="00DF669E">
              <w:t>gsp</w:t>
            </w:r>
            <w:proofErr w:type="spellEnd"/>
            <w:r w:rsidR="001F1D2C" w:rsidRPr="00DF669E">
              <w:t>/reports/</w:t>
            </w:r>
            <w:proofErr w:type="spellStart"/>
            <w:r w:rsidR="001F1D2C" w:rsidRPr="00DF669E">
              <w:t>rogs2014</w:t>
            </w:r>
            <w:proofErr w:type="spellEnd"/>
            <w:r w:rsidR="001F1D2C" w:rsidRPr="00DF669E">
              <w:t>.</w:t>
            </w:r>
          </w:p>
        </w:tc>
      </w:tr>
      <w:tr w:rsidR="00A638C5" w:rsidRPr="000863A5">
        <w:tc>
          <w:tcPr>
            <w:tcW w:w="8771" w:type="dxa"/>
            <w:tcBorders>
              <w:top w:val="nil"/>
              <w:left w:val="nil"/>
              <w:bottom w:val="nil"/>
              <w:right w:val="nil"/>
            </w:tcBorders>
          </w:tcPr>
          <w:p w:rsidR="00A638C5" w:rsidRPr="00626D32" w:rsidRDefault="00A638C5" w:rsidP="00342DDB">
            <w:pPr>
              <w:pStyle w:val="BoxSpaceBelow"/>
            </w:pPr>
          </w:p>
        </w:tc>
      </w:tr>
    </w:tbl>
    <w:p w:rsidR="00B6184D" w:rsidRDefault="001F1D2C" w:rsidP="00B6184D">
      <w:pPr>
        <w:pStyle w:val="Heading5"/>
      </w:pPr>
      <w:r>
        <w:t xml:space="preserve">Proportion of children who are </w:t>
      </w:r>
      <w:r w:rsidR="00B6184D">
        <w:t>enrolled in a preschool program in the year before full time schooling</w:t>
      </w:r>
    </w:p>
    <w:p w:rsidR="00B6184D" w:rsidRPr="00386986" w:rsidRDefault="00B6184D" w:rsidP="00B6184D">
      <w:pPr>
        <w:pStyle w:val="BodyText"/>
      </w:pPr>
      <w:r>
        <w:t>The proportion of children enrolled in preschool in the year before full time schooling is based on the number of children aged 4 years in the population, even though older children can be enrolled in preschool in the year before full time schooling. This may result in an overestimation of the proportion of children enrolled in preschool in the year before full time schooling.</w:t>
      </w:r>
    </w:p>
    <w:p w:rsidR="00B6184D" w:rsidRDefault="00B6184D" w:rsidP="00B6184D">
      <w:pPr>
        <w:pStyle w:val="BodyText"/>
      </w:pPr>
      <w:r w:rsidRPr="003906FE">
        <w:t xml:space="preserve">Nationally </w:t>
      </w:r>
      <w:r w:rsidRPr="00737DC3">
        <w:t>in 201</w:t>
      </w:r>
      <w:r w:rsidRPr="00C86801">
        <w:t xml:space="preserve">2, </w:t>
      </w:r>
      <w:r>
        <w:t>86.3</w:t>
      </w:r>
      <w:r w:rsidRPr="00C86801">
        <w:t xml:space="preserve"> per cent</w:t>
      </w:r>
      <w:r w:rsidRPr="003906FE">
        <w:t xml:space="preserve"> of children </w:t>
      </w:r>
      <w:r>
        <w:t>in the year before</w:t>
      </w:r>
      <w:r w:rsidRPr="003906FE">
        <w:t xml:space="preserve"> full time school</w:t>
      </w:r>
      <w:r>
        <w:t>ing</w:t>
      </w:r>
      <w:r w:rsidRPr="003906FE">
        <w:t xml:space="preserve"> were enrolled in </w:t>
      </w:r>
      <w:r>
        <w:t xml:space="preserve">a preschool program, excluding children aged 5 years who were enrolled in preschool in the previous </w:t>
      </w:r>
      <w:r w:rsidR="009553CF">
        <w:t>year as a 4 year old (figure</w:t>
      </w:r>
      <w:r w:rsidR="00172534">
        <w:t> </w:t>
      </w:r>
      <w:r w:rsidR="009553CF">
        <w:t>3.6</w:t>
      </w:r>
      <w:r>
        <w:t>). Children who were enrolled in a preschool program in a long day care setting are included.</w:t>
      </w:r>
    </w:p>
    <w:p w:rsidR="00AC0879" w:rsidRPr="00722939" w:rsidRDefault="00AC0879" w:rsidP="00722939">
      <w:pPr>
        <w:pStyle w:val="FigureTitle"/>
        <w:rPr>
          <w:position w:val="6"/>
          <w:sz w:val="18"/>
        </w:rPr>
      </w:pPr>
      <w:r w:rsidRPr="00C86801">
        <w:rPr>
          <w:b w:val="0"/>
        </w:rPr>
        <w:lastRenderedPageBreak/>
        <w:t>Figure 3.</w:t>
      </w:r>
      <w:r>
        <w:rPr>
          <w:b w:val="0"/>
        </w:rPr>
        <w:t>6</w:t>
      </w:r>
      <w:r w:rsidRPr="00C86801">
        <w:tab/>
      </w:r>
      <w:r w:rsidRPr="001E1784">
        <w:t>Proportion of children</w:t>
      </w:r>
      <w:r w:rsidR="00E5450F" w:rsidRPr="001E1784">
        <w:t xml:space="preserve"> </w:t>
      </w:r>
      <w:r w:rsidRPr="001E1784">
        <w:t>enrolled in a preschool program in the year before full time schooling, 2012</w:t>
      </w:r>
      <w:r w:rsidRPr="001E1784">
        <w:rPr>
          <w:rStyle w:val="NoteLabel"/>
          <w:b/>
        </w:rPr>
        <w:t>a,</w:t>
      </w:r>
      <w:r w:rsidRPr="001E1784">
        <w:rPr>
          <w:b w:val="0"/>
        </w:rPr>
        <w:t xml:space="preserve"> </w:t>
      </w:r>
      <w:r w:rsidR="00180348" w:rsidRPr="001E1784">
        <w:rPr>
          <w:rStyle w:val="NoteLabel"/>
          <w:b/>
        </w:rPr>
        <w:t>b, c, d, e, f</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C0879" w:rsidRPr="00541A0F" w:rsidTr="00AC0879">
        <w:tc>
          <w:tcPr>
            <w:tcW w:w="8777" w:type="dxa"/>
          </w:tcPr>
          <w:p w:rsidR="00AC0879" w:rsidRPr="00541A0F" w:rsidRDefault="00F230C0" w:rsidP="00AC0879">
            <w:pPr>
              <w:pStyle w:val="Figure"/>
            </w:pPr>
            <w:r>
              <w:rPr>
                <w:noProof/>
              </w:rPr>
              <w:drawing>
                <wp:inline distT="0" distB="0" distL="0" distR="0" wp14:anchorId="1121EA13" wp14:editId="5D1D8CA7">
                  <wp:extent cx="5401310" cy="2700655"/>
                  <wp:effectExtent l="0" t="0" r="8890" b="4445"/>
                  <wp:docPr id="6" name="Picture 6" descr="Figure 3.6 Proportion of children enrolled in a preschool program in the year before full time schooling,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1310" cy="2700655"/>
                          </a:xfrm>
                          <a:prstGeom prst="rect">
                            <a:avLst/>
                          </a:prstGeom>
                          <a:noFill/>
                          <a:ln>
                            <a:noFill/>
                          </a:ln>
                        </pic:spPr>
                      </pic:pic>
                    </a:graphicData>
                  </a:graphic>
                </wp:inline>
              </w:drawing>
            </w:r>
          </w:p>
        </w:tc>
      </w:tr>
    </w:tbl>
    <w:p w:rsidR="00AC0879" w:rsidRPr="005B024C" w:rsidRDefault="00AC0879" w:rsidP="00AC0879">
      <w:pPr>
        <w:pStyle w:val="Note"/>
      </w:pPr>
      <w:r w:rsidRPr="00E46F3F">
        <w:rPr>
          <w:rStyle w:val="NoteLabel"/>
        </w:rPr>
        <w:t>a</w:t>
      </w:r>
      <w:r w:rsidRPr="00E46F3F">
        <w:t xml:space="preserve"> </w:t>
      </w:r>
      <w:r w:rsidR="00290465">
        <w:t>Year before full time schooling data include children aged 4 and 5 years on 1 July, except c</w:t>
      </w:r>
      <w:r w:rsidRPr="00E46F3F">
        <w:t xml:space="preserve">hildren aged </w:t>
      </w:r>
      <w:r w:rsidR="00C4602B">
        <w:br/>
      </w:r>
      <w:r w:rsidR="00C354D2">
        <w:t xml:space="preserve">5 years </w:t>
      </w:r>
      <w:r w:rsidRPr="00E46F3F">
        <w:t>who were enrolled in preschool in the previous year as a 4 year o</w:t>
      </w:r>
      <w:r w:rsidR="00290465">
        <w:t>ld.</w:t>
      </w:r>
      <w:r>
        <w:rPr>
          <w:rStyle w:val="NoteLabel"/>
        </w:rPr>
        <w:t xml:space="preserve"> </w:t>
      </w:r>
      <w:r w:rsidRPr="00E46F3F">
        <w:rPr>
          <w:rStyle w:val="NoteLabel"/>
        </w:rPr>
        <w:t>b</w:t>
      </w:r>
      <w:r>
        <w:t xml:space="preserve"> </w:t>
      </w:r>
      <w:r w:rsidRPr="001D39D8">
        <w:t>The preschool starting age varies acros</w:t>
      </w:r>
      <w:r w:rsidR="001530F8">
        <w:t>s jurisdictions (table</w:t>
      </w:r>
      <w:r w:rsidR="00172534">
        <w:t> </w:t>
      </w:r>
      <w:r w:rsidR="001530F8">
        <w:t>3.1).</w:t>
      </w:r>
      <w:r w:rsidRPr="0001528B">
        <w:rPr>
          <w:rStyle w:val="NoteLabel"/>
        </w:rPr>
        <w:t xml:space="preserve"> </w:t>
      </w:r>
      <w:r w:rsidRPr="00E516D5">
        <w:rPr>
          <w:rStyle w:val="NoteLabel"/>
        </w:rPr>
        <w:t>c</w:t>
      </w:r>
      <w:r w:rsidR="00180348" w:rsidRPr="00E516D5">
        <w:rPr>
          <w:rStyle w:val="NoteLabel"/>
        </w:rPr>
        <w:t xml:space="preserve"> </w:t>
      </w:r>
      <w:r w:rsidR="00656D1E" w:rsidRPr="001E1784">
        <w:t xml:space="preserve">To calculate the proportions in this figure, enrolment data (from the August 2012 National </w:t>
      </w:r>
      <w:proofErr w:type="spellStart"/>
      <w:r w:rsidR="00656D1E" w:rsidRPr="001E1784">
        <w:t>ECEC</w:t>
      </w:r>
      <w:proofErr w:type="spellEnd"/>
      <w:r w:rsidR="00656D1E" w:rsidRPr="001E1784">
        <w:t xml:space="preserve"> Collection) are divided by the number of children aged 4 years in each jurisdiction (using ABS estimated resident population at 30</w:t>
      </w:r>
      <w:r w:rsidR="00172534">
        <w:t> </w:t>
      </w:r>
      <w:r w:rsidR="00656D1E" w:rsidRPr="001E1784">
        <w:t>June 2012). As a result the proportion may exceed 100 per cent.</w:t>
      </w:r>
      <w:r w:rsidRPr="00E516D5">
        <w:t xml:space="preserve"> </w:t>
      </w:r>
      <w:r w:rsidR="00180348">
        <w:rPr>
          <w:rStyle w:val="NoteLabel"/>
        </w:rPr>
        <w:t>d</w:t>
      </w:r>
      <w:r w:rsidRPr="00E46F3F">
        <w:t xml:space="preserve"> </w:t>
      </w:r>
      <w:r w:rsidR="00C4602B" w:rsidRPr="00E46F3F">
        <w:t>Not all children undertaking a preschool program in a long day care setting in NSW are captured in the collection, resulting in an undercount for NSW.</w:t>
      </w:r>
      <w:r w:rsidR="00C4602B" w:rsidRPr="00C4602B">
        <w:t xml:space="preserve"> </w:t>
      </w:r>
      <w:r w:rsidR="00180348">
        <w:rPr>
          <w:rStyle w:val="NoteLabel"/>
        </w:rPr>
        <w:t>e</w:t>
      </w:r>
      <w:r w:rsidRPr="00E46F3F">
        <w:t xml:space="preserve"> </w:t>
      </w:r>
      <w:r w:rsidR="00C4602B" w:rsidRPr="00E46F3F">
        <w:t>Child level enrolment data for Queensland are not availabl</w:t>
      </w:r>
      <w:r w:rsidR="00C4602B">
        <w:t>e. Episode of enrolment data were</w:t>
      </w:r>
      <w:r w:rsidR="00C4602B" w:rsidRPr="00E46F3F">
        <w:t xml:space="preserve"> used instead for Queensland. An episode is a record of enrolment at a preschool program. Children may be enrolled in more than one preschool program so will be counted more than once in episode counts where they are enrolled in more than one preschool program. These data are included in the national total. </w:t>
      </w:r>
      <w:r w:rsidR="00180348">
        <w:rPr>
          <w:rStyle w:val="NoteLabel"/>
        </w:rPr>
        <w:t>f</w:t>
      </w:r>
      <w:r w:rsidRPr="00E46F3F">
        <w:t xml:space="preserve"> Totals for t</w:t>
      </w:r>
      <w:r>
        <w:t xml:space="preserve">he ACT </w:t>
      </w:r>
      <w:r w:rsidRPr="00E46F3F">
        <w:t>exclude data for preschools withi</w:t>
      </w:r>
      <w:r>
        <w:t>n independent schools, which were</w:t>
      </w:r>
      <w:r w:rsidRPr="00E46F3F">
        <w:t xml:space="preserve"> unavailable for 2012.</w:t>
      </w:r>
    </w:p>
    <w:p w:rsidR="00AC0879" w:rsidRDefault="00AC0879" w:rsidP="00AC0879">
      <w:pPr>
        <w:pStyle w:val="Source"/>
      </w:pPr>
      <w:r w:rsidRPr="00541A0F">
        <w:rPr>
          <w:i/>
        </w:rPr>
        <w:t>Source</w:t>
      </w:r>
      <w:r>
        <w:t xml:space="preserve">: Derived from ABS (2013) </w:t>
      </w:r>
      <w:r w:rsidRPr="007628F8">
        <w:rPr>
          <w:i/>
        </w:rPr>
        <w:t>Preschool Education, Australia, 2012</w:t>
      </w:r>
      <w:r>
        <w:rPr>
          <w:i/>
        </w:rPr>
        <w:t xml:space="preserve">, </w:t>
      </w:r>
      <w:r w:rsidRPr="00C347EF">
        <w:t>Cat. no. 4240.0;</w:t>
      </w:r>
      <w:r>
        <w:rPr>
          <w:i/>
        </w:rPr>
        <w:t xml:space="preserve"> </w:t>
      </w:r>
      <w:r>
        <w:t>ABS (2013</w:t>
      </w:r>
      <w:r w:rsidRPr="00541A0F">
        <w:t xml:space="preserve">) </w:t>
      </w:r>
      <w:r w:rsidRPr="00541A0F">
        <w:rPr>
          <w:i/>
        </w:rPr>
        <w:t xml:space="preserve">Australian Demographic </w:t>
      </w:r>
      <w:r w:rsidRPr="005B024C">
        <w:rPr>
          <w:i/>
        </w:rPr>
        <w:t>Statistics, Dec 2012,</w:t>
      </w:r>
      <w:r w:rsidRPr="00541A0F">
        <w:t xml:space="preserve"> Cat. no. 3101.0; </w:t>
      </w:r>
      <w:r w:rsidRPr="00C86801">
        <w:t>table</w:t>
      </w:r>
      <w:r w:rsidR="00172534">
        <w:t> </w:t>
      </w:r>
      <w:proofErr w:type="spellStart"/>
      <w:r w:rsidRPr="00C86801">
        <w:t>3A.</w:t>
      </w:r>
      <w:r w:rsidR="000A7ACF">
        <w:t>16</w:t>
      </w:r>
      <w:proofErr w:type="spellEnd"/>
      <w:r w:rsidRPr="00C86801">
        <w:t>.</w:t>
      </w:r>
    </w:p>
    <w:p w:rsidR="00AC0879" w:rsidRDefault="00AC0879" w:rsidP="00AC0879">
      <w:pPr>
        <w:pStyle w:val="BodyText"/>
      </w:pPr>
      <w:r>
        <w:t xml:space="preserve">Although the preschool starting age varies across jurisdictions (table 3.1), </w:t>
      </w:r>
      <w:r w:rsidRPr="00541A0F">
        <w:t>the majority of childr</w:t>
      </w:r>
      <w:r>
        <w:t>en enrolled in preschool in 20</w:t>
      </w:r>
      <w:r w:rsidRPr="00541A0F">
        <w:t>1</w:t>
      </w:r>
      <w:r>
        <w:t>2</w:t>
      </w:r>
      <w:r w:rsidR="00C4602B">
        <w:t xml:space="preserve"> were 4</w:t>
      </w:r>
      <w:r w:rsidRPr="00541A0F">
        <w:t xml:space="preserve"> years </w:t>
      </w:r>
      <w:r>
        <w:t xml:space="preserve">of age </w:t>
      </w:r>
      <w:r w:rsidRPr="00541A0F">
        <w:t>for each jurisdiction (table </w:t>
      </w:r>
      <w:proofErr w:type="spellStart"/>
      <w:r w:rsidRPr="00541A0F">
        <w:t>3A.1</w:t>
      </w:r>
      <w:r w:rsidR="001D596D">
        <w:t>6</w:t>
      </w:r>
      <w:proofErr w:type="spellEnd"/>
      <w:r w:rsidRPr="00541A0F">
        <w:t xml:space="preserve">). </w:t>
      </w:r>
      <w:r>
        <w:t>Nationall</w:t>
      </w:r>
      <w:r w:rsidR="00C4602B">
        <w:t>y in 2012, 74.5 per cent of 4</w:t>
      </w:r>
      <w:r>
        <w:t xml:space="preserve"> year olds were enrolled in a preschool</w:t>
      </w:r>
      <w:r w:rsidR="001C4466">
        <w:t xml:space="preserve"> </w:t>
      </w:r>
      <w:r w:rsidR="00C4602B">
        <w:t>program. The proportion of 3</w:t>
      </w:r>
      <w:r>
        <w:t xml:space="preserve"> year olds enrolled in</w:t>
      </w:r>
      <w:r w:rsidR="00D705E1">
        <w:t xml:space="preserve"> a preschool program </w:t>
      </w:r>
      <w:r>
        <w:t>(</w:t>
      </w:r>
      <w:r w:rsidR="001C4466">
        <w:t>18.2</w:t>
      </w:r>
      <w:r>
        <w:t xml:space="preserve"> per </w:t>
      </w:r>
      <w:r w:rsidR="00C4602B">
        <w:t xml:space="preserve">cent) </w:t>
      </w:r>
      <w:r w:rsidR="00D705E1">
        <w:t xml:space="preserve">was higher </w:t>
      </w:r>
      <w:r w:rsidR="00C4602B">
        <w:t xml:space="preserve">than </w:t>
      </w:r>
      <w:r w:rsidR="00D705E1">
        <w:t xml:space="preserve">for </w:t>
      </w:r>
      <w:r w:rsidR="00C4602B">
        <w:t>5</w:t>
      </w:r>
      <w:r>
        <w:t xml:space="preserve"> year olds (</w:t>
      </w:r>
      <w:r w:rsidR="001C4466">
        <w:t>15.8</w:t>
      </w:r>
      <w:r w:rsidRPr="001C4466">
        <w:t xml:space="preserve"> </w:t>
      </w:r>
      <w:r>
        <w:t xml:space="preserve">per cent) </w:t>
      </w:r>
      <w:r w:rsidRPr="00C86801">
        <w:t>(table </w:t>
      </w:r>
      <w:proofErr w:type="spellStart"/>
      <w:r w:rsidRPr="00C86801">
        <w:t>3A.1</w:t>
      </w:r>
      <w:r w:rsidR="000A7ACF">
        <w:t>6</w:t>
      </w:r>
      <w:proofErr w:type="spellEnd"/>
      <w:r w:rsidRPr="00C86801">
        <w:t>).</w:t>
      </w:r>
      <w:r>
        <w:t xml:space="preserve"> These proportions varied across jurisdictions.</w:t>
      </w:r>
    </w:p>
    <w:p w:rsidR="00AC0879" w:rsidRDefault="00AC0879" w:rsidP="00AC0879">
      <w:pPr>
        <w:pStyle w:val="BodyText"/>
      </w:pPr>
      <w:r>
        <w:t xml:space="preserve">Data are included on children enrolled in a preschool program in the year before full time schooling by weekly hour ranges. Nationally, the majority of children </w:t>
      </w:r>
      <w:r w:rsidR="001530F8">
        <w:br/>
      </w:r>
      <w:r>
        <w:t>(63.1 per cent) were enrolled for at leas</w:t>
      </w:r>
      <w:r w:rsidR="000A7ACF">
        <w:t>t 15 hours per week (table</w:t>
      </w:r>
      <w:r w:rsidR="00172534">
        <w:t> </w:t>
      </w:r>
      <w:proofErr w:type="spellStart"/>
      <w:r w:rsidR="000A7ACF">
        <w:t>3A.17</w:t>
      </w:r>
      <w:proofErr w:type="spellEnd"/>
      <w:r>
        <w:t>).</w:t>
      </w:r>
      <w:r w:rsidRPr="00CD32E9">
        <w:t xml:space="preserve"> </w:t>
      </w:r>
    </w:p>
    <w:p w:rsidR="00872A11" w:rsidRPr="00172534" w:rsidRDefault="00872A11" w:rsidP="00AC0879">
      <w:pPr>
        <w:pStyle w:val="BodyText"/>
      </w:pPr>
      <w:r>
        <w:t>Data are included on all children aged 4 and 5 years who were enrolled in a preschool program in 2012. Nationally, 266</w:t>
      </w:r>
      <w:r w:rsidR="00CC43FD">
        <w:t> </w:t>
      </w:r>
      <w:r>
        <w:t xml:space="preserve">036 children aged 4 and 5 years were enrolled in </w:t>
      </w:r>
      <w:r w:rsidR="000A7ACF">
        <w:t>a preschool program (table</w:t>
      </w:r>
      <w:r w:rsidR="00172534">
        <w:t> </w:t>
      </w:r>
      <w:proofErr w:type="spellStart"/>
      <w:r w:rsidR="000A7ACF">
        <w:t>3A.23</w:t>
      </w:r>
      <w:proofErr w:type="spellEnd"/>
      <w:r>
        <w:t>).</w:t>
      </w:r>
    </w:p>
    <w:p w:rsidR="00AC0879" w:rsidRPr="00297D6C" w:rsidRDefault="00276551" w:rsidP="00F40D0C">
      <w:pPr>
        <w:pStyle w:val="Heading5"/>
      </w:pPr>
      <w:r>
        <w:lastRenderedPageBreak/>
        <w:t xml:space="preserve">Proportion of </w:t>
      </w:r>
      <w:r w:rsidR="00AC0879" w:rsidRPr="00297D6C">
        <w:t xml:space="preserve">Indigenous children </w:t>
      </w:r>
      <w:r>
        <w:t xml:space="preserve">(by geographic location) </w:t>
      </w:r>
      <w:r w:rsidR="00546F5E">
        <w:t xml:space="preserve">who are </w:t>
      </w:r>
      <w:r w:rsidR="00AC0879" w:rsidRPr="00297D6C">
        <w:t xml:space="preserve">enrolled </w:t>
      </w:r>
      <w:r w:rsidR="00AC0879">
        <w:t xml:space="preserve">in </w:t>
      </w:r>
      <w:r w:rsidR="00AC0879" w:rsidRPr="00297D6C">
        <w:t>a preschool program</w:t>
      </w:r>
      <w:r w:rsidR="00AC0879">
        <w:t xml:space="preserve"> in the year before full time</w:t>
      </w:r>
      <w:r w:rsidR="00AC0879" w:rsidRPr="00297D6C">
        <w:t xml:space="preserve"> schooling</w:t>
      </w:r>
    </w:p>
    <w:p w:rsidR="00AC0879" w:rsidRDefault="00F06BF0" w:rsidP="00AC0879">
      <w:pPr>
        <w:pStyle w:val="BodyText"/>
      </w:pPr>
      <w:r>
        <w:t xml:space="preserve">National data </w:t>
      </w:r>
      <w:r w:rsidR="00AC0879" w:rsidRPr="00297D6C">
        <w:t xml:space="preserve">on the proportion of Indigenous children enrolled </w:t>
      </w:r>
      <w:r w:rsidR="00AC0879">
        <w:t xml:space="preserve">in </w:t>
      </w:r>
      <w:r w:rsidR="00AC0879" w:rsidRPr="00297D6C">
        <w:t>a preschool pr</w:t>
      </w:r>
      <w:r w:rsidR="00AC0879">
        <w:t xml:space="preserve">ogram in the year before full time </w:t>
      </w:r>
      <w:r>
        <w:t xml:space="preserve">schooling </w:t>
      </w:r>
      <w:r w:rsidR="00AC0879" w:rsidRPr="00297D6C">
        <w:t>are presented by remoteness areas (major cities; inner/outer regional areas; remote/very remote areas)</w:t>
      </w:r>
      <w:r w:rsidR="000A7ACF">
        <w:t xml:space="preserve"> in table</w:t>
      </w:r>
      <w:r w:rsidR="00172534">
        <w:t> </w:t>
      </w:r>
      <w:proofErr w:type="spellStart"/>
      <w:r w:rsidR="000A7ACF">
        <w:t>3A.18</w:t>
      </w:r>
      <w:proofErr w:type="spellEnd"/>
      <w:r w:rsidR="00AC0879" w:rsidRPr="00297D6C">
        <w:t xml:space="preserve">. </w:t>
      </w:r>
      <w:r w:rsidR="00AC0879">
        <w:t>In 2012</w:t>
      </w:r>
      <w:r w:rsidR="00AC0879" w:rsidRPr="00297D6C">
        <w:t>, amongst Indigenous children i</w:t>
      </w:r>
      <w:r w:rsidR="00476371">
        <w:t xml:space="preserve">n major cities, </w:t>
      </w:r>
      <w:r w:rsidR="00476371" w:rsidRPr="001E1784">
        <w:t>69.9</w:t>
      </w:r>
      <w:r w:rsidR="00AC0879" w:rsidRPr="00297D6C">
        <w:t xml:space="preserve"> per cent were enrolled</w:t>
      </w:r>
      <w:r w:rsidR="00AC0879">
        <w:t xml:space="preserve"> in a preschool program in the year before full time schooling.</w:t>
      </w:r>
      <w:r w:rsidR="00AC0879" w:rsidRPr="00297D6C">
        <w:t xml:space="preserve"> </w:t>
      </w:r>
      <w:r w:rsidR="00476371">
        <w:t xml:space="preserve">In regional areas, </w:t>
      </w:r>
      <w:r w:rsidR="00773686">
        <w:br/>
      </w:r>
      <w:r w:rsidR="00476371" w:rsidRPr="001E1784">
        <w:t>79.3</w:t>
      </w:r>
      <w:r w:rsidR="00AC0879" w:rsidRPr="00297D6C">
        <w:t xml:space="preserve"> per cent of Indigenous children were e</w:t>
      </w:r>
      <w:r w:rsidR="00AC0879">
        <w:t xml:space="preserve">nrolled in a preschool program in the year before full time schooling. </w:t>
      </w:r>
      <w:r w:rsidR="00AC0879" w:rsidRPr="00297D6C">
        <w:t xml:space="preserve">In </w:t>
      </w:r>
      <w:r w:rsidR="00476371">
        <w:t xml:space="preserve">remote areas, </w:t>
      </w:r>
      <w:r w:rsidR="00476371" w:rsidRPr="001E1784">
        <w:t>88.4</w:t>
      </w:r>
      <w:r w:rsidR="00AC0879" w:rsidRPr="00297D6C">
        <w:t xml:space="preserve"> per cent of Indigenous children were enrolled in a preschool progra</w:t>
      </w:r>
      <w:r w:rsidR="00AC0879">
        <w:t xml:space="preserve">m in the year before </w:t>
      </w:r>
      <w:r w:rsidR="000A7ACF">
        <w:t>full time schooling (table </w:t>
      </w:r>
      <w:proofErr w:type="spellStart"/>
      <w:r w:rsidR="000A7ACF">
        <w:t>3A.18</w:t>
      </w:r>
      <w:proofErr w:type="spellEnd"/>
      <w:r w:rsidR="00AC0879" w:rsidRPr="00297D6C">
        <w:t>).</w:t>
      </w:r>
    </w:p>
    <w:p w:rsidR="00AC0879" w:rsidRPr="0000397C" w:rsidRDefault="0064565D" w:rsidP="00AC0879">
      <w:pPr>
        <w:pStyle w:val="BodyText"/>
      </w:pPr>
      <w:r>
        <w:t>Contextual data are provided</w:t>
      </w:r>
      <w:r w:rsidR="00AC0879">
        <w:t xml:space="preserve"> for all jurisdictions on the number of Indigenous children aged 4 and 5 years enrolled in a preschool program and Indigenous children aged 4 and 5 years enrolled in a preschool program in the year before full time schooling. </w:t>
      </w:r>
      <w:r w:rsidR="00AC0879" w:rsidRPr="0000397C">
        <w:t xml:space="preserve">These data are also presented </w:t>
      </w:r>
      <w:r w:rsidR="00476371">
        <w:t>by remoteness areas (table</w:t>
      </w:r>
      <w:r w:rsidR="00172534">
        <w:t> </w:t>
      </w:r>
      <w:proofErr w:type="spellStart"/>
      <w:r w:rsidR="00476371">
        <w:t>3A.19</w:t>
      </w:r>
      <w:proofErr w:type="spellEnd"/>
      <w:r w:rsidR="00AC0879" w:rsidRPr="0000397C">
        <w:t>).</w:t>
      </w:r>
    </w:p>
    <w:p w:rsidR="00AC0879" w:rsidRDefault="00AC0879" w:rsidP="00AC0879">
      <w:pPr>
        <w:pStyle w:val="Heading5"/>
      </w:pPr>
      <w:r w:rsidRPr="00C41228">
        <w:t xml:space="preserve">Access — </w:t>
      </w:r>
      <w:r>
        <w:t xml:space="preserve">children attending </w:t>
      </w:r>
      <w:r w:rsidRPr="00E30DEE">
        <w:t>preschool</w:t>
      </w:r>
    </w:p>
    <w:p w:rsidR="00AC0879" w:rsidRDefault="00AC0879" w:rsidP="00AC0879">
      <w:pPr>
        <w:pStyle w:val="BodyText"/>
      </w:pPr>
      <w:r w:rsidRPr="006B4110">
        <w:t>‘</w:t>
      </w:r>
      <w:r>
        <w:t xml:space="preserve">Children attending </w:t>
      </w:r>
      <w:r w:rsidRPr="006B4110">
        <w:t xml:space="preserve">preschool’ is an indicator of governments’ objective to ensure that all families have equitable access to preschool services </w:t>
      </w:r>
      <w:r w:rsidRPr="00E30DEE">
        <w:t>(box</w:t>
      </w:r>
      <w:r w:rsidR="00172534">
        <w:t> </w:t>
      </w:r>
      <w:r>
        <w:t>3.9</w:t>
      </w:r>
      <w:r w:rsidRPr="00E30DEE">
        <w:t>).</w:t>
      </w:r>
    </w:p>
    <w:p w:rsidR="00C11DCB" w:rsidRDefault="00C11DC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11DCB" w:rsidTr="00BA0317">
        <w:tc>
          <w:tcPr>
            <w:tcW w:w="8771" w:type="dxa"/>
            <w:tcBorders>
              <w:top w:val="single" w:sz="6" w:space="0" w:color="auto"/>
              <w:bottom w:val="single" w:sz="6" w:space="0" w:color="auto"/>
            </w:tcBorders>
          </w:tcPr>
          <w:p w:rsidR="00C11DCB" w:rsidRPr="00BD2657" w:rsidRDefault="00C11DCB" w:rsidP="00C11DCB">
            <w:pPr>
              <w:pStyle w:val="BoxTitle"/>
            </w:pPr>
            <w:bookmarkStart w:id="15" w:name="OLE_LINK1"/>
            <w:r w:rsidRPr="00BD2657">
              <w:rPr>
                <w:b w:val="0"/>
              </w:rPr>
              <w:t>Box 3.9</w:t>
            </w:r>
            <w:bookmarkEnd w:id="15"/>
            <w:r w:rsidRPr="00BD2657">
              <w:tab/>
              <w:t>Children attending preschool</w:t>
            </w:r>
          </w:p>
          <w:p w:rsidR="00112F0B" w:rsidRPr="00BD2657" w:rsidRDefault="00112F0B" w:rsidP="00112F0B">
            <w:pPr>
              <w:pStyle w:val="Box"/>
            </w:pPr>
            <w:r w:rsidRPr="00BD2657">
              <w:t>‘Children attending preschool’ is defined by three measures:</w:t>
            </w:r>
          </w:p>
          <w:p w:rsidR="00112F0B" w:rsidRPr="00BD2657" w:rsidRDefault="00112F0B" w:rsidP="00751B02">
            <w:pPr>
              <w:pStyle w:val="BoxListBullet"/>
            </w:pPr>
            <w:r w:rsidRPr="00BD2657">
              <w:t>proportion of children who are attending a preschool program in the year before full time schooling. The proportion of children is calculated using children aged 4 years as a proxy for children in the year before full time schooling and is sou</w:t>
            </w:r>
            <w:r w:rsidR="000B52D5" w:rsidRPr="00BD2657">
              <w:t>rced from ABS’ population data</w:t>
            </w:r>
          </w:p>
          <w:p w:rsidR="00112F0B" w:rsidRPr="00BD2657" w:rsidRDefault="00112F0B" w:rsidP="00751B02">
            <w:pPr>
              <w:pStyle w:val="BoxListBullet"/>
            </w:pPr>
            <w:r w:rsidRPr="00BD2657">
              <w:t>t</w:t>
            </w:r>
            <w:r w:rsidRPr="00BD2657">
              <w:rPr>
                <w:rStyle w:val="BoxChar"/>
              </w:rPr>
              <w:t>he number of Indigenous children absen</w:t>
            </w:r>
            <w:r w:rsidR="0007019C">
              <w:rPr>
                <w:rStyle w:val="BoxChar"/>
              </w:rPr>
              <w:t>t from non</w:t>
            </w:r>
            <w:r w:rsidR="00172534">
              <w:rPr>
                <w:rStyle w:val="BoxChar"/>
              </w:rPr>
              <w:noBreakHyphen/>
            </w:r>
            <w:r w:rsidR="0007019C">
              <w:rPr>
                <w:rStyle w:val="BoxChar"/>
              </w:rPr>
              <w:t>government preschools</w:t>
            </w:r>
            <w:r w:rsidRPr="00BD2657">
              <w:rPr>
                <w:rStyle w:val="BoxChar"/>
              </w:rPr>
              <w:t>, as a proportion</w:t>
            </w:r>
            <w:r w:rsidRPr="00BD2657">
              <w:t xml:space="preserve"> of all Indigenous children enrol</w:t>
            </w:r>
            <w:r w:rsidR="0007019C">
              <w:t>led in non</w:t>
            </w:r>
            <w:r w:rsidR="00172534">
              <w:noBreakHyphen/>
            </w:r>
            <w:r w:rsidR="0007019C">
              <w:t>government preschools</w:t>
            </w:r>
            <w:r w:rsidRPr="00BD2657">
              <w:t>. Data are sourced from the National Preschool Census. Data on Indigenous preschool attendance rates are limited to Indigenous children enroll</w:t>
            </w:r>
            <w:r w:rsidR="0007019C">
              <w:t>ed in non</w:t>
            </w:r>
            <w:r w:rsidR="0007019C">
              <w:noBreakHyphen/>
              <w:t>government preschools. Non</w:t>
            </w:r>
            <w:r w:rsidR="00172534">
              <w:noBreakHyphen/>
            </w:r>
            <w:r w:rsidR="0007019C">
              <w:t>government preschools</w:t>
            </w:r>
            <w:r w:rsidR="0023504E">
              <w:t xml:space="preserve"> </w:t>
            </w:r>
            <w:r w:rsidRPr="00BD2657">
              <w:t>include preschool programs delivered in government funded, registered, licensed and/or approved services, and these arrangements vary across jurisdictions. Preschool programs operated by commercial providers are excluded. A child is deemed absent if they missed one or more of the sessions they were enrolled in during the reference week. Prescho</w:t>
            </w:r>
            <w:r w:rsidR="000B52D5" w:rsidRPr="00BD2657">
              <w:t>ol attendance is not compulsory</w:t>
            </w:r>
          </w:p>
          <w:p w:rsidR="00112F0B" w:rsidRPr="00BD2657" w:rsidRDefault="00112F0B" w:rsidP="00751B02">
            <w:pPr>
              <w:pStyle w:val="BoxListBullet"/>
            </w:pPr>
            <w:r w:rsidRPr="00BD2657">
              <w:t xml:space="preserve">proportion of Indigenous children (by geographic location) who are attending a preschool program in the year before full time schooling. The proportion of Indigenous children is calculated using Indigenous children aged 4 years as a proxy for children in the year before full time schooling and is derived from ABS’ population data. These data are provided on a national basis by remoteness categories ‘major cities’, ‘inner/outer regional areas’ and ‘remote/very remote areas’. </w:t>
            </w:r>
          </w:p>
          <w:p w:rsidR="00112F0B" w:rsidRPr="00BD2657" w:rsidRDefault="00112F0B" w:rsidP="00112F0B">
            <w:pPr>
              <w:pStyle w:val="Box"/>
            </w:pPr>
            <w:r w:rsidRPr="00BD2657">
              <w:t>Data reported for children who are attending a preschool program in the year before full time schooling includes children aged 4 and 5 years on 1</w:t>
            </w:r>
            <w:r w:rsidR="00172534">
              <w:t> </w:t>
            </w:r>
            <w:r w:rsidRPr="00BD2657">
              <w:t>July 20</w:t>
            </w:r>
            <w:r w:rsidR="00644DE2">
              <w:t xml:space="preserve">12, but excludes children aged </w:t>
            </w:r>
            <w:r w:rsidR="00644DE2" w:rsidRPr="001E1784">
              <w:t>5</w:t>
            </w:r>
            <w:r w:rsidRPr="001E1784">
              <w:t xml:space="preserve"> </w:t>
            </w:r>
            <w:r w:rsidRPr="00BD2657">
              <w:t xml:space="preserve">years who attended preschool in the previous year as a 4 year old. A child is considered to be attending a preschool program is the child was enrolled and present for at least one hour during the reference period. </w:t>
            </w:r>
          </w:p>
          <w:p w:rsidR="00112F0B" w:rsidRPr="00BD2657" w:rsidRDefault="00112F0B" w:rsidP="00112F0B">
            <w:pPr>
              <w:pStyle w:val="Box"/>
            </w:pPr>
            <w:r w:rsidRPr="00BD2657">
              <w:t>A high or increasing proportion of children attending a preschool program can indicate a high or increasing level of service availability, and is desirable. However, this indicator can be difficult to interpret as:</w:t>
            </w:r>
          </w:p>
          <w:p w:rsidR="00112F0B" w:rsidRPr="00BD2657" w:rsidRDefault="00112F0B" w:rsidP="00751B02">
            <w:pPr>
              <w:pStyle w:val="BoxListBullet"/>
            </w:pPr>
            <w:r w:rsidRPr="00BD2657">
              <w:t>the preschool starting age for children varies across states and territories. A higher proportion of children attending at a particular age can reflect the preschool starting age in a particular jurisdiction</w:t>
            </w:r>
          </w:p>
          <w:p w:rsidR="00112F0B" w:rsidRDefault="00112F0B" w:rsidP="00751B02">
            <w:pPr>
              <w:pStyle w:val="BoxListBullet"/>
            </w:pPr>
            <w:r w:rsidRPr="00BD2657">
              <w:t>participation in preschool is not compulsory. This indicator does not provide information on parental preferences for using preschool, or other factors, such as school starting age, which can affect use of preschool</w:t>
            </w:r>
          </w:p>
          <w:p w:rsidR="000B23C1" w:rsidRDefault="000B23C1" w:rsidP="00751B02">
            <w:pPr>
              <w:pStyle w:val="BoxListBullet"/>
            </w:pPr>
            <w:r w:rsidRPr="00BD2657">
              <w:t>overestimation of attendance in some states and territories (for example, where attendance rates exceed 100 per cent) can be due to children: moving interstate during a preschool year; attending multiple providers to access an appropriate amount of care; attending multiple service types and/or attending preschool for</w:t>
            </w:r>
            <w:r>
              <w:t xml:space="preserve"> more than one year. Overestimation may also result from children attending preschool in a jurisdiction different to the one in which they live, for example, </w:t>
            </w:r>
          </w:p>
          <w:p w:rsidR="00060F9B" w:rsidRDefault="000B23C1" w:rsidP="000B23C1">
            <w:pPr>
              <w:pStyle w:val="Continued"/>
            </w:pPr>
            <w:r w:rsidRPr="00BD2657">
              <w:t>(Continued next page)</w:t>
            </w:r>
          </w:p>
          <w:p w:rsidR="006C0F82" w:rsidRPr="00BD2657" w:rsidRDefault="00E70BF4" w:rsidP="00E70BF4">
            <w:pPr>
              <w:pStyle w:val="BoxTitle"/>
            </w:pPr>
            <w:r w:rsidRPr="00E70BF4">
              <w:rPr>
                <w:b w:val="0"/>
              </w:rPr>
              <w:lastRenderedPageBreak/>
              <w:t>Box 3.9</w:t>
            </w:r>
            <w:r w:rsidR="006C0F82" w:rsidRPr="00BD2657">
              <w:tab/>
            </w:r>
            <w:r w:rsidR="006C0F82" w:rsidRPr="00BD2657">
              <w:rPr>
                <w:sz w:val="18"/>
                <w:szCs w:val="18"/>
              </w:rPr>
              <w:t>(continued)</w:t>
            </w:r>
          </w:p>
          <w:p w:rsidR="006C0F82" w:rsidRPr="00BD2657" w:rsidRDefault="006C0F82" w:rsidP="000B23C1">
            <w:pPr>
              <w:pStyle w:val="Box"/>
              <w:ind w:left="283"/>
            </w:pPr>
            <w:r w:rsidRPr="00BD2657">
              <w:t>between the ACT and NSW or because measures are based on the number of 4 and 5 year olds attending as a proportion of the number of 4 year olds in the population.</w:t>
            </w:r>
          </w:p>
          <w:p w:rsidR="00112F0B" w:rsidRDefault="006C0F82" w:rsidP="006C0F82">
            <w:pPr>
              <w:pStyle w:val="Box"/>
            </w:pPr>
            <w:r w:rsidRPr="00BD2657">
              <w:t xml:space="preserve">A low or decreasing absentee rate indicates a high or increasing </w:t>
            </w:r>
            <w:r w:rsidR="0007019C">
              <w:t>rate of attendance at preschools</w:t>
            </w:r>
            <w:r w:rsidRPr="00BD2657">
              <w:t>, and is desirable.</w:t>
            </w:r>
          </w:p>
          <w:p w:rsidR="005B33EA" w:rsidRDefault="005B33EA" w:rsidP="005B33EA">
            <w:pPr>
              <w:pStyle w:val="Box"/>
            </w:pPr>
            <w:r>
              <w:t>Data reported for these measures are:</w:t>
            </w:r>
          </w:p>
          <w:p w:rsidR="005B33EA" w:rsidRDefault="005B33EA" w:rsidP="000B23C1">
            <w:pPr>
              <w:pStyle w:val="BoxListBullet"/>
            </w:pPr>
            <w:r>
              <w:t>comparable (subject to caveats) across jurisdictions but a break in series means that data 2012 are not comparable to data for 2011 (in the previous Report) for children who are attending a preschool program in the year before full time schooling. Data are not on a jurisdiction basis so comparability is not applicable for Indigenous children (by geographic location) who are attending a preschool program in the year before full time schooling</w:t>
            </w:r>
          </w:p>
          <w:p w:rsidR="00411119" w:rsidRDefault="005B33EA" w:rsidP="000B23C1">
            <w:pPr>
              <w:pStyle w:val="BoxListBullet"/>
            </w:pPr>
            <w:r>
              <w:t xml:space="preserve">complete (subject to caveats) for the current reporting period. All required 2012 data are available for all jurisdictions. </w:t>
            </w:r>
          </w:p>
          <w:p w:rsidR="002D673A" w:rsidRPr="004C2C5B" w:rsidRDefault="009A7EF2" w:rsidP="005B33EA">
            <w:pPr>
              <w:pStyle w:val="Box"/>
            </w:pPr>
            <w:r>
              <w:t>D</w:t>
            </w:r>
            <w:r w:rsidR="002D673A">
              <w:t xml:space="preserve">ata quality </w:t>
            </w:r>
            <w:r>
              <w:t xml:space="preserve">information </w:t>
            </w:r>
            <w:r w:rsidR="002D673A">
              <w:t xml:space="preserve">for this indicator is at </w:t>
            </w:r>
            <w:proofErr w:type="spellStart"/>
            <w:r w:rsidR="002D673A">
              <w:t>www.pc.gov.au</w:t>
            </w:r>
            <w:proofErr w:type="spellEnd"/>
            <w:r w:rsidR="002D673A">
              <w:t>/</w:t>
            </w:r>
            <w:proofErr w:type="spellStart"/>
            <w:r w:rsidR="002D673A">
              <w:t>gsp</w:t>
            </w:r>
            <w:proofErr w:type="spellEnd"/>
            <w:r w:rsidR="002D673A">
              <w:t>/reports/</w:t>
            </w:r>
            <w:proofErr w:type="spellStart"/>
            <w:r w:rsidR="002D673A">
              <w:t>rogs2014</w:t>
            </w:r>
            <w:proofErr w:type="spellEnd"/>
            <w:r w:rsidR="002D673A">
              <w:t>.</w:t>
            </w:r>
          </w:p>
        </w:tc>
      </w:tr>
      <w:tr w:rsidR="00C11DCB" w:rsidRPr="000863A5" w:rsidTr="00623441">
        <w:tc>
          <w:tcPr>
            <w:tcW w:w="8771" w:type="dxa"/>
            <w:tcBorders>
              <w:top w:val="nil"/>
              <w:left w:val="nil"/>
              <w:bottom w:val="nil"/>
              <w:right w:val="nil"/>
            </w:tcBorders>
          </w:tcPr>
          <w:p w:rsidR="00C11DCB" w:rsidRPr="00626D32" w:rsidRDefault="00C11DCB" w:rsidP="00342DDB">
            <w:pPr>
              <w:pStyle w:val="BoxSpaceBelow"/>
            </w:pPr>
          </w:p>
        </w:tc>
      </w:tr>
    </w:tbl>
    <w:p w:rsidR="00AC0879" w:rsidRDefault="00AC0879" w:rsidP="00AC0879">
      <w:pPr>
        <w:pStyle w:val="Heading5"/>
      </w:pPr>
      <w:r>
        <w:t>Proportion of children who are attending a preschool program in the year before full time schooling</w:t>
      </w:r>
    </w:p>
    <w:p w:rsidR="00AC0879" w:rsidRDefault="00AC0879" w:rsidP="00AC0879">
      <w:pPr>
        <w:pStyle w:val="BodyText"/>
      </w:pPr>
      <w:r>
        <w:t>T</w:t>
      </w:r>
      <w:r w:rsidRPr="006F0F6E">
        <w:t>he proportion of children attending a preschool program in the yea</w:t>
      </w:r>
      <w:r>
        <w:t>r before full time schooling is</w:t>
      </w:r>
      <w:r w:rsidRPr="006F0F6E">
        <w:t xml:space="preserve"> based on the number of children aged 4 years in the population, even though older children can attend preschool in the year before full time school</w:t>
      </w:r>
      <w:r>
        <w:t>ing. This may</w:t>
      </w:r>
      <w:r w:rsidRPr="006F0F6E">
        <w:t xml:space="preserve"> result in an overestimation of the proportion of children attending a preschool program in the year before full time schooling. </w:t>
      </w:r>
    </w:p>
    <w:p w:rsidR="00AC0879" w:rsidRPr="003906FE" w:rsidRDefault="00AC0879" w:rsidP="00B6184D">
      <w:pPr>
        <w:pStyle w:val="BodyText"/>
      </w:pPr>
      <w:r>
        <w:t>Nationally in 2012, 84.0 per cent of children in the year before full time schooling attended a preschoo</w:t>
      </w:r>
      <w:r w:rsidR="00B62E20">
        <w:t>l program (figure</w:t>
      </w:r>
      <w:r w:rsidR="00172534">
        <w:t> </w:t>
      </w:r>
      <w:r w:rsidR="00B62E20">
        <w:t>3.7),</w:t>
      </w:r>
      <w:r>
        <w:t xml:space="preserve"> excluding children aged 5 years who attended preschool in the previous year as a 4 year old. Children who attended a preschool program in a long </w:t>
      </w:r>
      <w:r w:rsidR="00AE7051">
        <w:t xml:space="preserve">day care setting are included. </w:t>
      </w:r>
    </w:p>
    <w:p w:rsidR="00AC0879" w:rsidRPr="00AE7051" w:rsidRDefault="00AC0879" w:rsidP="00AE7051">
      <w:pPr>
        <w:pStyle w:val="FigureTitle"/>
        <w:rPr>
          <w:position w:val="6"/>
          <w:sz w:val="18"/>
        </w:rPr>
      </w:pPr>
      <w:r>
        <w:rPr>
          <w:b w:val="0"/>
        </w:rPr>
        <w:lastRenderedPageBreak/>
        <w:t>Figure 3.7</w:t>
      </w:r>
      <w:r>
        <w:tab/>
      </w:r>
      <w:r w:rsidRPr="001E1784">
        <w:t>Proportion</w:t>
      </w:r>
      <w:r w:rsidR="00E5450F" w:rsidRPr="001E1784">
        <w:t xml:space="preserve"> of children </w:t>
      </w:r>
      <w:r w:rsidRPr="001E1784">
        <w:t>attending a preschool program in the year before full time schooling, 2012</w:t>
      </w:r>
      <w:r w:rsidRPr="001E1784">
        <w:rPr>
          <w:rStyle w:val="NoteLabel"/>
          <w:b/>
        </w:rPr>
        <w:t>a,</w:t>
      </w:r>
      <w:r w:rsidRPr="001E1784">
        <w:rPr>
          <w:b w:val="0"/>
        </w:rPr>
        <w:t xml:space="preserve"> </w:t>
      </w:r>
      <w:r w:rsidR="00466480" w:rsidRPr="001E1784">
        <w:rPr>
          <w:rStyle w:val="NoteLabel"/>
          <w:b/>
        </w:rPr>
        <w:t>b, c, d, e, f</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C0879" w:rsidTr="00AC0879">
        <w:tc>
          <w:tcPr>
            <w:tcW w:w="8777" w:type="dxa"/>
          </w:tcPr>
          <w:p w:rsidR="00AC0879" w:rsidRDefault="00F230C0" w:rsidP="00AC0879">
            <w:pPr>
              <w:pStyle w:val="Figure"/>
            </w:pPr>
            <w:r>
              <w:rPr>
                <w:noProof/>
              </w:rPr>
              <w:drawing>
                <wp:inline distT="0" distB="0" distL="0" distR="0" wp14:anchorId="51A9D3E2" wp14:editId="7B32708C">
                  <wp:extent cx="5401310" cy="2700655"/>
                  <wp:effectExtent l="0" t="0" r="8890" b="4445"/>
                  <wp:docPr id="7" name="Picture 7" descr="Figure 3.7 Proportion of children attending a preschool program in the year before full time schooling,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1310" cy="2700655"/>
                          </a:xfrm>
                          <a:prstGeom prst="rect">
                            <a:avLst/>
                          </a:prstGeom>
                          <a:noFill/>
                          <a:ln>
                            <a:noFill/>
                          </a:ln>
                        </pic:spPr>
                      </pic:pic>
                    </a:graphicData>
                  </a:graphic>
                </wp:inline>
              </w:drawing>
            </w:r>
          </w:p>
        </w:tc>
      </w:tr>
    </w:tbl>
    <w:p w:rsidR="00AC0879" w:rsidRPr="00C347EF" w:rsidRDefault="00AC0879" w:rsidP="00AC0879">
      <w:pPr>
        <w:pStyle w:val="Note"/>
      </w:pPr>
      <w:r w:rsidRPr="00E46F3F">
        <w:rPr>
          <w:rStyle w:val="NoteLabel"/>
        </w:rPr>
        <w:t>a</w:t>
      </w:r>
      <w:r w:rsidRPr="00E46F3F">
        <w:t xml:space="preserve"> </w:t>
      </w:r>
      <w:r w:rsidR="00A4705A">
        <w:t>Year before full time schooling data include children aged 4 and 5 years on 1 July, except c</w:t>
      </w:r>
      <w:r w:rsidRPr="00E46F3F">
        <w:t>hildren age</w:t>
      </w:r>
      <w:r w:rsidR="000174CF">
        <w:t xml:space="preserve">d </w:t>
      </w:r>
      <w:r w:rsidR="004B43BF">
        <w:br/>
      </w:r>
      <w:r w:rsidR="000174CF">
        <w:t xml:space="preserve">5 years </w:t>
      </w:r>
      <w:r>
        <w:t>who attended</w:t>
      </w:r>
      <w:r w:rsidRPr="00E46F3F">
        <w:t xml:space="preserve"> preschool in the previous year as a 4 year o</w:t>
      </w:r>
      <w:r w:rsidR="00A4705A">
        <w:t>ld.</w:t>
      </w:r>
      <w:r>
        <w:rPr>
          <w:rStyle w:val="NoteLabel"/>
        </w:rPr>
        <w:t xml:space="preserve"> </w:t>
      </w:r>
      <w:r w:rsidRPr="00E46F3F">
        <w:rPr>
          <w:rStyle w:val="NoteLabel"/>
        </w:rPr>
        <w:t>b</w:t>
      </w:r>
      <w:r>
        <w:t xml:space="preserve"> </w:t>
      </w:r>
      <w:r w:rsidRPr="001D39D8">
        <w:t>The preschool starting age varies across j</w:t>
      </w:r>
      <w:r w:rsidR="00B62E20">
        <w:t>urisdictions (table</w:t>
      </w:r>
      <w:r w:rsidR="00172534">
        <w:t> </w:t>
      </w:r>
      <w:r w:rsidR="00B62E20">
        <w:t>3.1).</w:t>
      </w:r>
      <w:r w:rsidRPr="0001528B">
        <w:rPr>
          <w:rStyle w:val="NoteLabel"/>
        </w:rPr>
        <w:t xml:space="preserve"> </w:t>
      </w:r>
      <w:r w:rsidRPr="001E1784">
        <w:rPr>
          <w:rStyle w:val="NoteLabel"/>
        </w:rPr>
        <w:t xml:space="preserve">c </w:t>
      </w:r>
      <w:r w:rsidRPr="001E1784">
        <w:t xml:space="preserve">To calculate the proportions in this figure, attendance data (from the National </w:t>
      </w:r>
      <w:proofErr w:type="spellStart"/>
      <w:r w:rsidRPr="001E1784">
        <w:t>ECEC</w:t>
      </w:r>
      <w:proofErr w:type="spellEnd"/>
      <w:r w:rsidRPr="001E1784">
        <w:t xml:space="preserve"> Collection) are divided by the number of children aged 4 years in each jurisdiction (using ABS estimated resident population at 30</w:t>
      </w:r>
      <w:r w:rsidR="00172534">
        <w:t> </w:t>
      </w:r>
      <w:r w:rsidRPr="001E1784">
        <w:t>June 2012).</w:t>
      </w:r>
      <w:r w:rsidR="00180348" w:rsidRPr="001E1784">
        <w:t xml:space="preserve"> As a result the proportion may exceed 100 per cent.</w:t>
      </w:r>
      <w:r>
        <w:t xml:space="preserve"> </w:t>
      </w:r>
      <w:r w:rsidR="00A02A8E">
        <w:br/>
      </w:r>
      <w:r w:rsidR="00A4705A">
        <w:rPr>
          <w:rStyle w:val="NoteLabel"/>
        </w:rPr>
        <w:t>d</w:t>
      </w:r>
      <w:r w:rsidRPr="00E46F3F">
        <w:t xml:space="preserve"> </w:t>
      </w:r>
      <w:r w:rsidR="009949C6" w:rsidRPr="00E46F3F">
        <w:t>Not all children undertaking a preschool program in a long day care setting in NSW are captured in the collection, resulting in an undercount for NSW</w:t>
      </w:r>
      <w:r w:rsidR="009949C6">
        <w:t>.</w:t>
      </w:r>
      <w:r w:rsidR="009949C6" w:rsidRPr="009949C6">
        <w:t xml:space="preserve"> </w:t>
      </w:r>
      <w:r w:rsidR="00A4705A">
        <w:rPr>
          <w:rStyle w:val="NoteLabel"/>
        </w:rPr>
        <w:t>e</w:t>
      </w:r>
      <w:r w:rsidR="009949C6">
        <w:t xml:space="preserve"> Child level attendance </w:t>
      </w:r>
      <w:r w:rsidR="009949C6" w:rsidRPr="00E46F3F">
        <w:t xml:space="preserve">data for Queensland are </w:t>
      </w:r>
      <w:r w:rsidR="009949C6">
        <w:t>not available. Episode of attendance data were</w:t>
      </w:r>
      <w:r w:rsidR="009949C6" w:rsidRPr="00E46F3F">
        <w:t xml:space="preserve"> used instead for Queensland.</w:t>
      </w:r>
      <w:r w:rsidR="009949C6">
        <w:t xml:space="preserve"> An episode is a record of attendance </w:t>
      </w:r>
      <w:r w:rsidR="009949C6" w:rsidRPr="00E46F3F">
        <w:t>at a pre</w:t>
      </w:r>
      <w:r w:rsidR="009949C6">
        <w:t xml:space="preserve">school program. Children may attend </w:t>
      </w:r>
      <w:r w:rsidR="009949C6" w:rsidRPr="00E46F3F">
        <w:t xml:space="preserve">more than one preschool program so will be counted more than once in episode counts where they </w:t>
      </w:r>
      <w:r w:rsidR="009949C6">
        <w:t xml:space="preserve">attend </w:t>
      </w:r>
      <w:r w:rsidR="009949C6" w:rsidRPr="00E46F3F">
        <w:t>more than one preschool program. These data are included in the national total.</w:t>
      </w:r>
      <w:r w:rsidRPr="00E46F3F">
        <w:rPr>
          <w:rStyle w:val="NoteLabel"/>
        </w:rPr>
        <w:t xml:space="preserve"> </w:t>
      </w:r>
      <w:r w:rsidR="00A4705A">
        <w:rPr>
          <w:rStyle w:val="NoteLabel"/>
        </w:rPr>
        <w:t>f</w:t>
      </w:r>
      <w:r w:rsidRPr="00E46F3F">
        <w:t xml:space="preserve"> Totals for </w:t>
      </w:r>
      <w:r>
        <w:t xml:space="preserve">the ACT </w:t>
      </w:r>
      <w:r w:rsidRPr="00E46F3F">
        <w:t>exclude data for preschools within</w:t>
      </w:r>
      <w:r>
        <w:t xml:space="preserve"> independent schools, which were </w:t>
      </w:r>
      <w:r w:rsidRPr="00E46F3F">
        <w:t>unavailable for 2012.</w:t>
      </w:r>
    </w:p>
    <w:p w:rsidR="00AC0879" w:rsidRDefault="00AC0879" w:rsidP="00AC0879">
      <w:pPr>
        <w:pStyle w:val="Source"/>
      </w:pPr>
      <w:r>
        <w:rPr>
          <w:i/>
        </w:rPr>
        <w:t>Source</w:t>
      </w:r>
      <w:r w:rsidRPr="00167F06">
        <w:t xml:space="preserve">: </w:t>
      </w:r>
      <w:r>
        <w:t xml:space="preserve">Derived from ABS (2013) </w:t>
      </w:r>
      <w:r w:rsidRPr="007628F8">
        <w:rPr>
          <w:i/>
        </w:rPr>
        <w:t>Preschool Education, Australia, 2012</w:t>
      </w:r>
      <w:r>
        <w:rPr>
          <w:i/>
        </w:rPr>
        <w:t xml:space="preserve">, </w:t>
      </w:r>
      <w:r w:rsidRPr="00C347EF">
        <w:t>Cat. no. 4240.0;</w:t>
      </w:r>
      <w:r>
        <w:rPr>
          <w:i/>
        </w:rPr>
        <w:t xml:space="preserve"> </w:t>
      </w:r>
      <w:r>
        <w:t>ABS (2013</w:t>
      </w:r>
      <w:r w:rsidRPr="00541A0F">
        <w:t xml:space="preserve">) </w:t>
      </w:r>
      <w:r w:rsidRPr="00541A0F">
        <w:rPr>
          <w:i/>
        </w:rPr>
        <w:t>Australian Demographic Statistics</w:t>
      </w:r>
      <w:r w:rsidRPr="00C347EF">
        <w:rPr>
          <w:i/>
        </w:rPr>
        <w:t>, Dec 2012,</w:t>
      </w:r>
      <w:r w:rsidRPr="00541A0F">
        <w:t xml:space="preserve"> Cat. no. 3101.0; </w:t>
      </w:r>
      <w:r w:rsidRPr="00C86801">
        <w:t>table</w:t>
      </w:r>
      <w:r w:rsidR="00172534">
        <w:t> </w:t>
      </w:r>
      <w:proofErr w:type="spellStart"/>
      <w:r w:rsidRPr="00C86801">
        <w:t>3A.</w:t>
      </w:r>
      <w:r w:rsidR="00476371">
        <w:t>21</w:t>
      </w:r>
      <w:proofErr w:type="spellEnd"/>
      <w:r w:rsidRPr="00C86801">
        <w:t>.</w:t>
      </w:r>
    </w:p>
    <w:p w:rsidR="00AC0879" w:rsidRDefault="00AC0879" w:rsidP="00AC0879">
      <w:pPr>
        <w:pStyle w:val="BodyText"/>
      </w:pPr>
      <w:r>
        <w:t>Across all jurisdictions in 2012, the average attendance of children at a preschool program in the year before full ti</w:t>
      </w:r>
      <w:r w:rsidR="00180348">
        <w:t>me schooling was between 10.4 and 17.2</w:t>
      </w:r>
      <w:r w:rsidR="00476371">
        <w:t xml:space="preserve"> hours per week (table</w:t>
      </w:r>
      <w:r w:rsidR="00172534">
        <w:t> </w:t>
      </w:r>
      <w:proofErr w:type="spellStart"/>
      <w:r w:rsidR="00476371">
        <w:t>3A.22</w:t>
      </w:r>
      <w:proofErr w:type="spellEnd"/>
      <w:r>
        <w:t>). Data are included on all children aged 4 and 5 years who attended a preschool program in 2012. Nationally, 258</w:t>
      </w:r>
      <w:r w:rsidR="00CC43FD">
        <w:t> </w:t>
      </w:r>
      <w:r>
        <w:t xml:space="preserve">881 children aged 4 and 5 years attended </w:t>
      </w:r>
      <w:r w:rsidR="00476371">
        <w:t>a preschool program (table</w:t>
      </w:r>
      <w:r w:rsidR="00172534">
        <w:t> </w:t>
      </w:r>
      <w:proofErr w:type="spellStart"/>
      <w:r w:rsidR="00476371">
        <w:t>3A.23</w:t>
      </w:r>
      <w:proofErr w:type="spellEnd"/>
      <w:r>
        <w:t>). Of these, the largest number</w:t>
      </w:r>
      <w:r w:rsidRPr="00D54066">
        <w:t xml:space="preserve"> </w:t>
      </w:r>
      <w:r w:rsidR="00BD376B">
        <w:br/>
      </w:r>
      <w:r w:rsidR="00D54066" w:rsidRPr="00D54066">
        <w:t>(118</w:t>
      </w:r>
      <w:r w:rsidR="00CC43FD">
        <w:t> </w:t>
      </w:r>
      <w:r w:rsidR="00D54066" w:rsidRPr="00D54066">
        <w:t>488</w:t>
      </w:r>
      <w:r w:rsidRPr="00D54066">
        <w:t xml:space="preserve"> children)</w:t>
      </w:r>
      <w:r w:rsidR="00D54066">
        <w:t xml:space="preserve"> attended more than 15 </w:t>
      </w:r>
      <w:r w:rsidR="000174CF">
        <w:t>hours per week (t</w:t>
      </w:r>
      <w:r w:rsidR="00476371">
        <w:t>able</w:t>
      </w:r>
      <w:r w:rsidR="00172534">
        <w:t> </w:t>
      </w:r>
      <w:proofErr w:type="spellStart"/>
      <w:r w:rsidR="00476371">
        <w:t>3A.24</w:t>
      </w:r>
      <w:proofErr w:type="spellEnd"/>
      <w:r>
        <w:t>).</w:t>
      </w:r>
    </w:p>
    <w:p w:rsidR="00AC0879" w:rsidRPr="00172534" w:rsidRDefault="00AC0879" w:rsidP="00AC0879">
      <w:pPr>
        <w:pStyle w:val="BodyText"/>
      </w:pPr>
      <w:r>
        <w:t>Details of the employment status of parents whose children attend</w:t>
      </w:r>
      <w:r w:rsidR="007E0069">
        <w:t>ed</w:t>
      </w:r>
      <w:r>
        <w:t xml:space="preserve"> preschool services are shown in table</w:t>
      </w:r>
      <w:r w:rsidR="00172534">
        <w:t> </w:t>
      </w:r>
      <w:proofErr w:type="spellStart"/>
      <w:r>
        <w:t>3A</w:t>
      </w:r>
      <w:r w:rsidRPr="001A0B9F">
        <w:t>.</w:t>
      </w:r>
      <w:r w:rsidR="00476371">
        <w:t>20</w:t>
      </w:r>
      <w:proofErr w:type="spellEnd"/>
      <w:r>
        <w:t>.</w:t>
      </w:r>
    </w:p>
    <w:p w:rsidR="00D57AE6" w:rsidRPr="00AC0879" w:rsidRDefault="00AC0879" w:rsidP="00D57AE6">
      <w:pPr>
        <w:pStyle w:val="Heading5"/>
      </w:pPr>
      <w:r w:rsidRPr="00AC0879">
        <w:t xml:space="preserve">Enrolled children absent from </w:t>
      </w:r>
      <w:r w:rsidR="00D57AE6" w:rsidRPr="00AC0879">
        <w:t>non</w:t>
      </w:r>
      <w:r w:rsidR="00172534">
        <w:noBreakHyphen/>
      </w:r>
      <w:r w:rsidR="00D57AE6" w:rsidRPr="00AC0879">
        <w:t>government preschoo</w:t>
      </w:r>
      <w:r w:rsidR="00C4339F">
        <w:t>ls</w:t>
      </w:r>
    </w:p>
    <w:p w:rsidR="00D57AE6" w:rsidRPr="00AC0879" w:rsidRDefault="00D57AE6" w:rsidP="00D57AE6">
      <w:pPr>
        <w:pStyle w:val="BodyText"/>
      </w:pPr>
      <w:r w:rsidRPr="00AC0879">
        <w:t xml:space="preserve">This measure provides a broad indication of the participation of Indigenous children in preschools. These data are sourced from the National Preschool Census (NPC) </w:t>
      </w:r>
      <w:r w:rsidRPr="00AC0879">
        <w:lastRenderedPageBreak/>
        <w:t>and relate only t</w:t>
      </w:r>
      <w:r w:rsidR="0023504E">
        <w:t>o non</w:t>
      </w:r>
      <w:r w:rsidR="00172534">
        <w:noBreakHyphen/>
      </w:r>
      <w:r w:rsidR="0023504E">
        <w:t>gover</w:t>
      </w:r>
      <w:r w:rsidR="00C4339F">
        <w:t>nment preschools</w:t>
      </w:r>
      <w:r w:rsidRPr="00AC0879">
        <w:t>. These data can o</w:t>
      </w:r>
      <w:r w:rsidR="00CF031F">
        <w:t xml:space="preserve">verlap with the preschool program data </w:t>
      </w:r>
      <w:r w:rsidRPr="00AC0879">
        <w:t>pro</w:t>
      </w:r>
      <w:r w:rsidR="00AC0879">
        <w:t xml:space="preserve">vided by the National </w:t>
      </w:r>
      <w:proofErr w:type="spellStart"/>
      <w:r w:rsidR="00AC0879">
        <w:t>ECEC</w:t>
      </w:r>
      <w:proofErr w:type="spellEnd"/>
      <w:r w:rsidR="00AC0879">
        <w:t xml:space="preserve"> Collection </w:t>
      </w:r>
      <w:r w:rsidRPr="00AC0879">
        <w:t xml:space="preserve">and are therefore not directly comparable with other preschool data included in this Report. The NPC collected data from </w:t>
      </w:r>
      <w:r w:rsidR="00D54016" w:rsidRPr="00D54016">
        <w:t>97.0</w:t>
      </w:r>
      <w:r w:rsidRPr="00D54016">
        <w:t xml:space="preserve"> per cent of the </w:t>
      </w:r>
      <w:r w:rsidR="00D54016" w:rsidRPr="00D54016">
        <w:t>3484</w:t>
      </w:r>
      <w:r w:rsidRPr="00D54016">
        <w:t xml:space="preserve"> non</w:t>
      </w:r>
      <w:r w:rsidR="00172534">
        <w:noBreakHyphen/>
      </w:r>
      <w:r w:rsidRPr="00D54016">
        <w:t xml:space="preserve">government </w:t>
      </w:r>
      <w:r w:rsidR="00C4339F">
        <w:t xml:space="preserve">preschools </w:t>
      </w:r>
      <w:r w:rsidR="00AC0879" w:rsidRPr="00D54016">
        <w:t>in scope for the 2012</w:t>
      </w:r>
      <w:r w:rsidRPr="00D54016">
        <w:t xml:space="preserve"> NPC</w:t>
      </w:r>
      <w:r w:rsidR="00CF031F" w:rsidRPr="00D54016">
        <w:t xml:space="preserve"> </w:t>
      </w:r>
      <w:r w:rsidR="00CF031F">
        <w:t xml:space="preserve">(Department of Education unpublished). </w:t>
      </w:r>
      <w:r w:rsidRPr="00CF031F">
        <w:t xml:space="preserve">This </w:t>
      </w:r>
      <w:r w:rsidRPr="00AC0879">
        <w:t xml:space="preserve">represents approximately </w:t>
      </w:r>
      <w:r w:rsidR="00D54016">
        <w:t>69.3</w:t>
      </w:r>
      <w:r w:rsidRPr="00AE7051">
        <w:t> </w:t>
      </w:r>
      <w:r w:rsidRPr="00AC0879">
        <w:t>per cent of all governme</w:t>
      </w:r>
      <w:r w:rsidR="00C4339F">
        <w:t>nt and non</w:t>
      </w:r>
      <w:r w:rsidR="00172534">
        <w:noBreakHyphen/>
      </w:r>
      <w:r w:rsidR="00C4339F">
        <w:t>government preschools</w:t>
      </w:r>
      <w:r w:rsidRPr="00AC0879">
        <w:t>, though this proportion varies considerably a</w:t>
      </w:r>
      <w:r w:rsidR="00624862">
        <w:t>cross jurisdictions (table</w:t>
      </w:r>
      <w:r w:rsidR="00172534">
        <w:t> </w:t>
      </w:r>
      <w:proofErr w:type="spellStart"/>
      <w:r w:rsidR="00624862">
        <w:t>3A.25</w:t>
      </w:r>
      <w:proofErr w:type="spellEnd"/>
      <w:r w:rsidRPr="00AC0879">
        <w:t>). Data for jurisdictions with a small number of non</w:t>
      </w:r>
      <w:r w:rsidR="00172534">
        <w:noBreakHyphen/>
      </w:r>
      <w:r w:rsidRPr="00AC0879">
        <w:t>government preschool</w:t>
      </w:r>
      <w:r w:rsidR="00C4339F">
        <w:t xml:space="preserve">s </w:t>
      </w:r>
      <w:r w:rsidRPr="00AC0879">
        <w:t>should be interpreted with care.</w:t>
      </w:r>
    </w:p>
    <w:p w:rsidR="00D57AE6" w:rsidRPr="00AC0879" w:rsidRDefault="00233327" w:rsidP="00D57AE6">
      <w:pPr>
        <w:pStyle w:val="BodyText"/>
      </w:pPr>
      <w:r>
        <w:t>In 2012</w:t>
      </w:r>
      <w:r w:rsidR="00D57AE6" w:rsidRPr="00AC0879">
        <w:t>, non</w:t>
      </w:r>
      <w:r w:rsidR="00172534">
        <w:noBreakHyphen/>
      </w:r>
      <w:r w:rsidR="00D57AE6" w:rsidRPr="00AC0879">
        <w:t>attendance by Indigenous children was</w:t>
      </w:r>
      <w:r w:rsidR="00D57AE6" w:rsidRPr="00CF031F">
        <w:t xml:space="preserve"> </w:t>
      </w:r>
      <w:r w:rsidR="00CF031F" w:rsidRPr="00CF031F">
        <w:t>higher</w:t>
      </w:r>
      <w:r w:rsidR="00D57AE6" w:rsidRPr="00AE7051">
        <w:rPr>
          <w:color w:val="FF0000"/>
        </w:rPr>
        <w:t xml:space="preserve"> </w:t>
      </w:r>
      <w:r w:rsidR="00D57AE6" w:rsidRPr="00AC0879">
        <w:t xml:space="preserve">than </w:t>
      </w:r>
      <w:r w:rsidR="009833AE">
        <w:br/>
      </w:r>
      <w:r w:rsidR="00D57AE6" w:rsidRPr="00AC0879">
        <w:t>non</w:t>
      </w:r>
      <w:r w:rsidR="00172534">
        <w:noBreakHyphen/>
      </w:r>
      <w:r w:rsidR="00D57AE6" w:rsidRPr="00AC0879">
        <w:t>attendance by non</w:t>
      </w:r>
      <w:r w:rsidR="00D57AE6" w:rsidRPr="00AC0879">
        <w:noBreakHyphen/>
        <w:t>Indigenous children in all jurisdictions</w:t>
      </w:r>
      <w:r w:rsidR="00CF031F">
        <w:t xml:space="preserve"> except Tasmania </w:t>
      </w:r>
      <w:r w:rsidR="00D57AE6" w:rsidRPr="00AC0879">
        <w:t>(figure</w:t>
      </w:r>
      <w:r w:rsidR="00172534">
        <w:t> </w:t>
      </w:r>
      <w:r w:rsidR="00D12563">
        <w:t>3.</w:t>
      </w:r>
      <w:r>
        <w:t>8</w:t>
      </w:r>
      <w:r w:rsidR="00D57AE6" w:rsidRPr="00AC0879">
        <w:t>).</w:t>
      </w:r>
    </w:p>
    <w:p w:rsidR="00D57AE6" w:rsidRPr="00A53839" w:rsidRDefault="00D57AE6" w:rsidP="00D57AE6">
      <w:pPr>
        <w:pStyle w:val="FigureTitle"/>
        <w:rPr>
          <w:rStyle w:val="NoteLabel"/>
          <w:color w:val="FF0000"/>
        </w:rPr>
      </w:pPr>
      <w:r w:rsidRPr="004A0DE0">
        <w:rPr>
          <w:b w:val="0"/>
        </w:rPr>
        <w:t xml:space="preserve">Figure </w:t>
      </w:r>
      <w:bookmarkStart w:id="16" w:name="OLE_LINK50"/>
      <w:r w:rsidRPr="004A0DE0">
        <w:rPr>
          <w:b w:val="0"/>
        </w:rPr>
        <w:t>3.</w:t>
      </w:r>
      <w:bookmarkEnd w:id="16"/>
      <w:r w:rsidR="00233327">
        <w:rPr>
          <w:b w:val="0"/>
        </w:rPr>
        <w:t>8</w:t>
      </w:r>
      <w:r w:rsidRPr="004A0DE0">
        <w:tab/>
        <w:t>Enrolled children absent from</w:t>
      </w:r>
      <w:r w:rsidR="00C4339F">
        <w:t xml:space="preserve"> non</w:t>
      </w:r>
      <w:r w:rsidR="00172534">
        <w:noBreakHyphen/>
      </w:r>
      <w:r w:rsidR="00C4339F">
        <w:t>government preschools</w:t>
      </w:r>
      <w:r w:rsidR="00233327">
        <w:t>, 2012</w:t>
      </w:r>
      <w:r w:rsidRPr="004A0DE0">
        <w:rPr>
          <w:rStyle w:val="NoteLabel"/>
          <w:b/>
        </w:rPr>
        <w:t>a, b, c,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57AE6" w:rsidTr="00AC0879">
        <w:tc>
          <w:tcPr>
            <w:tcW w:w="8777" w:type="dxa"/>
          </w:tcPr>
          <w:p w:rsidR="00D57AE6" w:rsidRPr="00B32E72" w:rsidRDefault="00F230C0" w:rsidP="00AC0879">
            <w:pPr>
              <w:pStyle w:val="Figure"/>
            </w:pPr>
            <w:r>
              <w:rPr>
                <w:noProof/>
              </w:rPr>
              <w:drawing>
                <wp:inline distT="0" distB="0" distL="0" distR="0" wp14:anchorId="591496D4" wp14:editId="05EB397B">
                  <wp:extent cx="5369560" cy="2594610"/>
                  <wp:effectExtent l="0" t="0" r="2540" b="0"/>
                  <wp:docPr id="8" name="Picture 8" descr="Figure 3.8 Enrolled children absent from non-government preschools,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69560" cy="2594610"/>
                          </a:xfrm>
                          <a:prstGeom prst="rect">
                            <a:avLst/>
                          </a:prstGeom>
                          <a:noFill/>
                          <a:ln>
                            <a:noFill/>
                          </a:ln>
                        </pic:spPr>
                      </pic:pic>
                    </a:graphicData>
                  </a:graphic>
                </wp:inline>
              </w:drawing>
            </w:r>
          </w:p>
        </w:tc>
      </w:tr>
    </w:tbl>
    <w:p w:rsidR="00D57AE6" w:rsidRPr="003334D1" w:rsidRDefault="00D57AE6" w:rsidP="00D57AE6">
      <w:pPr>
        <w:pStyle w:val="Note"/>
        <w:rPr>
          <w:b/>
        </w:rPr>
      </w:pPr>
      <w:r w:rsidRPr="00D05BA4">
        <w:rPr>
          <w:rStyle w:val="NoteLabel"/>
        </w:rPr>
        <w:t>a</w:t>
      </w:r>
      <w:r>
        <w:rPr>
          <w:rStyle w:val="NoteLabel"/>
        </w:rPr>
        <w:t> </w:t>
      </w:r>
      <w:r w:rsidRPr="000F7326">
        <w:rPr>
          <w:rStyle w:val="NoteChar"/>
        </w:rPr>
        <w:t>Data on attendance are limi</w:t>
      </w:r>
      <w:r w:rsidR="0023504E">
        <w:rPr>
          <w:rStyle w:val="NoteChar"/>
        </w:rPr>
        <w:t>ted to non</w:t>
      </w:r>
      <w:r w:rsidR="00172534">
        <w:rPr>
          <w:rStyle w:val="NoteChar"/>
        </w:rPr>
        <w:noBreakHyphen/>
      </w:r>
      <w:r w:rsidR="0023504E">
        <w:rPr>
          <w:rStyle w:val="NoteChar"/>
        </w:rPr>
        <w:t>governmen</w:t>
      </w:r>
      <w:r w:rsidR="00C4339F">
        <w:rPr>
          <w:rStyle w:val="NoteChar"/>
        </w:rPr>
        <w:t>t preschools</w:t>
      </w:r>
      <w:r w:rsidRPr="000F7326">
        <w:rPr>
          <w:rStyle w:val="NoteChar"/>
        </w:rPr>
        <w:t xml:space="preserve">. At the national level, approximately </w:t>
      </w:r>
      <w:r w:rsidR="000F7326" w:rsidRPr="000F7326">
        <w:rPr>
          <w:rStyle w:val="NoteChar"/>
        </w:rPr>
        <w:t>69.3</w:t>
      </w:r>
      <w:r w:rsidRPr="000F7326">
        <w:rPr>
          <w:rStyle w:val="NoteChar"/>
        </w:rPr>
        <w:t> per </w:t>
      </w:r>
      <w:r w:rsidR="000F7326" w:rsidRPr="000F7326">
        <w:rPr>
          <w:rStyle w:val="NoteChar"/>
        </w:rPr>
        <w:t>cent of all governme</w:t>
      </w:r>
      <w:r w:rsidR="00C4339F">
        <w:rPr>
          <w:rStyle w:val="NoteChar"/>
        </w:rPr>
        <w:t>nt and non</w:t>
      </w:r>
      <w:r w:rsidR="00172534">
        <w:rPr>
          <w:rStyle w:val="NoteChar"/>
        </w:rPr>
        <w:noBreakHyphen/>
      </w:r>
      <w:r w:rsidR="00C4339F">
        <w:rPr>
          <w:rStyle w:val="NoteChar"/>
        </w:rPr>
        <w:t>government preschools</w:t>
      </w:r>
      <w:r w:rsidR="000F7326" w:rsidRPr="000F7326">
        <w:rPr>
          <w:rStyle w:val="NoteChar"/>
        </w:rPr>
        <w:t xml:space="preserve"> are </w:t>
      </w:r>
      <w:r w:rsidRPr="000F7326">
        <w:rPr>
          <w:rStyle w:val="NoteChar"/>
        </w:rPr>
        <w:t>non</w:t>
      </w:r>
      <w:r w:rsidR="00172534">
        <w:rPr>
          <w:rStyle w:val="NoteChar"/>
        </w:rPr>
        <w:noBreakHyphen/>
      </w:r>
      <w:r w:rsidRPr="000F7326">
        <w:rPr>
          <w:rStyle w:val="NoteChar"/>
        </w:rPr>
        <w:t xml:space="preserve">government, though this percentage varies across jurisdictions: </w:t>
      </w:r>
      <w:r w:rsidR="000F7326" w:rsidRPr="000F7326">
        <w:rPr>
          <w:rStyle w:val="NoteChar"/>
        </w:rPr>
        <w:t>89.7</w:t>
      </w:r>
      <w:r w:rsidRPr="000F7326">
        <w:rPr>
          <w:rStyle w:val="NoteChar"/>
        </w:rPr>
        <w:t xml:space="preserve"> per cent in NSW, </w:t>
      </w:r>
      <w:r w:rsidR="000F7326" w:rsidRPr="000F7326">
        <w:rPr>
          <w:rStyle w:val="NoteChar"/>
        </w:rPr>
        <w:t>100</w:t>
      </w:r>
      <w:r w:rsidRPr="000F7326">
        <w:rPr>
          <w:rStyle w:val="NoteChar"/>
        </w:rPr>
        <w:t xml:space="preserve"> per cent in Victoria, </w:t>
      </w:r>
      <w:r w:rsidR="000F7326" w:rsidRPr="000F7326">
        <w:rPr>
          <w:rStyle w:val="NoteChar"/>
        </w:rPr>
        <w:t>94.1</w:t>
      </w:r>
      <w:r w:rsidRPr="000F7326">
        <w:rPr>
          <w:rStyle w:val="NoteChar"/>
        </w:rPr>
        <w:t xml:space="preserve"> per cent in Queensland, </w:t>
      </w:r>
      <w:r w:rsidR="00773686">
        <w:rPr>
          <w:rStyle w:val="NoteChar"/>
        </w:rPr>
        <w:br/>
      </w:r>
      <w:r w:rsidR="000F7326" w:rsidRPr="000F7326">
        <w:rPr>
          <w:rStyle w:val="NoteChar"/>
        </w:rPr>
        <w:t>27.5</w:t>
      </w:r>
      <w:r w:rsidRPr="000F7326">
        <w:rPr>
          <w:rStyle w:val="NoteChar"/>
        </w:rPr>
        <w:t xml:space="preserve"> per cent in WA, </w:t>
      </w:r>
      <w:r w:rsidR="000F7326" w:rsidRPr="000F7326">
        <w:rPr>
          <w:rStyle w:val="NoteChar"/>
        </w:rPr>
        <w:t>16.4</w:t>
      </w:r>
      <w:r w:rsidRPr="000F7326">
        <w:rPr>
          <w:rStyle w:val="NoteChar"/>
        </w:rPr>
        <w:t xml:space="preserve"> per cent in SA, </w:t>
      </w:r>
      <w:r w:rsidR="000F7326" w:rsidRPr="000F7326">
        <w:rPr>
          <w:rStyle w:val="NoteChar"/>
        </w:rPr>
        <w:t>25.2</w:t>
      </w:r>
      <w:r w:rsidRPr="000F7326">
        <w:rPr>
          <w:rStyle w:val="NoteChar"/>
        </w:rPr>
        <w:t xml:space="preserve"> per cent in Tasmania, </w:t>
      </w:r>
      <w:r w:rsidR="000F7326" w:rsidRPr="000F7326">
        <w:rPr>
          <w:rStyle w:val="NoteChar"/>
        </w:rPr>
        <w:t>14.7</w:t>
      </w:r>
      <w:r w:rsidRPr="000F7326">
        <w:rPr>
          <w:rStyle w:val="NoteChar"/>
        </w:rPr>
        <w:t xml:space="preserve"> per cent in the ACT, and </w:t>
      </w:r>
      <w:r w:rsidR="000F7326" w:rsidRPr="000F7326">
        <w:rPr>
          <w:rStyle w:val="NoteChar"/>
        </w:rPr>
        <w:t>7.4</w:t>
      </w:r>
      <w:r w:rsidRPr="000F7326">
        <w:rPr>
          <w:rStyle w:val="NoteChar"/>
        </w:rPr>
        <w:t xml:space="preserve"> per cent in the NT. Preschool attendance data for jurisdictions with a small proport</w:t>
      </w:r>
      <w:r w:rsidR="00C4339F">
        <w:rPr>
          <w:rStyle w:val="NoteChar"/>
        </w:rPr>
        <w:t>ion of non</w:t>
      </w:r>
      <w:r w:rsidR="00C4339F">
        <w:rPr>
          <w:rStyle w:val="NoteChar"/>
        </w:rPr>
        <w:noBreakHyphen/>
        <w:t xml:space="preserve">government preschools </w:t>
      </w:r>
      <w:r w:rsidRPr="000F7326">
        <w:rPr>
          <w:rStyle w:val="NoteChar"/>
        </w:rPr>
        <w:t xml:space="preserve">should be interpreted with care. </w:t>
      </w:r>
      <w:r w:rsidRPr="00A52116">
        <w:rPr>
          <w:rStyle w:val="NoteLabel"/>
        </w:rPr>
        <w:t>b</w:t>
      </w:r>
      <w:r w:rsidRPr="00A52116">
        <w:rPr>
          <w:rStyle w:val="NoteChar"/>
        </w:rPr>
        <w:t xml:space="preserve"> Preschool attendance is not compulsory. </w:t>
      </w:r>
      <w:r w:rsidRPr="00A52116">
        <w:rPr>
          <w:rStyle w:val="NoteLabel"/>
        </w:rPr>
        <w:t>c </w:t>
      </w:r>
      <w:r w:rsidRPr="00A52116">
        <w:t xml:space="preserve">Attendance was measured during the week of </w:t>
      </w:r>
      <w:r w:rsidR="00883981">
        <w:t>30 July</w:t>
      </w:r>
      <w:r w:rsidR="00172534">
        <w:noBreakHyphen/>
      </w:r>
      <w:r w:rsidR="00883981">
        <w:t>3</w:t>
      </w:r>
      <w:r w:rsidR="00172534">
        <w:t> </w:t>
      </w:r>
      <w:r w:rsidR="009C7560">
        <w:t>August 2012</w:t>
      </w:r>
      <w:r w:rsidR="00883981">
        <w:t xml:space="preserve">. </w:t>
      </w:r>
      <w:r w:rsidRPr="00883981">
        <w:rPr>
          <w:rStyle w:val="NoteChar"/>
        </w:rPr>
        <w:t xml:space="preserve">Children </w:t>
      </w:r>
      <w:r w:rsidRPr="00A52116">
        <w:rPr>
          <w:rStyle w:val="NoteChar"/>
        </w:rPr>
        <w:t xml:space="preserve">are counted as absent if they are absent for one or more of the sessions that they were enrolled in during this week. Absences due to illness can be higher during winter than at other times </w:t>
      </w:r>
      <w:r w:rsidRPr="00D05BA4">
        <w:rPr>
          <w:rStyle w:val="NoteChar"/>
        </w:rPr>
        <w:t xml:space="preserve">of the year. </w:t>
      </w:r>
      <w:r w:rsidRPr="00D05BA4">
        <w:rPr>
          <w:rStyle w:val="NoteLabel"/>
        </w:rPr>
        <w:t xml:space="preserve">d </w:t>
      </w:r>
      <w:r w:rsidRPr="00F470C0">
        <w:rPr>
          <w:rStyle w:val="NoteChar"/>
        </w:rPr>
        <w:t xml:space="preserve">Data for </w:t>
      </w:r>
      <w:r>
        <w:rPr>
          <w:rStyle w:val="NoteChar"/>
        </w:rPr>
        <w:t>n</w:t>
      </w:r>
      <w:r w:rsidRPr="00F470C0">
        <w:rPr>
          <w:rStyle w:val="NoteChar"/>
        </w:rPr>
        <w:t>on</w:t>
      </w:r>
      <w:r w:rsidR="00172534">
        <w:rPr>
          <w:rStyle w:val="NoteChar"/>
        </w:rPr>
        <w:noBreakHyphen/>
      </w:r>
      <w:r w:rsidRPr="00F470C0">
        <w:rPr>
          <w:rStyle w:val="NoteChar"/>
        </w:rPr>
        <w:t xml:space="preserve">Indigenous children are derived from data on Indigenous children and </w:t>
      </w:r>
      <w:r>
        <w:rPr>
          <w:rStyle w:val="NoteChar"/>
        </w:rPr>
        <w:t>a</w:t>
      </w:r>
      <w:r w:rsidRPr="00F470C0">
        <w:rPr>
          <w:rStyle w:val="NoteChar"/>
        </w:rPr>
        <w:t>ll children.</w:t>
      </w:r>
      <w:r>
        <w:rPr>
          <w:rStyle w:val="NoteChar"/>
        </w:rPr>
        <w:t xml:space="preserve"> </w:t>
      </w:r>
    </w:p>
    <w:p w:rsidR="00D57AE6" w:rsidRDefault="00D57AE6" w:rsidP="00D57AE6">
      <w:pPr>
        <w:pStyle w:val="Source"/>
      </w:pPr>
      <w:r w:rsidRPr="003B572C">
        <w:rPr>
          <w:i/>
        </w:rPr>
        <w:t>Source</w:t>
      </w:r>
      <w:r w:rsidRPr="003B572C">
        <w:t xml:space="preserve">: </w:t>
      </w:r>
      <w:r w:rsidR="00E318F3">
        <w:t xml:space="preserve">Department of Education </w:t>
      </w:r>
      <w:r w:rsidRPr="003B572C">
        <w:t xml:space="preserve">(unpublished) </w:t>
      </w:r>
      <w:r>
        <w:rPr>
          <w:i/>
        </w:rPr>
        <w:t xml:space="preserve">National Preschool </w:t>
      </w:r>
      <w:r w:rsidR="009C7560">
        <w:rPr>
          <w:i/>
        </w:rPr>
        <w:t>Census 2012</w:t>
      </w:r>
      <w:r>
        <w:t xml:space="preserve">; </w:t>
      </w:r>
      <w:r w:rsidRPr="003B572C">
        <w:t>table</w:t>
      </w:r>
      <w:r w:rsidR="00172534">
        <w:t> </w:t>
      </w:r>
      <w:proofErr w:type="spellStart"/>
      <w:r w:rsidRPr="003B572C">
        <w:t>3A.</w:t>
      </w:r>
      <w:r w:rsidR="00624862">
        <w:t>25</w:t>
      </w:r>
      <w:proofErr w:type="spellEnd"/>
      <w:r w:rsidRPr="003B572C">
        <w:t>.</w:t>
      </w:r>
    </w:p>
    <w:p w:rsidR="009C7560" w:rsidRPr="00297D6C" w:rsidRDefault="00F922A2" w:rsidP="009C7560">
      <w:pPr>
        <w:pStyle w:val="Heading5"/>
      </w:pPr>
      <w:r>
        <w:lastRenderedPageBreak/>
        <w:t xml:space="preserve">Proportion of </w:t>
      </w:r>
      <w:r w:rsidR="009C7560">
        <w:t xml:space="preserve">Indigenous children </w:t>
      </w:r>
      <w:r>
        <w:t xml:space="preserve">(by geographic location) </w:t>
      </w:r>
      <w:r w:rsidR="00546F5E">
        <w:t xml:space="preserve">who are </w:t>
      </w:r>
      <w:r w:rsidR="009C7560">
        <w:t xml:space="preserve">attending </w:t>
      </w:r>
      <w:r w:rsidR="009C7560" w:rsidRPr="00297D6C">
        <w:t>a preschool program</w:t>
      </w:r>
      <w:r w:rsidR="009C7560">
        <w:t xml:space="preserve"> in the year before full time</w:t>
      </w:r>
      <w:r w:rsidR="009C7560" w:rsidRPr="00297D6C">
        <w:t xml:space="preserve"> schooling</w:t>
      </w:r>
    </w:p>
    <w:p w:rsidR="009C7560" w:rsidRDefault="00F922A2" w:rsidP="009C7560">
      <w:pPr>
        <w:pStyle w:val="BodyText"/>
      </w:pPr>
      <w:r>
        <w:t>National d</w:t>
      </w:r>
      <w:r w:rsidR="009C7560">
        <w:t xml:space="preserve">ata </w:t>
      </w:r>
      <w:r w:rsidR="009C7560" w:rsidRPr="00297D6C">
        <w:t xml:space="preserve">on the proportion </w:t>
      </w:r>
      <w:r w:rsidR="009C7560">
        <w:t xml:space="preserve">of Indigenous children attending </w:t>
      </w:r>
      <w:r w:rsidR="009C7560" w:rsidRPr="00297D6C">
        <w:t>a preschool pr</w:t>
      </w:r>
      <w:r w:rsidR="009C7560">
        <w:t xml:space="preserve">ogram in the year before full time </w:t>
      </w:r>
      <w:r>
        <w:t xml:space="preserve">schooling </w:t>
      </w:r>
      <w:r w:rsidR="009C7560" w:rsidRPr="00297D6C">
        <w:t>are presented by remoteness areas (major cities; inner/outer regional areas; remote/very remote areas)</w:t>
      </w:r>
      <w:r w:rsidR="00624862">
        <w:t xml:space="preserve"> in table</w:t>
      </w:r>
      <w:r w:rsidR="00172534">
        <w:t> </w:t>
      </w:r>
      <w:proofErr w:type="spellStart"/>
      <w:r w:rsidR="00624862">
        <w:t>3A.26</w:t>
      </w:r>
      <w:proofErr w:type="spellEnd"/>
      <w:r w:rsidR="009C7560" w:rsidRPr="00297D6C">
        <w:t xml:space="preserve">. </w:t>
      </w:r>
      <w:r w:rsidR="009C7560">
        <w:t>In 2012</w:t>
      </w:r>
      <w:r w:rsidR="009C7560" w:rsidRPr="00297D6C">
        <w:t>, amongst Indigeno</w:t>
      </w:r>
      <w:r>
        <w:t xml:space="preserve">us children </w:t>
      </w:r>
      <w:r w:rsidR="009C7560" w:rsidRPr="00297D6C">
        <w:t>i</w:t>
      </w:r>
      <w:r w:rsidR="009C7560">
        <w:t xml:space="preserve">n major cities, </w:t>
      </w:r>
      <w:r w:rsidR="00AE7051" w:rsidRPr="00AE7051">
        <w:t>67.3</w:t>
      </w:r>
      <w:r w:rsidR="009C7560" w:rsidRPr="00AE7051">
        <w:t xml:space="preserve"> </w:t>
      </w:r>
      <w:r w:rsidR="009C7560">
        <w:t>per cent attended a preschool program in the year before full time schooling.</w:t>
      </w:r>
      <w:r w:rsidR="009C7560" w:rsidRPr="00297D6C">
        <w:t xml:space="preserve"> </w:t>
      </w:r>
      <w:r w:rsidR="009C7560">
        <w:t xml:space="preserve">In regional areas, </w:t>
      </w:r>
      <w:r w:rsidR="00AE7051" w:rsidRPr="00AE7051">
        <w:t>74.3</w:t>
      </w:r>
      <w:r w:rsidR="009C7560" w:rsidRPr="00AE7051">
        <w:t xml:space="preserve"> </w:t>
      </w:r>
      <w:r w:rsidR="009C7560" w:rsidRPr="00297D6C">
        <w:t>per cent of Indigenous ch</w:t>
      </w:r>
      <w:r>
        <w:t xml:space="preserve">ildren </w:t>
      </w:r>
      <w:r w:rsidR="009C7560">
        <w:t>attended a preschool program in the y</w:t>
      </w:r>
      <w:r w:rsidR="00AE7051">
        <w:t xml:space="preserve">ear before full time schooling. In </w:t>
      </w:r>
      <w:r w:rsidR="009C7560">
        <w:t xml:space="preserve">remote areas, </w:t>
      </w:r>
      <w:r w:rsidR="00AE7051" w:rsidRPr="00AE7051">
        <w:t>77.5</w:t>
      </w:r>
      <w:r w:rsidR="009C7560" w:rsidRPr="00AE7051">
        <w:t xml:space="preserve"> </w:t>
      </w:r>
      <w:r w:rsidR="009C7560" w:rsidRPr="00297D6C">
        <w:t>per</w:t>
      </w:r>
      <w:r>
        <w:t xml:space="preserve"> cent of Indigenous children </w:t>
      </w:r>
      <w:r w:rsidR="009C7560">
        <w:t xml:space="preserve">attended a </w:t>
      </w:r>
      <w:r w:rsidR="009C7560" w:rsidRPr="00297D6C">
        <w:t>preschool progra</w:t>
      </w:r>
      <w:r w:rsidR="009C7560">
        <w:t xml:space="preserve">m in the year before </w:t>
      </w:r>
      <w:r w:rsidR="00624862">
        <w:t>full time schooling (table </w:t>
      </w:r>
      <w:proofErr w:type="spellStart"/>
      <w:r w:rsidR="00624862">
        <w:t>3A.26</w:t>
      </w:r>
      <w:proofErr w:type="spellEnd"/>
      <w:r w:rsidR="009C7560">
        <w:t>).</w:t>
      </w:r>
    </w:p>
    <w:p w:rsidR="009C7560" w:rsidRDefault="00F922A2" w:rsidP="009C7560">
      <w:pPr>
        <w:pStyle w:val="BodyText"/>
      </w:pPr>
      <w:r>
        <w:t>Contextual data are provided</w:t>
      </w:r>
      <w:r w:rsidR="009C7560">
        <w:t xml:space="preserve"> for all jurisdictions on the number of Indigenous children aged 4 and 5 years who attended a preschool </w:t>
      </w:r>
      <w:r>
        <w:t xml:space="preserve">program and Indigenous children </w:t>
      </w:r>
      <w:r w:rsidR="009C7560">
        <w:t xml:space="preserve">aged 4 and 5 years who attended a preschool program in the year before full time schooling. These data are also presented </w:t>
      </w:r>
      <w:r w:rsidR="00624862">
        <w:t>by remoteness areas (table</w:t>
      </w:r>
      <w:r w:rsidR="00172534">
        <w:t> </w:t>
      </w:r>
      <w:proofErr w:type="spellStart"/>
      <w:r w:rsidR="00624862">
        <w:t>3A.27</w:t>
      </w:r>
      <w:proofErr w:type="spellEnd"/>
      <w:r w:rsidR="009C7560">
        <w:t>).</w:t>
      </w:r>
    </w:p>
    <w:p w:rsidR="00B556FB" w:rsidRDefault="009C7560" w:rsidP="00F40D0C">
      <w:pPr>
        <w:pStyle w:val="Heading5"/>
      </w:pPr>
      <w:r w:rsidRPr="00C41228">
        <w:t xml:space="preserve">Access — </w:t>
      </w:r>
      <w:r w:rsidR="00CF10A4">
        <w:t>N</w:t>
      </w:r>
      <w:r w:rsidR="00B556FB" w:rsidRPr="00B556FB">
        <w:t>on</w:t>
      </w:r>
      <w:r w:rsidR="00172534">
        <w:noBreakHyphen/>
      </w:r>
      <w:r w:rsidR="00B556FB" w:rsidRPr="00B556FB">
        <w:t xml:space="preserve">standard hours of care in </w:t>
      </w:r>
      <w:r w:rsidR="00C85D95">
        <w:t>child care</w:t>
      </w:r>
      <w:r w:rsidR="00B556FB" w:rsidRPr="00B556FB">
        <w:t xml:space="preserve"> services</w:t>
      </w:r>
    </w:p>
    <w:p w:rsidR="00B556FB" w:rsidRDefault="00826C8D" w:rsidP="00C3586E">
      <w:pPr>
        <w:pStyle w:val="BodyText"/>
      </w:pPr>
      <w:r w:rsidRPr="00826C8D">
        <w:t>‘Non</w:t>
      </w:r>
      <w:r w:rsidR="00172534">
        <w:noBreakHyphen/>
      </w:r>
      <w:r w:rsidRPr="00826C8D">
        <w:t>standard hours of care</w:t>
      </w:r>
      <w:r w:rsidR="003F0187">
        <w:t xml:space="preserve"> in</w:t>
      </w:r>
      <w:r w:rsidRPr="00826C8D">
        <w:t xml:space="preserve"> child care services’ is an indicator of governments’ objective to ensure</w:t>
      </w:r>
      <w:r w:rsidR="000C1336">
        <w:t xml:space="preserve"> that</w:t>
      </w:r>
      <w:r w:rsidRPr="00826C8D">
        <w:t xml:space="preserve"> government funded and/or provided child care services meet the needs of all users </w:t>
      </w:r>
      <w:r w:rsidR="00B556FB" w:rsidRPr="00B556FB">
        <w:t>(box</w:t>
      </w:r>
      <w:r w:rsidR="00172534">
        <w:t> </w:t>
      </w:r>
      <w:r w:rsidR="00BD376B">
        <w:t>3.</w:t>
      </w:r>
      <w:r w:rsidR="009C7560">
        <w:t>10</w:t>
      </w:r>
      <w:r w:rsidR="00B556FB" w:rsidRPr="00B556FB">
        <w:t>).</w:t>
      </w:r>
    </w:p>
    <w:p w:rsidR="00B556FB" w:rsidRDefault="00B556FB" w:rsidP="00C3586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556FB">
        <w:tc>
          <w:tcPr>
            <w:tcW w:w="8771" w:type="dxa"/>
            <w:tcBorders>
              <w:top w:val="single" w:sz="6" w:space="0" w:color="auto"/>
              <w:bottom w:val="nil"/>
            </w:tcBorders>
          </w:tcPr>
          <w:p w:rsidR="00B556FB" w:rsidRPr="00B556FB" w:rsidRDefault="00B556FB" w:rsidP="009C7560">
            <w:pPr>
              <w:pStyle w:val="BoxTitle"/>
            </w:pPr>
            <w:r>
              <w:rPr>
                <w:b w:val="0"/>
              </w:rPr>
              <w:t xml:space="preserve">Box </w:t>
            </w:r>
            <w:bookmarkStart w:id="17" w:name="OLE_LINK7"/>
            <w:r w:rsidR="00923A1C">
              <w:rPr>
                <w:b w:val="0"/>
              </w:rPr>
              <w:t>3.</w:t>
            </w:r>
            <w:bookmarkEnd w:id="17"/>
            <w:r w:rsidR="009C7560">
              <w:rPr>
                <w:b w:val="0"/>
              </w:rPr>
              <w:t>10</w:t>
            </w:r>
            <w:r>
              <w:tab/>
            </w:r>
            <w:r w:rsidRPr="00B556FB">
              <w:t>Non</w:t>
            </w:r>
            <w:r w:rsidR="00172534">
              <w:noBreakHyphen/>
            </w:r>
            <w:r w:rsidRPr="00B556FB">
              <w:t>standard hours of care</w:t>
            </w:r>
            <w:r w:rsidR="00CB515C">
              <w:t xml:space="preserve"> in</w:t>
            </w:r>
            <w:r w:rsidRPr="00B556FB">
              <w:t xml:space="preserve"> </w:t>
            </w:r>
            <w:r w:rsidR="00C85D95">
              <w:t>child care</w:t>
            </w:r>
            <w:r w:rsidRPr="00B556FB">
              <w:t xml:space="preserve"> services</w:t>
            </w:r>
          </w:p>
        </w:tc>
      </w:tr>
      <w:tr w:rsidR="00B556FB">
        <w:trPr>
          <w:cantSplit/>
        </w:trPr>
        <w:tc>
          <w:tcPr>
            <w:tcW w:w="8771" w:type="dxa"/>
            <w:tcBorders>
              <w:top w:val="nil"/>
              <w:left w:val="single" w:sz="6" w:space="0" w:color="auto"/>
              <w:bottom w:val="nil"/>
              <w:right w:val="single" w:sz="6" w:space="0" w:color="auto"/>
            </w:tcBorders>
          </w:tcPr>
          <w:p w:rsidR="00B556FB" w:rsidRPr="009C7560" w:rsidRDefault="00B556FB" w:rsidP="00C3586E">
            <w:pPr>
              <w:pStyle w:val="Box"/>
            </w:pPr>
            <w:r w:rsidRPr="009C7560">
              <w:t>‘Non</w:t>
            </w:r>
            <w:r w:rsidR="00172534">
              <w:noBreakHyphen/>
            </w:r>
            <w:r w:rsidRPr="009C7560">
              <w:t>standard hours of care</w:t>
            </w:r>
            <w:r w:rsidR="00CB515C" w:rsidRPr="009C7560">
              <w:t xml:space="preserve"> in</w:t>
            </w:r>
            <w:r w:rsidRPr="009C7560">
              <w:t xml:space="preserve"> </w:t>
            </w:r>
            <w:r w:rsidR="00C85D95" w:rsidRPr="009C7560">
              <w:t>child care</w:t>
            </w:r>
            <w:r w:rsidRPr="009C7560">
              <w:t xml:space="preserve"> services’ is defined as the number of </w:t>
            </w:r>
            <w:r w:rsidR="00C85D95" w:rsidRPr="009C7560">
              <w:t>child care</w:t>
            </w:r>
            <w:r w:rsidRPr="009C7560">
              <w:t xml:space="preserve"> services provi</w:t>
            </w:r>
            <w:r w:rsidR="00490EC1">
              <w:t>ding non</w:t>
            </w:r>
            <w:r w:rsidR="00172534">
              <w:noBreakHyphen/>
            </w:r>
            <w:r w:rsidR="00490EC1">
              <w:t xml:space="preserve">standard hours of care </w:t>
            </w:r>
            <w:r w:rsidR="00490EC1" w:rsidRPr="00490EC1">
              <w:t>as a proportion of</w:t>
            </w:r>
            <w:r w:rsidRPr="00490EC1">
              <w:t xml:space="preserve"> the total number of services. Data are reported by service </w:t>
            </w:r>
            <w:r w:rsidR="00E47AF3" w:rsidRPr="00490EC1">
              <w:t>model</w:t>
            </w:r>
            <w:r w:rsidRPr="00490EC1">
              <w:t>.</w:t>
            </w:r>
            <w:r w:rsidR="0010185C" w:rsidRPr="00490EC1">
              <w:t xml:space="preserve"> </w:t>
            </w:r>
            <w:r w:rsidR="0010185C" w:rsidRPr="009C7560">
              <w:t>Definitions</w:t>
            </w:r>
            <w:r w:rsidR="00D52B63" w:rsidRPr="009C7560">
              <w:t xml:space="preserve"> of ‘standard hours’ and ‘non</w:t>
            </w:r>
            <w:r w:rsidR="00D52B63" w:rsidRPr="009C7560">
              <w:noBreakHyphen/>
            </w:r>
            <w:r w:rsidR="0010185C" w:rsidRPr="009C7560">
              <w:t>standard hours’ are pr</w:t>
            </w:r>
            <w:r w:rsidR="004E0593" w:rsidRPr="009C7560">
              <w:t>ovid</w:t>
            </w:r>
            <w:r w:rsidR="0010185C" w:rsidRPr="009C7560">
              <w:t>ed in section</w:t>
            </w:r>
            <w:r w:rsidR="00172534">
              <w:t> </w:t>
            </w:r>
            <w:r w:rsidR="00923A1C" w:rsidRPr="009C7560">
              <w:t>3.6</w:t>
            </w:r>
            <w:r w:rsidR="0010185C" w:rsidRPr="009C7560">
              <w:t xml:space="preserve">. </w:t>
            </w:r>
          </w:p>
          <w:p w:rsidR="00B556FB" w:rsidRPr="009C7560" w:rsidRDefault="00B556FB" w:rsidP="00D85F32">
            <w:pPr>
              <w:pStyle w:val="Box"/>
              <w:shd w:val="clear" w:color="auto" w:fill="FFFFFF" w:themeFill="background1"/>
            </w:pPr>
            <w:r w:rsidRPr="009C7560">
              <w:t>A high</w:t>
            </w:r>
            <w:r w:rsidR="00CB515C" w:rsidRPr="009C7560">
              <w:t xml:space="preserve"> or increasing</w:t>
            </w:r>
            <w:r w:rsidRPr="009C7560">
              <w:t xml:space="preserve"> proportion of services providing non</w:t>
            </w:r>
            <w:r w:rsidR="00172534">
              <w:noBreakHyphen/>
            </w:r>
            <w:r w:rsidRPr="009C7560">
              <w:t xml:space="preserve">standard hours of care </w:t>
            </w:r>
            <w:r w:rsidR="00CB515C" w:rsidRPr="009C7560">
              <w:t>can</w:t>
            </w:r>
            <w:r w:rsidR="005D61B5" w:rsidRPr="009C7560">
              <w:t xml:space="preserve"> </w:t>
            </w:r>
            <w:r w:rsidRPr="009C7560">
              <w:t>suggest a greater flexibility of services to meet the needs of families.</w:t>
            </w:r>
          </w:p>
          <w:p w:rsidR="00B556FB" w:rsidRPr="009C7560" w:rsidRDefault="00B556FB" w:rsidP="00D85F32">
            <w:pPr>
              <w:pStyle w:val="Box"/>
              <w:shd w:val="clear" w:color="auto" w:fill="FFFFFF" w:themeFill="background1"/>
            </w:pPr>
            <w:r w:rsidRPr="009C7560">
              <w:t>This indicator does not provide information on the demand for non</w:t>
            </w:r>
            <w:r w:rsidR="00172534">
              <w:noBreakHyphen/>
            </w:r>
            <w:r w:rsidRPr="009C7560">
              <w:t xml:space="preserve">standard hours of care. </w:t>
            </w:r>
            <w:r w:rsidR="002144FE" w:rsidRPr="009C7560">
              <w:t>If non</w:t>
            </w:r>
            <w:r w:rsidR="00172534">
              <w:noBreakHyphen/>
            </w:r>
            <w:r w:rsidR="002144FE" w:rsidRPr="009C7560">
              <w:t xml:space="preserve">standard hours are available but not used, they are not </w:t>
            </w:r>
            <w:r w:rsidR="00D23211" w:rsidRPr="009C7560">
              <w:t>include</w:t>
            </w:r>
            <w:r w:rsidR="002144FE" w:rsidRPr="009C7560">
              <w:t xml:space="preserve">d in </w:t>
            </w:r>
            <w:r w:rsidR="00D23211" w:rsidRPr="009C7560">
              <w:t>this indicator</w:t>
            </w:r>
            <w:r w:rsidR="002144FE" w:rsidRPr="009C7560">
              <w:t xml:space="preserve">. </w:t>
            </w:r>
            <w:r w:rsidR="000A6C2E" w:rsidRPr="009C7560">
              <w:t>Further, it</w:t>
            </w:r>
            <w:r w:rsidRPr="009C7560">
              <w:t xml:space="preserve"> provides no information on </w:t>
            </w:r>
            <w:r w:rsidR="004E0593" w:rsidRPr="009C7560">
              <w:t>whether available</w:t>
            </w:r>
            <w:r w:rsidRPr="009C7560">
              <w:t xml:space="preserve"> non</w:t>
            </w:r>
            <w:r w:rsidR="00172534">
              <w:noBreakHyphen/>
            </w:r>
            <w:r w:rsidRPr="009C7560">
              <w:t xml:space="preserve">standard hours services </w:t>
            </w:r>
            <w:r w:rsidR="00733FFE" w:rsidRPr="009C7560">
              <w:t xml:space="preserve">meet </w:t>
            </w:r>
            <w:r w:rsidRPr="009C7560">
              <w:t>the needs of users</w:t>
            </w:r>
            <w:r w:rsidR="002144FE" w:rsidRPr="009C7560">
              <w:t>.</w:t>
            </w:r>
          </w:p>
          <w:p w:rsidR="00C40421" w:rsidRPr="009F0562" w:rsidRDefault="001738FE" w:rsidP="00C3586E">
            <w:pPr>
              <w:pStyle w:val="Box"/>
            </w:pPr>
            <w:r w:rsidRPr="009F0562">
              <w:t>Data reported f</w:t>
            </w:r>
            <w:r w:rsidR="009F0562" w:rsidRPr="009F0562">
              <w:t>or this indicator are:</w:t>
            </w:r>
          </w:p>
          <w:p w:rsidR="009F0562" w:rsidRPr="0013400F" w:rsidRDefault="009F0562" w:rsidP="00751B02">
            <w:pPr>
              <w:pStyle w:val="BoxListBullet"/>
            </w:pPr>
            <w:r>
              <w:t>c</w:t>
            </w:r>
            <w:r w:rsidRPr="0013400F">
              <w:t>omparable (subject to caveats) ac</w:t>
            </w:r>
            <w:r>
              <w:t xml:space="preserve">ross jurisdictions but a break in series means that data for </w:t>
            </w:r>
            <w:r w:rsidR="00BD376B">
              <w:t xml:space="preserve">2013 are not comparable to data for </w:t>
            </w:r>
            <w:r>
              <w:t>2</w:t>
            </w:r>
            <w:r w:rsidR="00BD376B">
              <w:t>012 (in the p</w:t>
            </w:r>
            <w:r w:rsidR="00C354D2">
              <w:t>revious R</w:t>
            </w:r>
            <w:r w:rsidR="00BD376B">
              <w:t>eport)</w:t>
            </w:r>
          </w:p>
          <w:p w:rsidR="009F0562" w:rsidRPr="009C7560" w:rsidRDefault="009F0562" w:rsidP="00751B02">
            <w:pPr>
              <w:pStyle w:val="BoxListBullet"/>
            </w:pPr>
            <w:r>
              <w:t>c</w:t>
            </w:r>
            <w:r w:rsidRPr="0013400F">
              <w:t xml:space="preserve">omplete </w:t>
            </w:r>
            <w:r w:rsidR="003907A5">
              <w:t xml:space="preserve">(subject to caveats) </w:t>
            </w:r>
            <w:r w:rsidRPr="0013400F">
              <w:t>for the current repo</w:t>
            </w:r>
            <w:r w:rsidR="003907A5">
              <w:t>rting period</w:t>
            </w:r>
            <w:r w:rsidRPr="0013400F">
              <w:t xml:space="preserve">. All required 2013 data are </w:t>
            </w:r>
            <w:r w:rsidR="004A020D">
              <w:t>available for all jurisdictions.</w:t>
            </w:r>
          </w:p>
          <w:p w:rsidR="00BD4FA6" w:rsidRDefault="0003744B" w:rsidP="00513CF0">
            <w:pPr>
              <w:pStyle w:val="Box"/>
            </w:pPr>
            <w:r>
              <w:rPr>
                <w:rFonts w:cs="Arial"/>
                <w:szCs w:val="26"/>
              </w:rPr>
              <w:t>D</w:t>
            </w:r>
            <w:r w:rsidR="009F0562">
              <w:rPr>
                <w:rFonts w:cs="Arial"/>
                <w:szCs w:val="26"/>
              </w:rPr>
              <w:t xml:space="preserve">ata quality </w:t>
            </w:r>
            <w:r>
              <w:rPr>
                <w:rFonts w:cs="Arial"/>
                <w:szCs w:val="26"/>
              </w:rPr>
              <w:t xml:space="preserve">information </w:t>
            </w:r>
            <w:r w:rsidR="00BD4FA6" w:rsidRPr="009C7560">
              <w:rPr>
                <w:rFonts w:cs="Arial"/>
                <w:szCs w:val="26"/>
              </w:rPr>
              <w:t>for this indicator is at</w:t>
            </w:r>
            <w:r w:rsidR="005B0467" w:rsidRPr="009C7560">
              <w:rPr>
                <w:rFonts w:cs="Arial"/>
                <w:szCs w:val="26"/>
              </w:rPr>
              <w:t xml:space="preserve"> </w:t>
            </w:r>
            <w:proofErr w:type="spellStart"/>
            <w:r w:rsidR="005B0467" w:rsidRPr="009C7560">
              <w:rPr>
                <w:rFonts w:cs="Arial"/>
                <w:szCs w:val="26"/>
              </w:rPr>
              <w:t>www.pc.gov.au</w:t>
            </w:r>
            <w:proofErr w:type="spellEnd"/>
            <w:r w:rsidR="005B0467" w:rsidRPr="009C7560">
              <w:rPr>
                <w:rFonts w:cs="Arial"/>
                <w:szCs w:val="26"/>
              </w:rPr>
              <w:t>/</w:t>
            </w:r>
            <w:proofErr w:type="spellStart"/>
            <w:r w:rsidR="005B0467" w:rsidRPr="009C7560">
              <w:rPr>
                <w:rFonts w:cs="Arial"/>
                <w:szCs w:val="26"/>
              </w:rPr>
              <w:t>gsp</w:t>
            </w:r>
            <w:proofErr w:type="spellEnd"/>
            <w:r w:rsidR="005B0467" w:rsidRPr="009C7560">
              <w:rPr>
                <w:rFonts w:cs="Arial"/>
                <w:szCs w:val="26"/>
              </w:rPr>
              <w:t>/reports/</w:t>
            </w:r>
            <w:proofErr w:type="spellStart"/>
            <w:r w:rsidR="005B0467" w:rsidRPr="009C7560">
              <w:rPr>
                <w:rFonts w:cs="Arial"/>
                <w:szCs w:val="26"/>
              </w:rPr>
              <w:t>rogs</w:t>
            </w:r>
            <w:proofErr w:type="spellEnd"/>
            <w:r w:rsidR="005B0467" w:rsidRPr="009C7560">
              <w:rPr>
                <w:rFonts w:cs="Arial"/>
                <w:szCs w:val="26"/>
              </w:rPr>
              <w:t>/201</w:t>
            </w:r>
            <w:r w:rsidR="009C7560" w:rsidRPr="009C7560">
              <w:rPr>
                <w:rFonts w:cs="Arial"/>
                <w:szCs w:val="26"/>
              </w:rPr>
              <w:t>4</w:t>
            </w:r>
            <w:r w:rsidR="00AE17BF" w:rsidRPr="009C7560">
              <w:rPr>
                <w:rFonts w:cs="Arial"/>
                <w:szCs w:val="26"/>
              </w:rPr>
              <w:t>.</w:t>
            </w:r>
          </w:p>
        </w:tc>
      </w:tr>
      <w:tr w:rsidR="00B556FB">
        <w:trPr>
          <w:cantSplit/>
        </w:trPr>
        <w:tc>
          <w:tcPr>
            <w:tcW w:w="8771" w:type="dxa"/>
            <w:tcBorders>
              <w:top w:val="nil"/>
              <w:left w:val="single" w:sz="6" w:space="0" w:color="auto"/>
              <w:bottom w:val="single" w:sz="6" w:space="0" w:color="auto"/>
              <w:right w:val="single" w:sz="6" w:space="0" w:color="auto"/>
            </w:tcBorders>
          </w:tcPr>
          <w:p w:rsidR="00B556FB" w:rsidRDefault="00B556FB" w:rsidP="00C3586E">
            <w:pPr>
              <w:pStyle w:val="Box"/>
              <w:spacing w:before="0" w:line="120" w:lineRule="exact"/>
            </w:pPr>
          </w:p>
        </w:tc>
      </w:tr>
      <w:tr w:rsidR="00B556FB">
        <w:tc>
          <w:tcPr>
            <w:tcW w:w="8771" w:type="dxa"/>
            <w:tcBorders>
              <w:top w:val="nil"/>
              <w:left w:val="nil"/>
              <w:bottom w:val="nil"/>
              <w:right w:val="nil"/>
            </w:tcBorders>
          </w:tcPr>
          <w:p w:rsidR="00B556FB" w:rsidRDefault="00B556FB" w:rsidP="00C3586E">
            <w:pPr>
              <w:pStyle w:val="Box"/>
              <w:keepNext w:val="0"/>
              <w:spacing w:before="60" w:after="60" w:line="80" w:lineRule="exact"/>
              <w:rPr>
                <w:b/>
                <w:color w:val="FF00FF"/>
                <w:sz w:val="14"/>
              </w:rPr>
            </w:pPr>
          </w:p>
        </w:tc>
      </w:tr>
    </w:tbl>
    <w:p w:rsidR="00B556FB" w:rsidRDefault="00B556FB" w:rsidP="00C3586E">
      <w:pPr>
        <w:pStyle w:val="BodyText"/>
      </w:pPr>
      <w:r w:rsidRPr="00B556FB">
        <w:t>Provision of non</w:t>
      </w:r>
      <w:r w:rsidR="00172534">
        <w:noBreakHyphen/>
      </w:r>
      <w:r w:rsidRPr="00B556FB">
        <w:t xml:space="preserve">standard hours of care </w:t>
      </w:r>
      <w:r w:rsidR="00CB515C">
        <w:t>can</w:t>
      </w:r>
      <w:r w:rsidRPr="00B556FB">
        <w:t xml:space="preserve"> be influenced by a range of factors</w:t>
      </w:r>
      <w:r w:rsidR="00621F22">
        <w:t>,</w:t>
      </w:r>
      <w:r w:rsidRPr="00B556FB">
        <w:t xml:space="preserve"> such as costs to services and parents, demand for care, availability of carers, and compliance with occupational and health and safety requirements. Figure</w:t>
      </w:r>
      <w:r w:rsidR="00172534">
        <w:t> </w:t>
      </w:r>
      <w:r w:rsidR="009C7560">
        <w:t>3.9</w:t>
      </w:r>
      <w:r w:rsidR="009707C3">
        <w:t xml:space="preserve"> </w:t>
      </w:r>
      <w:r w:rsidRPr="00B556FB">
        <w:t>shows the proportion of services that provided non</w:t>
      </w:r>
      <w:r w:rsidR="00172534">
        <w:noBreakHyphen/>
      </w:r>
      <w:r w:rsidRPr="00B556FB">
        <w:t xml:space="preserve">standard hours of care by service </w:t>
      </w:r>
      <w:r w:rsidR="00E47AF3">
        <w:t>model</w:t>
      </w:r>
      <w:r w:rsidRPr="00B556FB">
        <w:t>.</w:t>
      </w:r>
    </w:p>
    <w:p w:rsidR="00B556FB" w:rsidRPr="009C7560" w:rsidRDefault="00B556FB" w:rsidP="00C3586E">
      <w:pPr>
        <w:pStyle w:val="FigureTitle"/>
        <w:rPr>
          <w:rStyle w:val="NoteLabel"/>
          <w:color w:val="00B050"/>
        </w:rPr>
      </w:pPr>
      <w:r w:rsidRPr="008527CF">
        <w:rPr>
          <w:b w:val="0"/>
        </w:rPr>
        <w:lastRenderedPageBreak/>
        <w:t xml:space="preserve">Figure </w:t>
      </w:r>
      <w:bookmarkStart w:id="18" w:name="OLE_LINK8"/>
      <w:r w:rsidR="00923A1C" w:rsidRPr="008527CF">
        <w:rPr>
          <w:b w:val="0"/>
        </w:rPr>
        <w:t>3.</w:t>
      </w:r>
      <w:bookmarkEnd w:id="18"/>
      <w:r w:rsidR="009C7560">
        <w:rPr>
          <w:b w:val="0"/>
        </w:rPr>
        <w:t>9</w:t>
      </w:r>
      <w:r w:rsidRPr="008527CF">
        <w:tab/>
        <w:t xml:space="preserve">Australian Government approved </w:t>
      </w:r>
      <w:r w:rsidR="00C85D95" w:rsidRPr="008527CF">
        <w:t>child care</w:t>
      </w:r>
      <w:r w:rsidRPr="008527CF">
        <w:t xml:space="preserve"> services providing non</w:t>
      </w:r>
      <w:r w:rsidR="00172534">
        <w:noBreakHyphen/>
      </w:r>
      <w:r w:rsidRPr="008527CF">
        <w:t xml:space="preserve">standard hours of care, by service </w:t>
      </w:r>
      <w:r w:rsidR="00E47AF3" w:rsidRPr="008527CF">
        <w:t>model</w:t>
      </w:r>
      <w:r w:rsidRPr="008527CF">
        <w:t xml:space="preserve">, </w:t>
      </w:r>
      <w:r w:rsidR="00CB1373" w:rsidRPr="008527CF">
        <w:t>201</w:t>
      </w:r>
      <w:r w:rsidR="000A70FB">
        <w:t>3</w:t>
      </w:r>
      <w:r w:rsidR="003334D1" w:rsidRPr="008527CF">
        <w:rPr>
          <w:rStyle w:val="NoteLabel"/>
          <w:b/>
        </w:rPr>
        <w:t>a</w:t>
      </w:r>
      <w:r w:rsidR="00D9758C">
        <w:rPr>
          <w:rStyle w:val="NoteLabel"/>
          <w:b/>
        </w:rPr>
        <w:t>,</w:t>
      </w:r>
      <w:r w:rsidR="00164268">
        <w:rPr>
          <w:rStyle w:val="NoteLabel"/>
          <w:b/>
        </w:rPr>
        <w:t xml:space="preserve"> b</w:t>
      </w:r>
      <w:r w:rsidR="00A857DC">
        <w:rPr>
          <w:rStyle w:val="NoteLabel"/>
          <w:b/>
        </w:rPr>
        <w:t>, c,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556FB">
        <w:tc>
          <w:tcPr>
            <w:tcW w:w="8777" w:type="dxa"/>
          </w:tcPr>
          <w:p w:rsidR="00B556FB" w:rsidRPr="00F5662D" w:rsidRDefault="00F230C0" w:rsidP="00C3586E">
            <w:pPr>
              <w:pStyle w:val="Figure"/>
              <w:keepLines/>
            </w:pPr>
            <w:r>
              <w:rPr>
                <w:noProof/>
              </w:rPr>
              <w:drawing>
                <wp:inline distT="0" distB="0" distL="0" distR="0" wp14:anchorId="2C08DDD4" wp14:editId="6B32E60E">
                  <wp:extent cx="5369560" cy="2743200"/>
                  <wp:effectExtent l="0" t="0" r="2540" b="0"/>
                  <wp:docPr id="9" name="Picture 9" descr="Figure 3.9 Australian Government approved child care services providing non-standard hours of care, by service model,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69560" cy="2743200"/>
                          </a:xfrm>
                          <a:prstGeom prst="rect">
                            <a:avLst/>
                          </a:prstGeom>
                          <a:noFill/>
                          <a:ln>
                            <a:noFill/>
                          </a:ln>
                        </pic:spPr>
                      </pic:pic>
                    </a:graphicData>
                  </a:graphic>
                </wp:inline>
              </w:drawing>
            </w:r>
          </w:p>
        </w:tc>
      </w:tr>
    </w:tbl>
    <w:p w:rsidR="00B42A3B" w:rsidRPr="00B42A3B" w:rsidRDefault="00B42A3B" w:rsidP="00B42A3B">
      <w:pPr>
        <w:keepNext/>
        <w:keepLines/>
        <w:spacing w:before="80" w:line="220" w:lineRule="exact"/>
        <w:jc w:val="both"/>
        <w:rPr>
          <w:rFonts w:ascii="Arial" w:hAnsi="Arial"/>
          <w:sz w:val="18"/>
          <w:szCs w:val="20"/>
        </w:rPr>
      </w:pPr>
      <w:r w:rsidRPr="000E1C3B">
        <w:rPr>
          <w:rStyle w:val="NoteLabel"/>
        </w:rPr>
        <w:t>a</w:t>
      </w:r>
      <w:r w:rsidRPr="00B42A3B">
        <w:rPr>
          <w:rFonts w:ascii="Arial" w:hAnsi="Arial"/>
          <w:b/>
          <w:position w:val="6"/>
          <w:sz w:val="18"/>
          <w:szCs w:val="20"/>
        </w:rPr>
        <w:t xml:space="preserve"> </w:t>
      </w:r>
      <w:r w:rsidRPr="000E1C3B">
        <w:rPr>
          <w:rStyle w:val="NoteChar"/>
        </w:rPr>
        <w:t xml:space="preserve">Data are from the </w:t>
      </w:r>
      <w:r w:rsidRPr="000E1C3B">
        <w:rPr>
          <w:rStyle w:val="NoteChar"/>
          <w:i/>
        </w:rPr>
        <w:t>2013 National Early Childhood Education and Care Workforce Census</w:t>
      </w:r>
      <w:r w:rsidRPr="000E1C3B">
        <w:rPr>
          <w:rStyle w:val="NoteChar"/>
        </w:rPr>
        <w:t>, except data for family day care and other care.</w:t>
      </w:r>
      <w:r w:rsidRPr="00B42A3B">
        <w:rPr>
          <w:rFonts w:ascii="Arial" w:hAnsi="Arial"/>
          <w:sz w:val="18"/>
          <w:szCs w:val="20"/>
        </w:rPr>
        <w:t xml:space="preserve"> These data are from administrative data for the March quarter.</w:t>
      </w:r>
      <w:r w:rsidRPr="00B42A3B">
        <w:rPr>
          <w:rFonts w:ascii="Arial" w:hAnsi="Arial"/>
          <w:b/>
          <w:position w:val="6"/>
          <w:sz w:val="18"/>
          <w:szCs w:val="20"/>
        </w:rPr>
        <w:t xml:space="preserve"> </w:t>
      </w:r>
      <w:r w:rsidRPr="00B42A3B">
        <w:rPr>
          <w:rFonts w:ascii="Arial" w:hAnsi="Arial"/>
          <w:b/>
          <w:position w:val="6"/>
          <w:sz w:val="18"/>
          <w:szCs w:val="20"/>
        </w:rPr>
        <w:br/>
      </w:r>
      <w:r w:rsidRPr="000E1C3B">
        <w:rPr>
          <w:rStyle w:val="NoteLabel"/>
        </w:rPr>
        <w:t>b</w:t>
      </w:r>
      <w:r w:rsidRPr="00B42A3B">
        <w:rPr>
          <w:rFonts w:ascii="Arial" w:hAnsi="Arial"/>
          <w:b/>
          <w:position w:val="6"/>
          <w:sz w:val="18"/>
          <w:szCs w:val="20"/>
        </w:rPr>
        <w:t xml:space="preserve"> </w:t>
      </w:r>
      <w:r w:rsidRPr="000E1C3B">
        <w:rPr>
          <w:rStyle w:val="NoteChar"/>
        </w:rPr>
        <w:t>Other care includes in</w:t>
      </w:r>
      <w:r w:rsidR="00172534">
        <w:rPr>
          <w:rStyle w:val="NoteChar"/>
        </w:rPr>
        <w:noBreakHyphen/>
      </w:r>
      <w:r w:rsidRPr="000E1C3B">
        <w:rPr>
          <w:rStyle w:val="NoteChar"/>
        </w:rPr>
        <w:t>home care only.</w:t>
      </w:r>
      <w:r w:rsidRPr="00B42A3B">
        <w:rPr>
          <w:rFonts w:ascii="Arial" w:hAnsi="Arial"/>
          <w:sz w:val="18"/>
          <w:szCs w:val="20"/>
          <w:shd w:val="clear" w:color="auto" w:fill="FFFFFF" w:themeFill="background1"/>
        </w:rPr>
        <w:t xml:space="preserve"> </w:t>
      </w:r>
      <w:r w:rsidRPr="000E1C3B">
        <w:rPr>
          <w:rStyle w:val="NoteLabel"/>
        </w:rPr>
        <w:t>c</w:t>
      </w:r>
      <w:r w:rsidRPr="00B42A3B">
        <w:rPr>
          <w:rFonts w:ascii="Arial" w:hAnsi="Arial"/>
          <w:b/>
          <w:position w:val="6"/>
          <w:sz w:val="18"/>
          <w:szCs w:val="20"/>
        </w:rPr>
        <w:t xml:space="preserve"> </w:t>
      </w:r>
      <w:r w:rsidRPr="000E1C3B">
        <w:rPr>
          <w:rStyle w:val="NoteChar"/>
        </w:rPr>
        <w:t>The ACT data for outside school hours care are nil. The NT data for outside school hours, occasional and other care are nil.</w:t>
      </w:r>
    </w:p>
    <w:p w:rsidR="00F5662D" w:rsidRPr="00B42A3B" w:rsidRDefault="00B42A3B" w:rsidP="00B42A3B">
      <w:pPr>
        <w:keepNext/>
        <w:keepLines/>
        <w:spacing w:before="80" w:line="220" w:lineRule="exact"/>
        <w:jc w:val="both"/>
        <w:rPr>
          <w:rStyle w:val="SourceChar"/>
          <w:szCs w:val="20"/>
        </w:rPr>
      </w:pPr>
      <w:r w:rsidRPr="00B42A3B">
        <w:rPr>
          <w:rFonts w:ascii="Arial" w:hAnsi="Arial"/>
          <w:i/>
          <w:sz w:val="18"/>
          <w:szCs w:val="20"/>
        </w:rPr>
        <w:t>Source</w:t>
      </w:r>
      <w:r w:rsidRPr="00B42A3B">
        <w:rPr>
          <w:rFonts w:ascii="Arial" w:hAnsi="Arial"/>
          <w:sz w:val="18"/>
          <w:szCs w:val="20"/>
        </w:rPr>
        <w:t>: Department of Education (unpublished); table</w:t>
      </w:r>
      <w:r w:rsidR="00172534">
        <w:rPr>
          <w:rFonts w:ascii="Arial" w:hAnsi="Arial"/>
          <w:sz w:val="18"/>
          <w:szCs w:val="20"/>
        </w:rPr>
        <w:t> </w:t>
      </w:r>
      <w:proofErr w:type="spellStart"/>
      <w:r w:rsidRPr="00B42A3B">
        <w:rPr>
          <w:rFonts w:ascii="Arial" w:hAnsi="Arial"/>
          <w:sz w:val="18"/>
          <w:szCs w:val="20"/>
        </w:rPr>
        <w:t>3A.28</w:t>
      </w:r>
      <w:proofErr w:type="spellEnd"/>
      <w:r w:rsidRPr="00B42A3B">
        <w:rPr>
          <w:rFonts w:ascii="Arial" w:hAnsi="Arial"/>
          <w:sz w:val="18"/>
          <w:szCs w:val="20"/>
        </w:rPr>
        <w:t>.</w:t>
      </w:r>
    </w:p>
    <w:p w:rsidR="006874D1" w:rsidRDefault="00F5662D" w:rsidP="00C3586E">
      <w:pPr>
        <w:pStyle w:val="BodyText"/>
      </w:pPr>
      <w:r w:rsidRPr="00156B1E">
        <w:t xml:space="preserve">Limited data are available on </w:t>
      </w:r>
      <w:r w:rsidR="00F16196">
        <w:t xml:space="preserve">State and Territory government funded and/or provided child care </w:t>
      </w:r>
      <w:r w:rsidR="00310B0F">
        <w:t xml:space="preserve">services </w:t>
      </w:r>
      <w:r w:rsidRPr="00DE1D72">
        <w:t xml:space="preserve">that </w:t>
      </w:r>
      <w:r w:rsidR="00310B0F">
        <w:t xml:space="preserve">offer </w:t>
      </w:r>
      <w:r w:rsidRPr="00DE1D72">
        <w:t>non</w:t>
      </w:r>
      <w:r w:rsidR="00172534">
        <w:noBreakHyphen/>
      </w:r>
      <w:r w:rsidRPr="00DE1D72">
        <w:t>standard hours of care</w:t>
      </w:r>
      <w:r w:rsidR="00156B1E" w:rsidRPr="00DE1D72">
        <w:t xml:space="preserve"> (table</w:t>
      </w:r>
      <w:r w:rsidR="00172534">
        <w:t> </w:t>
      </w:r>
      <w:proofErr w:type="spellStart"/>
      <w:r w:rsidR="00156B1E" w:rsidRPr="00DE1D72">
        <w:t>3A.</w:t>
      </w:r>
      <w:r w:rsidR="00624862">
        <w:t>29</w:t>
      </w:r>
      <w:proofErr w:type="spellEnd"/>
      <w:r w:rsidR="009B7589" w:rsidRPr="00DE1D72">
        <w:t>)</w:t>
      </w:r>
      <w:r w:rsidR="00310B0F">
        <w:t>.</w:t>
      </w:r>
      <w:r w:rsidR="00424A7E">
        <w:t xml:space="preserve"> </w:t>
      </w:r>
    </w:p>
    <w:p w:rsidR="00B556FB" w:rsidRPr="0002405E" w:rsidRDefault="00371B60" w:rsidP="00C3586E">
      <w:pPr>
        <w:pStyle w:val="BodyText"/>
      </w:pPr>
      <w:r>
        <w:t>Contextual d</w:t>
      </w:r>
      <w:r w:rsidR="006874D1" w:rsidRPr="0002405E">
        <w:t>ata are also prov</w:t>
      </w:r>
      <w:r>
        <w:t xml:space="preserve">ided </w:t>
      </w:r>
      <w:r w:rsidR="006874D1" w:rsidRPr="0002405E">
        <w:t xml:space="preserve">for </w:t>
      </w:r>
      <w:r w:rsidR="004968B4" w:rsidRPr="0002405E">
        <w:t>NSW</w:t>
      </w:r>
      <w:r w:rsidR="000C545F" w:rsidRPr="0002405E">
        <w:t>, Queensland</w:t>
      </w:r>
      <w:r w:rsidR="00F5662D" w:rsidRPr="0002405E">
        <w:t xml:space="preserve"> and SA on </w:t>
      </w:r>
      <w:r w:rsidR="00AA1FC3" w:rsidRPr="0002405E">
        <w:t xml:space="preserve">the proportion of </w:t>
      </w:r>
      <w:r w:rsidR="00444A48" w:rsidRPr="0002405E">
        <w:t xml:space="preserve">State and Territory government funded and/or provided </w:t>
      </w:r>
      <w:r w:rsidR="00AA1FC3" w:rsidRPr="0002405E">
        <w:t>preschools that offered non</w:t>
      </w:r>
      <w:r w:rsidR="00B36D74" w:rsidRPr="0002405E">
        <w:noBreakHyphen/>
      </w:r>
      <w:r w:rsidR="00201B6B" w:rsidRPr="0002405E">
        <w:t>standard hours of care in 201</w:t>
      </w:r>
      <w:r w:rsidR="00580100" w:rsidRPr="0002405E">
        <w:t>2</w:t>
      </w:r>
      <w:r w:rsidR="00172534">
        <w:noBreakHyphen/>
      </w:r>
      <w:r w:rsidR="00CB1373" w:rsidRPr="0002405E">
        <w:t>1</w:t>
      </w:r>
      <w:r w:rsidR="00580100" w:rsidRPr="0002405E">
        <w:t>3</w:t>
      </w:r>
      <w:r w:rsidR="00AA1FC3" w:rsidRPr="0002405E">
        <w:t xml:space="preserve"> (</w:t>
      </w:r>
      <w:r w:rsidR="00156B1E" w:rsidRPr="0002405E">
        <w:t>table</w:t>
      </w:r>
      <w:r w:rsidR="00172534">
        <w:t> </w:t>
      </w:r>
      <w:proofErr w:type="spellStart"/>
      <w:r w:rsidR="00F5662D" w:rsidRPr="0002405E">
        <w:t>3A.</w:t>
      </w:r>
      <w:r w:rsidR="00624862">
        <w:t>29</w:t>
      </w:r>
      <w:proofErr w:type="spellEnd"/>
      <w:r w:rsidR="00F5662D" w:rsidRPr="0002405E">
        <w:t>).</w:t>
      </w:r>
    </w:p>
    <w:p w:rsidR="002201C2" w:rsidRPr="00146AB8" w:rsidRDefault="00146AB8" w:rsidP="008C57CB">
      <w:pPr>
        <w:pStyle w:val="Heading5"/>
      </w:pPr>
      <w:r w:rsidRPr="00146AB8">
        <w:t xml:space="preserve">Access — </w:t>
      </w:r>
      <w:r w:rsidR="0002405E">
        <w:t>Service availability</w:t>
      </w:r>
    </w:p>
    <w:p w:rsidR="00A50B9F" w:rsidRPr="00146AB8" w:rsidRDefault="002201C2" w:rsidP="008C57CB">
      <w:pPr>
        <w:pStyle w:val="BodyText"/>
      </w:pPr>
      <w:r w:rsidRPr="00146AB8">
        <w:t>‘</w:t>
      </w:r>
      <w:r w:rsidR="00A50B9F" w:rsidRPr="00146AB8">
        <w:t>Service availability</w:t>
      </w:r>
      <w:r w:rsidRPr="00146AB8">
        <w:t xml:space="preserve">’ is an indicator of governments’ objective to ensure </w:t>
      </w:r>
      <w:r w:rsidR="000C1336" w:rsidRPr="00146AB8">
        <w:t xml:space="preserve">that </w:t>
      </w:r>
      <w:r w:rsidRPr="00146AB8">
        <w:t xml:space="preserve">all families have equitable and adequate access to </w:t>
      </w:r>
      <w:r w:rsidR="00A50B9F" w:rsidRPr="00146AB8">
        <w:t xml:space="preserve">early childhood education and care services </w:t>
      </w:r>
      <w:r w:rsidR="00B76C5F" w:rsidRPr="00146AB8">
        <w:t>(box </w:t>
      </w:r>
      <w:r w:rsidR="00146AB8" w:rsidRPr="00146AB8">
        <w:t>3.11</w:t>
      </w:r>
      <w:r w:rsidRPr="00146AB8">
        <w:t>)</w:t>
      </w:r>
      <w:r w:rsidR="00C719BA" w:rsidRPr="00146AB8">
        <w:t>.</w:t>
      </w:r>
    </w:p>
    <w:p w:rsidR="002201C2" w:rsidRDefault="002201C2" w:rsidP="00B109E3">
      <w:pPr>
        <w:pStyle w:val="BodyText"/>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201C2" w:rsidTr="0055577D">
        <w:tc>
          <w:tcPr>
            <w:tcW w:w="8771" w:type="dxa"/>
            <w:tcBorders>
              <w:top w:val="single" w:sz="6" w:space="0" w:color="auto"/>
              <w:bottom w:val="nil"/>
            </w:tcBorders>
          </w:tcPr>
          <w:p w:rsidR="002201C2" w:rsidRPr="00146AB8" w:rsidRDefault="002201C2" w:rsidP="00146AB8">
            <w:pPr>
              <w:pStyle w:val="BoxTitle"/>
            </w:pPr>
            <w:r w:rsidRPr="00146AB8">
              <w:rPr>
                <w:b w:val="0"/>
              </w:rPr>
              <w:t xml:space="preserve">Box </w:t>
            </w:r>
            <w:bookmarkStart w:id="19" w:name="OLE_LINK20"/>
            <w:r w:rsidRPr="00146AB8">
              <w:rPr>
                <w:b w:val="0"/>
              </w:rPr>
              <w:t>3.</w:t>
            </w:r>
            <w:bookmarkEnd w:id="19"/>
            <w:r w:rsidR="00146AB8" w:rsidRPr="00146AB8">
              <w:rPr>
                <w:b w:val="0"/>
              </w:rPr>
              <w:t>11</w:t>
            </w:r>
            <w:r w:rsidRPr="00146AB8">
              <w:tab/>
            </w:r>
            <w:r w:rsidR="00A50B9F" w:rsidRPr="00146AB8">
              <w:t xml:space="preserve">Service availability </w:t>
            </w:r>
          </w:p>
        </w:tc>
      </w:tr>
      <w:tr w:rsidR="002201C2" w:rsidTr="001E1784">
        <w:trPr>
          <w:cantSplit/>
        </w:trPr>
        <w:tc>
          <w:tcPr>
            <w:tcW w:w="8771" w:type="dxa"/>
            <w:tcBorders>
              <w:top w:val="nil"/>
              <w:left w:val="single" w:sz="6" w:space="0" w:color="auto"/>
              <w:bottom w:val="nil"/>
              <w:right w:val="single" w:sz="6" w:space="0" w:color="auto"/>
            </w:tcBorders>
            <w:shd w:val="clear" w:color="auto" w:fill="auto"/>
          </w:tcPr>
          <w:p w:rsidR="006248EE" w:rsidRPr="00146AB8" w:rsidRDefault="00146AB8" w:rsidP="00E968BF">
            <w:pPr>
              <w:pStyle w:val="Box"/>
            </w:pPr>
            <w:r w:rsidRPr="00146AB8">
              <w:t>The Stee</w:t>
            </w:r>
            <w:r w:rsidR="00E968BF">
              <w:t>ring Committee has identified ‘s</w:t>
            </w:r>
            <w:r w:rsidRPr="00146AB8">
              <w:t xml:space="preserve">ervice availability’ for development and </w:t>
            </w:r>
            <w:r w:rsidR="00E968BF">
              <w:t>future reporting, to replace the ‘util</w:t>
            </w:r>
            <w:r w:rsidR="00F422A1">
              <w:t>isation’ indicator from earlier</w:t>
            </w:r>
            <w:r w:rsidR="00E968BF">
              <w:t xml:space="preserve"> reports</w:t>
            </w:r>
            <w:r w:rsidRPr="00146AB8">
              <w:t>.</w:t>
            </w:r>
            <w:r w:rsidR="00294375">
              <w:t xml:space="preserve"> </w:t>
            </w:r>
            <w:r w:rsidR="00E968BF" w:rsidRPr="001E1784">
              <w:t>Data are not currently available for ‘service availability’.</w:t>
            </w:r>
          </w:p>
        </w:tc>
      </w:tr>
      <w:tr w:rsidR="002201C2" w:rsidTr="0055577D">
        <w:trPr>
          <w:cantSplit/>
        </w:trPr>
        <w:tc>
          <w:tcPr>
            <w:tcW w:w="8771" w:type="dxa"/>
            <w:tcBorders>
              <w:top w:val="nil"/>
              <w:left w:val="single" w:sz="6" w:space="0" w:color="auto"/>
              <w:bottom w:val="single" w:sz="6" w:space="0" w:color="auto"/>
              <w:right w:val="single" w:sz="6" w:space="0" w:color="auto"/>
            </w:tcBorders>
          </w:tcPr>
          <w:p w:rsidR="002201C2" w:rsidRDefault="002201C2" w:rsidP="0055577D">
            <w:pPr>
              <w:pStyle w:val="Box"/>
              <w:spacing w:before="0" w:line="120" w:lineRule="exact"/>
            </w:pPr>
          </w:p>
        </w:tc>
      </w:tr>
      <w:tr w:rsidR="002201C2" w:rsidTr="0055577D">
        <w:tc>
          <w:tcPr>
            <w:tcW w:w="8771" w:type="dxa"/>
            <w:tcBorders>
              <w:top w:val="nil"/>
              <w:left w:val="nil"/>
              <w:bottom w:val="nil"/>
              <w:right w:val="nil"/>
            </w:tcBorders>
          </w:tcPr>
          <w:p w:rsidR="002201C2" w:rsidRDefault="002201C2" w:rsidP="0055577D">
            <w:pPr>
              <w:pStyle w:val="Box"/>
              <w:keepNext w:val="0"/>
              <w:spacing w:before="60" w:after="60" w:line="80" w:lineRule="exact"/>
              <w:rPr>
                <w:b/>
                <w:color w:val="FF00FF"/>
                <w:sz w:val="14"/>
              </w:rPr>
            </w:pPr>
          </w:p>
        </w:tc>
      </w:tr>
    </w:tbl>
    <w:p w:rsidR="009547E5" w:rsidRDefault="009547E5" w:rsidP="00C3586E">
      <w:pPr>
        <w:pStyle w:val="Heading5"/>
      </w:pPr>
      <w:r w:rsidRPr="002B7DE1">
        <w:lastRenderedPageBreak/>
        <w:t>Service affordability</w:t>
      </w:r>
      <w:r w:rsidRPr="009547E5">
        <w:t xml:space="preserve"> — </w:t>
      </w:r>
      <w:r w:rsidR="00C85D95">
        <w:t>child care</w:t>
      </w:r>
      <w:r w:rsidRPr="009547E5">
        <w:t xml:space="preserve"> service costs</w:t>
      </w:r>
    </w:p>
    <w:p w:rsidR="009547E5" w:rsidRDefault="00905EC0" w:rsidP="00C3586E">
      <w:pPr>
        <w:pStyle w:val="BodyText"/>
      </w:pPr>
      <w:r w:rsidRPr="00905EC0">
        <w:t xml:space="preserve">‘Child care service costs’ is an indicator of governments’ objective to ensure </w:t>
      </w:r>
      <w:r w:rsidR="000C1336">
        <w:t xml:space="preserve">that </w:t>
      </w:r>
      <w:r w:rsidRPr="00905EC0">
        <w:t xml:space="preserve">all families have equitable access to </w:t>
      </w:r>
      <w:r w:rsidR="00513CF0">
        <w:t>early childhood education and care,</w:t>
      </w:r>
      <w:r w:rsidRPr="00905EC0">
        <w:t xml:space="preserve"> </w:t>
      </w:r>
      <w:r w:rsidR="00716839">
        <w:t>irrespective</w:t>
      </w:r>
      <w:r w:rsidRPr="00905EC0">
        <w:t xml:space="preserve"> of their financial circumstances </w:t>
      </w:r>
      <w:r w:rsidR="009547E5" w:rsidRPr="009547E5">
        <w:t>(box</w:t>
      </w:r>
      <w:r w:rsidR="00172534">
        <w:t> </w:t>
      </w:r>
      <w:r w:rsidR="00146AB8">
        <w:t>3.12</w:t>
      </w:r>
      <w:r w:rsidR="009547E5" w:rsidRPr="009547E5">
        <w:t>).</w:t>
      </w:r>
    </w:p>
    <w:p w:rsidR="009547E5" w:rsidRDefault="009547E5" w:rsidP="00C3586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547E5">
        <w:tc>
          <w:tcPr>
            <w:tcW w:w="8771" w:type="dxa"/>
            <w:tcBorders>
              <w:top w:val="single" w:sz="6" w:space="0" w:color="auto"/>
              <w:bottom w:val="nil"/>
            </w:tcBorders>
          </w:tcPr>
          <w:p w:rsidR="009547E5" w:rsidRPr="009547E5" w:rsidRDefault="009547E5" w:rsidP="00146AB8">
            <w:pPr>
              <w:pStyle w:val="BoxTitle"/>
            </w:pPr>
            <w:r>
              <w:rPr>
                <w:b w:val="0"/>
              </w:rPr>
              <w:t xml:space="preserve">Box </w:t>
            </w:r>
            <w:bookmarkStart w:id="20" w:name="OLE_LINK12"/>
            <w:r w:rsidR="00923A1C">
              <w:rPr>
                <w:b w:val="0"/>
              </w:rPr>
              <w:t>3.</w:t>
            </w:r>
            <w:bookmarkEnd w:id="20"/>
            <w:r w:rsidR="00146AB8">
              <w:rPr>
                <w:b w:val="0"/>
              </w:rPr>
              <w:t>12</w:t>
            </w:r>
            <w:r>
              <w:tab/>
            </w:r>
            <w:r w:rsidRPr="009547E5">
              <w:t>Child care service costs</w:t>
            </w:r>
          </w:p>
        </w:tc>
      </w:tr>
      <w:tr w:rsidR="009547E5">
        <w:trPr>
          <w:cantSplit/>
        </w:trPr>
        <w:tc>
          <w:tcPr>
            <w:tcW w:w="8771" w:type="dxa"/>
            <w:tcBorders>
              <w:top w:val="nil"/>
              <w:left w:val="single" w:sz="6" w:space="0" w:color="auto"/>
              <w:bottom w:val="nil"/>
              <w:right w:val="single" w:sz="6" w:space="0" w:color="auto"/>
            </w:tcBorders>
          </w:tcPr>
          <w:p w:rsidR="009547E5" w:rsidRDefault="003359B7" w:rsidP="00C3586E">
            <w:pPr>
              <w:pStyle w:val="Box"/>
            </w:pPr>
            <w:r>
              <w:t>‘</w:t>
            </w:r>
            <w:r w:rsidR="009547E5">
              <w:t>Child care service costs</w:t>
            </w:r>
            <w:r>
              <w:t>’</w:t>
            </w:r>
            <w:r w:rsidR="009547E5">
              <w:t xml:space="preserve"> is defined as </w:t>
            </w:r>
            <w:r w:rsidR="00B679B8">
              <w:t xml:space="preserve">the </w:t>
            </w:r>
            <w:r w:rsidR="0086102A">
              <w:t xml:space="preserve">median </w:t>
            </w:r>
            <w:r w:rsidR="009547E5">
              <w:t xml:space="preserve">weekly </w:t>
            </w:r>
            <w:r w:rsidR="00211795">
              <w:t xml:space="preserve">cost </w:t>
            </w:r>
            <w:r w:rsidR="009547E5">
              <w:t xml:space="preserve">for 50 hours of care by service </w:t>
            </w:r>
            <w:r w:rsidR="00E47AF3">
              <w:t>model</w:t>
            </w:r>
            <w:r w:rsidR="009547E5">
              <w:t>.</w:t>
            </w:r>
            <w:r w:rsidR="0092616B">
              <w:t xml:space="preserve"> Median </w:t>
            </w:r>
            <w:r w:rsidR="00211795">
              <w:t xml:space="preserve">costs </w:t>
            </w:r>
            <w:r w:rsidR="0092616B">
              <w:t xml:space="preserve">represent the middle </w:t>
            </w:r>
            <w:r w:rsidR="00D35478">
              <w:t xml:space="preserve">value </w:t>
            </w:r>
            <w:r w:rsidR="008E7553">
              <w:t>of the range of costs</w:t>
            </w:r>
            <w:r w:rsidR="0092616B">
              <w:t>.</w:t>
            </w:r>
          </w:p>
          <w:p w:rsidR="009547E5" w:rsidRDefault="009547E5" w:rsidP="00C3586E">
            <w:pPr>
              <w:pStyle w:val="Box"/>
            </w:pPr>
            <w:r>
              <w:t>Provided the service quality is held constant, lower service costs are desirable.</w:t>
            </w:r>
          </w:p>
          <w:p w:rsidR="009547E5" w:rsidRDefault="00211795" w:rsidP="00C3586E">
            <w:pPr>
              <w:pStyle w:val="Box"/>
            </w:pPr>
            <w:r>
              <w:t>Cost</w:t>
            </w:r>
            <w:r w:rsidR="009547E5">
              <w:t xml:space="preserve"> data need to be interpreted with care</w:t>
            </w:r>
            <w:r w:rsidR="004E0593">
              <w:t>,</w:t>
            </w:r>
            <w:r w:rsidR="009547E5">
              <w:t xml:space="preserve"> because </w:t>
            </w:r>
            <w:r>
              <w:t xml:space="preserve">fees </w:t>
            </w:r>
            <w:r w:rsidR="009547E5">
              <w:t xml:space="preserve">are independently set by service providers. Charging practices, including fees, are commercial decisions made by individual services, so there is significant variation in the fees charged </w:t>
            </w:r>
            <w:r w:rsidR="00AE17BF">
              <w:t>across</w:t>
            </w:r>
            <w:r w:rsidR="009547E5">
              <w:t xml:space="preserve"> services. </w:t>
            </w:r>
            <w:r>
              <w:t>V</w:t>
            </w:r>
            <w:r w:rsidR="009547E5">
              <w:t xml:space="preserve">ariation </w:t>
            </w:r>
            <w:r>
              <w:t xml:space="preserve">in costs </w:t>
            </w:r>
            <w:r w:rsidR="009547E5">
              <w:t>occurs as a result of factors including State and Territory licensing requirements, award wages, and whether fees include charges for additional services such as nappies and meals.</w:t>
            </w:r>
          </w:p>
          <w:p w:rsidR="00146AB8" w:rsidRPr="00146AB8" w:rsidRDefault="00A55187" w:rsidP="00146AB8">
            <w:pPr>
              <w:pStyle w:val="Box"/>
            </w:pPr>
            <w:r>
              <w:t>Data reported for this indicator</w:t>
            </w:r>
            <w:r w:rsidR="00146AB8" w:rsidRPr="00146AB8">
              <w:t xml:space="preserve"> are:</w:t>
            </w:r>
          </w:p>
          <w:p w:rsidR="00146AB8" w:rsidRPr="00146AB8" w:rsidRDefault="00177789" w:rsidP="00751B02">
            <w:pPr>
              <w:pStyle w:val="BoxListBullet"/>
            </w:pPr>
            <w:r>
              <w:t>c</w:t>
            </w:r>
            <w:r w:rsidR="00146AB8" w:rsidRPr="00146AB8">
              <w:t>omparable (subject to caveats) acr</w:t>
            </w:r>
            <w:r w:rsidR="00E53376">
              <w:t>oss jurisdictions and over time</w:t>
            </w:r>
          </w:p>
          <w:p w:rsidR="00146AB8" w:rsidRPr="00146AB8" w:rsidRDefault="00177789" w:rsidP="00751B02">
            <w:pPr>
              <w:pStyle w:val="BoxListBullet"/>
            </w:pPr>
            <w:r>
              <w:t>c</w:t>
            </w:r>
            <w:r w:rsidR="00146AB8" w:rsidRPr="00146AB8">
              <w:t xml:space="preserve">omplete </w:t>
            </w:r>
            <w:r w:rsidR="003907A5">
              <w:t xml:space="preserve">(subject to caveats) </w:t>
            </w:r>
            <w:r w:rsidR="00146AB8" w:rsidRPr="00146AB8">
              <w:t>for the current repor</w:t>
            </w:r>
            <w:r w:rsidR="003907A5">
              <w:t>ting period</w:t>
            </w:r>
            <w:r w:rsidR="00146AB8" w:rsidRPr="00146AB8">
              <w:t xml:space="preserve">. All required 2013 data are available </w:t>
            </w:r>
            <w:r w:rsidR="004A020D">
              <w:t>for all jurisdictions.</w:t>
            </w:r>
          </w:p>
          <w:p w:rsidR="00BD4FA6" w:rsidRDefault="00C374C1" w:rsidP="00C3586E">
            <w:pPr>
              <w:pStyle w:val="Box"/>
            </w:pPr>
            <w:r>
              <w:rPr>
                <w:rFonts w:cs="Arial"/>
                <w:szCs w:val="26"/>
              </w:rPr>
              <w:t>D</w:t>
            </w:r>
            <w:r w:rsidR="009975A9">
              <w:rPr>
                <w:rFonts w:cs="Arial"/>
                <w:szCs w:val="26"/>
              </w:rPr>
              <w:t xml:space="preserve">ata quality </w:t>
            </w:r>
            <w:r>
              <w:rPr>
                <w:rFonts w:cs="Arial"/>
                <w:szCs w:val="26"/>
              </w:rPr>
              <w:t xml:space="preserve">information </w:t>
            </w:r>
            <w:r w:rsidR="00513CF0" w:rsidRPr="00146AB8">
              <w:rPr>
                <w:rFonts w:cs="Arial"/>
                <w:szCs w:val="26"/>
              </w:rPr>
              <w:t xml:space="preserve">for this indicator is at </w:t>
            </w:r>
            <w:proofErr w:type="spellStart"/>
            <w:r w:rsidR="00513CF0" w:rsidRPr="00146AB8">
              <w:rPr>
                <w:rFonts w:cs="Arial"/>
                <w:szCs w:val="26"/>
              </w:rPr>
              <w:t>www</w:t>
            </w:r>
            <w:r w:rsidR="00146AB8" w:rsidRPr="00146AB8">
              <w:rPr>
                <w:rFonts w:cs="Arial"/>
                <w:szCs w:val="26"/>
              </w:rPr>
              <w:t>.pc.gov.au</w:t>
            </w:r>
            <w:proofErr w:type="spellEnd"/>
            <w:r w:rsidR="00146AB8" w:rsidRPr="00146AB8">
              <w:rPr>
                <w:rFonts w:cs="Arial"/>
                <w:szCs w:val="26"/>
              </w:rPr>
              <w:t>/</w:t>
            </w:r>
            <w:proofErr w:type="spellStart"/>
            <w:r w:rsidR="00146AB8" w:rsidRPr="00146AB8">
              <w:rPr>
                <w:rFonts w:cs="Arial"/>
                <w:szCs w:val="26"/>
              </w:rPr>
              <w:t>gsp</w:t>
            </w:r>
            <w:proofErr w:type="spellEnd"/>
            <w:r w:rsidR="00146AB8" w:rsidRPr="00146AB8">
              <w:rPr>
                <w:rFonts w:cs="Arial"/>
                <w:szCs w:val="26"/>
              </w:rPr>
              <w:t>/reports/</w:t>
            </w:r>
            <w:proofErr w:type="spellStart"/>
            <w:r w:rsidR="00146AB8" w:rsidRPr="00146AB8">
              <w:rPr>
                <w:rFonts w:cs="Arial"/>
                <w:szCs w:val="26"/>
              </w:rPr>
              <w:t>rogs</w:t>
            </w:r>
            <w:proofErr w:type="spellEnd"/>
            <w:r w:rsidR="00146AB8" w:rsidRPr="00146AB8">
              <w:rPr>
                <w:rFonts w:cs="Arial"/>
                <w:szCs w:val="26"/>
              </w:rPr>
              <w:t>/2014</w:t>
            </w:r>
            <w:r w:rsidR="00513CF0" w:rsidRPr="00146AB8">
              <w:rPr>
                <w:rFonts w:cs="Arial"/>
                <w:szCs w:val="26"/>
              </w:rPr>
              <w:t>.</w:t>
            </w:r>
          </w:p>
        </w:tc>
      </w:tr>
      <w:tr w:rsidR="009547E5">
        <w:trPr>
          <w:cantSplit/>
        </w:trPr>
        <w:tc>
          <w:tcPr>
            <w:tcW w:w="8771" w:type="dxa"/>
            <w:tcBorders>
              <w:top w:val="nil"/>
              <w:left w:val="single" w:sz="6" w:space="0" w:color="auto"/>
              <w:bottom w:val="single" w:sz="6" w:space="0" w:color="auto"/>
              <w:right w:val="single" w:sz="6" w:space="0" w:color="auto"/>
            </w:tcBorders>
          </w:tcPr>
          <w:p w:rsidR="009547E5" w:rsidRDefault="009547E5" w:rsidP="00C3586E">
            <w:pPr>
              <w:pStyle w:val="Box"/>
              <w:spacing w:before="0" w:line="120" w:lineRule="exact"/>
            </w:pPr>
          </w:p>
        </w:tc>
      </w:tr>
      <w:tr w:rsidR="009547E5">
        <w:tc>
          <w:tcPr>
            <w:tcW w:w="8771" w:type="dxa"/>
            <w:tcBorders>
              <w:top w:val="nil"/>
              <w:left w:val="nil"/>
              <w:bottom w:val="nil"/>
              <w:right w:val="nil"/>
            </w:tcBorders>
          </w:tcPr>
          <w:p w:rsidR="009547E5" w:rsidRDefault="009547E5" w:rsidP="00C3586E">
            <w:pPr>
              <w:pStyle w:val="Box"/>
              <w:keepNext w:val="0"/>
              <w:spacing w:before="60" w:after="60" w:line="80" w:lineRule="exact"/>
              <w:rPr>
                <w:b/>
                <w:color w:val="FF00FF"/>
                <w:sz w:val="14"/>
              </w:rPr>
            </w:pPr>
          </w:p>
        </w:tc>
      </w:tr>
    </w:tbl>
    <w:p w:rsidR="009547E5" w:rsidRPr="002B7DE1" w:rsidRDefault="006874D1" w:rsidP="00C3586E">
      <w:pPr>
        <w:pStyle w:val="BodyText"/>
      </w:pPr>
      <w:r>
        <w:t>Nationally</w:t>
      </w:r>
      <w:r w:rsidR="004E0593">
        <w:t>,</w:t>
      </w:r>
      <w:r>
        <w:t xml:space="preserve"> the</w:t>
      </w:r>
      <w:r w:rsidR="000A731A" w:rsidRPr="007E1DB2">
        <w:t xml:space="preserve"> </w:t>
      </w:r>
      <w:r w:rsidR="00050883" w:rsidRPr="007E1DB2">
        <w:t xml:space="preserve">median </w:t>
      </w:r>
      <w:r w:rsidR="000A731A" w:rsidRPr="007E1DB2">
        <w:t xml:space="preserve">weekly </w:t>
      </w:r>
      <w:r w:rsidR="00DA7E45" w:rsidRPr="007E1DB2">
        <w:t xml:space="preserve">cost </w:t>
      </w:r>
      <w:r w:rsidR="000A731A" w:rsidRPr="007E1DB2">
        <w:t xml:space="preserve">for 50 hours of care in </w:t>
      </w:r>
      <w:r w:rsidR="00050883" w:rsidRPr="007E1DB2">
        <w:t>20</w:t>
      </w:r>
      <w:r w:rsidR="00201B6B">
        <w:t>1</w:t>
      </w:r>
      <w:r w:rsidR="00580100">
        <w:t>3</w:t>
      </w:r>
      <w:r w:rsidR="00050883" w:rsidRPr="007E1DB2">
        <w:t xml:space="preserve"> </w:t>
      </w:r>
      <w:r w:rsidRPr="00A00D1F">
        <w:t xml:space="preserve">was </w:t>
      </w:r>
      <w:r w:rsidR="000A731A" w:rsidRPr="00A00D1F">
        <w:t>higher for centre</w:t>
      </w:r>
      <w:r w:rsidR="002B7DE1" w:rsidRPr="00A00D1F">
        <w:noBreakHyphen/>
      </w:r>
      <w:r w:rsidR="000A731A" w:rsidRPr="00A00D1F">
        <w:t>based long day care ($</w:t>
      </w:r>
      <w:r w:rsidR="00201B6B" w:rsidRPr="00A00D1F">
        <w:t>3</w:t>
      </w:r>
      <w:r w:rsidR="00A00D1F" w:rsidRPr="00A00D1F">
        <w:t>64</w:t>
      </w:r>
      <w:r w:rsidR="000A731A" w:rsidRPr="00A00D1F">
        <w:t>) than for family day care ($</w:t>
      </w:r>
      <w:r w:rsidR="00A00D1F" w:rsidRPr="00A00D1F">
        <w:t>339</w:t>
      </w:r>
      <w:r w:rsidR="000A731A" w:rsidRPr="00A00D1F">
        <w:t>)</w:t>
      </w:r>
      <w:r w:rsidR="00721E1F" w:rsidRPr="00A00D1F">
        <w:t xml:space="preserve"> (</w:t>
      </w:r>
      <w:r w:rsidR="000A731A" w:rsidRPr="00A00D1F">
        <w:t>figure</w:t>
      </w:r>
      <w:r w:rsidR="00172534">
        <w:t> </w:t>
      </w:r>
      <w:r w:rsidR="005A64CD" w:rsidRPr="00A00D1F">
        <w:t>3.10</w:t>
      </w:r>
      <w:r w:rsidR="00721E1F" w:rsidRPr="00A00D1F">
        <w:t>)</w:t>
      </w:r>
      <w:r w:rsidR="00104E67" w:rsidRPr="00A00D1F">
        <w:t>.</w:t>
      </w:r>
    </w:p>
    <w:p w:rsidR="000A731A" w:rsidRPr="000A731A" w:rsidRDefault="000A731A" w:rsidP="00C3586E">
      <w:pPr>
        <w:pStyle w:val="FigureTitle"/>
      </w:pPr>
      <w:r w:rsidRPr="00036BB3">
        <w:rPr>
          <w:b w:val="0"/>
        </w:rPr>
        <w:lastRenderedPageBreak/>
        <w:t xml:space="preserve">Figure </w:t>
      </w:r>
      <w:bookmarkStart w:id="21" w:name="OLE_LINK13"/>
      <w:r w:rsidR="00923A1C" w:rsidRPr="00036BB3">
        <w:rPr>
          <w:b w:val="0"/>
        </w:rPr>
        <w:t>3.</w:t>
      </w:r>
      <w:bookmarkEnd w:id="21"/>
      <w:r w:rsidR="005A64CD">
        <w:rPr>
          <w:b w:val="0"/>
        </w:rPr>
        <w:t>10</w:t>
      </w:r>
      <w:r w:rsidRPr="00036BB3">
        <w:tab/>
      </w:r>
      <w:r w:rsidR="00936F14" w:rsidRPr="00036BB3">
        <w:t xml:space="preserve">Median </w:t>
      </w:r>
      <w:r w:rsidR="00DA7E45" w:rsidRPr="00036BB3">
        <w:t xml:space="preserve">cost of </w:t>
      </w:r>
      <w:r w:rsidRPr="00036BB3">
        <w:t xml:space="preserve">Australian Government </w:t>
      </w:r>
      <w:r w:rsidR="00E01A63" w:rsidRPr="00036BB3">
        <w:t xml:space="preserve">approved </w:t>
      </w:r>
      <w:r w:rsidRPr="00036BB3">
        <w:t xml:space="preserve">child care services, </w:t>
      </w:r>
      <w:r w:rsidR="00936F14" w:rsidRPr="00036BB3">
        <w:t>20</w:t>
      </w:r>
      <w:r w:rsidR="00CB1373" w:rsidRPr="00036BB3">
        <w:t>1</w:t>
      </w:r>
      <w:r w:rsidR="00580100">
        <w:t>3</w:t>
      </w:r>
      <w:r w:rsidRPr="00036BB3">
        <w:t xml:space="preserve"> ($/week)</w:t>
      </w:r>
      <w:r w:rsidRPr="00036BB3">
        <w:rPr>
          <w:rStyle w:val="NoteLabel"/>
          <w:b/>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A731A">
        <w:tc>
          <w:tcPr>
            <w:tcW w:w="8777" w:type="dxa"/>
          </w:tcPr>
          <w:p w:rsidR="000A731A" w:rsidRPr="000A731A" w:rsidRDefault="00F230C0" w:rsidP="00C3586E">
            <w:pPr>
              <w:pStyle w:val="Figure"/>
            </w:pPr>
            <w:r>
              <w:rPr>
                <w:noProof/>
              </w:rPr>
              <w:drawing>
                <wp:inline distT="0" distB="0" distL="0" distR="0" wp14:anchorId="1AB09156" wp14:editId="02C45974">
                  <wp:extent cx="5390515" cy="2722245"/>
                  <wp:effectExtent l="0" t="0" r="635" b="1905"/>
                  <wp:docPr id="10" name="Picture 10" descr="Figure 3.10 Median cost of Australian Government approved child care services, 2013 ($/wee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0515" cy="2722245"/>
                          </a:xfrm>
                          <a:prstGeom prst="rect">
                            <a:avLst/>
                          </a:prstGeom>
                          <a:noFill/>
                          <a:ln>
                            <a:noFill/>
                          </a:ln>
                        </pic:spPr>
                      </pic:pic>
                    </a:graphicData>
                  </a:graphic>
                </wp:inline>
              </w:drawing>
            </w:r>
          </w:p>
        </w:tc>
      </w:tr>
    </w:tbl>
    <w:p w:rsidR="000A731A" w:rsidRDefault="000A731A" w:rsidP="00C3586E">
      <w:pPr>
        <w:pStyle w:val="Note"/>
        <w:rPr>
          <w:rStyle w:val="NoteLabel"/>
          <w:b w:val="0"/>
        </w:rPr>
      </w:pPr>
      <w:r>
        <w:rPr>
          <w:rStyle w:val="NoteLabel"/>
        </w:rPr>
        <w:t>a</w:t>
      </w:r>
      <w:r>
        <w:sym w:font="Symbol" w:char="F020"/>
      </w:r>
      <w:r w:rsidRPr="000A731A">
        <w:t xml:space="preserve"> </w:t>
      </w:r>
      <w:r w:rsidR="00936F14">
        <w:t>Median</w:t>
      </w:r>
      <w:r w:rsidR="00936F14" w:rsidRPr="00C941CD">
        <w:t xml:space="preserve"> </w:t>
      </w:r>
      <w:r w:rsidR="00DA7E45">
        <w:t>costs</w:t>
      </w:r>
      <w:r w:rsidRPr="00C941CD">
        <w:t xml:space="preserve"> </w:t>
      </w:r>
      <w:r w:rsidR="00721E1F">
        <w:t xml:space="preserve">are </w:t>
      </w:r>
      <w:r w:rsidRPr="00C941CD">
        <w:t>based on 50 hours of care in the reference week.</w:t>
      </w:r>
      <w:r>
        <w:t xml:space="preserve"> </w:t>
      </w:r>
      <w:r>
        <w:rPr>
          <w:rStyle w:val="NoteLabel"/>
        </w:rPr>
        <w:t>b </w:t>
      </w:r>
      <w:r w:rsidRPr="00846247">
        <w:t xml:space="preserve">Family day care </w:t>
      </w:r>
      <w:r>
        <w:t>data exclude in</w:t>
      </w:r>
      <w:r w:rsidR="00172534">
        <w:noBreakHyphen/>
      </w:r>
      <w:r>
        <w:t xml:space="preserve">home care. </w:t>
      </w:r>
      <w:r w:rsidR="0089250B">
        <w:rPr>
          <w:rStyle w:val="NoteLabel"/>
        </w:rPr>
        <w:t>c</w:t>
      </w:r>
      <w:r>
        <w:t xml:space="preserve"> </w:t>
      </w:r>
      <w:r w:rsidRPr="00846247">
        <w:t>Family day care fee includes parent levy.</w:t>
      </w:r>
    </w:p>
    <w:p w:rsidR="000A731A" w:rsidRDefault="000A731A" w:rsidP="00C3586E">
      <w:pPr>
        <w:pStyle w:val="Note"/>
      </w:pPr>
      <w:r w:rsidRPr="00C941CD">
        <w:rPr>
          <w:i/>
        </w:rPr>
        <w:t>Source</w:t>
      </w:r>
      <w:r w:rsidRPr="007B2F7A">
        <w:t>:</w:t>
      </w:r>
      <w:r>
        <w:t xml:space="preserve"> </w:t>
      </w:r>
      <w:r w:rsidR="00E318F3">
        <w:t xml:space="preserve">Department of Education </w:t>
      </w:r>
      <w:r>
        <w:t>(unpublished); table</w:t>
      </w:r>
      <w:r w:rsidR="00172534">
        <w:t> </w:t>
      </w:r>
      <w:proofErr w:type="spellStart"/>
      <w:r>
        <w:t>3A.</w:t>
      </w:r>
      <w:r w:rsidR="00624862">
        <w:t>30</w:t>
      </w:r>
      <w:proofErr w:type="spellEnd"/>
      <w:r w:rsidRPr="00C941CD">
        <w:t>.</w:t>
      </w:r>
    </w:p>
    <w:p w:rsidR="00192D54" w:rsidRPr="00A00D1F" w:rsidRDefault="004D068B" w:rsidP="00C3586E">
      <w:pPr>
        <w:pStyle w:val="BodyText"/>
      </w:pPr>
      <w:r>
        <w:t xml:space="preserve">Median weekly </w:t>
      </w:r>
      <w:r w:rsidR="00DA7E45">
        <w:t xml:space="preserve">costs paid to </w:t>
      </w:r>
      <w:r>
        <w:t>Australian Government approved long day ca</w:t>
      </w:r>
      <w:r w:rsidR="009416E3">
        <w:t>re services, by remoteness area</w:t>
      </w:r>
      <w:r>
        <w:t xml:space="preserve"> are </w:t>
      </w:r>
      <w:r w:rsidR="004755BC">
        <w:t>presented in</w:t>
      </w:r>
      <w:r>
        <w:t xml:space="preserve"> </w:t>
      </w:r>
      <w:r w:rsidR="00721E1F" w:rsidRPr="00E30BAB">
        <w:t>table</w:t>
      </w:r>
      <w:r w:rsidR="00172534">
        <w:t> </w:t>
      </w:r>
      <w:proofErr w:type="spellStart"/>
      <w:r w:rsidR="005719CC" w:rsidRPr="00E30BAB">
        <w:t>3A.</w:t>
      </w:r>
      <w:r w:rsidR="00624862">
        <w:t>31</w:t>
      </w:r>
      <w:proofErr w:type="spellEnd"/>
      <w:r w:rsidR="005719CC" w:rsidRPr="00E30BAB">
        <w:t>.</w:t>
      </w:r>
      <w:r w:rsidR="009416E3">
        <w:t xml:space="preserve"> </w:t>
      </w:r>
      <w:r w:rsidR="009416E3" w:rsidRPr="00A00D1F">
        <w:t>Nationally in 20</w:t>
      </w:r>
      <w:r w:rsidR="00CB1373" w:rsidRPr="00A00D1F">
        <w:t>1</w:t>
      </w:r>
      <w:r w:rsidR="00580100" w:rsidRPr="00A00D1F">
        <w:t>3</w:t>
      </w:r>
      <w:r w:rsidR="009416E3" w:rsidRPr="00A00D1F">
        <w:t xml:space="preserve">, the median weekly cost of long day care in major cities and inner regional areas </w:t>
      </w:r>
      <w:r w:rsidR="00A00D1F" w:rsidRPr="00A00D1F">
        <w:t>($367</w:t>
      </w:r>
      <w:r w:rsidR="004E0593" w:rsidRPr="00A00D1F">
        <w:t xml:space="preserve">) </w:t>
      </w:r>
      <w:r w:rsidR="009416E3" w:rsidRPr="00A00D1F">
        <w:t xml:space="preserve">was higher than in </w:t>
      </w:r>
      <w:r w:rsidR="006874D1" w:rsidRPr="00A00D1F">
        <w:t>other regions</w:t>
      </w:r>
      <w:r w:rsidR="009416E3" w:rsidRPr="00A00D1F">
        <w:t xml:space="preserve"> </w:t>
      </w:r>
      <w:r w:rsidR="004E0593" w:rsidRPr="00A00D1F">
        <w:t>(</w:t>
      </w:r>
      <w:r w:rsidR="009416E3" w:rsidRPr="00A00D1F">
        <w:t>$</w:t>
      </w:r>
      <w:r w:rsidR="00A00D1F" w:rsidRPr="00A00D1F">
        <w:t>334</w:t>
      </w:r>
      <w:r w:rsidR="009416E3" w:rsidRPr="00A00D1F">
        <w:t>).</w:t>
      </w:r>
      <w:r w:rsidR="00FA5A41" w:rsidRPr="00A00D1F">
        <w:t xml:space="preserve"> The median weekly </w:t>
      </w:r>
      <w:r w:rsidR="00DA7E45" w:rsidRPr="00A00D1F">
        <w:t xml:space="preserve">costs </w:t>
      </w:r>
      <w:r w:rsidR="00FA5A41" w:rsidRPr="00A00D1F">
        <w:t>varied across jurisdictions</w:t>
      </w:r>
      <w:r w:rsidR="00A809C3" w:rsidRPr="00A00D1F">
        <w:t>.</w:t>
      </w:r>
    </w:p>
    <w:p w:rsidR="000A731A" w:rsidRDefault="000A731A" w:rsidP="00C3586E">
      <w:pPr>
        <w:pStyle w:val="Heading5"/>
      </w:pPr>
      <w:r w:rsidRPr="000A731A">
        <w:t>Service affordability — preschool service costs</w:t>
      </w:r>
    </w:p>
    <w:p w:rsidR="000A731A" w:rsidRDefault="00F30E68" w:rsidP="00C3586E">
      <w:pPr>
        <w:pStyle w:val="BodyText"/>
      </w:pPr>
      <w:r w:rsidRPr="00F30E68">
        <w:t xml:space="preserve">‘Preschool service costs’ is an indicator of </w:t>
      </w:r>
      <w:r w:rsidR="00F47588" w:rsidRPr="00F47588">
        <w:t xml:space="preserve">governments’ objective that all families have equitable access to </w:t>
      </w:r>
      <w:r w:rsidR="00513CF0">
        <w:t xml:space="preserve">early childhood education and care </w:t>
      </w:r>
      <w:r w:rsidR="00AE17BF">
        <w:t xml:space="preserve">irrespective </w:t>
      </w:r>
      <w:r w:rsidR="00F47588" w:rsidRPr="00F47588">
        <w:t>of their financial circumstances</w:t>
      </w:r>
      <w:r w:rsidRPr="00F30E68">
        <w:t xml:space="preserve"> (box</w:t>
      </w:r>
      <w:r w:rsidR="00172534">
        <w:t> </w:t>
      </w:r>
      <w:r w:rsidR="005A64CD">
        <w:t>3.13</w:t>
      </w:r>
      <w:r w:rsidRPr="00F30E68">
        <w:t>).</w:t>
      </w:r>
    </w:p>
    <w:p w:rsidR="003A287F" w:rsidRDefault="003A287F" w:rsidP="00C3586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A287F">
        <w:tc>
          <w:tcPr>
            <w:tcW w:w="8771" w:type="dxa"/>
            <w:tcBorders>
              <w:top w:val="single" w:sz="6" w:space="0" w:color="auto"/>
              <w:bottom w:val="nil"/>
            </w:tcBorders>
          </w:tcPr>
          <w:p w:rsidR="003A287F" w:rsidRDefault="003A287F" w:rsidP="005A64CD">
            <w:pPr>
              <w:pStyle w:val="BoxTitle"/>
            </w:pPr>
            <w:r>
              <w:rPr>
                <w:b w:val="0"/>
              </w:rPr>
              <w:t xml:space="preserve">Box </w:t>
            </w:r>
            <w:bookmarkStart w:id="22" w:name="OLE_LINK14"/>
            <w:r w:rsidR="00923A1C">
              <w:rPr>
                <w:b w:val="0"/>
              </w:rPr>
              <w:t>3.</w:t>
            </w:r>
            <w:bookmarkEnd w:id="22"/>
            <w:r w:rsidR="005A64CD">
              <w:rPr>
                <w:b w:val="0"/>
              </w:rPr>
              <w:t>13</w:t>
            </w:r>
            <w:r>
              <w:tab/>
            </w:r>
            <w:r w:rsidRPr="00F30E68">
              <w:t>Preschool service costs</w:t>
            </w:r>
            <w:r>
              <w:t xml:space="preserve"> </w:t>
            </w:r>
          </w:p>
        </w:tc>
      </w:tr>
      <w:tr w:rsidR="003A287F">
        <w:trPr>
          <w:cantSplit/>
        </w:trPr>
        <w:tc>
          <w:tcPr>
            <w:tcW w:w="8771" w:type="dxa"/>
            <w:tcBorders>
              <w:top w:val="nil"/>
              <w:left w:val="single" w:sz="6" w:space="0" w:color="auto"/>
              <w:bottom w:val="nil"/>
              <w:right w:val="single" w:sz="6" w:space="0" w:color="auto"/>
            </w:tcBorders>
          </w:tcPr>
          <w:p w:rsidR="003A287F" w:rsidRDefault="003A287F" w:rsidP="00C3586E">
            <w:pPr>
              <w:pStyle w:val="Box"/>
            </w:pPr>
            <w:r>
              <w:t xml:space="preserve">‘Preschool service </w:t>
            </w:r>
            <w:r w:rsidR="005233F6">
              <w:t xml:space="preserve">costs’ is defined as the per hour preschool program cost </w:t>
            </w:r>
            <w:r>
              <w:t>per child</w:t>
            </w:r>
            <w:r w:rsidR="00FF786E">
              <w:t>,</w:t>
            </w:r>
            <w:r>
              <w:t xml:space="preserve"> after subsidies received by families. Data are </w:t>
            </w:r>
            <w:r w:rsidR="005233F6">
              <w:t xml:space="preserve">reported as the median per hour </w:t>
            </w:r>
            <w:r>
              <w:t>cost per child.</w:t>
            </w:r>
            <w:r w:rsidR="00D149D5">
              <w:t xml:space="preserve"> </w:t>
            </w:r>
            <w:r w:rsidR="00D35478">
              <w:t xml:space="preserve">Median </w:t>
            </w:r>
            <w:r w:rsidR="00EE2B78">
              <w:t>costs</w:t>
            </w:r>
            <w:r w:rsidR="00D35478">
              <w:t xml:space="preserve"> represent the middle value of the range of </w:t>
            </w:r>
            <w:r w:rsidR="00EE2B78">
              <w:t>costs</w:t>
            </w:r>
            <w:r w:rsidR="00D35478">
              <w:t>.</w:t>
            </w:r>
          </w:p>
          <w:p w:rsidR="003A287F" w:rsidRDefault="003A287F" w:rsidP="00C3586E">
            <w:pPr>
              <w:pStyle w:val="Box"/>
            </w:pPr>
            <w:r>
              <w:t>Provided the service quality and quantit</w:t>
            </w:r>
            <w:r w:rsidR="005233F6">
              <w:t>y is held constant, lower hourly</w:t>
            </w:r>
            <w:r>
              <w:t xml:space="preserve"> costs represent more affordable preschool.</w:t>
            </w:r>
          </w:p>
          <w:p w:rsidR="003A287F" w:rsidRDefault="003A287F" w:rsidP="00C3586E">
            <w:pPr>
              <w:pStyle w:val="Box"/>
            </w:pPr>
            <w:r>
              <w:t>Various factors influence preschool costs and care needs to be exercised when interpreting results, as:</w:t>
            </w:r>
          </w:p>
          <w:p w:rsidR="00F47588" w:rsidRDefault="005A64CD" w:rsidP="00751B02">
            <w:pPr>
              <w:pStyle w:val="BoxListBullet"/>
            </w:pPr>
            <w:r>
              <w:t xml:space="preserve">preschool programs </w:t>
            </w:r>
            <w:r w:rsidR="00F47588">
              <w:t xml:space="preserve">are provided by a mix of providers (community, private and government). Differences in charging practices, including fees, </w:t>
            </w:r>
            <w:r w:rsidR="00372CA5">
              <w:t>can</w:t>
            </w:r>
            <w:r w:rsidR="00F47588">
              <w:t xml:space="preserve"> be due to commercial or cost recovery decisions made by individual services. </w:t>
            </w:r>
            <w:r w:rsidR="00B728F2">
              <w:t xml:space="preserve">Some preschool programs, particularly those offered at government </w:t>
            </w:r>
            <w:r w:rsidR="003525E1">
              <w:t>preschools, have no tuition fees</w:t>
            </w:r>
          </w:p>
          <w:p w:rsidR="00F47588" w:rsidRDefault="00F47588" w:rsidP="00751B02">
            <w:pPr>
              <w:pStyle w:val="BoxListBullet"/>
            </w:pPr>
            <w:r>
              <w:t xml:space="preserve">fees </w:t>
            </w:r>
            <w:r w:rsidR="00372CA5">
              <w:t>can</w:t>
            </w:r>
            <w:r>
              <w:t xml:space="preserve"> reflect higher land values and rental fees charged in major cities</w:t>
            </w:r>
          </w:p>
          <w:p w:rsidR="00664BD6" w:rsidRDefault="00F47588" w:rsidP="00751B02">
            <w:pPr>
              <w:pStyle w:val="BoxListBullet"/>
            </w:pPr>
            <w:r>
              <w:t>some jurisdictions provide targeted fee relief that</w:t>
            </w:r>
            <w:r w:rsidR="005233F6">
              <w:t xml:space="preserve"> lowers fees for some children.</w:t>
            </w:r>
          </w:p>
          <w:p w:rsidR="005233F6" w:rsidRPr="00177789" w:rsidRDefault="00A55187" w:rsidP="005233F6">
            <w:pPr>
              <w:pStyle w:val="Box"/>
            </w:pPr>
            <w:r>
              <w:t>Data reported for this indicator</w:t>
            </w:r>
            <w:r w:rsidR="005233F6" w:rsidRPr="00177789">
              <w:t xml:space="preserve"> are:</w:t>
            </w:r>
          </w:p>
          <w:p w:rsidR="00177789" w:rsidRPr="004A17E9" w:rsidRDefault="00177789" w:rsidP="00FC274F">
            <w:pPr>
              <w:pStyle w:val="BoxListBullet"/>
            </w:pPr>
            <w:r w:rsidRPr="004A17E9">
              <w:t>comparable (subject to caveats) across jurisdictions but a break in series means that data for 2012 are not comparable to data for</w:t>
            </w:r>
            <w:r w:rsidR="00565466" w:rsidRPr="004A17E9">
              <w:t xml:space="preserve"> 2011 (in the </w:t>
            </w:r>
            <w:r w:rsidR="00C354D2" w:rsidRPr="004A17E9">
              <w:t>previous R</w:t>
            </w:r>
            <w:r w:rsidR="00565466" w:rsidRPr="004A17E9">
              <w:t>eport</w:t>
            </w:r>
            <w:r w:rsidR="00E53376" w:rsidRPr="004A17E9">
              <w:t>)</w:t>
            </w:r>
          </w:p>
          <w:p w:rsidR="00177789" w:rsidRPr="00177789" w:rsidRDefault="0069682C" w:rsidP="001E1784">
            <w:pPr>
              <w:pStyle w:val="BoxListBullet"/>
            </w:pPr>
            <w:r>
              <w:t>in</w:t>
            </w:r>
            <w:r w:rsidR="00AE795C">
              <w:t>c</w:t>
            </w:r>
            <w:r w:rsidR="005233F6" w:rsidRPr="00177789">
              <w:t>omplete for the current repo</w:t>
            </w:r>
            <w:r>
              <w:t>rting period. All required data were not available for Queensland</w:t>
            </w:r>
            <w:r w:rsidR="005233F6" w:rsidRPr="00177789">
              <w:t xml:space="preserve">. </w:t>
            </w:r>
          </w:p>
          <w:p w:rsidR="00D52B63" w:rsidRDefault="00C374C1" w:rsidP="004B43BF">
            <w:pPr>
              <w:pStyle w:val="Box"/>
            </w:pPr>
            <w:r>
              <w:t>D</w:t>
            </w:r>
            <w:r w:rsidR="00177789">
              <w:t xml:space="preserve">ata quality </w:t>
            </w:r>
            <w:r>
              <w:t xml:space="preserve">information </w:t>
            </w:r>
            <w:r w:rsidR="00513CF0">
              <w:t xml:space="preserve">for this indicator is </w:t>
            </w:r>
            <w:r w:rsidR="00513CF0" w:rsidRPr="0091551E">
              <w:t xml:space="preserve">at </w:t>
            </w:r>
            <w:proofErr w:type="spellStart"/>
            <w:r w:rsidR="00513CF0" w:rsidRPr="0091551E">
              <w:t>www.pc.gov.au</w:t>
            </w:r>
            <w:proofErr w:type="spellEnd"/>
            <w:r w:rsidR="00513CF0" w:rsidRPr="0091551E">
              <w:t>/</w:t>
            </w:r>
            <w:proofErr w:type="spellStart"/>
            <w:r w:rsidR="00513CF0" w:rsidRPr="0091551E">
              <w:t>gsp</w:t>
            </w:r>
            <w:proofErr w:type="spellEnd"/>
            <w:r w:rsidR="00513CF0" w:rsidRPr="0091551E">
              <w:t>/reports/</w:t>
            </w:r>
            <w:proofErr w:type="spellStart"/>
            <w:r w:rsidR="00513CF0" w:rsidRPr="0091551E">
              <w:t>rogs</w:t>
            </w:r>
            <w:proofErr w:type="spellEnd"/>
            <w:r w:rsidR="00513CF0" w:rsidRPr="0091551E">
              <w:t>/201</w:t>
            </w:r>
            <w:r w:rsidR="005A64CD">
              <w:t>4</w:t>
            </w:r>
            <w:r w:rsidR="00513CF0" w:rsidRPr="0091551E">
              <w:t>.</w:t>
            </w:r>
          </w:p>
        </w:tc>
      </w:tr>
      <w:tr w:rsidR="003A287F">
        <w:trPr>
          <w:cantSplit/>
        </w:trPr>
        <w:tc>
          <w:tcPr>
            <w:tcW w:w="8771" w:type="dxa"/>
            <w:tcBorders>
              <w:top w:val="nil"/>
              <w:left w:val="single" w:sz="6" w:space="0" w:color="auto"/>
              <w:bottom w:val="single" w:sz="6" w:space="0" w:color="auto"/>
              <w:right w:val="single" w:sz="6" w:space="0" w:color="auto"/>
            </w:tcBorders>
          </w:tcPr>
          <w:p w:rsidR="003A287F" w:rsidRDefault="003A287F" w:rsidP="00C3586E">
            <w:pPr>
              <w:pStyle w:val="Box"/>
              <w:spacing w:before="0" w:line="120" w:lineRule="exact"/>
            </w:pPr>
          </w:p>
        </w:tc>
      </w:tr>
      <w:tr w:rsidR="003A287F">
        <w:tc>
          <w:tcPr>
            <w:tcW w:w="8771" w:type="dxa"/>
            <w:tcBorders>
              <w:top w:val="nil"/>
              <w:left w:val="nil"/>
              <w:bottom w:val="nil"/>
              <w:right w:val="nil"/>
            </w:tcBorders>
          </w:tcPr>
          <w:p w:rsidR="003A287F" w:rsidRDefault="003A287F" w:rsidP="00C3586E">
            <w:pPr>
              <w:pStyle w:val="Box"/>
              <w:keepNext w:val="0"/>
              <w:spacing w:before="60" w:after="60" w:line="80" w:lineRule="exact"/>
              <w:rPr>
                <w:b/>
                <w:color w:val="FF00FF"/>
                <w:sz w:val="14"/>
              </w:rPr>
            </w:pPr>
          </w:p>
        </w:tc>
      </w:tr>
    </w:tbl>
    <w:p w:rsidR="00D56E02" w:rsidRDefault="00D56E02" w:rsidP="00D56E02">
      <w:pPr>
        <w:pStyle w:val="BodyText"/>
      </w:pPr>
      <w:r>
        <w:t>Further detail about the mix of providers of preschool (community, private, non</w:t>
      </w:r>
      <w:r>
        <w:noBreakHyphen/>
        <w:t>government schools and government) is provided in tables</w:t>
      </w:r>
      <w:r w:rsidR="00172534">
        <w:t> </w:t>
      </w:r>
      <w:proofErr w:type="spellStart"/>
      <w:r w:rsidR="00F422A1">
        <w:t>3A.64</w:t>
      </w:r>
      <w:proofErr w:type="spellEnd"/>
      <w:r w:rsidR="00F422A1">
        <w:t xml:space="preserve">, </w:t>
      </w:r>
      <w:proofErr w:type="spellStart"/>
      <w:r w:rsidR="00F422A1">
        <w:t>3A.7</w:t>
      </w:r>
      <w:r w:rsidR="00613F7A">
        <w:t>1</w:t>
      </w:r>
      <w:proofErr w:type="spellEnd"/>
      <w:r w:rsidR="00613F7A">
        <w:t xml:space="preserve">, </w:t>
      </w:r>
      <w:proofErr w:type="spellStart"/>
      <w:r w:rsidR="00613F7A">
        <w:t>3A.78</w:t>
      </w:r>
      <w:proofErr w:type="spellEnd"/>
      <w:r w:rsidR="00613F7A">
        <w:t xml:space="preserve">, </w:t>
      </w:r>
      <w:proofErr w:type="spellStart"/>
      <w:r w:rsidR="00613F7A">
        <w:t>3A.85</w:t>
      </w:r>
      <w:proofErr w:type="spellEnd"/>
      <w:r w:rsidR="00613F7A">
        <w:t xml:space="preserve">, </w:t>
      </w:r>
      <w:proofErr w:type="spellStart"/>
      <w:r w:rsidR="00613F7A">
        <w:t>3A.92</w:t>
      </w:r>
      <w:proofErr w:type="spellEnd"/>
      <w:r w:rsidR="00613F7A">
        <w:t xml:space="preserve">, </w:t>
      </w:r>
      <w:proofErr w:type="spellStart"/>
      <w:r w:rsidR="00613F7A">
        <w:t>3A.99</w:t>
      </w:r>
      <w:proofErr w:type="spellEnd"/>
      <w:r w:rsidR="00613F7A">
        <w:t xml:space="preserve">, </w:t>
      </w:r>
      <w:proofErr w:type="spellStart"/>
      <w:r w:rsidR="00613F7A">
        <w:t>3A.106</w:t>
      </w:r>
      <w:proofErr w:type="spellEnd"/>
      <w:r w:rsidR="00613F7A">
        <w:t xml:space="preserve"> and </w:t>
      </w:r>
      <w:proofErr w:type="spellStart"/>
      <w:r w:rsidR="00613F7A">
        <w:t>3A.113</w:t>
      </w:r>
      <w:proofErr w:type="spellEnd"/>
      <w:r w:rsidRPr="00301CC4">
        <w:t>.</w:t>
      </w:r>
    </w:p>
    <w:p w:rsidR="00D56E02" w:rsidRPr="00DB2EEC" w:rsidRDefault="00D56E02" w:rsidP="00D56E02">
      <w:pPr>
        <w:pStyle w:val="Heading5"/>
        <w:rPr>
          <w:b/>
          <w:i w:val="0"/>
          <w:sz w:val="24"/>
          <w:u w:val="dotted"/>
        </w:rPr>
      </w:pPr>
      <w:r>
        <w:t>Median per hour preschool cost per child (after subsidies)</w:t>
      </w:r>
    </w:p>
    <w:p w:rsidR="00D56E02" w:rsidRDefault="00D56E02" w:rsidP="00D56E02">
      <w:pPr>
        <w:pStyle w:val="BodyText"/>
      </w:pPr>
      <w:r>
        <w:t>Nationally, the median cost for a preschool program (af</w:t>
      </w:r>
      <w:r w:rsidR="000C50B7">
        <w:t>ter subsidies) per child was $1.82</w:t>
      </w:r>
      <w:r w:rsidR="008526DF">
        <w:t xml:space="preserve"> per hour in 2012 </w:t>
      </w:r>
      <w:r w:rsidR="008526DF" w:rsidRPr="001E1784">
        <w:t>(table 3.6</w:t>
      </w:r>
      <w:r w:rsidRPr="001E1784">
        <w:t xml:space="preserve">). </w:t>
      </w:r>
    </w:p>
    <w:p w:rsidR="00F73AA3" w:rsidRDefault="00F73AA3" w:rsidP="00F73AA3">
      <w:pPr>
        <w:pStyle w:val="TableTitle"/>
      </w:pPr>
      <w:r>
        <w:rPr>
          <w:b w:val="0"/>
        </w:rPr>
        <w:lastRenderedPageBreak/>
        <w:t>Table 3.6</w:t>
      </w:r>
      <w:r>
        <w:tab/>
        <w:t>Children aged 4 and 5 years enrolled in a pr</w:t>
      </w:r>
      <w:r w:rsidR="00F422A1">
        <w:t>eschool program, median hourly</w:t>
      </w:r>
      <w:r>
        <w:t xml:space="preserve"> cost per child</w:t>
      </w:r>
      <w:r w:rsidR="00F87514">
        <w:t xml:space="preserve"> </w:t>
      </w:r>
      <w:r>
        <w:t>(after subsidies), 2012</w:t>
      </w:r>
      <w:r w:rsidRPr="00F73AA3">
        <w:rPr>
          <w:rStyle w:val="NoteLabel"/>
          <w:b/>
          <w:color w:val="FF0000"/>
        </w:rPr>
        <w:t xml:space="preserve"> </w:t>
      </w:r>
      <w:r w:rsidR="00F87514">
        <w:rPr>
          <w:rStyle w:val="NoteLabel"/>
          <w:b/>
        </w:rPr>
        <w:t>a, b</w:t>
      </w:r>
    </w:p>
    <w:tbl>
      <w:tblPr>
        <w:tblW w:w="5036" w:type="pct"/>
        <w:tblBorders>
          <w:left w:val="single" w:sz="4" w:space="0" w:color="auto"/>
        </w:tblBorders>
        <w:tblCellMar>
          <w:left w:w="0" w:type="dxa"/>
          <w:right w:w="0" w:type="dxa"/>
        </w:tblCellMar>
        <w:tblLook w:val="0000" w:firstRow="0" w:lastRow="0" w:firstColumn="0" w:lastColumn="0" w:noHBand="0" w:noVBand="0"/>
      </w:tblPr>
      <w:tblGrid>
        <w:gridCol w:w="2573"/>
        <w:gridCol w:w="714"/>
        <w:gridCol w:w="714"/>
        <w:gridCol w:w="713"/>
        <w:gridCol w:w="713"/>
        <w:gridCol w:w="713"/>
        <w:gridCol w:w="713"/>
        <w:gridCol w:w="570"/>
        <w:gridCol w:w="712"/>
        <w:gridCol w:w="717"/>
      </w:tblGrid>
      <w:tr w:rsidR="000D2BEB" w:rsidRPr="003D5159" w:rsidTr="00F8560F">
        <w:tc>
          <w:tcPr>
            <w:tcW w:w="1453" w:type="pct"/>
            <w:tcBorders>
              <w:top w:val="single" w:sz="4" w:space="0" w:color="auto"/>
              <w:left w:val="nil"/>
              <w:bottom w:val="single" w:sz="4" w:space="0" w:color="auto"/>
            </w:tcBorders>
          </w:tcPr>
          <w:p w:rsidR="000D2BEB" w:rsidRPr="005763AE" w:rsidRDefault="000D2BEB" w:rsidP="00604EF6">
            <w:pPr>
              <w:pStyle w:val="TableColumnHeading"/>
            </w:pPr>
          </w:p>
        </w:tc>
        <w:tc>
          <w:tcPr>
            <w:tcW w:w="403" w:type="pct"/>
            <w:tcBorders>
              <w:top w:val="single" w:sz="4" w:space="0" w:color="auto"/>
              <w:bottom w:val="single" w:sz="4" w:space="0" w:color="auto"/>
            </w:tcBorders>
          </w:tcPr>
          <w:p w:rsidR="000D2BEB" w:rsidRPr="005763AE" w:rsidRDefault="000D2BEB" w:rsidP="00604EF6">
            <w:pPr>
              <w:pStyle w:val="TableColumnHeading"/>
              <w:ind w:right="0"/>
            </w:pPr>
            <w:r w:rsidRPr="005763AE">
              <w:t>NSW</w:t>
            </w:r>
            <w:r w:rsidR="00F407A7" w:rsidRPr="005763AE">
              <w:rPr>
                <w:rStyle w:val="NoteLabel"/>
                <w:i w:val="0"/>
              </w:rPr>
              <w:t>c</w:t>
            </w:r>
          </w:p>
        </w:tc>
        <w:tc>
          <w:tcPr>
            <w:tcW w:w="403" w:type="pct"/>
            <w:tcBorders>
              <w:top w:val="single" w:sz="4" w:space="0" w:color="auto"/>
              <w:bottom w:val="single" w:sz="4" w:space="0" w:color="auto"/>
            </w:tcBorders>
          </w:tcPr>
          <w:p w:rsidR="000D2BEB" w:rsidRPr="005763AE" w:rsidRDefault="000D2BEB" w:rsidP="00604EF6">
            <w:pPr>
              <w:pStyle w:val="TableColumnHeading"/>
            </w:pPr>
            <w:r w:rsidRPr="005763AE">
              <w:t>Vic</w:t>
            </w:r>
          </w:p>
        </w:tc>
        <w:tc>
          <w:tcPr>
            <w:tcW w:w="403" w:type="pct"/>
            <w:tcBorders>
              <w:top w:val="single" w:sz="4" w:space="0" w:color="auto"/>
              <w:bottom w:val="single" w:sz="4" w:space="0" w:color="auto"/>
            </w:tcBorders>
          </w:tcPr>
          <w:p w:rsidR="000D2BEB" w:rsidRPr="005763AE" w:rsidRDefault="00F407A7" w:rsidP="00604EF6">
            <w:pPr>
              <w:pStyle w:val="TableColumnHeading"/>
              <w:ind w:right="0"/>
            </w:pPr>
            <w:r w:rsidRPr="005763AE">
              <w:t>Qld</w:t>
            </w:r>
            <w:r w:rsidRPr="005763AE">
              <w:rPr>
                <w:rStyle w:val="NoteLabel"/>
                <w:i w:val="0"/>
              </w:rPr>
              <w:t>d</w:t>
            </w:r>
          </w:p>
        </w:tc>
        <w:tc>
          <w:tcPr>
            <w:tcW w:w="403" w:type="pct"/>
            <w:tcBorders>
              <w:top w:val="single" w:sz="4" w:space="0" w:color="auto"/>
              <w:bottom w:val="single" w:sz="4" w:space="0" w:color="auto"/>
            </w:tcBorders>
          </w:tcPr>
          <w:p w:rsidR="000D2BEB" w:rsidRPr="005763AE" w:rsidRDefault="000D2BEB" w:rsidP="00604EF6">
            <w:pPr>
              <w:pStyle w:val="TableColumnHeading"/>
              <w:ind w:right="0"/>
            </w:pPr>
            <w:r w:rsidRPr="005763AE">
              <w:t>WA</w:t>
            </w:r>
            <w:r w:rsidR="00F407A7" w:rsidRPr="005763AE">
              <w:rPr>
                <w:rStyle w:val="NoteLabel"/>
                <w:i w:val="0"/>
              </w:rPr>
              <w:t>e</w:t>
            </w:r>
          </w:p>
        </w:tc>
        <w:tc>
          <w:tcPr>
            <w:tcW w:w="403" w:type="pct"/>
            <w:tcBorders>
              <w:top w:val="single" w:sz="4" w:space="0" w:color="auto"/>
              <w:bottom w:val="single" w:sz="4" w:space="0" w:color="auto"/>
            </w:tcBorders>
          </w:tcPr>
          <w:p w:rsidR="000D2BEB" w:rsidRPr="005763AE" w:rsidRDefault="000D2BEB" w:rsidP="00604EF6">
            <w:pPr>
              <w:pStyle w:val="TableColumnHeading"/>
            </w:pPr>
            <w:r w:rsidRPr="005763AE">
              <w:t>SA</w:t>
            </w:r>
          </w:p>
        </w:tc>
        <w:tc>
          <w:tcPr>
            <w:tcW w:w="403" w:type="pct"/>
            <w:tcBorders>
              <w:top w:val="single" w:sz="4" w:space="0" w:color="auto"/>
              <w:bottom w:val="single" w:sz="4" w:space="0" w:color="auto"/>
            </w:tcBorders>
          </w:tcPr>
          <w:p w:rsidR="000D2BEB" w:rsidRPr="005763AE" w:rsidRDefault="000D2BEB" w:rsidP="00604EF6">
            <w:pPr>
              <w:pStyle w:val="TableColumnHeading"/>
            </w:pPr>
            <w:proofErr w:type="spellStart"/>
            <w:r w:rsidRPr="005763AE">
              <w:t>Tas</w:t>
            </w:r>
            <w:proofErr w:type="spellEnd"/>
          </w:p>
        </w:tc>
        <w:tc>
          <w:tcPr>
            <w:tcW w:w="322" w:type="pct"/>
            <w:tcBorders>
              <w:top w:val="single" w:sz="4" w:space="0" w:color="auto"/>
              <w:bottom w:val="single" w:sz="4" w:space="0" w:color="auto"/>
            </w:tcBorders>
          </w:tcPr>
          <w:p w:rsidR="000D2BEB" w:rsidRPr="005763AE" w:rsidRDefault="000D2BEB" w:rsidP="00604EF6">
            <w:pPr>
              <w:pStyle w:val="TableColumnHeading"/>
              <w:ind w:right="0"/>
            </w:pPr>
            <w:r w:rsidRPr="005763AE">
              <w:t>ACT</w:t>
            </w:r>
            <w:r w:rsidR="00F407A7" w:rsidRPr="005763AE">
              <w:rPr>
                <w:rStyle w:val="NoteLabel"/>
                <w:i w:val="0"/>
              </w:rPr>
              <w:t>f</w:t>
            </w:r>
          </w:p>
        </w:tc>
        <w:tc>
          <w:tcPr>
            <w:tcW w:w="402" w:type="pct"/>
            <w:tcBorders>
              <w:top w:val="single" w:sz="4" w:space="0" w:color="auto"/>
              <w:bottom w:val="single" w:sz="4" w:space="0" w:color="auto"/>
            </w:tcBorders>
          </w:tcPr>
          <w:p w:rsidR="000D2BEB" w:rsidRPr="005763AE" w:rsidRDefault="000D2BEB" w:rsidP="00604EF6">
            <w:pPr>
              <w:pStyle w:val="TableColumnHeading"/>
            </w:pPr>
            <w:r w:rsidRPr="005763AE">
              <w:t>NT</w:t>
            </w:r>
          </w:p>
        </w:tc>
        <w:tc>
          <w:tcPr>
            <w:tcW w:w="405" w:type="pct"/>
            <w:tcBorders>
              <w:top w:val="single" w:sz="4" w:space="0" w:color="auto"/>
              <w:bottom w:val="single" w:sz="4" w:space="0" w:color="auto"/>
              <w:right w:val="nil"/>
            </w:tcBorders>
          </w:tcPr>
          <w:p w:rsidR="000D2BEB" w:rsidRPr="005763AE" w:rsidRDefault="000D2BEB" w:rsidP="00604EF6">
            <w:pPr>
              <w:pStyle w:val="TableColumnHeading"/>
              <w:ind w:right="28"/>
            </w:pPr>
            <w:proofErr w:type="spellStart"/>
            <w:r w:rsidRPr="005763AE">
              <w:t>Aust</w:t>
            </w:r>
            <w:proofErr w:type="spellEnd"/>
            <w:r w:rsidR="00F407A7" w:rsidRPr="005763AE">
              <w:rPr>
                <w:rStyle w:val="NoteLabel"/>
                <w:i w:val="0"/>
              </w:rPr>
              <w:t>d</w:t>
            </w:r>
          </w:p>
        </w:tc>
      </w:tr>
      <w:tr w:rsidR="000D2BEB" w:rsidRPr="0029457C" w:rsidTr="00F8560F">
        <w:trPr>
          <w:cantSplit/>
        </w:trPr>
        <w:tc>
          <w:tcPr>
            <w:tcW w:w="5000" w:type="pct"/>
            <w:gridSpan w:val="10"/>
            <w:tcBorders>
              <w:top w:val="single" w:sz="4" w:space="0" w:color="auto"/>
              <w:left w:val="nil"/>
              <w:bottom w:val="nil"/>
              <w:right w:val="nil"/>
            </w:tcBorders>
          </w:tcPr>
          <w:p w:rsidR="000D2BEB" w:rsidRPr="0029457C" w:rsidRDefault="000D2BEB" w:rsidP="00F8560F">
            <w:pPr>
              <w:pStyle w:val="TableBodyText"/>
              <w:ind w:left="0"/>
              <w:jc w:val="left"/>
            </w:pPr>
          </w:p>
        </w:tc>
      </w:tr>
      <w:tr w:rsidR="000D2BEB" w:rsidRPr="0029457C" w:rsidTr="001E1784">
        <w:trPr>
          <w:trHeight w:val="270"/>
        </w:trPr>
        <w:tc>
          <w:tcPr>
            <w:tcW w:w="1453" w:type="pct"/>
            <w:tcBorders>
              <w:left w:val="nil"/>
              <w:bottom w:val="single" w:sz="4" w:space="0" w:color="auto"/>
            </w:tcBorders>
          </w:tcPr>
          <w:p w:rsidR="000D2BEB" w:rsidRPr="0029457C" w:rsidRDefault="00F8560F" w:rsidP="00BF5E60">
            <w:pPr>
              <w:pStyle w:val="TableBodyText"/>
              <w:jc w:val="left"/>
            </w:pPr>
            <w:r>
              <w:t>Median cost per hour</w:t>
            </w:r>
            <w:r w:rsidR="00F87514">
              <w:t xml:space="preserve"> ($)</w:t>
            </w:r>
          </w:p>
        </w:tc>
        <w:tc>
          <w:tcPr>
            <w:tcW w:w="403" w:type="pct"/>
            <w:tcBorders>
              <w:bottom w:val="single" w:sz="4" w:space="0" w:color="auto"/>
            </w:tcBorders>
            <w:vAlign w:val="center"/>
          </w:tcPr>
          <w:p w:rsidR="000D2BEB" w:rsidRPr="0029457C" w:rsidRDefault="00415B7C" w:rsidP="00604EF6">
            <w:pPr>
              <w:pStyle w:val="TableBodyText"/>
            </w:pPr>
            <w:r>
              <w:t>3.47</w:t>
            </w:r>
          </w:p>
        </w:tc>
        <w:tc>
          <w:tcPr>
            <w:tcW w:w="403" w:type="pct"/>
            <w:tcBorders>
              <w:bottom w:val="single" w:sz="4" w:space="0" w:color="auto"/>
            </w:tcBorders>
            <w:shd w:val="clear" w:color="auto" w:fill="auto"/>
            <w:vAlign w:val="center"/>
          </w:tcPr>
          <w:p w:rsidR="000D2BEB" w:rsidRPr="0029457C" w:rsidRDefault="00415B7C" w:rsidP="00604EF6">
            <w:pPr>
              <w:pStyle w:val="TableBodyText"/>
            </w:pPr>
            <w:r>
              <w:t>1.95</w:t>
            </w:r>
          </w:p>
        </w:tc>
        <w:tc>
          <w:tcPr>
            <w:tcW w:w="403" w:type="pct"/>
            <w:tcBorders>
              <w:bottom w:val="single" w:sz="4" w:space="0" w:color="auto"/>
            </w:tcBorders>
            <w:shd w:val="clear" w:color="auto" w:fill="auto"/>
            <w:vAlign w:val="center"/>
          </w:tcPr>
          <w:p w:rsidR="000D2BEB" w:rsidRPr="0029457C" w:rsidRDefault="00415B7C" w:rsidP="00604EF6">
            <w:pPr>
              <w:pStyle w:val="TableBodyText"/>
            </w:pPr>
            <w:proofErr w:type="spellStart"/>
            <w:r>
              <w:t>np</w:t>
            </w:r>
            <w:proofErr w:type="spellEnd"/>
          </w:p>
        </w:tc>
        <w:tc>
          <w:tcPr>
            <w:tcW w:w="403" w:type="pct"/>
            <w:tcBorders>
              <w:bottom w:val="single" w:sz="4" w:space="0" w:color="auto"/>
            </w:tcBorders>
            <w:vAlign w:val="center"/>
          </w:tcPr>
          <w:p w:rsidR="000D2BEB" w:rsidRPr="0029457C" w:rsidRDefault="00F87514" w:rsidP="00604EF6">
            <w:pPr>
              <w:pStyle w:val="TableBodyText"/>
            </w:pPr>
            <w:r>
              <w:t>–</w:t>
            </w:r>
          </w:p>
        </w:tc>
        <w:tc>
          <w:tcPr>
            <w:tcW w:w="403" w:type="pct"/>
            <w:tcBorders>
              <w:bottom w:val="single" w:sz="4" w:space="0" w:color="auto"/>
            </w:tcBorders>
            <w:vAlign w:val="center"/>
          </w:tcPr>
          <w:p w:rsidR="000D2BEB" w:rsidRPr="0029457C" w:rsidRDefault="00F87514" w:rsidP="00604EF6">
            <w:pPr>
              <w:pStyle w:val="TableBodyText"/>
            </w:pPr>
            <w:r>
              <w:t>–</w:t>
            </w:r>
          </w:p>
        </w:tc>
        <w:tc>
          <w:tcPr>
            <w:tcW w:w="403" w:type="pct"/>
            <w:tcBorders>
              <w:bottom w:val="single" w:sz="4" w:space="0" w:color="auto"/>
            </w:tcBorders>
            <w:vAlign w:val="center"/>
          </w:tcPr>
          <w:p w:rsidR="000D2BEB" w:rsidRPr="0029457C" w:rsidRDefault="00F87514" w:rsidP="00604EF6">
            <w:pPr>
              <w:pStyle w:val="TableBodyText"/>
            </w:pPr>
            <w:r>
              <w:t>–</w:t>
            </w:r>
          </w:p>
        </w:tc>
        <w:tc>
          <w:tcPr>
            <w:tcW w:w="322" w:type="pct"/>
            <w:tcBorders>
              <w:bottom w:val="single" w:sz="4" w:space="0" w:color="auto"/>
            </w:tcBorders>
            <w:vAlign w:val="center"/>
          </w:tcPr>
          <w:p w:rsidR="000D2BEB" w:rsidRPr="0029457C" w:rsidRDefault="00F87514" w:rsidP="00604EF6">
            <w:pPr>
              <w:pStyle w:val="TableBodyText"/>
            </w:pPr>
            <w:r>
              <w:t>–</w:t>
            </w:r>
          </w:p>
        </w:tc>
        <w:tc>
          <w:tcPr>
            <w:tcW w:w="402" w:type="pct"/>
            <w:tcBorders>
              <w:bottom w:val="single" w:sz="4" w:space="0" w:color="auto"/>
            </w:tcBorders>
            <w:vAlign w:val="center"/>
          </w:tcPr>
          <w:p w:rsidR="000D2BEB" w:rsidRPr="0029457C" w:rsidRDefault="00F87514" w:rsidP="00604EF6">
            <w:pPr>
              <w:pStyle w:val="TableBodyText"/>
            </w:pPr>
            <w:r>
              <w:t>–</w:t>
            </w:r>
          </w:p>
        </w:tc>
        <w:tc>
          <w:tcPr>
            <w:tcW w:w="405" w:type="pct"/>
            <w:tcBorders>
              <w:bottom w:val="single" w:sz="4" w:space="0" w:color="auto"/>
              <w:right w:val="nil"/>
            </w:tcBorders>
            <w:shd w:val="clear" w:color="auto" w:fill="auto"/>
            <w:vAlign w:val="center"/>
          </w:tcPr>
          <w:p w:rsidR="000D2BEB" w:rsidRPr="0029457C" w:rsidRDefault="00F8560F" w:rsidP="00604EF6">
            <w:pPr>
              <w:pStyle w:val="TableBodyText"/>
            </w:pPr>
            <w:r>
              <w:t>1.82</w:t>
            </w:r>
          </w:p>
        </w:tc>
      </w:tr>
    </w:tbl>
    <w:p w:rsidR="00F73AA3" w:rsidRDefault="00F73AA3" w:rsidP="00415B7C">
      <w:pPr>
        <w:pStyle w:val="Note"/>
      </w:pPr>
      <w:r w:rsidRPr="008E77FE">
        <w:rPr>
          <w:rStyle w:val="NoteLabel"/>
        </w:rPr>
        <w:t>a</w:t>
      </w:r>
      <w:r>
        <w:t xml:space="preserve"> </w:t>
      </w:r>
      <w:r w:rsidR="00BF5E60" w:rsidRPr="00F73AA3">
        <w:t xml:space="preserve">Median costs were calculated for those children who were enrolled in a preschool program, including those for whom the hourly cost was no cost, but excluding those for whom the hourly cost was not stated. </w:t>
      </w:r>
      <w:r w:rsidR="00BF5E60">
        <w:t xml:space="preserve"> </w:t>
      </w:r>
      <w:r w:rsidR="00F87514" w:rsidRPr="00F87514">
        <w:rPr>
          <w:rStyle w:val="NoteLabel"/>
        </w:rPr>
        <w:t>b</w:t>
      </w:r>
      <w:r w:rsidR="00BF5E60" w:rsidRPr="00F87514">
        <w:t> </w:t>
      </w:r>
      <w:r w:rsidR="0069682C">
        <w:t xml:space="preserve">Data include </w:t>
      </w:r>
      <w:r w:rsidR="0069682C" w:rsidRPr="001E1784">
        <w:t>children aged 4 and 5 years on 1</w:t>
      </w:r>
      <w:r w:rsidR="00172534">
        <w:t> </w:t>
      </w:r>
      <w:r w:rsidR="0069682C" w:rsidRPr="001E1784">
        <w:t>July</w:t>
      </w:r>
      <w:r w:rsidR="00F87514" w:rsidRPr="001E1784">
        <w:t xml:space="preserve"> 2012</w:t>
      </w:r>
      <w:r w:rsidR="0069682C" w:rsidRPr="001E1784">
        <w:t xml:space="preserve">. </w:t>
      </w:r>
      <w:r w:rsidR="00F407A7" w:rsidRPr="001E1784">
        <w:rPr>
          <w:rStyle w:val="NoteLabel"/>
        </w:rPr>
        <w:t>c </w:t>
      </w:r>
      <w:r w:rsidR="00007D37" w:rsidRPr="001E1784">
        <w:t xml:space="preserve">NSW data exclude </w:t>
      </w:r>
      <w:r w:rsidR="00F407A7" w:rsidRPr="001E1784">
        <w:t>all 100 government operated preschools for which fee information is not collected. Caution should therefor</w:t>
      </w:r>
      <w:r w:rsidR="005763AE" w:rsidRPr="001E1784">
        <w:t xml:space="preserve">e be used when interpreting </w:t>
      </w:r>
      <w:r w:rsidR="00F407A7" w:rsidRPr="001E1784">
        <w:t>NSW cost</w:t>
      </w:r>
      <w:r w:rsidR="005763AE" w:rsidRPr="001E1784">
        <w:t xml:space="preserve"> data</w:t>
      </w:r>
      <w:r w:rsidR="00F407A7" w:rsidRPr="001E1784">
        <w:t xml:space="preserve">. </w:t>
      </w:r>
      <w:r w:rsidR="00F407A7" w:rsidRPr="001E1784">
        <w:rPr>
          <w:rStyle w:val="NoteLabel"/>
        </w:rPr>
        <w:t>d</w:t>
      </w:r>
      <w:r w:rsidRPr="001E1784">
        <w:rPr>
          <w:rStyle w:val="NoteLabel"/>
        </w:rPr>
        <w:t> </w:t>
      </w:r>
      <w:r w:rsidR="00F87514" w:rsidRPr="001E1784">
        <w:t>Data for Queensland are not published and are not included in the median calculated for Australia.</w:t>
      </w:r>
      <w:r w:rsidR="00F407A7" w:rsidRPr="001E1784">
        <w:rPr>
          <w:rStyle w:val="NoteLabel"/>
        </w:rPr>
        <w:t xml:space="preserve"> e</w:t>
      </w:r>
      <w:r w:rsidRPr="001E1784">
        <w:rPr>
          <w:rStyle w:val="NoteLabel"/>
        </w:rPr>
        <w:t xml:space="preserve"> </w:t>
      </w:r>
      <w:r w:rsidRPr="001E1784">
        <w:t>Approxima</w:t>
      </w:r>
      <w:r w:rsidR="0069682C" w:rsidRPr="001E1784">
        <w:t xml:space="preserve">tely 8 per cent </w:t>
      </w:r>
      <w:r w:rsidRPr="001E1784">
        <w:t xml:space="preserve">of data for fees in WA were calculated using averages at the provider level. </w:t>
      </w:r>
      <w:r w:rsidR="00F407A7" w:rsidRPr="001E1784">
        <w:rPr>
          <w:rStyle w:val="NoteLabel"/>
        </w:rPr>
        <w:t>f</w:t>
      </w:r>
      <w:r w:rsidRPr="001E1784">
        <w:rPr>
          <w:rStyle w:val="NoteLabel"/>
        </w:rPr>
        <w:t xml:space="preserve"> </w:t>
      </w:r>
      <w:r w:rsidRPr="001E1784">
        <w:t>Data for the ACT exclude data for preschools within independent schools, which were unavailable for 2012.</w:t>
      </w:r>
      <w:r w:rsidR="00F87514" w:rsidRPr="001E1784">
        <w:rPr>
          <w:b/>
        </w:rPr>
        <w:t xml:space="preserve"> </w:t>
      </w:r>
      <w:r w:rsidR="00F87514" w:rsidRPr="001E1784">
        <w:t xml:space="preserve">– Nil or rounded to zero. </w:t>
      </w:r>
      <w:proofErr w:type="spellStart"/>
      <w:r w:rsidR="00F87514" w:rsidRPr="001E1784">
        <w:rPr>
          <w:b/>
        </w:rPr>
        <w:t>np</w:t>
      </w:r>
      <w:proofErr w:type="spellEnd"/>
      <w:r w:rsidR="00F87514" w:rsidRPr="001E1784">
        <w:rPr>
          <w:b/>
        </w:rPr>
        <w:t xml:space="preserve"> </w:t>
      </w:r>
      <w:r w:rsidR="00F87514" w:rsidRPr="001E1784">
        <w:t>Not published.</w:t>
      </w:r>
    </w:p>
    <w:p w:rsidR="00F73AA3" w:rsidRPr="00F73AA3" w:rsidRDefault="00F73AA3" w:rsidP="00415B7C">
      <w:pPr>
        <w:pStyle w:val="Source"/>
      </w:pPr>
      <w:r w:rsidRPr="00F73AA3">
        <w:rPr>
          <w:i/>
        </w:rPr>
        <w:t>Source</w:t>
      </w:r>
      <w:r w:rsidRPr="00F73AA3">
        <w:t xml:space="preserve">: ABS (unpublished) </w:t>
      </w:r>
      <w:r w:rsidRPr="00F73AA3">
        <w:rPr>
          <w:i/>
        </w:rPr>
        <w:t>Preschool Education, Australia, 2012</w:t>
      </w:r>
      <w:r w:rsidR="00F87514">
        <w:t>; Cat. no. 4240.0; table </w:t>
      </w:r>
      <w:proofErr w:type="spellStart"/>
      <w:r w:rsidR="00F87514">
        <w:t>3A.33</w:t>
      </w:r>
      <w:proofErr w:type="spellEnd"/>
      <w:r w:rsidRPr="00F73AA3">
        <w:t>.</w:t>
      </w:r>
    </w:p>
    <w:p w:rsidR="005A193E" w:rsidRDefault="005A193E" w:rsidP="005A193E">
      <w:pPr>
        <w:pStyle w:val="BodyText"/>
      </w:pPr>
      <w:r>
        <w:t>Additional information on the costs of preschool programs for chi</w:t>
      </w:r>
      <w:r w:rsidR="0002405E">
        <w:t>ldren by cost range for 2012 is</w:t>
      </w:r>
      <w:r w:rsidR="00DC052C">
        <w:t xml:space="preserve"> presented in table</w:t>
      </w:r>
      <w:r w:rsidR="00172534">
        <w:t> </w:t>
      </w:r>
      <w:proofErr w:type="spellStart"/>
      <w:r w:rsidR="00DC052C">
        <w:t>3A.32</w:t>
      </w:r>
      <w:proofErr w:type="spellEnd"/>
      <w:r>
        <w:t>.</w:t>
      </w:r>
    </w:p>
    <w:p w:rsidR="005A193E" w:rsidRDefault="005A193E" w:rsidP="005A193E">
      <w:pPr>
        <w:pStyle w:val="BodyText"/>
      </w:pPr>
      <w:r>
        <w:t xml:space="preserve">Data on the median hourly cost of preschool by remoteness area are presented in </w:t>
      </w:r>
      <w:r w:rsidRPr="00F11631">
        <w:t>table </w:t>
      </w:r>
      <w:proofErr w:type="spellStart"/>
      <w:r w:rsidRPr="00F11631">
        <w:t>3A.</w:t>
      </w:r>
      <w:r w:rsidR="00DC052C">
        <w:t>34</w:t>
      </w:r>
      <w:proofErr w:type="spellEnd"/>
      <w:r w:rsidRPr="00F11631">
        <w:t>. Nationally</w:t>
      </w:r>
      <w:r>
        <w:t xml:space="preserve"> in 2012, the median hourly cost of preschool in major cities was $</w:t>
      </w:r>
      <w:r w:rsidR="000C50B7" w:rsidRPr="000C50B7">
        <w:t>2.27</w:t>
      </w:r>
      <w:r w:rsidRPr="000C50B7">
        <w:t xml:space="preserve"> (after subsidies), compared to $</w:t>
      </w:r>
      <w:r w:rsidR="000C50B7" w:rsidRPr="000C50B7">
        <w:t>1.56</w:t>
      </w:r>
      <w:r w:rsidR="00A02A8E">
        <w:t xml:space="preserve"> in regional areas and zero</w:t>
      </w:r>
      <w:r w:rsidRPr="000C50B7">
        <w:t xml:space="preserve"> in </w:t>
      </w:r>
      <w:r>
        <w:t>remote areas. These median hourly costs varied across jurisdictions.</w:t>
      </w:r>
    </w:p>
    <w:p w:rsidR="00092F26" w:rsidRPr="006E32A6" w:rsidRDefault="00092F26" w:rsidP="00092F26">
      <w:pPr>
        <w:pStyle w:val="Heading5"/>
        <w:shd w:val="clear" w:color="auto" w:fill="FFFFFF" w:themeFill="background1"/>
      </w:pPr>
      <w:r w:rsidRPr="006E32A6">
        <w:t>Quality</w:t>
      </w:r>
    </w:p>
    <w:p w:rsidR="00092F26" w:rsidRPr="006E32A6" w:rsidRDefault="00092F26" w:rsidP="00092F26">
      <w:pPr>
        <w:pStyle w:val="BodyText"/>
        <w:shd w:val="clear" w:color="auto" w:fill="FFFFFF" w:themeFill="background1"/>
      </w:pPr>
      <w:r w:rsidRPr="006E32A6">
        <w:t xml:space="preserve">An important focus of Australian, State and Territory governments is to set and maintain appropriate quality standards in child care and preschool services. </w:t>
      </w:r>
    </w:p>
    <w:p w:rsidR="00092F26" w:rsidRDefault="00092F26" w:rsidP="00092F26">
      <w:pPr>
        <w:pStyle w:val="BodyText"/>
        <w:shd w:val="clear" w:color="auto" w:fill="FFFFFF" w:themeFill="background1"/>
      </w:pPr>
      <w:r w:rsidRPr="006E32A6">
        <w:t>Data for indicato</w:t>
      </w:r>
      <w:r>
        <w:t>rs relating to quality in this R</w:t>
      </w:r>
      <w:r w:rsidRPr="006E32A6">
        <w:t>eport need to be treated with caution because there are differences in reporting across jurisdictions.</w:t>
      </w:r>
      <w:r>
        <w:t xml:space="preserve"> </w:t>
      </w:r>
    </w:p>
    <w:p w:rsidR="005A193E" w:rsidRPr="00121757" w:rsidRDefault="005A193E" w:rsidP="005A193E">
      <w:pPr>
        <w:pStyle w:val="Heading5"/>
        <w:rPr>
          <w:b/>
          <w:i w:val="0"/>
          <w:sz w:val="24"/>
          <w:u w:val="dotted"/>
        </w:rPr>
      </w:pPr>
      <w:r>
        <w:t>Staff — staff quality in early childhood education and care</w:t>
      </w:r>
    </w:p>
    <w:p w:rsidR="008F7CD4" w:rsidRDefault="005A193E" w:rsidP="008F7CD4">
      <w:pPr>
        <w:pStyle w:val="BodyText"/>
      </w:pPr>
      <w:r>
        <w:t>‘Staff quality</w:t>
      </w:r>
      <w:r w:rsidRPr="0007374A">
        <w:t xml:space="preserve"> in </w:t>
      </w:r>
      <w:r>
        <w:t>early childhood education and care’</w:t>
      </w:r>
      <w:r w:rsidRPr="0007374A">
        <w:t xml:space="preserve"> is an indicator of governments’ objective to ensure </w:t>
      </w:r>
      <w:r>
        <w:t xml:space="preserve">that </w:t>
      </w:r>
      <w:r w:rsidR="003525E1">
        <w:t>staff employed by</w:t>
      </w:r>
      <w:r w:rsidRPr="0007374A">
        <w:t xml:space="preserve"> </w:t>
      </w:r>
      <w:r w:rsidR="00094082" w:rsidRPr="00493DF4">
        <w:t>early childhood education and care</w:t>
      </w:r>
      <w:r w:rsidR="00094082">
        <w:t xml:space="preserve"> </w:t>
      </w:r>
      <w:r w:rsidR="00C34415">
        <w:t xml:space="preserve">service providers </w:t>
      </w:r>
      <w:r>
        <w:t>are able to provide services that reflect national qualification requirements under the</w:t>
      </w:r>
      <w:r w:rsidR="00727CFC">
        <w:t xml:space="preserve"> </w:t>
      </w:r>
      <w:proofErr w:type="spellStart"/>
      <w:r w:rsidR="00727CFC">
        <w:t>NQF</w:t>
      </w:r>
      <w:proofErr w:type="spellEnd"/>
      <w:r w:rsidR="00727CFC">
        <w:t xml:space="preserve"> and in doing so </w:t>
      </w:r>
      <w:r w:rsidRPr="0007374A">
        <w:t>meet the needs of children</w:t>
      </w:r>
      <w:r>
        <w:t xml:space="preserve">, although not all services fall in scope of the </w:t>
      </w:r>
      <w:proofErr w:type="spellStart"/>
      <w:r>
        <w:t>NQF</w:t>
      </w:r>
      <w:proofErr w:type="spellEnd"/>
      <w:r>
        <w:t xml:space="preserve"> (box</w:t>
      </w:r>
      <w:r w:rsidR="00172534">
        <w:t> </w:t>
      </w:r>
      <w:r>
        <w:t>3.15)</w:t>
      </w:r>
      <w:r w:rsidRPr="0007374A">
        <w:t>. In particular, this means ensuring staff have the training and experience to provide a safe and nurturing environment that fulfils the educational and development</w:t>
      </w:r>
      <w:r w:rsidR="0021264F">
        <w:t>al</w:t>
      </w:r>
      <w:r w:rsidRPr="0007374A">
        <w:t xml:space="preserve"> needs of children</w:t>
      </w:r>
      <w:r>
        <w:t xml:space="preserve"> </w:t>
      </w:r>
      <w:r w:rsidRPr="00AD0DF5">
        <w:t>(box</w:t>
      </w:r>
      <w:r>
        <w:t> 3.14</w:t>
      </w:r>
      <w:r w:rsidRPr="00AD0DF5">
        <w:t>).</w:t>
      </w:r>
    </w:p>
    <w:p w:rsidR="008F7CD4" w:rsidRDefault="008F7CD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F7CD4">
        <w:tc>
          <w:tcPr>
            <w:tcW w:w="8771" w:type="dxa"/>
            <w:tcBorders>
              <w:top w:val="single" w:sz="6" w:space="0" w:color="auto"/>
              <w:bottom w:val="nil"/>
            </w:tcBorders>
          </w:tcPr>
          <w:p w:rsidR="008F7CD4" w:rsidRPr="007F55DC" w:rsidRDefault="008F7CD4" w:rsidP="008F7CD4">
            <w:pPr>
              <w:pStyle w:val="BoxTitle"/>
            </w:pPr>
            <w:r w:rsidRPr="007F55DC">
              <w:rPr>
                <w:b w:val="0"/>
              </w:rPr>
              <w:t>Box 3.14</w:t>
            </w:r>
            <w:r w:rsidRPr="007F55DC">
              <w:tab/>
              <w:t>Staff quality in early childhood education and care</w:t>
            </w:r>
          </w:p>
        </w:tc>
      </w:tr>
      <w:tr w:rsidR="008F7CD4">
        <w:trPr>
          <w:cantSplit/>
        </w:trPr>
        <w:tc>
          <w:tcPr>
            <w:tcW w:w="8771" w:type="dxa"/>
            <w:tcBorders>
              <w:top w:val="nil"/>
              <w:left w:val="single" w:sz="6" w:space="0" w:color="auto"/>
              <w:bottom w:val="nil"/>
              <w:right w:val="single" w:sz="6" w:space="0" w:color="auto"/>
            </w:tcBorders>
          </w:tcPr>
          <w:p w:rsidR="00243995" w:rsidRPr="007F55DC" w:rsidRDefault="00243995" w:rsidP="00243995">
            <w:pPr>
              <w:pStyle w:val="Box"/>
            </w:pPr>
            <w:r w:rsidRPr="007F55DC">
              <w:t>‘Staff quality in early childhood education and care’ is defined by two measures:</w:t>
            </w:r>
          </w:p>
          <w:p w:rsidR="00243995" w:rsidRPr="007F55DC" w:rsidRDefault="00243995" w:rsidP="00751B02">
            <w:pPr>
              <w:pStyle w:val="BoxListBullet"/>
            </w:pPr>
            <w:r w:rsidRPr="007F55DC">
              <w:t>proportion of paid primary contact staff employed by Australian Government approved child care services, by relevant formal qualifications</w:t>
            </w:r>
            <w:r w:rsidR="00966FB2">
              <w:t>,</w:t>
            </w:r>
            <w:r w:rsidRPr="007F55DC">
              <w:t xml:space="preserve"> or three or more years of relevant experience. A relevant formal qualification relates to the highest level of qualification that a staff member has completed in an early childhood education and care related field at a Certificate level III or above</w:t>
            </w:r>
          </w:p>
          <w:p w:rsidR="00243995" w:rsidRPr="007F55DC" w:rsidRDefault="00243995" w:rsidP="00751B02">
            <w:pPr>
              <w:pStyle w:val="BoxListBullet"/>
            </w:pPr>
            <w:r w:rsidRPr="007F55DC">
              <w:t>proportion of workers delivering preschool programs who are at least three year university trained and early childhood qualified. Workers delivering preschool programs are defined as early childhood education and care workers who are employed, and paid, by an early childhood education and care service provider as a principal/director/coordinator/teacher</w:t>
            </w:r>
            <w:r w:rsidR="00172534">
              <w:noBreakHyphen/>
            </w:r>
            <w:r w:rsidRPr="007F55DC">
              <w:t>in</w:t>
            </w:r>
            <w:r w:rsidR="00172534">
              <w:noBreakHyphen/>
            </w:r>
            <w:r w:rsidRPr="007F55DC">
              <w:t xml:space="preserve">charge, group leader/teacher, assistant/aide or other contact worker to deliver a preschool program. Workers who are early childhood qualified include the fields of qualification: teaching (early childhood related), teaching (primary), teaching (other) and other early childhood related. </w:t>
            </w:r>
          </w:p>
          <w:p w:rsidR="008F7CD4" w:rsidRPr="007F55DC" w:rsidRDefault="000E14C6">
            <w:pPr>
              <w:pStyle w:val="Box"/>
            </w:pPr>
            <w:r w:rsidRPr="007F55DC">
              <w:t>Some studies and research (for example, OECD 2006) have shown a link between a higher proportion of qualified and experienced primary contact staff and a higher quality service, suggesting that a high or increasing proportion is desirable.</w:t>
            </w:r>
          </w:p>
          <w:p w:rsidR="000E14C6" w:rsidRPr="007F55DC" w:rsidRDefault="000E14C6">
            <w:pPr>
              <w:pStyle w:val="Box"/>
            </w:pPr>
            <w:r w:rsidRPr="007F55DC">
              <w:t>Data reported for these measures are:</w:t>
            </w:r>
          </w:p>
          <w:p w:rsidR="000E14C6" w:rsidRDefault="000E14C6" w:rsidP="00751B02">
            <w:pPr>
              <w:pStyle w:val="BoxListBullet"/>
            </w:pPr>
            <w:r w:rsidRPr="007F55DC">
              <w:t>comparable (subject to caveats) across jurisdictions and over time for paid primary contact staff employed by Australian Government approved child care services.</w:t>
            </w:r>
            <w:r w:rsidR="001B4397" w:rsidRPr="007F55DC">
              <w:t xml:space="preserve"> Data are comparable (subject to caveats) across jurisdictions but a break in series means that data for 2012 are not comparable to data for 2011 (in the previous Report) for worker</w:t>
            </w:r>
            <w:r w:rsidR="00007D37">
              <w:t>s delivering preschool programs</w:t>
            </w:r>
          </w:p>
          <w:p w:rsidR="00007D37" w:rsidRDefault="00007D37" w:rsidP="00007D37">
            <w:pPr>
              <w:pStyle w:val="BoxListBullet"/>
            </w:pPr>
            <w:r w:rsidRPr="007F55DC">
              <w:t>complete (subject to caveats) for the current reporting period for paid primary contact staff employed by Australian Government approved child care services. All required 2013 data are available for all jurisdictions for paid primary contact staff employed by Australian Government approved child care services but incomplete for the current reporting period for workers delivering preschool programs. All required data were not available for Queensland, SA, Tasmania, the ACT and the NT for workers delivering preschool programs.</w:t>
            </w:r>
          </w:p>
          <w:p w:rsidR="00232743" w:rsidRPr="007F55DC" w:rsidRDefault="00007D37" w:rsidP="00232743">
            <w:pPr>
              <w:pStyle w:val="Box"/>
            </w:pPr>
            <w:r w:rsidRPr="007F55DC">
              <w:t xml:space="preserve">Data quality information for paid primary contact staff employed by Australian Government approved child care services is under </w:t>
            </w:r>
            <w:r w:rsidR="00C374C1">
              <w:t>development. D</w:t>
            </w:r>
            <w:r w:rsidRPr="007F55DC">
              <w:t xml:space="preserve">ata quality </w:t>
            </w:r>
            <w:r w:rsidR="00C374C1">
              <w:t xml:space="preserve">information </w:t>
            </w:r>
            <w:r w:rsidRPr="007F55DC">
              <w:t xml:space="preserve">for workers delivering preschool programs is at </w:t>
            </w:r>
            <w:proofErr w:type="spellStart"/>
            <w:r w:rsidRPr="007F55DC">
              <w:t>www.</w:t>
            </w:r>
            <w:r>
              <w:t>pc.gov.au</w:t>
            </w:r>
            <w:proofErr w:type="spellEnd"/>
            <w:r>
              <w:t>/</w:t>
            </w:r>
            <w:proofErr w:type="spellStart"/>
            <w:r>
              <w:t>gsp</w:t>
            </w:r>
            <w:proofErr w:type="spellEnd"/>
            <w:r>
              <w:t>/reports/</w:t>
            </w:r>
            <w:proofErr w:type="spellStart"/>
            <w:r>
              <w:t>rogs</w:t>
            </w:r>
            <w:proofErr w:type="spellEnd"/>
            <w:r>
              <w:t>/2014</w:t>
            </w:r>
            <w:r w:rsidR="00C374C1">
              <w:t>.</w:t>
            </w:r>
          </w:p>
        </w:tc>
      </w:tr>
      <w:tr w:rsidR="008F7CD4">
        <w:trPr>
          <w:cantSplit/>
        </w:trPr>
        <w:tc>
          <w:tcPr>
            <w:tcW w:w="8771" w:type="dxa"/>
            <w:tcBorders>
              <w:top w:val="nil"/>
              <w:left w:val="single" w:sz="6" w:space="0" w:color="auto"/>
              <w:bottom w:val="single" w:sz="6" w:space="0" w:color="auto"/>
              <w:right w:val="single" w:sz="6" w:space="0" w:color="auto"/>
            </w:tcBorders>
          </w:tcPr>
          <w:p w:rsidR="008F7CD4" w:rsidRDefault="008F7CD4">
            <w:pPr>
              <w:pStyle w:val="Box"/>
              <w:spacing w:before="0" w:line="120" w:lineRule="exact"/>
            </w:pPr>
          </w:p>
        </w:tc>
      </w:tr>
    </w:tbl>
    <w:p w:rsidR="00323201" w:rsidRDefault="00966FB2" w:rsidP="00493DF4">
      <w:pPr>
        <w:pStyle w:val="Heading5"/>
      </w:pPr>
      <w:r>
        <w:t>Proportion of p</w:t>
      </w:r>
      <w:r w:rsidR="00323201">
        <w:t>aid primary contact staff employed by Australian Government approved child care services, by relevant formal qualifications</w:t>
      </w:r>
      <w:r>
        <w:t>,</w:t>
      </w:r>
      <w:r w:rsidR="00323201">
        <w:t xml:space="preserve"> or three years or more relevant experience</w:t>
      </w:r>
    </w:p>
    <w:p w:rsidR="00623951" w:rsidRDefault="00623951" w:rsidP="00C3586E">
      <w:pPr>
        <w:pStyle w:val="BodyText"/>
      </w:pPr>
      <w:r>
        <w:t>Data on full time equivalent staff, family day carers and unpaid staff employed by Australian Government approved child care services are presented in table</w:t>
      </w:r>
      <w:r w:rsidR="00172534">
        <w:t> </w:t>
      </w:r>
      <w:proofErr w:type="spellStart"/>
      <w:r>
        <w:t>3A.</w:t>
      </w:r>
      <w:r w:rsidR="00DC052C">
        <w:t>35</w:t>
      </w:r>
      <w:proofErr w:type="spellEnd"/>
      <w:r>
        <w:t>.</w:t>
      </w:r>
    </w:p>
    <w:p w:rsidR="004030D1" w:rsidRDefault="004030D1" w:rsidP="00966FB2">
      <w:pPr>
        <w:pStyle w:val="BodyText"/>
      </w:pPr>
      <w:r w:rsidRPr="00900809">
        <w:lastRenderedPageBreak/>
        <w:t xml:space="preserve">Nationally, there were </w:t>
      </w:r>
      <w:r w:rsidR="00582840" w:rsidRPr="00582840">
        <w:t>99</w:t>
      </w:r>
      <w:r w:rsidR="00E6372E" w:rsidRPr="00582840">
        <w:t> </w:t>
      </w:r>
      <w:r w:rsidR="00582840" w:rsidRPr="00582840">
        <w:t>655</w:t>
      </w:r>
      <w:r w:rsidRPr="00582840">
        <w:t xml:space="preserve"> </w:t>
      </w:r>
      <w:r w:rsidR="00267F4D" w:rsidRPr="00900809">
        <w:t xml:space="preserve">paid </w:t>
      </w:r>
      <w:r w:rsidRPr="00900809">
        <w:t xml:space="preserve">primary contact staff employed </w:t>
      </w:r>
      <w:r w:rsidR="00FB4D66" w:rsidRPr="00900809">
        <w:t>by</w:t>
      </w:r>
      <w:r w:rsidRPr="00900809">
        <w:t xml:space="preserve"> Australian Government approved child care </w:t>
      </w:r>
      <w:r w:rsidR="00FB4D66" w:rsidRPr="00900809">
        <w:t xml:space="preserve">services </w:t>
      </w:r>
      <w:r w:rsidRPr="00900809">
        <w:t xml:space="preserve">in </w:t>
      </w:r>
      <w:r w:rsidR="00CB1373" w:rsidRPr="00900809">
        <w:t>20</w:t>
      </w:r>
      <w:r w:rsidR="00267F4D" w:rsidRPr="00900809">
        <w:t>1</w:t>
      </w:r>
      <w:r w:rsidR="006D48FE">
        <w:t>3</w:t>
      </w:r>
      <w:r w:rsidRPr="00900809">
        <w:t xml:space="preserve"> (table</w:t>
      </w:r>
      <w:r w:rsidR="00172534">
        <w:t> </w:t>
      </w:r>
      <w:proofErr w:type="spellStart"/>
      <w:r w:rsidRPr="00900809">
        <w:t>3A.</w:t>
      </w:r>
      <w:r w:rsidR="00EE6647">
        <w:t>3</w:t>
      </w:r>
      <w:r w:rsidR="00DC052C">
        <w:t>6</w:t>
      </w:r>
      <w:proofErr w:type="spellEnd"/>
      <w:r w:rsidRPr="00900809">
        <w:t xml:space="preserve">). </w:t>
      </w:r>
      <w:r w:rsidR="00060F9B">
        <w:t>T</w:t>
      </w:r>
      <w:r w:rsidR="00F63F96">
        <w:t>he proportion of paid primary contact staff with a relevant formal qualification or three or more years relevant experience</w:t>
      </w:r>
      <w:r w:rsidR="00060F9B">
        <w:t xml:space="preserve"> was 82.6 per cent nationally in 2013 but varied across jurisdictions. Of this proportion, </w:t>
      </w:r>
      <w:r w:rsidR="00582840" w:rsidRPr="00582840">
        <w:t>74.1</w:t>
      </w:r>
      <w:r w:rsidR="00713462" w:rsidRPr="00582840">
        <w:t> </w:t>
      </w:r>
      <w:r w:rsidR="00267F4D" w:rsidRPr="00900809">
        <w:t>per cent of pa</w:t>
      </w:r>
      <w:r w:rsidR="00060F9B">
        <w:t xml:space="preserve">id primary contact staff </w:t>
      </w:r>
      <w:r w:rsidR="00267F4D" w:rsidRPr="00900809">
        <w:t xml:space="preserve">held a </w:t>
      </w:r>
      <w:r w:rsidR="00B211A9" w:rsidRPr="00900809">
        <w:t xml:space="preserve">relevant </w:t>
      </w:r>
      <w:r w:rsidR="00267F4D" w:rsidRPr="00900809">
        <w:t>formal qualification</w:t>
      </w:r>
      <w:r w:rsidR="00B211A9" w:rsidRPr="00900809">
        <w:t xml:space="preserve"> at or above Certificate level III,</w:t>
      </w:r>
      <w:r w:rsidR="006C159D" w:rsidRPr="00900809">
        <w:t xml:space="preserve"> and </w:t>
      </w:r>
      <w:r w:rsidR="00582840" w:rsidRPr="00582840">
        <w:t>8.5</w:t>
      </w:r>
      <w:r w:rsidR="00267F4D" w:rsidRPr="00582840">
        <w:t xml:space="preserve"> </w:t>
      </w:r>
      <w:r w:rsidR="00267F4D" w:rsidRPr="00900809">
        <w:t>per cent</w:t>
      </w:r>
      <w:r w:rsidR="00D06E10" w:rsidRPr="00900809">
        <w:t xml:space="preserve"> held no relevant formal qualification, but </w:t>
      </w:r>
      <w:r w:rsidR="00267F4D" w:rsidRPr="00900809">
        <w:t xml:space="preserve">had three or more years </w:t>
      </w:r>
      <w:r w:rsidR="00D06E10" w:rsidRPr="00900809">
        <w:t xml:space="preserve">of </w:t>
      </w:r>
      <w:r w:rsidR="00060F9B">
        <w:t xml:space="preserve">relevant experience </w:t>
      </w:r>
      <w:r w:rsidR="00267F4D">
        <w:t>(</w:t>
      </w:r>
      <w:r w:rsidRPr="004030D1">
        <w:t>figure</w:t>
      </w:r>
      <w:r w:rsidR="00172534">
        <w:t> </w:t>
      </w:r>
      <w:r w:rsidR="007C216A">
        <w:t>3.11</w:t>
      </w:r>
      <w:r w:rsidR="00267F4D">
        <w:t>)</w:t>
      </w:r>
      <w:r w:rsidR="00415855">
        <w:t>.</w:t>
      </w:r>
    </w:p>
    <w:p w:rsidR="004030D1" w:rsidRPr="008B42D1" w:rsidRDefault="004030D1" w:rsidP="00C3586E">
      <w:pPr>
        <w:pStyle w:val="FigureTitle"/>
        <w:rPr>
          <w:rStyle w:val="BoxChar"/>
        </w:rPr>
      </w:pPr>
      <w:r w:rsidRPr="0037092A">
        <w:rPr>
          <w:b w:val="0"/>
        </w:rPr>
        <w:t xml:space="preserve">Figure </w:t>
      </w:r>
      <w:bookmarkStart w:id="23" w:name="OLE_LINK44"/>
      <w:r w:rsidR="00923A1C" w:rsidRPr="0037092A">
        <w:rPr>
          <w:b w:val="0"/>
        </w:rPr>
        <w:t>3.</w:t>
      </w:r>
      <w:bookmarkEnd w:id="23"/>
      <w:r w:rsidR="007C216A">
        <w:rPr>
          <w:b w:val="0"/>
        </w:rPr>
        <w:t>11</w:t>
      </w:r>
      <w:r w:rsidRPr="0037092A">
        <w:tab/>
        <w:t xml:space="preserve">Paid primary contact staff employed by Australian Government approved child care services, by </w:t>
      </w:r>
      <w:r w:rsidR="006D6EB6" w:rsidRPr="0037092A">
        <w:t xml:space="preserve">relevant </w:t>
      </w:r>
      <w:r w:rsidRPr="0037092A">
        <w:t>qualification</w:t>
      </w:r>
      <w:r w:rsidR="009E6705" w:rsidRPr="0037092A">
        <w:t>, 20</w:t>
      </w:r>
      <w:r w:rsidR="006D48FE">
        <w:t>13</w:t>
      </w:r>
      <w:r w:rsidR="00D328ED" w:rsidRPr="0037092A">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030D1" w:rsidTr="005222C3">
        <w:tc>
          <w:tcPr>
            <w:tcW w:w="8777" w:type="dxa"/>
          </w:tcPr>
          <w:p w:rsidR="004030D1" w:rsidRDefault="00F230C0" w:rsidP="00C3586E">
            <w:pPr>
              <w:pStyle w:val="Figure"/>
            </w:pPr>
            <w:r>
              <w:rPr>
                <w:noProof/>
              </w:rPr>
              <w:drawing>
                <wp:inline distT="0" distB="0" distL="0" distR="0" wp14:anchorId="41A85603" wp14:editId="71F884A2">
                  <wp:extent cx="5422900" cy="2615565"/>
                  <wp:effectExtent l="0" t="0" r="6350" b="0"/>
                  <wp:docPr id="11" name="Picture 11" descr="Figure 3.11 Paid primary contact staff employed by Australian Government approved child care services, by relevant qualification,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22900" cy="2615565"/>
                          </a:xfrm>
                          <a:prstGeom prst="rect">
                            <a:avLst/>
                          </a:prstGeom>
                          <a:noFill/>
                          <a:ln>
                            <a:noFill/>
                          </a:ln>
                        </pic:spPr>
                      </pic:pic>
                    </a:graphicData>
                  </a:graphic>
                </wp:inline>
              </w:drawing>
            </w:r>
          </w:p>
        </w:tc>
      </w:tr>
    </w:tbl>
    <w:p w:rsidR="006C159D" w:rsidRPr="00BC6C84" w:rsidRDefault="00D328ED" w:rsidP="003735CA">
      <w:pPr>
        <w:pStyle w:val="Note"/>
        <w:keepNext/>
        <w:rPr>
          <w:rStyle w:val="NoteChar"/>
          <w:b/>
        </w:rPr>
      </w:pPr>
      <w:r w:rsidRPr="00D328ED">
        <w:rPr>
          <w:rStyle w:val="NoteLabel"/>
        </w:rPr>
        <w:t>a</w:t>
      </w:r>
      <w:r>
        <w:t xml:space="preserve"> </w:t>
      </w:r>
      <w:r w:rsidR="00D06E10" w:rsidRPr="003735CA">
        <w:rPr>
          <w:rStyle w:val="NoteChar"/>
          <w:shd w:val="clear" w:color="auto" w:fill="FFFFFF" w:themeFill="background1"/>
        </w:rPr>
        <w:t>D</w:t>
      </w:r>
      <w:r w:rsidR="00BC6C84" w:rsidRPr="003735CA">
        <w:rPr>
          <w:shd w:val="clear" w:color="auto" w:fill="FFFFFF" w:themeFill="background1"/>
        </w:rPr>
        <w:t xml:space="preserve">ata are </w:t>
      </w:r>
      <w:r w:rsidR="00047D06">
        <w:rPr>
          <w:shd w:val="clear" w:color="auto" w:fill="FFFFFF" w:themeFill="background1"/>
        </w:rPr>
        <w:t xml:space="preserve">preliminary </w:t>
      </w:r>
      <w:r w:rsidR="00BC6C84" w:rsidRPr="003735CA">
        <w:rPr>
          <w:shd w:val="clear" w:color="auto" w:fill="FFFFFF" w:themeFill="background1"/>
        </w:rPr>
        <w:t>from</w:t>
      </w:r>
      <w:r w:rsidR="00BC6C84">
        <w:t xml:space="preserve"> the </w:t>
      </w:r>
      <w:r w:rsidR="0008765A">
        <w:t xml:space="preserve">2013 </w:t>
      </w:r>
      <w:r w:rsidR="00BC6C84" w:rsidRPr="0080582B">
        <w:rPr>
          <w:i/>
        </w:rPr>
        <w:t>Nation</w:t>
      </w:r>
      <w:r w:rsidR="00DB2199" w:rsidRPr="0080582B">
        <w:rPr>
          <w:i/>
        </w:rPr>
        <w:t>al Early Childhood Education and Care</w:t>
      </w:r>
      <w:r w:rsidR="00BC6C84" w:rsidRPr="0080582B">
        <w:rPr>
          <w:i/>
        </w:rPr>
        <w:t xml:space="preserve"> Workforce Census</w:t>
      </w:r>
      <w:r w:rsidR="0068647C">
        <w:t>.</w:t>
      </w:r>
      <w:r>
        <w:rPr>
          <w:rStyle w:val="NoteChar"/>
        </w:rPr>
        <w:t xml:space="preserve"> Refer to box</w:t>
      </w:r>
      <w:r w:rsidR="00172534">
        <w:rPr>
          <w:rStyle w:val="NoteChar"/>
        </w:rPr>
        <w:t> </w:t>
      </w:r>
      <w:r w:rsidR="00923A1C" w:rsidRPr="00923A1C">
        <w:rPr>
          <w:rStyle w:val="NoteChar"/>
        </w:rPr>
        <w:t>3.4</w:t>
      </w:r>
      <w:r>
        <w:rPr>
          <w:rStyle w:val="NoteChar"/>
        </w:rPr>
        <w:t xml:space="preserve"> and table</w:t>
      </w:r>
      <w:r w:rsidR="00172534">
        <w:rPr>
          <w:rStyle w:val="NoteChar"/>
        </w:rPr>
        <w:t> </w:t>
      </w:r>
      <w:proofErr w:type="spellStart"/>
      <w:r>
        <w:rPr>
          <w:rStyle w:val="NoteChar"/>
        </w:rPr>
        <w:t>3A.</w:t>
      </w:r>
      <w:r w:rsidR="00C817E0">
        <w:rPr>
          <w:rStyle w:val="NoteChar"/>
        </w:rPr>
        <w:t>3</w:t>
      </w:r>
      <w:r w:rsidR="00DC052C">
        <w:rPr>
          <w:rStyle w:val="NoteChar"/>
        </w:rPr>
        <w:t>6</w:t>
      </w:r>
      <w:proofErr w:type="spellEnd"/>
      <w:r>
        <w:rPr>
          <w:rStyle w:val="NoteChar"/>
        </w:rPr>
        <w:t xml:space="preserve"> for more information</w:t>
      </w:r>
      <w:r w:rsidRPr="00D328ED">
        <w:rPr>
          <w:rStyle w:val="NoteChar"/>
        </w:rPr>
        <w:t>.</w:t>
      </w:r>
    </w:p>
    <w:p w:rsidR="004030D1" w:rsidRDefault="002D6AAD" w:rsidP="00171F72">
      <w:pPr>
        <w:pStyle w:val="Source"/>
      </w:pPr>
      <w:r w:rsidRPr="00267F4D">
        <w:rPr>
          <w:i/>
        </w:rPr>
        <w:t>S</w:t>
      </w:r>
      <w:r w:rsidR="004030D1" w:rsidRPr="00267F4D">
        <w:rPr>
          <w:i/>
        </w:rPr>
        <w:t>ource</w:t>
      </w:r>
      <w:r w:rsidR="004030D1" w:rsidRPr="00167F06">
        <w:t xml:space="preserve">: </w:t>
      </w:r>
      <w:r w:rsidR="00E318F3">
        <w:t>Department of Education</w:t>
      </w:r>
      <w:r w:rsidR="00F27AEC">
        <w:t>,</w:t>
      </w:r>
      <w:r w:rsidR="008C5B8D" w:rsidRPr="008C5B8D">
        <w:t xml:space="preserve"> </w:t>
      </w:r>
      <w:r w:rsidR="007E1DB2" w:rsidRPr="0072701E">
        <w:rPr>
          <w:i/>
        </w:rPr>
        <w:t>National Early Childhood Education and Care Workforce Census</w:t>
      </w:r>
      <w:r w:rsidR="0008765A">
        <w:t>, 2013</w:t>
      </w:r>
      <w:r w:rsidR="00DB2199">
        <w:t xml:space="preserve"> </w:t>
      </w:r>
      <w:r w:rsidR="00DB2199" w:rsidRPr="00C40398">
        <w:rPr>
          <w:i/>
        </w:rPr>
        <w:t>(preliminary data)</w:t>
      </w:r>
      <w:r w:rsidR="006C10D9" w:rsidRPr="00C40398">
        <w:rPr>
          <w:i/>
        </w:rPr>
        <w:t>;</w:t>
      </w:r>
      <w:r w:rsidR="007C73E3" w:rsidRPr="008C5B8D">
        <w:t xml:space="preserve"> </w:t>
      </w:r>
      <w:r w:rsidR="00BC6C84">
        <w:t>table </w:t>
      </w:r>
      <w:proofErr w:type="spellStart"/>
      <w:r w:rsidR="006C10D9">
        <w:t>3A.</w:t>
      </w:r>
      <w:r w:rsidR="00DC052C">
        <w:t>36</w:t>
      </w:r>
      <w:proofErr w:type="spellEnd"/>
      <w:r w:rsidR="006C10D9">
        <w:t>.</w:t>
      </w:r>
    </w:p>
    <w:p w:rsidR="00BA6592" w:rsidRDefault="007F60E0" w:rsidP="00C3586E">
      <w:pPr>
        <w:pStyle w:val="BodyText"/>
      </w:pPr>
      <w:r>
        <w:t>N</w:t>
      </w:r>
      <w:r w:rsidR="005A2A2C">
        <w:t>ationally</w:t>
      </w:r>
      <w:r w:rsidR="0008765A">
        <w:t xml:space="preserve"> in 2013</w:t>
      </w:r>
      <w:r w:rsidR="005A2A2C">
        <w:t>,</w:t>
      </w:r>
      <w:r w:rsidR="00CC6589">
        <w:t xml:space="preserve"> </w:t>
      </w:r>
      <w:r>
        <w:t xml:space="preserve">the majority of </w:t>
      </w:r>
      <w:r w:rsidR="00CC6589">
        <w:t xml:space="preserve">paid primary contact staff with </w:t>
      </w:r>
      <w:r w:rsidR="006D6EB6">
        <w:t xml:space="preserve">relevant </w:t>
      </w:r>
      <w:r w:rsidR="00CC6589">
        <w:t xml:space="preserve">formal qualifications in approved Australian </w:t>
      </w:r>
      <w:r w:rsidR="00CC6589" w:rsidRPr="00900809">
        <w:t>Government child care services</w:t>
      </w:r>
      <w:r w:rsidRPr="00900809">
        <w:t xml:space="preserve"> held a </w:t>
      </w:r>
      <w:r w:rsidR="00F7662D" w:rsidRPr="00900809">
        <w:t>c</w:t>
      </w:r>
      <w:r w:rsidR="00B556E4" w:rsidRPr="00900809">
        <w:t>ertificate III or IV</w:t>
      </w:r>
      <w:r w:rsidR="00D06E10" w:rsidRPr="00900809">
        <w:t>,</w:t>
      </w:r>
      <w:r w:rsidR="00B556E4" w:rsidRPr="00900809">
        <w:t xml:space="preserve"> or a </w:t>
      </w:r>
      <w:r w:rsidR="00F7662D" w:rsidRPr="00900809">
        <w:t>d</w:t>
      </w:r>
      <w:r w:rsidR="00B556E4" w:rsidRPr="00900809">
        <w:t xml:space="preserve">iploma or </w:t>
      </w:r>
      <w:r w:rsidR="00F7662D" w:rsidRPr="00900809">
        <w:t>a</w:t>
      </w:r>
      <w:r w:rsidR="00B556E4" w:rsidRPr="00900809">
        <w:t xml:space="preserve">dvanced </w:t>
      </w:r>
      <w:r w:rsidR="00F7662D" w:rsidRPr="00900809">
        <w:t>d</w:t>
      </w:r>
      <w:r w:rsidR="00B556E4" w:rsidRPr="00900809">
        <w:t>iploma</w:t>
      </w:r>
      <w:r w:rsidRPr="00900809">
        <w:t xml:space="preserve"> (</w:t>
      </w:r>
      <w:r w:rsidR="00DC7AAB" w:rsidRPr="00904F08">
        <w:t xml:space="preserve">44.4 </w:t>
      </w:r>
      <w:r w:rsidRPr="00900809">
        <w:t>per cent</w:t>
      </w:r>
      <w:r w:rsidR="00B556E4" w:rsidRPr="00900809">
        <w:t xml:space="preserve"> and </w:t>
      </w:r>
      <w:r w:rsidR="00904F08" w:rsidRPr="00904F08">
        <w:t>40.1</w:t>
      </w:r>
      <w:r w:rsidR="00713462" w:rsidRPr="00904F08">
        <w:t> </w:t>
      </w:r>
      <w:r w:rsidR="00E602DE" w:rsidRPr="00900809">
        <w:t>per </w:t>
      </w:r>
      <w:r w:rsidR="00B556E4" w:rsidRPr="00900809">
        <w:t>cent, respectively</w:t>
      </w:r>
      <w:r w:rsidRPr="00900809">
        <w:t>)</w:t>
      </w:r>
      <w:r w:rsidR="00B556E4" w:rsidRPr="00900809">
        <w:t xml:space="preserve"> </w:t>
      </w:r>
      <w:r w:rsidR="000B2D26" w:rsidRPr="00900809">
        <w:t>(table</w:t>
      </w:r>
      <w:r w:rsidR="00B556E4" w:rsidRPr="00900809">
        <w:t> </w:t>
      </w:r>
      <w:proofErr w:type="spellStart"/>
      <w:r w:rsidR="000B2D26" w:rsidRPr="00900809">
        <w:t>3A.</w:t>
      </w:r>
      <w:r w:rsidR="00CC2092" w:rsidRPr="00900809">
        <w:t>3</w:t>
      </w:r>
      <w:r w:rsidR="00DC052C">
        <w:t>7</w:t>
      </w:r>
      <w:proofErr w:type="spellEnd"/>
      <w:r w:rsidR="000B2D26" w:rsidRPr="00900809">
        <w:t xml:space="preserve">). Of the </w:t>
      </w:r>
      <w:r w:rsidR="000F07E1" w:rsidRPr="000F07E1">
        <w:t>11</w:t>
      </w:r>
      <w:r w:rsidR="00CC43FD">
        <w:t> </w:t>
      </w:r>
      <w:r w:rsidR="000F07E1" w:rsidRPr="000F07E1">
        <w:t>477</w:t>
      </w:r>
      <w:r w:rsidR="000E74ED" w:rsidRPr="000F07E1">
        <w:t xml:space="preserve"> </w:t>
      </w:r>
      <w:r w:rsidR="000E74ED" w:rsidRPr="00900809">
        <w:t>(</w:t>
      </w:r>
      <w:r w:rsidR="000E74ED" w:rsidRPr="000F07E1">
        <w:t xml:space="preserve">or </w:t>
      </w:r>
      <w:r w:rsidR="000F07E1" w:rsidRPr="000F07E1">
        <w:t>15.5</w:t>
      </w:r>
      <w:r w:rsidR="00B556E4" w:rsidRPr="000F07E1">
        <w:t xml:space="preserve"> </w:t>
      </w:r>
      <w:r w:rsidR="00B556E4" w:rsidRPr="00900809">
        <w:t>per cent</w:t>
      </w:r>
      <w:r w:rsidR="000E74ED" w:rsidRPr="00900809">
        <w:t>)</w:t>
      </w:r>
      <w:r w:rsidR="00B556E4" w:rsidRPr="00900809">
        <w:t xml:space="preserve"> </w:t>
      </w:r>
      <w:r w:rsidR="000B2D26" w:rsidRPr="00900809">
        <w:t xml:space="preserve">paid primary contact staff with a bachelor degree or above, </w:t>
      </w:r>
      <w:r w:rsidR="000F07E1" w:rsidRPr="000F07E1">
        <w:t>82.8</w:t>
      </w:r>
      <w:r w:rsidR="000B2D26" w:rsidRPr="000F07E1">
        <w:t xml:space="preserve"> </w:t>
      </w:r>
      <w:r w:rsidR="000B2D26" w:rsidRPr="00900809">
        <w:t xml:space="preserve">per cent held university qualifications in the field of </w:t>
      </w:r>
      <w:r w:rsidR="00E12AA6" w:rsidRPr="00900809">
        <w:t>e</w:t>
      </w:r>
      <w:r w:rsidR="000B2D26" w:rsidRPr="00900809">
        <w:t xml:space="preserve">arly </w:t>
      </w:r>
      <w:r w:rsidR="00E12AA6" w:rsidRPr="00900809">
        <w:t>c</w:t>
      </w:r>
      <w:r w:rsidR="000B2D26" w:rsidRPr="00900809">
        <w:t>hildhood education (table</w:t>
      </w:r>
      <w:r w:rsidR="00172534">
        <w:t> </w:t>
      </w:r>
      <w:proofErr w:type="spellStart"/>
      <w:r w:rsidR="000B2D26" w:rsidRPr="00900809">
        <w:t>3A.</w:t>
      </w:r>
      <w:r w:rsidR="00CC2092" w:rsidRPr="00900809">
        <w:t>3</w:t>
      </w:r>
      <w:r w:rsidR="00DC052C">
        <w:t>7</w:t>
      </w:r>
      <w:proofErr w:type="spellEnd"/>
      <w:r w:rsidR="000B2D26" w:rsidRPr="00900809">
        <w:t>).</w:t>
      </w:r>
    </w:p>
    <w:p w:rsidR="00E1515B" w:rsidRPr="00900809" w:rsidRDefault="00E1515B" w:rsidP="00C3586E">
      <w:pPr>
        <w:pStyle w:val="BodyText"/>
      </w:pPr>
      <w:r w:rsidRPr="003A14C9">
        <w:t xml:space="preserve">Nationally in 2013, </w:t>
      </w:r>
      <w:r w:rsidRPr="000F07E1">
        <w:t xml:space="preserve">80.9 </w:t>
      </w:r>
      <w:r w:rsidRPr="003A14C9">
        <w:t>per cent of paid primary contact staff in Australian Government approved child care services undertook relevant in</w:t>
      </w:r>
      <w:r w:rsidR="00172534">
        <w:noBreakHyphen/>
      </w:r>
      <w:r w:rsidRPr="003A14C9">
        <w:t>service training in the previous 12 months (figure</w:t>
      </w:r>
      <w:r w:rsidR="00172534">
        <w:t> </w:t>
      </w:r>
      <w:r w:rsidR="00492DFD">
        <w:t>3.12</w:t>
      </w:r>
      <w:r w:rsidRPr="003A14C9">
        <w:t xml:space="preserve">). </w:t>
      </w:r>
    </w:p>
    <w:p w:rsidR="009756B5" w:rsidRPr="008B42D1" w:rsidRDefault="009756B5" w:rsidP="00C3586E">
      <w:pPr>
        <w:pStyle w:val="FigureTitle"/>
        <w:rPr>
          <w:rStyle w:val="BoxChar"/>
        </w:rPr>
      </w:pPr>
      <w:r w:rsidRPr="000F07E1">
        <w:rPr>
          <w:b w:val="0"/>
        </w:rPr>
        <w:lastRenderedPageBreak/>
        <w:t xml:space="preserve">Figure </w:t>
      </w:r>
      <w:bookmarkStart w:id="24" w:name="OLE_LINK68"/>
      <w:r w:rsidR="00923A1C" w:rsidRPr="000F07E1">
        <w:rPr>
          <w:b w:val="0"/>
        </w:rPr>
        <w:t>3.</w:t>
      </w:r>
      <w:bookmarkEnd w:id="24"/>
      <w:r w:rsidR="000C6BAD" w:rsidRPr="000F07E1">
        <w:rPr>
          <w:b w:val="0"/>
        </w:rPr>
        <w:t>1</w:t>
      </w:r>
      <w:r w:rsidR="00492DFD">
        <w:rPr>
          <w:b w:val="0"/>
        </w:rPr>
        <w:t>2</w:t>
      </w:r>
      <w:r w:rsidRPr="000F07E1">
        <w:tab/>
        <w:t>Proportion of paid primary contact staff in Australian Government approved child care services who undertook relevant in</w:t>
      </w:r>
      <w:r w:rsidR="00172534">
        <w:noBreakHyphen/>
      </w:r>
      <w:r w:rsidRPr="000F07E1">
        <w:t>service training in previous 12 months</w:t>
      </w:r>
      <w:r w:rsidR="004E18A5" w:rsidRPr="000F07E1">
        <w:t>, 20</w:t>
      </w:r>
      <w:r w:rsidR="003A14C9" w:rsidRPr="000F07E1">
        <w:t>13</w:t>
      </w:r>
      <w:r w:rsidR="00597273" w:rsidRPr="000F07E1">
        <w:rPr>
          <w:rStyle w:val="NoteLabel"/>
          <w:b/>
        </w:rPr>
        <w:t>a</w:t>
      </w:r>
      <w:r w:rsidR="0092466A" w:rsidRPr="008B42D1">
        <w:rPr>
          <w:rStyle w:val="BoxChar"/>
        </w:rPr>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756B5" w:rsidRPr="008D5C43" w:rsidTr="00715AEA">
        <w:tc>
          <w:tcPr>
            <w:tcW w:w="8777" w:type="dxa"/>
          </w:tcPr>
          <w:p w:rsidR="009756B5" w:rsidRPr="008D5C43" w:rsidRDefault="00F230C0" w:rsidP="00C3586E">
            <w:pPr>
              <w:pStyle w:val="Figure"/>
              <w:rPr>
                <w:color w:val="FF0000"/>
              </w:rPr>
            </w:pPr>
            <w:r>
              <w:rPr>
                <w:noProof/>
                <w:color w:val="FF0000"/>
              </w:rPr>
              <w:drawing>
                <wp:inline distT="0" distB="0" distL="0" distR="0" wp14:anchorId="66053FFF" wp14:editId="7275114B">
                  <wp:extent cx="5401310" cy="2689860"/>
                  <wp:effectExtent l="0" t="0" r="8890" b="0"/>
                  <wp:docPr id="12" name="Picture 12" descr="Figure 3.12 Proportion of paid primary contact staff in Australian Government approved child care services who undertook relevant in-service training in previous 12 months,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01310" cy="2689860"/>
                          </a:xfrm>
                          <a:prstGeom prst="rect">
                            <a:avLst/>
                          </a:prstGeom>
                          <a:noFill/>
                          <a:ln>
                            <a:noFill/>
                          </a:ln>
                        </pic:spPr>
                      </pic:pic>
                    </a:graphicData>
                  </a:graphic>
                </wp:inline>
              </w:drawing>
            </w:r>
          </w:p>
        </w:tc>
      </w:tr>
    </w:tbl>
    <w:p w:rsidR="00597273" w:rsidRPr="000F07E1" w:rsidRDefault="00597273" w:rsidP="003735CA">
      <w:pPr>
        <w:pStyle w:val="Note"/>
        <w:keepNext/>
        <w:shd w:val="clear" w:color="auto" w:fill="FFFFFF" w:themeFill="background1"/>
      </w:pPr>
      <w:r w:rsidRPr="000F07E1">
        <w:rPr>
          <w:rStyle w:val="NoteLabel"/>
        </w:rPr>
        <w:t>a</w:t>
      </w:r>
      <w:r w:rsidRPr="000F07E1">
        <w:t xml:space="preserve"> </w:t>
      </w:r>
      <w:r w:rsidR="000C6BAD" w:rsidRPr="000F07E1">
        <w:t>Data for 2013</w:t>
      </w:r>
      <w:r w:rsidR="00D06E10" w:rsidRPr="000F07E1">
        <w:t xml:space="preserve"> are </w:t>
      </w:r>
      <w:r w:rsidR="000F07E1" w:rsidRPr="000F07E1">
        <w:t>preliminary</w:t>
      </w:r>
      <w:r w:rsidR="00325BA4" w:rsidRPr="000F07E1">
        <w:t xml:space="preserve"> </w:t>
      </w:r>
      <w:r w:rsidR="0068647C" w:rsidRPr="000F07E1">
        <w:t>from the</w:t>
      </w:r>
      <w:r w:rsidR="000F07E1" w:rsidRPr="000F07E1">
        <w:t xml:space="preserve"> </w:t>
      </w:r>
      <w:r w:rsidR="000F07E1" w:rsidRPr="0080582B">
        <w:rPr>
          <w:i/>
        </w:rPr>
        <w:t>National Early Childhood Education and Care</w:t>
      </w:r>
      <w:r w:rsidR="006D4696" w:rsidRPr="0080582B">
        <w:rPr>
          <w:i/>
        </w:rPr>
        <w:t xml:space="preserve"> Workforce Census</w:t>
      </w:r>
      <w:r w:rsidR="006D4696" w:rsidRPr="000F07E1">
        <w:t xml:space="preserve">. </w:t>
      </w:r>
      <w:r w:rsidRPr="000F07E1">
        <w:t>Refer to box</w:t>
      </w:r>
      <w:r w:rsidR="00172534">
        <w:t> </w:t>
      </w:r>
      <w:r w:rsidR="00923A1C" w:rsidRPr="000F07E1">
        <w:t>3.4</w:t>
      </w:r>
      <w:r w:rsidRPr="000F07E1">
        <w:t xml:space="preserve"> and table</w:t>
      </w:r>
      <w:r w:rsidR="00172534">
        <w:t> </w:t>
      </w:r>
      <w:proofErr w:type="spellStart"/>
      <w:r w:rsidRPr="000F07E1">
        <w:t>3A.</w:t>
      </w:r>
      <w:r w:rsidR="00916691">
        <w:t>38</w:t>
      </w:r>
      <w:proofErr w:type="spellEnd"/>
      <w:r w:rsidRPr="000F07E1">
        <w:t xml:space="preserve"> for more information.</w:t>
      </w:r>
      <w:r w:rsidR="00D06E10" w:rsidRPr="000F07E1">
        <w:rPr>
          <w:rStyle w:val="NoteLabel"/>
        </w:rPr>
        <w:t xml:space="preserve"> </w:t>
      </w:r>
    </w:p>
    <w:p w:rsidR="009756B5" w:rsidRPr="000F07E1" w:rsidRDefault="009756B5" w:rsidP="007A2FF4">
      <w:pPr>
        <w:pStyle w:val="Source"/>
      </w:pPr>
      <w:r w:rsidRPr="000F07E1">
        <w:rPr>
          <w:i/>
        </w:rPr>
        <w:t>Source</w:t>
      </w:r>
      <w:r w:rsidRPr="000F07E1">
        <w:t xml:space="preserve">: </w:t>
      </w:r>
      <w:r w:rsidR="00E318F3" w:rsidRPr="000F07E1">
        <w:t xml:space="preserve">Department of Education </w:t>
      </w:r>
      <w:r w:rsidR="00EC405C" w:rsidRPr="000F07E1">
        <w:t xml:space="preserve">(unpublished) </w:t>
      </w:r>
      <w:r w:rsidR="007E1DB2" w:rsidRPr="000F07E1">
        <w:rPr>
          <w:i/>
        </w:rPr>
        <w:t>National Early Childhood Education</w:t>
      </w:r>
      <w:r w:rsidR="000C6BAD" w:rsidRPr="000F07E1">
        <w:rPr>
          <w:i/>
        </w:rPr>
        <w:t xml:space="preserve"> and Care Workforce Census, 2013</w:t>
      </w:r>
      <w:r w:rsidR="000F07E1" w:rsidRPr="000F07E1">
        <w:rPr>
          <w:i/>
        </w:rPr>
        <w:t xml:space="preserve"> (preliminary data)</w:t>
      </w:r>
      <w:r w:rsidR="007C73E3" w:rsidRPr="000F07E1">
        <w:t>;</w:t>
      </w:r>
      <w:r w:rsidR="00EC405C" w:rsidRPr="000F07E1">
        <w:rPr>
          <w:i/>
        </w:rPr>
        <w:t xml:space="preserve"> </w:t>
      </w:r>
      <w:r w:rsidR="00F1268F" w:rsidRPr="000F07E1">
        <w:t>table</w:t>
      </w:r>
      <w:r w:rsidR="00D06E10" w:rsidRPr="000F07E1">
        <w:t> </w:t>
      </w:r>
      <w:proofErr w:type="spellStart"/>
      <w:r w:rsidR="00F1268F" w:rsidRPr="000F07E1">
        <w:t>3A.</w:t>
      </w:r>
      <w:r w:rsidR="008002D0" w:rsidRPr="000F07E1">
        <w:t>3</w:t>
      </w:r>
      <w:r w:rsidR="00DC052C">
        <w:t>8</w:t>
      </w:r>
      <w:proofErr w:type="spellEnd"/>
      <w:r w:rsidR="00097435" w:rsidRPr="000F07E1">
        <w:t>.</w:t>
      </w:r>
    </w:p>
    <w:p w:rsidR="00794598" w:rsidRDefault="00666BFC" w:rsidP="00D06E10">
      <w:pPr>
        <w:pStyle w:val="BodyText"/>
      </w:pPr>
      <w:r w:rsidRPr="000C6BAD">
        <w:t>Additional contextual d</w:t>
      </w:r>
      <w:r w:rsidR="00794598" w:rsidRPr="000C6BAD">
        <w:t xml:space="preserve">ata </w:t>
      </w:r>
      <w:r w:rsidR="006C159D" w:rsidRPr="000C6BAD">
        <w:t>to support the staff</w:t>
      </w:r>
      <w:r w:rsidR="00172534">
        <w:noBreakHyphen/>
      </w:r>
      <w:r w:rsidR="006C159D" w:rsidRPr="000C6BAD">
        <w:t xml:space="preserve">quality </w:t>
      </w:r>
      <w:r w:rsidRPr="000C6BAD">
        <w:t xml:space="preserve">performance information </w:t>
      </w:r>
      <w:r w:rsidR="006C159D" w:rsidRPr="000C6BAD">
        <w:t xml:space="preserve">on staff tenure </w:t>
      </w:r>
      <w:r w:rsidR="00794598" w:rsidRPr="000C6BAD">
        <w:t>in Australian Government approved child c</w:t>
      </w:r>
      <w:r w:rsidR="008F46FC" w:rsidRPr="000C6BAD">
        <w:t xml:space="preserve">are services </w:t>
      </w:r>
      <w:r w:rsidR="00D06E10" w:rsidRPr="000C6BAD">
        <w:t xml:space="preserve">are reported in </w:t>
      </w:r>
      <w:r w:rsidR="00916691">
        <w:t>table</w:t>
      </w:r>
      <w:r w:rsidR="00172534">
        <w:t> </w:t>
      </w:r>
      <w:proofErr w:type="spellStart"/>
      <w:r w:rsidR="00916691">
        <w:t>3A.39</w:t>
      </w:r>
      <w:proofErr w:type="spellEnd"/>
      <w:r w:rsidR="00267F4D" w:rsidRPr="000C6BAD">
        <w:t>.</w:t>
      </w:r>
    </w:p>
    <w:p w:rsidR="00DB2B6B" w:rsidRDefault="00DB2B6B" w:rsidP="00DB2B6B">
      <w:pPr>
        <w:pStyle w:val="Heading5"/>
      </w:pPr>
      <w:r>
        <w:t>Proportion of workers delivering preschool programs who are at least three year university trained and early childhood qualified</w:t>
      </w:r>
    </w:p>
    <w:p w:rsidR="00DB2B6B" w:rsidRDefault="00DB2B6B" w:rsidP="00DB2B6B">
      <w:pPr>
        <w:pStyle w:val="BodyText"/>
      </w:pPr>
      <w:r>
        <w:t>For jurisdictions where data are available (NSW, Victoria, Queensland and WA)</w:t>
      </w:r>
      <w:r w:rsidR="00EA27A6">
        <w:t>,</w:t>
      </w:r>
      <w:r>
        <w:t xml:space="preserve"> t</w:t>
      </w:r>
      <w:r w:rsidRPr="00900809">
        <w:t xml:space="preserve">here were </w:t>
      </w:r>
      <w:r w:rsidRPr="00DA0DA7">
        <w:t xml:space="preserve">24 008 </w:t>
      </w:r>
      <w:r>
        <w:t xml:space="preserve">workers delivering preschool programs </w:t>
      </w:r>
      <w:r w:rsidRPr="00900809">
        <w:t>in 201</w:t>
      </w:r>
      <w:r>
        <w:t>2</w:t>
      </w:r>
      <w:r w:rsidRPr="00900809">
        <w:t>.</w:t>
      </w:r>
      <w:r>
        <w:t xml:space="preserve"> For those jurisdictions where data are available t</w:t>
      </w:r>
      <w:r w:rsidRPr="00900809">
        <w:t xml:space="preserve">he proportion of </w:t>
      </w:r>
      <w:r>
        <w:t>these workers</w:t>
      </w:r>
      <w:r w:rsidRPr="0097286C">
        <w:t xml:space="preserve"> </w:t>
      </w:r>
      <w:r>
        <w:t>delivering preschool programs who were at least three year university trained and early childhood qualified in 2012 was 41.6</w:t>
      </w:r>
      <w:r w:rsidRPr="00DA0DA7">
        <w:t> </w:t>
      </w:r>
      <w:r w:rsidRPr="00900809">
        <w:t>per</w:t>
      </w:r>
      <w:r>
        <w:t xml:space="preserve"> cent </w:t>
      </w:r>
      <w:r w:rsidR="00916691" w:rsidRPr="00493DF4">
        <w:t>(table</w:t>
      </w:r>
      <w:r w:rsidR="00172534">
        <w:t> </w:t>
      </w:r>
      <w:proofErr w:type="spellStart"/>
      <w:r w:rsidR="00916691" w:rsidRPr="00493DF4">
        <w:t>3A.40</w:t>
      </w:r>
      <w:proofErr w:type="spellEnd"/>
      <w:r w:rsidRPr="00493DF4">
        <w:t>).</w:t>
      </w:r>
    </w:p>
    <w:p w:rsidR="00DB2B6B" w:rsidRPr="00302061" w:rsidRDefault="00DB2B6B" w:rsidP="00DB2B6B">
      <w:pPr>
        <w:pStyle w:val="BodyText"/>
      </w:pPr>
      <w:r>
        <w:t>The available data to r</w:t>
      </w:r>
      <w:r w:rsidR="007427FE">
        <w:t>eport on this measure represent</w:t>
      </w:r>
      <w:r>
        <w:t xml:space="preserve"> a significant</w:t>
      </w:r>
      <w:r w:rsidRPr="00302061">
        <w:t xml:space="preserve"> undercount of the actual worker population. This is the result of no worker information being available from </w:t>
      </w:r>
      <w:r w:rsidR="005675FA">
        <w:t xml:space="preserve">the </w:t>
      </w:r>
      <w:proofErr w:type="spellStart"/>
      <w:r w:rsidR="005675FA">
        <w:t>CCMS</w:t>
      </w:r>
      <w:proofErr w:type="spellEnd"/>
      <w:r w:rsidRPr="00302061">
        <w:t xml:space="preserve"> to populate the National </w:t>
      </w:r>
      <w:proofErr w:type="spellStart"/>
      <w:r w:rsidRPr="00302061">
        <w:t>ECEC</w:t>
      </w:r>
      <w:proofErr w:type="spellEnd"/>
      <w:r w:rsidRPr="00302061">
        <w:t xml:space="preserve"> Collection f</w:t>
      </w:r>
      <w:r>
        <w:t>or the long day care sector.</w:t>
      </w:r>
    </w:p>
    <w:p w:rsidR="00DB2B6B" w:rsidRDefault="00DB2B6B" w:rsidP="00DB2B6B">
      <w:pPr>
        <w:pStyle w:val="BodyText"/>
      </w:pPr>
      <w:r>
        <w:t>Data on workers who are four year university trained and early childhood qualif</w:t>
      </w:r>
      <w:r w:rsidR="00916691">
        <w:t>ied are presented in table</w:t>
      </w:r>
      <w:r w:rsidR="00172534">
        <w:t> </w:t>
      </w:r>
      <w:proofErr w:type="spellStart"/>
      <w:r w:rsidR="00916691">
        <w:t>3A.40</w:t>
      </w:r>
      <w:proofErr w:type="spellEnd"/>
      <w:r>
        <w:t xml:space="preserve">. For jurisdictions where data are available (NSW, </w:t>
      </w:r>
      <w:r>
        <w:lastRenderedPageBreak/>
        <w:t>Victoria, Queensland and WA), the proportion of workers delivering preschool programs who are four year university trained and early childhood qualified was 31.7 per cent.</w:t>
      </w:r>
    </w:p>
    <w:p w:rsidR="00DB2B6B" w:rsidRPr="000C6BAD" w:rsidRDefault="00DB2B6B" w:rsidP="00D06E10">
      <w:pPr>
        <w:pStyle w:val="BodyText"/>
      </w:pPr>
      <w:r w:rsidRPr="00F47377">
        <w:t>NSW, Victoria</w:t>
      </w:r>
      <w:r>
        <w:t xml:space="preserve"> and</w:t>
      </w:r>
      <w:r w:rsidRPr="00F47377">
        <w:t xml:space="preserve"> Queensland provide</w:t>
      </w:r>
      <w:r>
        <w:t>d</w:t>
      </w:r>
      <w:r w:rsidRPr="00F47377">
        <w:t xml:space="preserve"> data on the proportion of preschool staff undertaking training in </w:t>
      </w:r>
      <w:r>
        <w:t>2012</w:t>
      </w:r>
      <w:r w:rsidR="00172534">
        <w:noBreakHyphen/>
      </w:r>
      <w:r>
        <w:t>13</w:t>
      </w:r>
      <w:r w:rsidRPr="00F47377">
        <w:t xml:space="preserve"> (tables</w:t>
      </w:r>
      <w:r w:rsidR="00172534">
        <w:t> </w:t>
      </w:r>
      <w:proofErr w:type="spellStart"/>
      <w:r w:rsidRPr="00F47377">
        <w:t>3A.</w:t>
      </w:r>
      <w:r w:rsidR="00916691">
        <w:t>63</w:t>
      </w:r>
      <w:proofErr w:type="spellEnd"/>
      <w:r w:rsidRPr="00F47377">
        <w:t xml:space="preserve">, </w:t>
      </w:r>
      <w:proofErr w:type="spellStart"/>
      <w:r w:rsidRPr="00F47377">
        <w:t>3A.</w:t>
      </w:r>
      <w:r w:rsidR="00916691">
        <w:t>70</w:t>
      </w:r>
      <w:proofErr w:type="spellEnd"/>
      <w:r>
        <w:t xml:space="preserve"> and</w:t>
      </w:r>
      <w:r w:rsidRPr="00F47377">
        <w:t xml:space="preserve"> </w:t>
      </w:r>
      <w:proofErr w:type="spellStart"/>
      <w:r w:rsidRPr="00F47377">
        <w:t>3A.</w:t>
      </w:r>
      <w:r w:rsidR="00916691">
        <w:t>77</w:t>
      </w:r>
      <w:proofErr w:type="spellEnd"/>
      <w:r w:rsidRPr="00F47377">
        <w:t>).</w:t>
      </w:r>
    </w:p>
    <w:p w:rsidR="0040209E" w:rsidRPr="008B42D1" w:rsidRDefault="0064069A" w:rsidP="00C3586E">
      <w:pPr>
        <w:pStyle w:val="Heading5"/>
        <w:rPr>
          <w:rStyle w:val="BoxChar"/>
        </w:rPr>
      </w:pPr>
      <w:r w:rsidRPr="006E32A6">
        <w:t>Standards</w:t>
      </w:r>
      <w:r w:rsidR="00705BAA" w:rsidRPr="006E32A6">
        <w:t xml:space="preserve"> </w:t>
      </w:r>
    </w:p>
    <w:p w:rsidR="00D73B33" w:rsidRDefault="00794598" w:rsidP="002C46BF">
      <w:pPr>
        <w:pStyle w:val="BodyText"/>
      </w:pPr>
      <w:r w:rsidRPr="006E32A6">
        <w:t xml:space="preserve">Under the </w:t>
      </w:r>
      <w:r w:rsidRPr="006E32A6">
        <w:rPr>
          <w:i/>
        </w:rPr>
        <w:t xml:space="preserve">National Partnership </w:t>
      </w:r>
      <w:r w:rsidR="00267F4D" w:rsidRPr="006E32A6">
        <w:rPr>
          <w:i/>
        </w:rPr>
        <w:t>A</w:t>
      </w:r>
      <w:r w:rsidRPr="006E32A6">
        <w:rPr>
          <w:i/>
        </w:rPr>
        <w:t>greement on the</w:t>
      </w:r>
      <w:r w:rsidRPr="006E32A6">
        <w:t xml:space="preserve"> </w:t>
      </w:r>
      <w:r w:rsidRPr="006E32A6">
        <w:rPr>
          <w:i/>
        </w:rPr>
        <w:t xml:space="preserve">National </w:t>
      </w:r>
      <w:r w:rsidR="009A1225" w:rsidRPr="006E32A6">
        <w:rPr>
          <w:i/>
        </w:rPr>
        <w:t xml:space="preserve">Quality Agenda for Early Childhood Education and </w:t>
      </w:r>
      <w:r w:rsidR="00F27C91" w:rsidRPr="006E32A6">
        <w:rPr>
          <w:i/>
        </w:rPr>
        <w:t>C</w:t>
      </w:r>
      <w:r w:rsidR="009A1225" w:rsidRPr="006E32A6">
        <w:rPr>
          <w:i/>
        </w:rPr>
        <w:t>are</w:t>
      </w:r>
      <w:r w:rsidR="009A1225" w:rsidRPr="006E32A6">
        <w:t xml:space="preserve">, </w:t>
      </w:r>
      <w:proofErr w:type="spellStart"/>
      <w:r w:rsidR="009A1225" w:rsidRPr="006E32A6">
        <w:t>COAG</w:t>
      </w:r>
      <w:proofErr w:type="spellEnd"/>
      <w:r w:rsidR="009A1225" w:rsidRPr="006E32A6">
        <w:t xml:space="preserve"> </w:t>
      </w:r>
      <w:r w:rsidR="00D73B33" w:rsidRPr="006E32A6">
        <w:t>has established</w:t>
      </w:r>
      <w:r w:rsidR="009A1225" w:rsidRPr="006E32A6">
        <w:t xml:space="preserve"> a jointly governed </w:t>
      </w:r>
      <w:proofErr w:type="spellStart"/>
      <w:r w:rsidR="004369F9">
        <w:t>NQF</w:t>
      </w:r>
      <w:proofErr w:type="spellEnd"/>
      <w:r w:rsidR="004369F9">
        <w:t xml:space="preserve"> </w:t>
      </w:r>
      <w:r w:rsidR="009A1225" w:rsidRPr="00D11F76">
        <w:t>for</w:t>
      </w:r>
      <w:r w:rsidR="00E602DE">
        <w:t xml:space="preserve"> </w:t>
      </w:r>
      <w:r w:rsidR="00D06E10">
        <w:t>E</w:t>
      </w:r>
      <w:r w:rsidR="00E602DE">
        <w:t>arly Childhood Education and C</w:t>
      </w:r>
      <w:r w:rsidR="009A1225" w:rsidRPr="00D11F76">
        <w:t>are</w:t>
      </w:r>
      <w:r w:rsidR="00267F4D">
        <w:t xml:space="preserve">, which </w:t>
      </w:r>
      <w:r w:rsidR="009A1225" w:rsidRPr="00D11F76">
        <w:t>replace</w:t>
      </w:r>
      <w:r w:rsidR="00D73B33">
        <w:t>d</w:t>
      </w:r>
      <w:r w:rsidR="009A1225" w:rsidRPr="00D11F76">
        <w:t xml:space="preserve"> </w:t>
      </w:r>
      <w:r w:rsidR="00D73B33">
        <w:t xml:space="preserve">previous </w:t>
      </w:r>
      <w:r w:rsidR="009A1225" w:rsidRPr="00D11F76">
        <w:t>separate licensing and quality assuran</w:t>
      </w:r>
      <w:r w:rsidR="009A1225" w:rsidRPr="001803C8">
        <w:rPr>
          <w:i/>
          <w:sz w:val="28"/>
        </w:rPr>
        <w:t>c</w:t>
      </w:r>
      <w:r w:rsidR="009A1225" w:rsidRPr="00D11F76">
        <w:t xml:space="preserve">e processes </w:t>
      </w:r>
      <w:r w:rsidR="00267F4D" w:rsidRPr="00AC7255">
        <w:t>(</w:t>
      </w:r>
      <w:r w:rsidR="009A1225" w:rsidRPr="00AC7255">
        <w:t>box</w:t>
      </w:r>
      <w:r w:rsidR="00172534">
        <w:t> </w:t>
      </w:r>
      <w:r w:rsidR="00937775" w:rsidRPr="00AC7255">
        <w:t>3.15</w:t>
      </w:r>
      <w:r w:rsidR="00267F4D" w:rsidRPr="00AC7255">
        <w:t>)</w:t>
      </w:r>
      <w:r w:rsidR="009A1225" w:rsidRPr="00AC7255">
        <w:t>.</w:t>
      </w:r>
    </w:p>
    <w:p w:rsidR="00FC260A" w:rsidRDefault="00FC260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C260A">
        <w:tc>
          <w:tcPr>
            <w:tcW w:w="8771" w:type="dxa"/>
            <w:tcBorders>
              <w:top w:val="single" w:sz="6" w:space="0" w:color="auto"/>
              <w:bottom w:val="nil"/>
            </w:tcBorders>
          </w:tcPr>
          <w:p w:rsidR="00FC260A" w:rsidRDefault="00FC260A" w:rsidP="00D6543A">
            <w:pPr>
              <w:pStyle w:val="BoxTitle"/>
            </w:pPr>
            <w:r>
              <w:rPr>
                <w:b w:val="0"/>
              </w:rPr>
              <w:t xml:space="preserve">Box </w:t>
            </w:r>
            <w:bookmarkStart w:id="25" w:name="OLE_LINK16"/>
            <w:r>
              <w:rPr>
                <w:b w:val="0"/>
              </w:rPr>
              <w:t>3.</w:t>
            </w:r>
            <w:bookmarkEnd w:id="25"/>
            <w:r w:rsidR="00D6543A">
              <w:rPr>
                <w:b w:val="0"/>
              </w:rPr>
              <w:t>15</w:t>
            </w:r>
            <w:r>
              <w:tab/>
            </w:r>
            <w:r w:rsidRPr="00547D79">
              <w:rPr>
                <w:i/>
              </w:rPr>
              <w:t>National Quality Framework</w:t>
            </w:r>
            <w:r>
              <w:t xml:space="preserve"> </w:t>
            </w:r>
          </w:p>
        </w:tc>
      </w:tr>
      <w:tr w:rsidR="00FC260A">
        <w:trPr>
          <w:cantSplit/>
        </w:trPr>
        <w:tc>
          <w:tcPr>
            <w:tcW w:w="8771" w:type="dxa"/>
            <w:tcBorders>
              <w:top w:val="nil"/>
              <w:left w:val="single" w:sz="6" w:space="0" w:color="auto"/>
              <w:bottom w:val="nil"/>
              <w:right w:val="single" w:sz="6" w:space="0" w:color="auto"/>
            </w:tcBorders>
          </w:tcPr>
          <w:p w:rsidR="00FC260A" w:rsidRPr="001C559F" w:rsidRDefault="00FC260A" w:rsidP="00FC260A">
            <w:pPr>
              <w:pStyle w:val="Box"/>
            </w:pPr>
            <w:r w:rsidRPr="001C559F">
              <w:t>On 7</w:t>
            </w:r>
            <w:r w:rsidR="00172534">
              <w:t> </w:t>
            </w:r>
            <w:r w:rsidRPr="001C559F">
              <w:t xml:space="preserve">December 2009 </w:t>
            </w:r>
            <w:proofErr w:type="spellStart"/>
            <w:r w:rsidRPr="001C559F">
              <w:t>C</w:t>
            </w:r>
            <w:r w:rsidR="00331BBD">
              <w:t>OAG</w:t>
            </w:r>
            <w:proofErr w:type="spellEnd"/>
            <w:r w:rsidR="00331BBD">
              <w:t xml:space="preserve"> endorsed a </w:t>
            </w:r>
            <w:r w:rsidR="00331BBD" w:rsidRPr="00493DF4">
              <w:rPr>
                <w:i/>
              </w:rPr>
              <w:t>N</w:t>
            </w:r>
            <w:r w:rsidR="0063744B" w:rsidRPr="00493DF4">
              <w:rPr>
                <w:i/>
              </w:rPr>
              <w:t>ational Quality Framework</w:t>
            </w:r>
            <w:r w:rsidR="00881966" w:rsidRPr="00493DF4">
              <w:rPr>
                <w:i/>
              </w:rPr>
              <w:t xml:space="preserve"> for Early Childhood Education and Care</w:t>
            </w:r>
            <w:r w:rsidR="0063744B" w:rsidRPr="00493DF4">
              <w:t xml:space="preserve"> (</w:t>
            </w:r>
            <w:proofErr w:type="spellStart"/>
            <w:r w:rsidR="0063744B" w:rsidRPr="00493DF4">
              <w:t>N</w:t>
            </w:r>
            <w:r w:rsidR="00331BBD" w:rsidRPr="00493DF4">
              <w:t>QF</w:t>
            </w:r>
            <w:proofErr w:type="spellEnd"/>
            <w:r w:rsidR="0063744B" w:rsidRPr="00493DF4">
              <w:t>)</w:t>
            </w:r>
            <w:r w:rsidR="00881966" w:rsidRPr="00881966">
              <w:t xml:space="preserve"> </w:t>
            </w:r>
            <w:r w:rsidRPr="001C559F">
              <w:t>(se</w:t>
            </w:r>
            <w:r w:rsidR="00193B9A">
              <w:t>e also box</w:t>
            </w:r>
            <w:r w:rsidR="00172534">
              <w:t> </w:t>
            </w:r>
            <w:r w:rsidR="00193B9A">
              <w:t xml:space="preserve">3.1). The </w:t>
            </w:r>
            <w:proofErr w:type="spellStart"/>
            <w:r w:rsidR="00193B9A">
              <w:t>NQF</w:t>
            </w:r>
            <w:proofErr w:type="spellEnd"/>
            <w:r w:rsidR="00193B9A">
              <w:t xml:space="preserve"> is</w:t>
            </w:r>
            <w:r w:rsidRPr="001C559F">
              <w:t xml:space="preserve"> a uniform national system join</w:t>
            </w:r>
            <w:r w:rsidR="00E34C3A">
              <w:t>tly governed by the Australian Government</w:t>
            </w:r>
            <w:r w:rsidRPr="001C559F">
              <w:t xml:space="preserve"> and </w:t>
            </w:r>
            <w:r w:rsidR="00E602DE">
              <w:t>s</w:t>
            </w:r>
            <w:r w:rsidRPr="001C559F">
              <w:t>tate</w:t>
            </w:r>
            <w:r w:rsidR="00E602DE">
              <w:t>s</w:t>
            </w:r>
            <w:r w:rsidRPr="001C559F">
              <w:t xml:space="preserve"> and </w:t>
            </w:r>
            <w:r w:rsidR="00E602DE">
              <w:t>t</w:t>
            </w:r>
            <w:r w:rsidRPr="001C559F">
              <w:t>erritories.</w:t>
            </w:r>
          </w:p>
          <w:p w:rsidR="00FC260A" w:rsidRPr="001C559F" w:rsidRDefault="00FC260A" w:rsidP="00FC260A">
            <w:pPr>
              <w:pStyle w:val="Box"/>
            </w:pPr>
            <w:r w:rsidRPr="001C559F">
              <w:t>The new framework aims to raise quality and enable continuous improvement in early childhood education and care through</w:t>
            </w:r>
            <w:r w:rsidR="00B53EA9">
              <w:t xml:space="preserve"> </w:t>
            </w:r>
            <w:r w:rsidR="00B53EA9" w:rsidRPr="00493DF4">
              <w:t>a national applied law regulatory scheme that includes</w:t>
            </w:r>
            <w:r w:rsidRPr="00493DF4">
              <w:t>:</w:t>
            </w:r>
          </w:p>
          <w:p w:rsidR="00FC260A" w:rsidRPr="001C559F" w:rsidRDefault="00331BBD" w:rsidP="00751B02">
            <w:pPr>
              <w:pStyle w:val="BoxListBullet"/>
            </w:pPr>
            <w:r>
              <w:t xml:space="preserve">a </w:t>
            </w:r>
            <w:r w:rsidRPr="002B1F73">
              <w:rPr>
                <w:i/>
              </w:rPr>
              <w:t>N</w:t>
            </w:r>
            <w:r w:rsidR="0063744B" w:rsidRPr="002B1F73">
              <w:rPr>
                <w:i/>
              </w:rPr>
              <w:t xml:space="preserve">ational </w:t>
            </w:r>
            <w:r w:rsidRPr="002B1F73">
              <w:rPr>
                <w:i/>
              </w:rPr>
              <w:t>Q</w:t>
            </w:r>
            <w:r w:rsidR="0063744B" w:rsidRPr="002B1F73">
              <w:rPr>
                <w:i/>
              </w:rPr>
              <w:t xml:space="preserve">uality </w:t>
            </w:r>
            <w:r w:rsidRPr="002B1F73">
              <w:rPr>
                <w:i/>
              </w:rPr>
              <w:t>S</w:t>
            </w:r>
            <w:r w:rsidR="0063744B" w:rsidRPr="002B1F73">
              <w:rPr>
                <w:i/>
              </w:rPr>
              <w:t>tandard</w:t>
            </w:r>
            <w:r w:rsidR="0063744B">
              <w:t xml:space="preserve"> (</w:t>
            </w:r>
            <w:proofErr w:type="spellStart"/>
            <w:r w:rsidR="0063744B">
              <w:t>NQS</w:t>
            </w:r>
            <w:proofErr w:type="spellEnd"/>
            <w:r w:rsidR="0063744B">
              <w:t>)</w:t>
            </w:r>
          </w:p>
          <w:p w:rsidR="00FC260A" w:rsidRPr="001C559F" w:rsidRDefault="00FC260A" w:rsidP="00751B02">
            <w:pPr>
              <w:pStyle w:val="BoxListBullet"/>
              <w:shd w:val="clear" w:color="auto" w:fill="FFFFFF" w:themeFill="background1"/>
            </w:pPr>
            <w:r w:rsidRPr="001C559F">
              <w:t xml:space="preserve">a new rating system to complement the </w:t>
            </w:r>
            <w:proofErr w:type="spellStart"/>
            <w:r w:rsidRPr="001C559F">
              <w:t>NQS</w:t>
            </w:r>
            <w:proofErr w:type="spellEnd"/>
          </w:p>
          <w:p w:rsidR="00FC260A" w:rsidRPr="001C559F" w:rsidRDefault="00E34C3A" w:rsidP="00751B02">
            <w:pPr>
              <w:pStyle w:val="BoxListBullet"/>
              <w:shd w:val="clear" w:color="auto" w:fill="FFFFFF" w:themeFill="background1"/>
            </w:pPr>
            <w:r>
              <w:t xml:space="preserve">a </w:t>
            </w:r>
            <w:r w:rsidR="00FC260A" w:rsidRPr="001C559F">
              <w:t>streamlined regulatory system</w:t>
            </w:r>
          </w:p>
          <w:p w:rsidR="00DE681B" w:rsidRDefault="00006A76" w:rsidP="00751B02">
            <w:pPr>
              <w:pStyle w:val="BoxListBullet"/>
              <w:shd w:val="clear" w:color="auto" w:fill="FFFFFF" w:themeFill="background1"/>
            </w:pPr>
            <w:r>
              <w:t xml:space="preserve">the </w:t>
            </w:r>
            <w:r w:rsidR="0063744B">
              <w:t>Australian Children’s Education and Care Quality Authority (</w:t>
            </w:r>
            <w:proofErr w:type="spellStart"/>
            <w:r>
              <w:t>ACECQA</w:t>
            </w:r>
            <w:proofErr w:type="spellEnd"/>
            <w:r w:rsidR="0063744B">
              <w:t>)</w:t>
            </w:r>
            <w:r w:rsidR="00325BA4">
              <w:t xml:space="preserve"> —</w:t>
            </w:r>
            <w:r w:rsidR="00DE681B" w:rsidRPr="00DE681B">
              <w:t xml:space="preserve"> the new national body responsible for providing oversight of the new system and ensuring consistency of approach.</w:t>
            </w:r>
          </w:p>
          <w:p w:rsidR="00FC260A" w:rsidRPr="00FD1B8A" w:rsidRDefault="00AC7255" w:rsidP="003735CA">
            <w:pPr>
              <w:pStyle w:val="Box"/>
              <w:shd w:val="clear" w:color="auto" w:fill="FFFFFF" w:themeFill="background1"/>
            </w:pPr>
            <w:r>
              <w:rPr>
                <w:shd w:val="clear" w:color="auto" w:fill="FFFFFF" w:themeFill="background1"/>
              </w:rPr>
              <w:t xml:space="preserve">The </w:t>
            </w:r>
            <w:proofErr w:type="spellStart"/>
            <w:r>
              <w:rPr>
                <w:shd w:val="clear" w:color="auto" w:fill="FFFFFF" w:themeFill="background1"/>
              </w:rPr>
              <w:t>NQF</w:t>
            </w:r>
            <w:proofErr w:type="spellEnd"/>
            <w:r w:rsidR="00DE681B" w:rsidRPr="003735CA">
              <w:rPr>
                <w:shd w:val="clear" w:color="auto" w:fill="FFFFFF" w:themeFill="background1"/>
              </w:rPr>
              <w:t xml:space="preserve"> came into effect from 1</w:t>
            </w:r>
            <w:r w:rsidR="00172534">
              <w:rPr>
                <w:shd w:val="clear" w:color="auto" w:fill="FFFFFF" w:themeFill="background1"/>
              </w:rPr>
              <w:t> </w:t>
            </w:r>
            <w:r w:rsidR="00DE681B" w:rsidRPr="003735CA">
              <w:rPr>
                <w:shd w:val="clear" w:color="auto" w:fill="FFFFFF" w:themeFill="background1"/>
              </w:rPr>
              <w:t xml:space="preserve">January 2012 </w:t>
            </w:r>
            <w:r w:rsidR="00DE681B" w:rsidRPr="00DE681B">
              <w:t xml:space="preserve">and applies </w:t>
            </w:r>
            <w:r w:rsidR="00DE681B" w:rsidRPr="003735CA">
              <w:rPr>
                <w:shd w:val="clear" w:color="auto" w:fill="FFFFFF" w:themeFill="background1"/>
              </w:rPr>
              <w:t xml:space="preserve">to </w:t>
            </w:r>
            <w:r w:rsidR="00FC260A" w:rsidRPr="003735CA">
              <w:rPr>
                <w:shd w:val="clear" w:color="auto" w:fill="FFFFFF" w:themeFill="background1"/>
              </w:rPr>
              <w:t>long</w:t>
            </w:r>
            <w:r w:rsidR="00FC260A" w:rsidRPr="001C559F">
              <w:t xml:space="preserve"> day care, family day care, </w:t>
            </w:r>
            <w:r w:rsidR="005A2A2C">
              <w:t xml:space="preserve">and </w:t>
            </w:r>
            <w:r w:rsidR="00FC260A" w:rsidRPr="001C559F">
              <w:t>outside school hours care services and preschools, with the gradual introduction over subsequent years of improved ratios and qualificatio</w:t>
            </w:r>
            <w:r w:rsidR="00331BBD">
              <w:t xml:space="preserve">ns. The </w:t>
            </w:r>
            <w:proofErr w:type="spellStart"/>
            <w:r w:rsidR="00331BBD">
              <w:t>NQS</w:t>
            </w:r>
            <w:proofErr w:type="spellEnd"/>
            <w:r w:rsidR="00FC260A" w:rsidRPr="001C559F">
              <w:t xml:space="preserve"> comprises guiding principles, quality areas, standards and elements. </w:t>
            </w:r>
            <w:r w:rsidR="00FC260A" w:rsidRPr="00FD1B8A">
              <w:t>There are seven quality areas:</w:t>
            </w:r>
          </w:p>
          <w:p w:rsidR="00FC260A" w:rsidRPr="00FD1B8A" w:rsidRDefault="009E33D6" w:rsidP="00751B02">
            <w:pPr>
              <w:pStyle w:val="BoxListBullet"/>
              <w:shd w:val="clear" w:color="auto" w:fill="FFFFFF" w:themeFill="background1"/>
            </w:pPr>
            <w:r w:rsidRPr="00FD1B8A">
              <w:t>E</w:t>
            </w:r>
            <w:r w:rsidR="00FC260A" w:rsidRPr="00FD1B8A">
              <w:t>ducational program and practice</w:t>
            </w:r>
          </w:p>
          <w:p w:rsidR="00FC260A" w:rsidRPr="00FD1B8A" w:rsidRDefault="009E33D6" w:rsidP="00751B02">
            <w:pPr>
              <w:pStyle w:val="BoxListBullet"/>
              <w:shd w:val="clear" w:color="auto" w:fill="FFFFFF" w:themeFill="background1"/>
            </w:pPr>
            <w:r w:rsidRPr="00FD1B8A">
              <w:t>C</w:t>
            </w:r>
            <w:r w:rsidR="00FC260A" w:rsidRPr="00FD1B8A">
              <w:t xml:space="preserve">hildren’s health and safety </w:t>
            </w:r>
          </w:p>
          <w:p w:rsidR="00FC260A" w:rsidRPr="00FD1B8A" w:rsidRDefault="009E33D6" w:rsidP="00751B02">
            <w:pPr>
              <w:pStyle w:val="BoxListBullet"/>
              <w:shd w:val="clear" w:color="auto" w:fill="FFFFFF" w:themeFill="background1"/>
            </w:pPr>
            <w:r w:rsidRPr="00FD1B8A">
              <w:t>P</w:t>
            </w:r>
            <w:r w:rsidR="00FC260A" w:rsidRPr="00FD1B8A">
              <w:t>hysical environment</w:t>
            </w:r>
          </w:p>
          <w:p w:rsidR="00FC260A" w:rsidRPr="00FD1B8A" w:rsidRDefault="009E33D6" w:rsidP="00751B02">
            <w:pPr>
              <w:pStyle w:val="BoxListBullet"/>
              <w:shd w:val="clear" w:color="auto" w:fill="FFFFFF" w:themeFill="background1"/>
            </w:pPr>
            <w:r w:rsidRPr="00FD1B8A">
              <w:t>S</w:t>
            </w:r>
            <w:r w:rsidR="00DE681B" w:rsidRPr="00FD1B8A">
              <w:t xml:space="preserve">taffing </w:t>
            </w:r>
            <w:r w:rsidR="00DE681B" w:rsidRPr="00FD1B8A">
              <w:rPr>
                <w:shd w:val="clear" w:color="auto" w:fill="FFFFFF" w:themeFill="background1"/>
              </w:rPr>
              <w:t>arrangements</w:t>
            </w:r>
          </w:p>
          <w:p w:rsidR="008F46FC" w:rsidRPr="00FD1B8A" w:rsidRDefault="009E33D6" w:rsidP="00751B02">
            <w:pPr>
              <w:pStyle w:val="BoxListBullet"/>
            </w:pPr>
            <w:r w:rsidRPr="00FD1B8A">
              <w:t>R</w:t>
            </w:r>
            <w:r w:rsidR="00FC260A" w:rsidRPr="00FD1B8A">
              <w:t>elationships with children</w:t>
            </w:r>
          </w:p>
          <w:p w:rsidR="008F46FC" w:rsidRPr="00FD1B8A" w:rsidRDefault="00FD1B8A" w:rsidP="00751B02">
            <w:pPr>
              <w:pStyle w:val="BoxListBullet"/>
            </w:pPr>
            <w:r w:rsidRPr="00FD1B8A">
              <w:t>P</w:t>
            </w:r>
            <w:r w:rsidR="008F46FC" w:rsidRPr="00FD1B8A">
              <w:t>artnerships with families and communities</w:t>
            </w:r>
          </w:p>
          <w:p w:rsidR="008F46FC" w:rsidRPr="00FD1B8A" w:rsidRDefault="009E33D6" w:rsidP="00751B02">
            <w:pPr>
              <w:pStyle w:val="BoxListBullet"/>
            </w:pPr>
            <w:r w:rsidRPr="00FD1B8A">
              <w:t>L</w:t>
            </w:r>
            <w:r w:rsidR="008F46FC" w:rsidRPr="00FD1B8A">
              <w:t>eadership and service management.</w:t>
            </w:r>
          </w:p>
          <w:p w:rsidR="00884138" w:rsidRPr="00884138" w:rsidRDefault="00DE681B" w:rsidP="00956CDE">
            <w:pPr>
              <w:pStyle w:val="Box"/>
              <w:shd w:val="clear" w:color="auto" w:fill="FFFFFF" w:themeFill="background1"/>
              <w:rPr>
                <w:shd w:val="clear" w:color="auto" w:fill="FFFF00"/>
              </w:rPr>
            </w:pPr>
            <w:r w:rsidRPr="003735CA">
              <w:rPr>
                <w:shd w:val="clear" w:color="auto" w:fill="FFFFFF" w:themeFill="background1"/>
              </w:rPr>
              <w:t xml:space="preserve">The </w:t>
            </w:r>
            <w:proofErr w:type="spellStart"/>
            <w:r w:rsidRPr="003735CA">
              <w:rPr>
                <w:shd w:val="clear" w:color="auto" w:fill="FFFFFF" w:themeFill="background1"/>
              </w:rPr>
              <w:t>NQF</w:t>
            </w:r>
            <w:proofErr w:type="spellEnd"/>
            <w:r w:rsidRPr="003735CA">
              <w:rPr>
                <w:shd w:val="clear" w:color="auto" w:fill="FFFFFF" w:themeFill="background1"/>
              </w:rPr>
              <w:t xml:space="preserve"> creates a jointly governed uniform national approach to the regulation and quality assessment of education and care services. </w:t>
            </w:r>
            <w:r w:rsidR="003C737D" w:rsidRPr="003735CA">
              <w:rPr>
                <w:shd w:val="clear" w:color="auto" w:fill="FFFFFF" w:themeFill="background1"/>
              </w:rPr>
              <w:t>It re</w:t>
            </w:r>
            <w:r w:rsidR="00325BA4" w:rsidRPr="003735CA">
              <w:rPr>
                <w:shd w:val="clear" w:color="auto" w:fill="FFFFFF" w:themeFill="background1"/>
              </w:rPr>
              <w:t>places the previously separate S</w:t>
            </w:r>
            <w:r w:rsidR="003C737D" w:rsidRPr="003735CA">
              <w:rPr>
                <w:shd w:val="clear" w:color="auto" w:fill="FFFFFF" w:themeFill="background1"/>
              </w:rPr>
              <w:t xml:space="preserve">tate and </w:t>
            </w:r>
            <w:r w:rsidR="00325BA4" w:rsidRPr="003735CA">
              <w:rPr>
                <w:shd w:val="clear" w:color="auto" w:fill="FFFFFF" w:themeFill="background1"/>
              </w:rPr>
              <w:t>T</w:t>
            </w:r>
            <w:r w:rsidR="003C737D" w:rsidRPr="003735CA">
              <w:rPr>
                <w:shd w:val="clear" w:color="auto" w:fill="FFFFFF" w:themeFill="background1"/>
              </w:rPr>
              <w:t xml:space="preserve">erritory licensing and </w:t>
            </w:r>
            <w:r w:rsidR="00F63F96" w:rsidRPr="00493DF4">
              <w:t xml:space="preserve">national </w:t>
            </w:r>
            <w:r w:rsidR="003C737D" w:rsidRPr="003735CA">
              <w:rPr>
                <w:shd w:val="clear" w:color="auto" w:fill="FFFFFF" w:themeFill="background1"/>
              </w:rPr>
              <w:t xml:space="preserve">quality assurance processes for those services under the </w:t>
            </w:r>
            <w:proofErr w:type="spellStart"/>
            <w:r w:rsidR="003C737D" w:rsidRPr="003735CA">
              <w:rPr>
                <w:shd w:val="clear" w:color="auto" w:fill="FFFFFF" w:themeFill="background1"/>
              </w:rPr>
              <w:t>NQF</w:t>
            </w:r>
            <w:proofErr w:type="spellEnd"/>
            <w:r w:rsidRPr="003735CA">
              <w:rPr>
                <w:shd w:val="clear" w:color="auto" w:fill="FFFFFF" w:themeFill="background1"/>
              </w:rPr>
              <w:t xml:space="preserve">. </w:t>
            </w:r>
            <w:proofErr w:type="spellStart"/>
            <w:r w:rsidRPr="003735CA">
              <w:rPr>
                <w:shd w:val="clear" w:color="auto" w:fill="FFFFFF" w:themeFill="background1"/>
              </w:rPr>
              <w:t>ACECQA</w:t>
            </w:r>
            <w:proofErr w:type="spellEnd"/>
            <w:r w:rsidRPr="003735CA">
              <w:rPr>
                <w:shd w:val="clear" w:color="auto" w:fill="FFFFFF" w:themeFill="background1"/>
              </w:rPr>
              <w:t xml:space="preserve"> oversees the </w:t>
            </w:r>
            <w:proofErr w:type="spellStart"/>
            <w:r w:rsidRPr="003735CA">
              <w:rPr>
                <w:shd w:val="clear" w:color="auto" w:fill="FFFFFF" w:themeFill="background1"/>
              </w:rPr>
              <w:t>NQS</w:t>
            </w:r>
            <w:proofErr w:type="spellEnd"/>
            <w:r w:rsidRPr="003735CA">
              <w:rPr>
                <w:shd w:val="clear" w:color="auto" w:fill="FFFFFF" w:themeFill="background1"/>
              </w:rPr>
              <w:t xml:space="preserve"> and its application across jurisdictions to ensure that it is implemented in a nationally consistent way.</w:t>
            </w:r>
          </w:p>
        </w:tc>
      </w:tr>
      <w:tr w:rsidR="00FC260A">
        <w:trPr>
          <w:cantSplit/>
        </w:trPr>
        <w:tc>
          <w:tcPr>
            <w:tcW w:w="8771" w:type="dxa"/>
            <w:tcBorders>
              <w:top w:val="nil"/>
              <w:left w:val="single" w:sz="6" w:space="0" w:color="auto"/>
              <w:bottom w:val="nil"/>
              <w:right w:val="single" w:sz="6" w:space="0" w:color="auto"/>
            </w:tcBorders>
          </w:tcPr>
          <w:p w:rsidR="00FC260A" w:rsidRDefault="00F169A0" w:rsidP="00E318F3">
            <w:pPr>
              <w:pStyle w:val="Continued"/>
              <w:jc w:val="left"/>
            </w:pPr>
            <w:r w:rsidRPr="001C559F">
              <w:rPr>
                <w:i/>
              </w:rPr>
              <w:t>Source</w:t>
            </w:r>
            <w:r w:rsidRPr="001C559F">
              <w:t xml:space="preserve">: </w:t>
            </w:r>
            <w:proofErr w:type="spellStart"/>
            <w:r w:rsidRPr="001C559F">
              <w:t>COAG</w:t>
            </w:r>
            <w:proofErr w:type="spellEnd"/>
            <w:r w:rsidRPr="001C559F">
              <w:t xml:space="preserve"> (</w:t>
            </w:r>
            <w:proofErr w:type="spellStart"/>
            <w:r w:rsidRPr="001C559F">
              <w:t>2009a</w:t>
            </w:r>
            <w:proofErr w:type="spellEnd"/>
            <w:r w:rsidRPr="001C559F">
              <w:t xml:space="preserve">); </w:t>
            </w:r>
            <w:r w:rsidR="00E318F3">
              <w:t xml:space="preserve">Department of Education </w:t>
            </w:r>
            <w:r w:rsidR="00F15E04">
              <w:t>(2013</w:t>
            </w:r>
            <w:r w:rsidRPr="001C559F">
              <w:t xml:space="preserve"> and unpublished)</w:t>
            </w:r>
            <w:r w:rsidR="00907FF4">
              <w:t>.</w:t>
            </w:r>
          </w:p>
        </w:tc>
      </w:tr>
      <w:tr w:rsidR="00FC260A">
        <w:trPr>
          <w:cantSplit/>
        </w:trPr>
        <w:tc>
          <w:tcPr>
            <w:tcW w:w="8771" w:type="dxa"/>
            <w:tcBorders>
              <w:top w:val="nil"/>
              <w:left w:val="single" w:sz="6" w:space="0" w:color="auto"/>
              <w:bottom w:val="single" w:sz="6" w:space="0" w:color="auto"/>
              <w:right w:val="single" w:sz="6" w:space="0" w:color="auto"/>
            </w:tcBorders>
          </w:tcPr>
          <w:p w:rsidR="00FC260A" w:rsidRDefault="00FC260A">
            <w:pPr>
              <w:pStyle w:val="Box"/>
              <w:spacing w:before="0" w:line="120" w:lineRule="exact"/>
            </w:pPr>
          </w:p>
        </w:tc>
      </w:tr>
      <w:tr w:rsidR="00FC260A">
        <w:tc>
          <w:tcPr>
            <w:tcW w:w="8771" w:type="dxa"/>
            <w:tcBorders>
              <w:top w:val="nil"/>
              <w:left w:val="nil"/>
              <w:bottom w:val="nil"/>
              <w:right w:val="nil"/>
            </w:tcBorders>
          </w:tcPr>
          <w:p w:rsidR="00FC260A" w:rsidRDefault="00FC260A">
            <w:pPr>
              <w:pStyle w:val="Box"/>
              <w:keepNext w:val="0"/>
              <w:spacing w:before="60" w:after="60" w:line="80" w:lineRule="exact"/>
              <w:rPr>
                <w:b/>
                <w:color w:val="FF00FF"/>
                <w:sz w:val="14"/>
              </w:rPr>
            </w:pPr>
          </w:p>
        </w:tc>
      </w:tr>
    </w:tbl>
    <w:p w:rsidR="00D73B33" w:rsidRPr="008B42D1" w:rsidRDefault="007E3F1D" w:rsidP="008B42D1">
      <w:pPr>
        <w:pStyle w:val="BodyText"/>
      </w:pPr>
      <w:r w:rsidRPr="008B42D1">
        <w:t>A</w:t>
      </w:r>
      <w:r w:rsidR="00D73B33" w:rsidRPr="008B42D1">
        <w:t>ssessments and ratings against</w:t>
      </w:r>
      <w:r w:rsidR="002C46BF" w:rsidRPr="008B42D1">
        <w:t xml:space="preserve"> the </w:t>
      </w:r>
      <w:proofErr w:type="spellStart"/>
      <w:r w:rsidR="006D4696" w:rsidRPr="008B42D1">
        <w:t>NQS</w:t>
      </w:r>
      <w:proofErr w:type="spellEnd"/>
      <w:r w:rsidR="002C46BF" w:rsidRPr="008B42D1">
        <w:t xml:space="preserve"> commenced in </w:t>
      </w:r>
      <w:r w:rsidRPr="008B42D1">
        <w:t>June</w:t>
      </w:r>
      <w:r w:rsidR="009F7EFC" w:rsidRPr="008B42D1">
        <w:t xml:space="preserve"> </w:t>
      </w:r>
      <w:r w:rsidR="002C46BF" w:rsidRPr="008B42D1">
        <w:t>2012</w:t>
      </w:r>
      <w:r w:rsidRPr="008B42D1">
        <w:t>. D</w:t>
      </w:r>
      <w:r w:rsidR="002C46BF" w:rsidRPr="008B42D1">
        <w:t xml:space="preserve">ata are </w:t>
      </w:r>
      <w:r w:rsidRPr="008B42D1">
        <w:t>included in the Report for the first time.</w:t>
      </w:r>
    </w:p>
    <w:p w:rsidR="0064069A" w:rsidRPr="00C941CD" w:rsidRDefault="0064069A" w:rsidP="002C46BF">
      <w:pPr>
        <w:pStyle w:val="Heading5"/>
      </w:pPr>
      <w:r w:rsidRPr="00C941CD">
        <w:t xml:space="preserve">Standards — </w:t>
      </w:r>
      <w:r w:rsidR="0092466A">
        <w:t>service approvals and licensing</w:t>
      </w:r>
    </w:p>
    <w:p w:rsidR="0064069A" w:rsidRDefault="00071E61" w:rsidP="002C46BF">
      <w:pPr>
        <w:pStyle w:val="BodyText"/>
      </w:pPr>
      <w:r w:rsidRPr="00071E61">
        <w:t>‘</w:t>
      </w:r>
      <w:r w:rsidR="0092466A">
        <w:t xml:space="preserve">Service approvals and </w:t>
      </w:r>
      <w:r w:rsidR="00705BAA">
        <w:t>l</w:t>
      </w:r>
      <w:r w:rsidRPr="00071E61">
        <w:t>icensing’ is an indicator of governments’ objective to ensure</w:t>
      </w:r>
      <w:r w:rsidR="000C1336">
        <w:t xml:space="preserve"> </w:t>
      </w:r>
      <w:r w:rsidR="00DF1B1A">
        <w:t xml:space="preserve">that </w:t>
      </w:r>
      <w:r w:rsidR="00477AED">
        <w:t>early childhood education and care</w:t>
      </w:r>
      <w:r w:rsidRPr="00071E61">
        <w:t xml:space="preserve"> services meet the minimum </w:t>
      </w:r>
      <w:r w:rsidRPr="00071E61">
        <w:lastRenderedPageBreak/>
        <w:t xml:space="preserve">standards </w:t>
      </w:r>
      <w:r w:rsidR="00C40560">
        <w:t>deemed</w:t>
      </w:r>
      <w:r w:rsidRPr="00071E61">
        <w:t xml:space="preserve"> necessary to provide a safe and nurturing environment, and to meet the educational and development</w:t>
      </w:r>
      <w:r w:rsidR="0021264F">
        <w:t>al</w:t>
      </w:r>
      <w:r w:rsidRPr="00071E61">
        <w:t xml:space="preserve"> needs of children.</w:t>
      </w:r>
      <w:r>
        <w:t xml:space="preserve"> </w:t>
      </w:r>
      <w:r w:rsidR="0064069A" w:rsidRPr="0064069A">
        <w:t xml:space="preserve">State and Territory governments are responsible for </w:t>
      </w:r>
      <w:r w:rsidR="0092466A">
        <w:t xml:space="preserve">service approvals of </w:t>
      </w:r>
      <w:r w:rsidR="00477AED">
        <w:t>early childhood education and care</w:t>
      </w:r>
      <w:r w:rsidR="0064069A" w:rsidRPr="0064069A">
        <w:t xml:space="preserve"> services </w:t>
      </w:r>
      <w:r w:rsidR="0092466A">
        <w:t>unde</w:t>
      </w:r>
      <w:r w:rsidR="00006A76">
        <w:t xml:space="preserve">r the </w:t>
      </w:r>
      <w:proofErr w:type="spellStart"/>
      <w:r w:rsidR="00006A76">
        <w:t>NQF</w:t>
      </w:r>
      <w:proofErr w:type="spellEnd"/>
      <w:r w:rsidR="0092466A">
        <w:t xml:space="preserve"> and for licensing those out of scope </w:t>
      </w:r>
      <w:r w:rsidR="00910306">
        <w:t xml:space="preserve">of the </w:t>
      </w:r>
      <w:proofErr w:type="spellStart"/>
      <w:r w:rsidR="00910306">
        <w:t>NQF</w:t>
      </w:r>
      <w:proofErr w:type="spellEnd"/>
      <w:r w:rsidR="00910306">
        <w:t xml:space="preserve"> </w:t>
      </w:r>
      <w:r w:rsidR="0064069A" w:rsidRPr="0064069A">
        <w:t>in their jurisdiction</w:t>
      </w:r>
      <w:r w:rsidR="00D25608">
        <w:t>s</w:t>
      </w:r>
      <w:r w:rsidR="0064069A" w:rsidRPr="0064069A">
        <w:t xml:space="preserve"> (box</w:t>
      </w:r>
      <w:r w:rsidR="00172534">
        <w:t> </w:t>
      </w:r>
      <w:r w:rsidR="00923A1C">
        <w:t>3.16</w:t>
      </w:r>
      <w:r w:rsidR="0064069A" w:rsidRPr="0064069A">
        <w:t>).</w:t>
      </w:r>
    </w:p>
    <w:p w:rsidR="0064069A" w:rsidRDefault="0064069A" w:rsidP="00C3586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4069A">
        <w:tc>
          <w:tcPr>
            <w:tcW w:w="8771" w:type="dxa"/>
            <w:tcBorders>
              <w:top w:val="single" w:sz="6" w:space="0" w:color="auto"/>
              <w:bottom w:val="nil"/>
            </w:tcBorders>
          </w:tcPr>
          <w:p w:rsidR="0064069A" w:rsidRDefault="0064069A" w:rsidP="00D6543A">
            <w:pPr>
              <w:pStyle w:val="BoxTitle"/>
            </w:pPr>
            <w:r>
              <w:rPr>
                <w:b w:val="0"/>
              </w:rPr>
              <w:t xml:space="preserve">Box </w:t>
            </w:r>
            <w:bookmarkStart w:id="26" w:name="OLE_LINK33"/>
            <w:r w:rsidR="00923A1C">
              <w:rPr>
                <w:b w:val="0"/>
              </w:rPr>
              <w:t>3.</w:t>
            </w:r>
            <w:bookmarkEnd w:id="26"/>
            <w:r w:rsidR="00D6543A">
              <w:rPr>
                <w:b w:val="0"/>
              </w:rPr>
              <w:t>16</w:t>
            </w:r>
            <w:r>
              <w:tab/>
            </w:r>
            <w:r w:rsidR="00910306">
              <w:t>Service approvals</w:t>
            </w:r>
            <w:r w:rsidR="00705BAA">
              <w:t xml:space="preserve"> </w:t>
            </w:r>
            <w:r w:rsidR="00910306">
              <w:t>and l</w:t>
            </w:r>
            <w:r w:rsidRPr="00C941CD">
              <w:t>icensing</w:t>
            </w:r>
            <w:r w:rsidR="00705BAA">
              <w:t xml:space="preserve"> </w:t>
            </w:r>
          </w:p>
        </w:tc>
      </w:tr>
      <w:tr w:rsidR="0064069A">
        <w:trPr>
          <w:cantSplit/>
        </w:trPr>
        <w:tc>
          <w:tcPr>
            <w:tcW w:w="8771" w:type="dxa"/>
            <w:tcBorders>
              <w:top w:val="nil"/>
              <w:left w:val="single" w:sz="6" w:space="0" w:color="auto"/>
              <w:bottom w:val="nil"/>
              <w:right w:val="single" w:sz="6" w:space="0" w:color="auto"/>
            </w:tcBorders>
          </w:tcPr>
          <w:p w:rsidR="0064069A" w:rsidRDefault="0064069A" w:rsidP="00C3586E">
            <w:pPr>
              <w:pStyle w:val="Box"/>
            </w:pPr>
            <w:r>
              <w:t>‘</w:t>
            </w:r>
            <w:r w:rsidR="00910306">
              <w:t>Service approvals and l</w:t>
            </w:r>
            <w:r>
              <w:t xml:space="preserve">icensing’ </w:t>
            </w:r>
            <w:r w:rsidR="005B0264">
              <w:t>is defined as complying with regulations covering operational requirements</w:t>
            </w:r>
            <w:r w:rsidR="005A2A2C">
              <w:t>,</w:t>
            </w:r>
            <w:r w:rsidR="005B0264">
              <w:t xml:space="preserve"> such as the number of children services can care for, safety standards and the qualification of carers. It </w:t>
            </w:r>
            <w:r>
              <w:t xml:space="preserve">has been identified for development and reporting in future. Descriptive information is reported for some jurisdictions </w:t>
            </w:r>
            <w:r w:rsidR="00907FF4">
              <w:t xml:space="preserve">in the </w:t>
            </w:r>
            <w:r>
              <w:t xml:space="preserve">interim. This information includes the </w:t>
            </w:r>
            <w:r w:rsidR="00C404C0" w:rsidRPr="00493DF4">
              <w:t>type and</w:t>
            </w:r>
            <w:r w:rsidR="00C404C0">
              <w:t xml:space="preserve"> </w:t>
            </w:r>
            <w:r>
              <w:t>number of services</w:t>
            </w:r>
            <w:r w:rsidR="00910306">
              <w:t xml:space="preserve"> approved and licensed</w:t>
            </w:r>
            <w:r w:rsidR="00261992">
              <w:t xml:space="preserve">, where </w:t>
            </w:r>
            <w:r w:rsidR="00910306">
              <w:t xml:space="preserve">approval and </w:t>
            </w:r>
            <w:r w:rsidR="00261992">
              <w:t>l</w:t>
            </w:r>
            <w:r w:rsidR="00032C61">
              <w:t xml:space="preserve">icensing is indicative of </w:t>
            </w:r>
            <w:r>
              <w:t>regulatory control over services.</w:t>
            </w:r>
          </w:p>
          <w:p w:rsidR="0064069A" w:rsidRDefault="0064069A" w:rsidP="00C3586E">
            <w:pPr>
              <w:pStyle w:val="Box"/>
            </w:pPr>
            <w:r>
              <w:t xml:space="preserve">This indicator does not provide information on the degree to which </w:t>
            </w:r>
            <w:r w:rsidR="00910306">
              <w:t xml:space="preserve">service approvals and </w:t>
            </w:r>
            <w:r>
              <w:t>licensing translates into higher quality service outcomes above the minimum standards of care. State and Territory governments also undertake other activities aimed at the promotion of quality, such as publishing curriculum materials and other reso</w:t>
            </w:r>
            <w:r w:rsidR="00E82730">
              <w:t xml:space="preserve">urces, and </w:t>
            </w:r>
            <w:r w:rsidR="008B5EE3" w:rsidRPr="00493DF4">
              <w:t xml:space="preserve">providing </w:t>
            </w:r>
            <w:r w:rsidRPr="00493DF4">
              <w:t>education</w:t>
            </w:r>
            <w:r w:rsidR="00DB271F">
              <w:t xml:space="preserve"> to</w:t>
            </w:r>
            <w:r w:rsidR="008B5EE3" w:rsidRPr="00493DF4">
              <w:t xml:space="preserve"> the sector</w:t>
            </w:r>
            <w:r w:rsidRPr="00493DF4">
              <w:t>.</w:t>
            </w:r>
          </w:p>
          <w:p w:rsidR="004C4CF2" w:rsidRDefault="004C4CF2" w:rsidP="00AB4663">
            <w:pPr>
              <w:pStyle w:val="Box"/>
            </w:pPr>
            <w:r w:rsidRPr="00E53376">
              <w:rPr>
                <w:rFonts w:ascii="ArialMT" w:hAnsi="ArialMT" w:cs="ArialMT"/>
                <w:szCs w:val="22"/>
              </w:rPr>
              <w:t xml:space="preserve">Data for this indicator </w:t>
            </w:r>
            <w:r w:rsidR="00AB4663" w:rsidRPr="00E53376">
              <w:rPr>
                <w:rFonts w:ascii="ArialMT" w:hAnsi="ArialMT" w:cs="ArialMT"/>
                <w:szCs w:val="22"/>
              </w:rPr>
              <w:t xml:space="preserve">are </w:t>
            </w:r>
            <w:r w:rsidRPr="00E53376">
              <w:rPr>
                <w:rFonts w:ascii="ArialMT" w:hAnsi="ArialMT" w:cs="ArialMT"/>
                <w:szCs w:val="22"/>
              </w:rPr>
              <w:t>not available for the 201</w:t>
            </w:r>
            <w:r w:rsidR="00E340AB" w:rsidRPr="00E53376">
              <w:rPr>
                <w:rFonts w:ascii="ArialMT" w:hAnsi="ArialMT" w:cs="ArialMT"/>
                <w:szCs w:val="22"/>
              </w:rPr>
              <w:t>4</w:t>
            </w:r>
            <w:r w:rsidRPr="00E53376">
              <w:rPr>
                <w:rFonts w:ascii="ArialMT" w:hAnsi="ArialMT" w:cs="ArialMT"/>
                <w:szCs w:val="22"/>
              </w:rPr>
              <w:t xml:space="preserve"> Report</w:t>
            </w:r>
            <w:r w:rsidR="00983A47" w:rsidRPr="00E53376">
              <w:t>.</w:t>
            </w:r>
          </w:p>
        </w:tc>
      </w:tr>
      <w:tr w:rsidR="0064069A">
        <w:trPr>
          <w:cantSplit/>
        </w:trPr>
        <w:tc>
          <w:tcPr>
            <w:tcW w:w="8771" w:type="dxa"/>
            <w:tcBorders>
              <w:top w:val="nil"/>
              <w:left w:val="single" w:sz="6" w:space="0" w:color="auto"/>
              <w:bottom w:val="single" w:sz="6" w:space="0" w:color="auto"/>
              <w:right w:val="single" w:sz="6" w:space="0" w:color="auto"/>
            </w:tcBorders>
          </w:tcPr>
          <w:p w:rsidR="0064069A" w:rsidRDefault="0064069A" w:rsidP="00C3586E">
            <w:pPr>
              <w:pStyle w:val="Box"/>
              <w:spacing w:before="0" w:line="120" w:lineRule="exact"/>
            </w:pPr>
          </w:p>
        </w:tc>
      </w:tr>
      <w:tr w:rsidR="0064069A">
        <w:tc>
          <w:tcPr>
            <w:tcW w:w="8771" w:type="dxa"/>
            <w:tcBorders>
              <w:top w:val="nil"/>
              <w:left w:val="nil"/>
              <w:bottom w:val="nil"/>
              <w:right w:val="nil"/>
            </w:tcBorders>
          </w:tcPr>
          <w:p w:rsidR="0064069A" w:rsidRDefault="0064069A" w:rsidP="00C3586E">
            <w:pPr>
              <w:pStyle w:val="Box"/>
              <w:keepNext w:val="0"/>
              <w:spacing w:before="60" w:after="60" w:line="80" w:lineRule="exact"/>
              <w:rPr>
                <w:b/>
                <w:color w:val="FF00FF"/>
                <w:sz w:val="14"/>
              </w:rPr>
            </w:pPr>
          </w:p>
        </w:tc>
      </w:tr>
    </w:tbl>
    <w:p w:rsidR="004652D9" w:rsidRPr="001639AA" w:rsidRDefault="002F3AE7" w:rsidP="001639AA">
      <w:pPr>
        <w:pStyle w:val="BodyText"/>
      </w:pPr>
      <w:r w:rsidRPr="002F3AE7">
        <w:t xml:space="preserve">Service approval and </w:t>
      </w:r>
      <w:r w:rsidR="0064069A" w:rsidRPr="002F3AE7">
        <w:t>licensing requirements establish the foundations for quality of care by stipulating enforceable standards to support the health, safety, welfare and development</w:t>
      </w:r>
      <w:r w:rsidR="0021264F">
        <w:t>al</w:t>
      </w:r>
      <w:r w:rsidR="0064069A" w:rsidRPr="002F3AE7">
        <w:t xml:space="preserve"> needs of children</w:t>
      </w:r>
      <w:r w:rsidR="00DF1B1A" w:rsidRPr="002F3AE7">
        <w:t xml:space="preserve"> in formal </w:t>
      </w:r>
      <w:r w:rsidRPr="002F3AE7">
        <w:t>education and care services</w:t>
      </w:r>
      <w:r w:rsidR="00DF1B1A" w:rsidRPr="002F3AE7">
        <w:t>.</w:t>
      </w:r>
      <w:r w:rsidRPr="002F3AE7">
        <w:t xml:space="preserve"> </w:t>
      </w:r>
      <w:r w:rsidR="0064069A" w:rsidRPr="002F3AE7">
        <w:t xml:space="preserve">The service </w:t>
      </w:r>
      <w:r w:rsidR="00E47AF3" w:rsidRPr="002F3AE7">
        <w:t xml:space="preserve">models </w:t>
      </w:r>
      <w:r w:rsidR="0064069A" w:rsidRPr="002F3AE7">
        <w:t>covered by legislation vary across jurisdictions (table</w:t>
      </w:r>
      <w:r w:rsidR="00172534">
        <w:t> </w:t>
      </w:r>
      <w:r w:rsidR="00492DFD">
        <w:t>3.7</w:t>
      </w:r>
      <w:r w:rsidR="0064069A" w:rsidRPr="002F3AE7">
        <w:t>).</w:t>
      </w:r>
      <w:r w:rsidR="004652D9">
        <w:rPr>
          <w:b/>
        </w:rPr>
        <w:br w:type="page"/>
      </w:r>
    </w:p>
    <w:p w:rsidR="0064069A" w:rsidRPr="008B42D1" w:rsidRDefault="0064069A" w:rsidP="00C7239C">
      <w:pPr>
        <w:pStyle w:val="TableTitle"/>
        <w:rPr>
          <w:rStyle w:val="BoxChar"/>
        </w:rPr>
      </w:pPr>
      <w:r w:rsidRPr="00C7239C">
        <w:rPr>
          <w:b w:val="0"/>
        </w:rPr>
        <w:lastRenderedPageBreak/>
        <w:t>Table</w:t>
      </w:r>
      <w:r w:rsidR="004C7DAE" w:rsidRPr="00C7239C">
        <w:rPr>
          <w:b w:val="0"/>
        </w:rPr>
        <w:t xml:space="preserve"> </w:t>
      </w:r>
      <w:bookmarkStart w:id="27" w:name="OLE_LINK63"/>
      <w:r w:rsidR="00923A1C" w:rsidRPr="00C7239C">
        <w:rPr>
          <w:b w:val="0"/>
        </w:rPr>
        <w:t>3.</w:t>
      </w:r>
      <w:bookmarkEnd w:id="27"/>
      <w:r w:rsidR="00492DFD">
        <w:rPr>
          <w:b w:val="0"/>
        </w:rPr>
        <w:t>7</w:t>
      </w:r>
      <w:r w:rsidRPr="00C7239C">
        <w:tab/>
        <w:t xml:space="preserve">State and Territory </w:t>
      </w:r>
      <w:r w:rsidR="00910306" w:rsidRPr="00C7239C">
        <w:t xml:space="preserve">approvals and </w:t>
      </w:r>
      <w:r w:rsidRPr="00C7239C">
        <w:t xml:space="preserve">licensing of </w:t>
      </w:r>
      <w:r w:rsidR="005B0B6D" w:rsidRPr="00C7239C">
        <w:t xml:space="preserve">early childhood </w:t>
      </w:r>
      <w:r w:rsidR="00910306" w:rsidRPr="00C7239C">
        <w:t xml:space="preserve">education and care </w:t>
      </w:r>
      <w:r w:rsidRPr="00C7239C">
        <w:t xml:space="preserve">services, </w:t>
      </w:r>
      <w:r w:rsidR="00CB1373" w:rsidRPr="00C7239C">
        <w:t>201</w:t>
      </w:r>
      <w:r w:rsidR="007E3F1D">
        <w:t>3</w:t>
      </w:r>
      <w:r w:rsidR="00245CEB" w:rsidRPr="00C7239C">
        <w:rPr>
          <w:rStyle w:val="NoteLabel"/>
          <w:b/>
        </w:rPr>
        <w:t>a</w:t>
      </w:r>
      <w:r w:rsidR="00BD060C">
        <w:rPr>
          <w:rStyle w:val="NoteLabel"/>
          <w:b/>
        </w:rPr>
        <w:t xml:space="preserve"> </w:t>
      </w:r>
    </w:p>
    <w:tbl>
      <w:tblPr>
        <w:tblW w:w="8789" w:type="dxa"/>
        <w:tblLayout w:type="fixed"/>
        <w:tblCellMar>
          <w:left w:w="0" w:type="dxa"/>
          <w:right w:w="0" w:type="dxa"/>
        </w:tblCellMar>
        <w:tblLook w:val="0000" w:firstRow="0" w:lastRow="0" w:firstColumn="0" w:lastColumn="0" w:noHBand="0" w:noVBand="0"/>
      </w:tblPr>
      <w:tblGrid>
        <w:gridCol w:w="2864"/>
        <w:gridCol w:w="740"/>
        <w:gridCol w:w="741"/>
        <w:gridCol w:w="740"/>
        <w:gridCol w:w="741"/>
        <w:gridCol w:w="741"/>
        <w:gridCol w:w="804"/>
        <w:gridCol w:w="677"/>
        <w:gridCol w:w="741"/>
      </w:tblGrid>
      <w:tr w:rsidR="00DE681B" w:rsidRPr="00C7239C" w:rsidTr="00C01F2F">
        <w:trPr>
          <w:cantSplit/>
        </w:trPr>
        <w:tc>
          <w:tcPr>
            <w:tcW w:w="2864" w:type="dxa"/>
            <w:tcBorders>
              <w:top w:val="single" w:sz="4" w:space="0" w:color="auto"/>
              <w:bottom w:val="single" w:sz="4" w:space="0" w:color="auto"/>
            </w:tcBorders>
            <w:shd w:val="clear" w:color="auto" w:fill="auto"/>
          </w:tcPr>
          <w:p w:rsidR="00DE681B" w:rsidRPr="00C7239C" w:rsidRDefault="00DE681B" w:rsidP="00C7239C">
            <w:pPr>
              <w:pStyle w:val="TableColumnHeading"/>
              <w:jc w:val="left"/>
            </w:pPr>
            <w:r w:rsidRPr="00C7239C">
              <w:t xml:space="preserve">Service model </w:t>
            </w:r>
          </w:p>
        </w:tc>
        <w:tc>
          <w:tcPr>
            <w:tcW w:w="740" w:type="dxa"/>
            <w:tcBorders>
              <w:top w:val="single" w:sz="4" w:space="0" w:color="auto"/>
              <w:bottom w:val="single" w:sz="4" w:space="0" w:color="auto"/>
            </w:tcBorders>
            <w:shd w:val="clear" w:color="auto" w:fill="auto"/>
          </w:tcPr>
          <w:p w:rsidR="00DE681B" w:rsidRPr="00B02658" w:rsidRDefault="00DE681B" w:rsidP="00604EF6">
            <w:pPr>
              <w:pStyle w:val="TableColumnHeading"/>
            </w:pPr>
            <w:r w:rsidRPr="00B02658">
              <w:t xml:space="preserve">NSW </w:t>
            </w:r>
          </w:p>
        </w:tc>
        <w:tc>
          <w:tcPr>
            <w:tcW w:w="741" w:type="dxa"/>
            <w:tcBorders>
              <w:top w:val="single" w:sz="4" w:space="0" w:color="auto"/>
              <w:bottom w:val="single" w:sz="4" w:space="0" w:color="auto"/>
            </w:tcBorders>
            <w:shd w:val="clear" w:color="auto" w:fill="auto"/>
          </w:tcPr>
          <w:p w:rsidR="00DE681B" w:rsidRPr="00B02658" w:rsidRDefault="00DE681B" w:rsidP="00604EF6">
            <w:pPr>
              <w:pStyle w:val="TableColumnHeading"/>
              <w:rPr>
                <w:sz w:val="18"/>
                <w:szCs w:val="18"/>
              </w:rPr>
            </w:pPr>
            <w:r w:rsidRPr="00B02658">
              <w:t>Vic</w:t>
            </w:r>
            <w:r w:rsidRPr="00B02658">
              <w:rPr>
                <w:b/>
                <w:bCs/>
                <w:i w:val="0"/>
                <w:sz w:val="18"/>
                <w:szCs w:val="18"/>
              </w:rPr>
              <w:t xml:space="preserve"> </w:t>
            </w:r>
          </w:p>
        </w:tc>
        <w:tc>
          <w:tcPr>
            <w:tcW w:w="740" w:type="dxa"/>
            <w:tcBorders>
              <w:top w:val="single" w:sz="4" w:space="0" w:color="auto"/>
              <w:bottom w:val="single" w:sz="4" w:space="0" w:color="auto"/>
            </w:tcBorders>
            <w:shd w:val="clear" w:color="auto" w:fill="auto"/>
          </w:tcPr>
          <w:p w:rsidR="00DE681B" w:rsidRPr="00B02658" w:rsidRDefault="00DE681B" w:rsidP="00604EF6">
            <w:pPr>
              <w:pStyle w:val="TableColumnHeading"/>
            </w:pPr>
            <w:r w:rsidRPr="00B02658">
              <w:t xml:space="preserve">Qld </w:t>
            </w:r>
          </w:p>
        </w:tc>
        <w:tc>
          <w:tcPr>
            <w:tcW w:w="741" w:type="dxa"/>
            <w:tcBorders>
              <w:top w:val="single" w:sz="4" w:space="0" w:color="auto"/>
              <w:bottom w:val="single" w:sz="4" w:space="0" w:color="auto"/>
            </w:tcBorders>
            <w:shd w:val="clear" w:color="auto" w:fill="auto"/>
          </w:tcPr>
          <w:p w:rsidR="00DE681B" w:rsidRPr="00582494" w:rsidRDefault="00DE681B" w:rsidP="00604EF6">
            <w:pPr>
              <w:pStyle w:val="TableColumnHeading"/>
              <w:rPr>
                <w:sz w:val="18"/>
                <w:szCs w:val="18"/>
              </w:rPr>
            </w:pPr>
            <w:r w:rsidRPr="00582494">
              <w:t>WA</w:t>
            </w:r>
            <w:r w:rsidRPr="00582494">
              <w:rPr>
                <w:b/>
                <w:bCs/>
                <w:sz w:val="18"/>
                <w:szCs w:val="18"/>
              </w:rPr>
              <w:t xml:space="preserve"> </w:t>
            </w:r>
          </w:p>
        </w:tc>
        <w:tc>
          <w:tcPr>
            <w:tcW w:w="741" w:type="dxa"/>
            <w:tcBorders>
              <w:top w:val="single" w:sz="4" w:space="0" w:color="auto"/>
              <w:bottom w:val="single" w:sz="4" w:space="0" w:color="auto"/>
            </w:tcBorders>
            <w:shd w:val="clear" w:color="auto" w:fill="auto"/>
          </w:tcPr>
          <w:p w:rsidR="00DE681B" w:rsidRPr="007F21AE" w:rsidRDefault="00DE681B" w:rsidP="00604EF6">
            <w:pPr>
              <w:pStyle w:val="TableColumnHeading"/>
            </w:pPr>
            <w:r w:rsidRPr="007F21AE">
              <w:t xml:space="preserve">SA </w:t>
            </w:r>
          </w:p>
        </w:tc>
        <w:tc>
          <w:tcPr>
            <w:tcW w:w="804" w:type="dxa"/>
            <w:tcBorders>
              <w:top w:val="single" w:sz="4" w:space="0" w:color="auto"/>
              <w:bottom w:val="single" w:sz="4" w:space="0" w:color="auto"/>
            </w:tcBorders>
            <w:shd w:val="clear" w:color="auto" w:fill="auto"/>
          </w:tcPr>
          <w:p w:rsidR="00DE681B" w:rsidRPr="007F21AE" w:rsidRDefault="00DE681B" w:rsidP="00604EF6">
            <w:pPr>
              <w:pStyle w:val="TableColumnHeading"/>
            </w:pPr>
            <w:proofErr w:type="spellStart"/>
            <w:r w:rsidRPr="007F21AE">
              <w:t>Tas</w:t>
            </w:r>
            <w:proofErr w:type="spellEnd"/>
            <w:r w:rsidRPr="007F21AE">
              <w:t xml:space="preserve"> </w:t>
            </w:r>
          </w:p>
        </w:tc>
        <w:tc>
          <w:tcPr>
            <w:tcW w:w="677" w:type="dxa"/>
            <w:tcBorders>
              <w:top w:val="single" w:sz="4" w:space="0" w:color="auto"/>
              <w:bottom w:val="single" w:sz="4" w:space="0" w:color="auto"/>
            </w:tcBorders>
            <w:shd w:val="clear" w:color="auto" w:fill="auto"/>
          </w:tcPr>
          <w:p w:rsidR="00DE681B" w:rsidRPr="007F21AE" w:rsidRDefault="00DE681B" w:rsidP="00604EF6">
            <w:pPr>
              <w:pStyle w:val="TableColumnHeading"/>
            </w:pPr>
            <w:r w:rsidRPr="007F21AE">
              <w:t xml:space="preserve">ACT </w:t>
            </w:r>
          </w:p>
        </w:tc>
        <w:tc>
          <w:tcPr>
            <w:tcW w:w="741" w:type="dxa"/>
            <w:tcBorders>
              <w:top w:val="single" w:sz="4" w:space="0" w:color="auto"/>
              <w:bottom w:val="single" w:sz="4" w:space="0" w:color="auto"/>
            </w:tcBorders>
            <w:shd w:val="clear" w:color="auto" w:fill="auto"/>
          </w:tcPr>
          <w:p w:rsidR="00DE681B" w:rsidRPr="007F21AE" w:rsidRDefault="00DE681B" w:rsidP="00604EF6">
            <w:pPr>
              <w:pStyle w:val="TableColumnHeading"/>
              <w:ind w:right="28"/>
            </w:pPr>
            <w:r w:rsidRPr="007F21AE">
              <w:t xml:space="preserve">NT </w:t>
            </w:r>
          </w:p>
        </w:tc>
      </w:tr>
      <w:tr w:rsidR="00DE681B" w:rsidRPr="00C7239C" w:rsidTr="00C01F2F">
        <w:tc>
          <w:tcPr>
            <w:tcW w:w="2864" w:type="dxa"/>
            <w:tcBorders>
              <w:top w:val="single" w:sz="4" w:space="0" w:color="auto"/>
            </w:tcBorders>
            <w:shd w:val="clear" w:color="auto" w:fill="auto"/>
          </w:tcPr>
          <w:p w:rsidR="00DE681B" w:rsidRPr="00C7239C" w:rsidRDefault="00DE681B" w:rsidP="00C7239C">
            <w:pPr>
              <w:pStyle w:val="TableBodyText"/>
              <w:jc w:val="left"/>
            </w:pPr>
            <w:r w:rsidRPr="00C7239C">
              <w:t>Centre</w:t>
            </w:r>
            <w:r w:rsidR="00172534">
              <w:noBreakHyphen/>
            </w:r>
            <w:r w:rsidRPr="00C7239C">
              <w:t>based long day care</w:t>
            </w:r>
            <w:r w:rsidR="00B02658" w:rsidRPr="00B02658">
              <w:rPr>
                <w:rStyle w:val="NoteLabel"/>
              </w:rPr>
              <w:t>b</w:t>
            </w:r>
            <w:r w:rsidRPr="00B02658">
              <w:rPr>
                <w:rStyle w:val="NoteLabel"/>
              </w:rPr>
              <w:t xml:space="preserve"> </w:t>
            </w:r>
          </w:p>
        </w:tc>
        <w:tc>
          <w:tcPr>
            <w:tcW w:w="740" w:type="dxa"/>
            <w:tcBorders>
              <w:top w:val="single" w:sz="4" w:space="0" w:color="auto"/>
            </w:tcBorders>
            <w:shd w:val="clear" w:color="auto" w:fill="auto"/>
          </w:tcPr>
          <w:p w:rsidR="00DE681B" w:rsidRPr="00B02658" w:rsidRDefault="00DE681B" w:rsidP="00604EF6">
            <w:pPr>
              <w:pStyle w:val="TableBodyText"/>
            </w:pPr>
            <w:r w:rsidRPr="00B02658">
              <w:t xml:space="preserve">N </w:t>
            </w:r>
          </w:p>
        </w:tc>
        <w:tc>
          <w:tcPr>
            <w:tcW w:w="741" w:type="dxa"/>
            <w:tcBorders>
              <w:top w:val="single" w:sz="4" w:space="0" w:color="auto"/>
            </w:tcBorders>
            <w:shd w:val="clear" w:color="auto" w:fill="auto"/>
          </w:tcPr>
          <w:p w:rsidR="00DE681B" w:rsidRPr="00B02658" w:rsidRDefault="00DE681B" w:rsidP="00604EF6">
            <w:pPr>
              <w:pStyle w:val="TableBodyText"/>
            </w:pPr>
            <w:r w:rsidRPr="00B02658">
              <w:t>N</w:t>
            </w:r>
            <w:r w:rsidR="00B02658" w:rsidRPr="00B02658">
              <w:t>/L</w:t>
            </w:r>
            <w:r w:rsidRPr="00B02658">
              <w:t xml:space="preserve"> </w:t>
            </w:r>
          </w:p>
        </w:tc>
        <w:tc>
          <w:tcPr>
            <w:tcW w:w="740" w:type="dxa"/>
            <w:tcBorders>
              <w:top w:val="single" w:sz="4" w:space="0" w:color="auto"/>
            </w:tcBorders>
            <w:shd w:val="clear" w:color="auto" w:fill="auto"/>
          </w:tcPr>
          <w:p w:rsidR="00DE681B" w:rsidRPr="00B02658" w:rsidRDefault="00E90F1B" w:rsidP="00604EF6">
            <w:pPr>
              <w:pStyle w:val="TableBodyText"/>
            </w:pPr>
            <w:r w:rsidRPr="00B02658">
              <w:t>N</w:t>
            </w:r>
            <w:r w:rsidR="00DE681B" w:rsidRPr="00B02658">
              <w:t xml:space="preserve"> </w:t>
            </w:r>
          </w:p>
        </w:tc>
        <w:tc>
          <w:tcPr>
            <w:tcW w:w="741" w:type="dxa"/>
            <w:tcBorders>
              <w:top w:val="single" w:sz="4" w:space="0" w:color="auto"/>
            </w:tcBorders>
            <w:shd w:val="clear" w:color="auto" w:fill="auto"/>
          </w:tcPr>
          <w:p w:rsidR="00DE681B" w:rsidRPr="00582494" w:rsidRDefault="00BA2340" w:rsidP="00604EF6">
            <w:pPr>
              <w:pStyle w:val="TableBodyText"/>
            </w:pPr>
            <w:r>
              <w:t>N</w:t>
            </w:r>
            <w:r w:rsidR="00DE681B" w:rsidRPr="00582494">
              <w:t xml:space="preserve"> </w:t>
            </w:r>
          </w:p>
        </w:tc>
        <w:tc>
          <w:tcPr>
            <w:tcW w:w="741" w:type="dxa"/>
            <w:tcBorders>
              <w:top w:val="single" w:sz="4" w:space="0" w:color="auto"/>
            </w:tcBorders>
            <w:shd w:val="clear" w:color="auto" w:fill="auto"/>
          </w:tcPr>
          <w:p w:rsidR="00DE681B" w:rsidRPr="007F21AE" w:rsidRDefault="00DE681B" w:rsidP="00604EF6">
            <w:pPr>
              <w:pStyle w:val="TableBodyText"/>
            </w:pPr>
            <w:r w:rsidRPr="007F21AE">
              <w:t xml:space="preserve">N </w:t>
            </w:r>
          </w:p>
        </w:tc>
        <w:tc>
          <w:tcPr>
            <w:tcW w:w="804" w:type="dxa"/>
            <w:tcBorders>
              <w:top w:val="single" w:sz="4" w:space="0" w:color="auto"/>
            </w:tcBorders>
            <w:shd w:val="clear" w:color="auto" w:fill="auto"/>
          </w:tcPr>
          <w:p w:rsidR="00DE681B" w:rsidRPr="007F21AE" w:rsidRDefault="00E90F1B" w:rsidP="00604EF6">
            <w:pPr>
              <w:pStyle w:val="TableBodyText"/>
            </w:pPr>
            <w:r w:rsidRPr="007F21AE">
              <w:t>N</w:t>
            </w:r>
            <w:r w:rsidR="00DE681B" w:rsidRPr="007F21AE">
              <w:t xml:space="preserve"> </w:t>
            </w:r>
          </w:p>
        </w:tc>
        <w:tc>
          <w:tcPr>
            <w:tcW w:w="677" w:type="dxa"/>
            <w:tcBorders>
              <w:top w:val="single" w:sz="4" w:space="0" w:color="auto"/>
            </w:tcBorders>
            <w:shd w:val="clear" w:color="auto" w:fill="auto"/>
          </w:tcPr>
          <w:p w:rsidR="00DE681B" w:rsidRPr="007F21AE" w:rsidRDefault="00DE681B" w:rsidP="00604EF6">
            <w:pPr>
              <w:pStyle w:val="TableBodyText"/>
            </w:pPr>
            <w:r w:rsidRPr="007F21AE">
              <w:t xml:space="preserve">N </w:t>
            </w:r>
          </w:p>
        </w:tc>
        <w:tc>
          <w:tcPr>
            <w:tcW w:w="741" w:type="dxa"/>
            <w:tcBorders>
              <w:top w:val="single" w:sz="4" w:space="0" w:color="auto"/>
            </w:tcBorders>
            <w:shd w:val="clear" w:color="auto" w:fill="auto"/>
          </w:tcPr>
          <w:p w:rsidR="00DE681B" w:rsidRPr="007F21AE" w:rsidRDefault="00DE681B" w:rsidP="00604EF6">
            <w:pPr>
              <w:pStyle w:val="TableBodyText"/>
              <w:ind w:right="28"/>
            </w:pPr>
            <w:r w:rsidRPr="007F21AE">
              <w:t xml:space="preserve">N </w:t>
            </w:r>
          </w:p>
        </w:tc>
      </w:tr>
      <w:tr w:rsidR="00DE681B" w:rsidRPr="00C7239C" w:rsidTr="00C01F2F">
        <w:tc>
          <w:tcPr>
            <w:tcW w:w="2864" w:type="dxa"/>
            <w:shd w:val="clear" w:color="auto" w:fill="auto"/>
          </w:tcPr>
          <w:p w:rsidR="00DE681B" w:rsidRPr="00C7239C" w:rsidRDefault="00DE681B" w:rsidP="00C7239C">
            <w:pPr>
              <w:pStyle w:val="TableBodyText"/>
              <w:jc w:val="left"/>
            </w:pPr>
            <w:r w:rsidRPr="00C7239C">
              <w:t>Occasional care</w:t>
            </w:r>
            <w:r w:rsidR="00B02658" w:rsidRPr="00B02658">
              <w:rPr>
                <w:rStyle w:val="NoteLabel"/>
              </w:rPr>
              <w:t>c</w:t>
            </w:r>
            <w:r w:rsidRPr="00B02658">
              <w:rPr>
                <w:rStyle w:val="NoteLabel"/>
              </w:rPr>
              <w:t xml:space="preserve"> </w:t>
            </w:r>
          </w:p>
        </w:tc>
        <w:tc>
          <w:tcPr>
            <w:tcW w:w="740" w:type="dxa"/>
            <w:shd w:val="clear" w:color="auto" w:fill="auto"/>
          </w:tcPr>
          <w:p w:rsidR="00DE681B" w:rsidRPr="00B02658" w:rsidRDefault="00DE681B" w:rsidP="00604EF6">
            <w:pPr>
              <w:pStyle w:val="TableBodyText"/>
            </w:pPr>
            <w:r w:rsidRPr="00B02658">
              <w:t xml:space="preserve">R </w:t>
            </w:r>
          </w:p>
        </w:tc>
        <w:tc>
          <w:tcPr>
            <w:tcW w:w="741" w:type="dxa"/>
            <w:shd w:val="clear" w:color="auto" w:fill="auto"/>
          </w:tcPr>
          <w:p w:rsidR="00DE681B" w:rsidRPr="00B02658" w:rsidRDefault="00B02658" w:rsidP="00604EF6">
            <w:pPr>
              <w:pStyle w:val="TableBodyText"/>
            </w:pPr>
            <w:r w:rsidRPr="00B02658">
              <w:t>N/</w:t>
            </w:r>
            <w:r w:rsidR="00DE681B" w:rsidRPr="00B02658">
              <w:t xml:space="preserve">L </w:t>
            </w:r>
          </w:p>
        </w:tc>
        <w:tc>
          <w:tcPr>
            <w:tcW w:w="740" w:type="dxa"/>
            <w:shd w:val="clear" w:color="auto" w:fill="auto"/>
          </w:tcPr>
          <w:p w:rsidR="00DE681B" w:rsidRPr="00B02658" w:rsidRDefault="00DE681B" w:rsidP="00604EF6">
            <w:pPr>
              <w:pStyle w:val="TableBodyText"/>
            </w:pPr>
            <w:r w:rsidRPr="00B02658">
              <w:t xml:space="preserve">L </w:t>
            </w:r>
          </w:p>
        </w:tc>
        <w:tc>
          <w:tcPr>
            <w:tcW w:w="741" w:type="dxa"/>
            <w:shd w:val="clear" w:color="auto" w:fill="auto"/>
          </w:tcPr>
          <w:p w:rsidR="00DE681B" w:rsidRPr="00582494" w:rsidRDefault="00BA2340" w:rsidP="00604EF6">
            <w:pPr>
              <w:pStyle w:val="TableBodyText"/>
            </w:pPr>
            <w:r>
              <w:t>L</w:t>
            </w:r>
            <w:r w:rsidR="00DE681B" w:rsidRPr="00582494">
              <w:t xml:space="preserve"> </w:t>
            </w:r>
          </w:p>
        </w:tc>
        <w:tc>
          <w:tcPr>
            <w:tcW w:w="741" w:type="dxa"/>
            <w:shd w:val="clear" w:color="auto" w:fill="auto"/>
          </w:tcPr>
          <w:p w:rsidR="00DE681B" w:rsidRPr="007F21AE" w:rsidRDefault="00DE681B" w:rsidP="00604EF6">
            <w:pPr>
              <w:pStyle w:val="TableBodyText"/>
            </w:pPr>
            <w:r w:rsidRPr="007F21AE">
              <w:t xml:space="preserve">R </w:t>
            </w:r>
          </w:p>
        </w:tc>
        <w:tc>
          <w:tcPr>
            <w:tcW w:w="804" w:type="dxa"/>
            <w:shd w:val="clear" w:color="auto" w:fill="auto"/>
          </w:tcPr>
          <w:p w:rsidR="00DE681B" w:rsidRPr="007F21AE" w:rsidRDefault="0030450B" w:rsidP="00604EF6">
            <w:pPr>
              <w:pStyle w:val="TableBodyText"/>
            </w:pPr>
            <w:r w:rsidRPr="007F21AE">
              <w:t>L</w:t>
            </w:r>
            <w:r w:rsidR="00DE681B" w:rsidRPr="007F21AE">
              <w:t xml:space="preserve"> </w:t>
            </w:r>
          </w:p>
        </w:tc>
        <w:tc>
          <w:tcPr>
            <w:tcW w:w="677" w:type="dxa"/>
            <w:shd w:val="clear" w:color="auto" w:fill="FFFFFF" w:themeFill="background1"/>
          </w:tcPr>
          <w:p w:rsidR="00DE681B" w:rsidRPr="007F21AE" w:rsidRDefault="00DE681B" w:rsidP="00604EF6">
            <w:pPr>
              <w:pStyle w:val="TableBodyText"/>
            </w:pPr>
            <w:r w:rsidRPr="007F21AE">
              <w:t xml:space="preserve">L </w:t>
            </w:r>
          </w:p>
        </w:tc>
        <w:tc>
          <w:tcPr>
            <w:tcW w:w="741" w:type="dxa"/>
            <w:shd w:val="clear" w:color="auto" w:fill="auto"/>
          </w:tcPr>
          <w:p w:rsidR="00DE681B" w:rsidRPr="007F21AE" w:rsidRDefault="00DE681B" w:rsidP="00604EF6">
            <w:pPr>
              <w:pStyle w:val="TableBodyText"/>
              <w:ind w:right="28"/>
            </w:pPr>
            <w:r w:rsidRPr="007F21AE">
              <w:t xml:space="preserve">X </w:t>
            </w:r>
          </w:p>
        </w:tc>
      </w:tr>
      <w:tr w:rsidR="00DE681B" w:rsidRPr="00C7239C" w:rsidTr="00C01F2F">
        <w:trPr>
          <w:trHeight w:val="256"/>
        </w:trPr>
        <w:tc>
          <w:tcPr>
            <w:tcW w:w="2864" w:type="dxa"/>
            <w:shd w:val="clear" w:color="auto" w:fill="auto"/>
          </w:tcPr>
          <w:p w:rsidR="00DE681B" w:rsidRPr="00C7239C" w:rsidRDefault="00DE681B" w:rsidP="00C7239C">
            <w:pPr>
              <w:pStyle w:val="TableBodyText"/>
              <w:jc w:val="left"/>
            </w:pPr>
            <w:r w:rsidRPr="00C7239C">
              <w:t xml:space="preserve">Family day care </w:t>
            </w:r>
            <w:r w:rsidR="003119E8" w:rsidRPr="00C7239C">
              <w:t>services</w:t>
            </w:r>
            <w:r w:rsidRPr="00C7239C">
              <w:t xml:space="preserve"> </w:t>
            </w:r>
          </w:p>
        </w:tc>
        <w:tc>
          <w:tcPr>
            <w:tcW w:w="740" w:type="dxa"/>
            <w:shd w:val="clear" w:color="auto" w:fill="auto"/>
          </w:tcPr>
          <w:p w:rsidR="00DE681B" w:rsidRPr="00B02658" w:rsidRDefault="00DE681B" w:rsidP="00604EF6">
            <w:pPr>
              <w:pStyle w:val="TableBodyText"/>
            </w:pPr>
            <w:r w:rsidRPr="00B02658">
              <w:t xml:space="preserve">N </w:t>
            </w:r>
          </w:p>
        </w:tc>
        <w:tc>
          <w:tcPr>
            <w:tcW w:w="741" w:type="dxa"/>
            <w:shd w:val="clear" w:color="auto" w:fill="auto"/>
          </w:tcPr>
          <w:p w:rsidR="00DE681B" w:rsidRPr="00B02658" w:rsidRDefault="00DE681B" w:rsidP="00604EF6">
            <w:pPr>
              <w:pStyle w:val="TableBodyText"/>
            </w:pPr>
            <w:r w:rsidRPr="00B02658">
              <w:t xml:space="preserve">N </w:t>
            </w:r>
          </w:p>
        </w:tc>
        <w:tc>
          <w:tcPr>
            <w:tcW w:w="740" w:type="dxa"/>
            <w:shd w:val="clear" w:color="auto" w:fill="auto"/>
          </w:tcPr>
          <w:p w:rsidR="00DE681B" w:rsidRPr="00B02658" w:rsidRDefault="00DE681B" w:rsidP="00604EF6">
            <w:pPr>
              <w:pStyle w:val="TableBodyText"/>
            </w:pPr>
            <w:r w:rsidRPr="00B02658">
              <w:t xml:space="preserve">N </w:t>
            </w:r>
          </w:p>
        </w:tc>
        <w:tc>
          <w:tcPr>
            <w:tcW w:w="741" w:type="dxa"/>
            <w:shd w:val="clear" w:color="auto" w:fill="auto"/>
          </w:tcPr>
          <w:p w:rsidR="00DE681B" w:rsidRPr="00582494" w:rsidRDefault="00BA2340" w:rsidP="00604EF6">
            <w:pPr>
              <w:pStyle w:val="TableBodyText"/>
            </w:pPr>
            <w:r>
              <w:t>N</w:t>
            </w:r>
            <w:r w:rsidR="00DE681B" w:rsidRPr="00582494">
              <w:t xml:space="preserve"> </w:t>
            </w:r>
          </w:p>
        </w:tc>
        <w:tc>
          <w:tcPr>
            <w:tcW w:w="741" w:type="dxa"/>
            <w:shd w:val="clear" w:color="auto" w:fill="auto"/>
          </w:tcPr>
          <w:p w:rsidR="00DE681B" w:rsidRPr="007F21AE" w:rsidRDefault="00DE681B" w:rsidP="00604EF6">
            <w:pPr>
              <w:pStyle w:val="TableBodyText"/>
            </w:pPr>
            <w:r w:rsidRPr="007F21AE">
              <w:t xml:space="preserve">N </w:t>
            </w:r>
          </w:p>
        </w:tc>
        <w:tc>
          <w:tcPr>
            <w:tcW w:w="804" w:type="dxa"/>
            <w:shd w:val="clear" w:color="auto" w:fill="auto"/>
          </w:tcPr>
          <w:p w:rsidR="00DE681B" w:rsidRPr="007F21AE" w:rsidRDefault="00DE681B" w:rsidP="00604EF6">
            <w:pPr>
              <w:pStyle w:val="TableBodyText"/>
            </w:pPr>
            <w:r w:rsidRPr="007F21AE">
              <w:t xml:space="preserve">N </w:t>
            </w:r>
          </w:p>
        </w:tc>
        <w:tc>
          <w:tcPr>
            <w:tcW w:w="677" w:type="dxa"/>
            <w:shd w:val="clear" w:color="auto" w:fill="auto"/>
          </w:tcPr>
          <w:p w:rsidR="00DE681B" w:rsidRPr="007F21AE" w:rsidRDefault="00DE681B" w:rsidP="00604EF6">
            <w:pPr>
              <w:pStyle w:val="TableBodyText"/>
            </w:pPr>
            <w:r w:rsidRPr="007F21AE">
              <w:t xml:space="preserve">N </w:t>
            </w:r>
          </w:p>
        </w:tc>
        <w:tc>
          <w:tcPr>
            <w:tcW w:w="741" w:type="dxa"/>
            <w:shd w:val="clear" w:color="auto" w:fill="auto"/>
          </w:tcPr>
          <w:p w:rsidR="00DE681B" w:rsidRPr="007F21AE" w:rsidRDefault="00DE681B" w:rsidP="00604EF6">
            <w:pPr>
              <w:pStyle w:val="TableBodyText"/>
              <w:ind w:right="28"/>
            </w:pPr>
            <w:r w:rsidRPr="007F21AE">
              <w:t xml:space="preserve">N </w:t>
            </w:r>
          </w:p>
        </w:tc>
      </w:tr>
      <w:tr w:rsidR="00DE681B" w:rsidRPr="00C7239C" w:rsidTr="00493DF4">
        <w:tc>
          <w:tcPr>
            <w:tcW w:w="2864" w:type="dxa"/>
            <w:shd w:val="clear" w:color="auto" w:fill="auto"/>
          </w:tcPr>
          <w:p w:rsidR="00DE681B" w:rsidRPr="00C7239C" w:rsidRDefault="00950FF8" w:rsidP="00C7239C">
            <w:pPr>
              <w:pStyle w:val="TableBodyText"/>
              <w:jc w:val="left"/>
            </w:pPr>
            <w:r>
              <w:t xml:space="preserve">Outside school </w:t>
            </w:r>
            <w:r w:rsidR="00DE681B" w:rsidRPr="00C7239C">
              <w:t>hours care</w:t>
            </w:r>
            <w:r w:rsidR="00D7475E" w:rsidRPr="00493DF4">
              <w:rPr>
                <w:rStyle w:val="NoteLabel"/>
              </w:rPr>
              <w:t>b</w:t>
            </w:r>
            <w:r w:rsidR="00DE681B" w:rsidRPr="00D7475E">
              <w:rPr>
                <w:shd w:val="clear" w:color="auto" w:fill="FFFF00"/>
              </w:rPr>
              <w:t xml:space="preserve"> </w:t>
            </w:r>
          </w:p>
        </w:tc>
        <w:tc>
          <w:tcPr>
            <w:tcW w:w="740" w:type="dxa"/>
            <w:shd w:val="clear" w:color="auto" w:fill="FFFFFF" w:themeFill="background1"/>
          </w:tcPr>
          <w:p w:rsidR="00DE681B" w:rsidRPr="00B02658" w:rsidRDefault="00DE681B" w:rsidP="00604EF6">
            <w:pPr>
              <w:pStyle w:val="TableBodyText"/>
            </w:pPr>
            <w:r w:rsidRPr="00B02658">
              <w:t xml:space="preserve">N </w:t>
            </w:r>
          </w:p>
        </w:tc>
        <w:tc>
          <w:tcPr>
            <w:tcW w:w="741" w:type="dxa"/>
            <w:shd w:val="clear" w:color="auto" w:fill="auto"/>
          </w:tcPr>
          <w:p w:rsidR="00DE681B" w:rsidRPr="00B02658" w:rsidRDefault="00E90F1B" w:rsidP="00604EF6">
            <w:pPr>
              <w:pStyle w:val="TableBodyText"/>
            </w:pPr>
            <w:r w:rsidRPr="00B02658">
              <w:t>N</w:t>
            </w:r>
            <w:r w:rsidR="00C34415">
              <w:t>/L</w:t>
            </w:r>
            <w:r w:rsidR="00DE681B" w:rsidRPr="00B02658">
              <w:t xml:space="preserve"> </w:t>
            </w:r>
          </w:p>
        </w:tc>
        <w:tc>
          <w:tcPr>
            <w:tcW w:w="740" w:type="dxa"/>
            <w:shd w:val="clear" w:color="auto" w:fill="FFFFFF" w:themeFill="background1"/>
          </w:tcPr>
          <w:p w:rsidR="00DE681B" w:rsidRPr="00B02658" w:rsidRDefault="00E90F1B" w:rsidP="00604EF6">
            <w:pPr>
              <w:pStyle w:val="TableBodyText"/>
            </w:pPr>
            <w:r w:rsidRPr="00B02658">
              <w:t>N</w:t>
            </w:r>
            <w:r w:rsidR="00DE681B" w:rsidRPr="00B02658">
              <w:t xml:space="preserve"> </w:t>
            </w:r>
          </w:p>
        </w:tc>
        <w:tc>
          <w:tcPr>
            <w:tcW w:w="741" w:type="dxa"/>
            <w:shd w:val="clear" w:color="auto" w:fill="FFFFFF" w:themeFill="background1"/>
          </w:tcPr>
          <w:p w:rsidR="00DE681B" w:rsidRPr="00582494" w:rsidRDefault="00BA2340" w:rsidP="00604EF6">
            <w:pPr>
              <w:pStyle w:val="TableBodyText"/>
            </w:pPr>
            <w:r>
              <w:t>N</w:t>
            </w:r>
            <w:r w:rsidR="00DE681B" w:rsidRPr="00582494">
              <w:t xml:space="preserve"> </w:t>
            </w:r>
          </w:p>
        </w:tc>
        <w:tc>
          <w:tcPr>
            <w:tcW w:w="741" w:type="dxa"/>
            <w:shd w:val="clear" w:color="auto" w:fill="FFFFFF" w:themeFill="background1"/>
          </w:tcPr>
          <w:p w:rsidR="00DE681B" w:rsidRPr="007F21AE" w:rsidRDefault="00DE681B" w:rsidP="00604EF6">
            <w:pPr>
              <w:pStyle w:val="TableBodyText"/>
            </w:pPr>
            <w:r w:rsidRPr="007F21AE">
              <w:t xml:space="preserve">N </w:t>
            </w:r>
          </w:p>
        </w:tc>
        <w:tc>
          <w:tcPr>
            <w:tcW w:w="804" w:type="dxa"/>
            <w:shd w:val="clear" w:color="auto" w:fill="auto"/>
          </w:tcPr>
          <w:p w:rsidR="00DE681B" w:rsidRPr="007F21AE" w:rsidRDefault="006B52A3" w:rsidP="00604EF6">
            <w:pPr>
              <w:pStyle w:val="TableBodyText"/>
            </w:pPr>
            <w:r w:rsidRPr="007F21AE">
              <w:t>N</w:t>
            </w:r>
          </w:p>
        </w:tc>
        <w:tc>
          <w:tcPr>
            <w:tcW w:w="677" w:type="dxa"/>
            <w:shd w:val="clear" w:color="auto" w:fill="FFFFFF" w:themeFill="background1"/>
          </w:tcPr>
          <w:p w:rsidR="00DE681B" w:rsidRPr="007F21AE" w:rsidRDefault="00DE681B" w:rsidP="00604EF6">
            <w:pPr>
              <w:pStyle w:val="TableBodyText"/>
            </w:pPr>
            <w:r w:rsidRPr="007F21AE">
              <w:t xml:space="preserve">N </w:t>
            </w:r>
          </w:p>
        </w:tc>
        <w:tc>
          <w:tcPr>
            <w:tcW w:w="741" w:type="dxa"/>
            <w:shd w:val="clear" w:color="auto" w:fill="auto"/>
          </w:tcPr>
          <w:p w:rsidR="00DE681B" w:rsidRPr="007F21AE" w:rsidRDefault="00DE681B" w:rsidP="00604EF6">
            <w:pPr>
              <w:pStyle w:val="TableBodyText"/>
              <w:ind w:right="28"/>
            </w:pPr>
            <w:r w:rsidRPr="007F21AE">
              <w:t xml:space="preserve">N </w:t>
            </w:r>
          </w:p>
        </w:tc>
      </w:tr>
      <w:tr w:rsidR="00DE681B" w:rsidRPr="00C7239C" w:rsidTr="00C01F2F">
        <w:tc>
          <w:tcPr>
            <w:tcW w:w="2864" w:type="dxa"/>
            <w:shd w:val="clear" w:color="auto" w:fill="auto"/>
          </w:tcPr>
          <w:p w:rsidR="00DE681B" w:rsidRPr="00C7239C" w:rsidRDefault="00DE681B" w:rsidP="00C7239C">
            <w:pPr>
              <w:pStyle w:val="TableBodyText"/>
              <w:jc w:val="left"/>
            </w:pPr>
            <w:r w:rsidRPr="00C7239C">
              <w:t>Home</w:t>
            </w:r>
            <w:r w:rsidR="00172534">
              <w:noBreakHyphen/>
            </w:r>
            <w:r w:rsidRPr="00C7239C">
              <w:t xml:space="preserve">based care </w:t>
            </w:r>
          </w:p>
        </w:tc>
        <w:tc>
          <w:tcPr>
            <w:tcW w:w="740" w:type="dxa"/>
            <w:shd w:val="clear" w:color="auto" w:fill="FFFFFF" w:themeFill="background1"/>
          </w:tcPr>
          <w:p w:rsidR="00DE681B" w:rsidRPr="00B02658" w:rsidRDefault="00DE681B" w:rsidP="00604EF6">
            <w:pPr>
              <w:pStyle w:val="TableBodyText"/>
            </w:pPr>
            <w:r w:rsidRPr="00B02658">
              <w:t xml:space="preserve">R </w:t>
            </w:r>
          </w:p>
        </w:tc>
        <w:tc>
          <w:tcPr>
            <w:tcW w:w="741" w:type="dxa"/>
            <w:shd w:val="clear" w:color="auto" w:fill="auto"/>
          </w:tcPr>
          <w:p w:rsidR="00DE681B" w:rsidRPr="00B02658" w:rsidRDefault="0097539A" w:rsidP="00604EF6">
            <w:pPr>
              <w:pStyle w:val="TableBodyText"/>
            </w:pPr>
            <w:r w:rsidRPr="00B02658">
              <w:t>..</w:t>
            </w:r>
            <w:r w:rsidR="00DE681B" w:rsidRPr="00B02658">
              <w:t xml:space="preserve"> </w:t>
            </w:r>
          </w:p>
        </w:tc>
        <w:tc>
          <w:tcPr>
            <w:tcW w:w="740" w:type="dxa"/>
            <w:shd w:val="clear" w:color="auto" w:fill="auto"/>
          </w:tcPr>
          <w:p w:rsidR="00DE681B" w:rsidRPr="00B02658" w:rsidRDefault="00DE681B" w:rsidP="00604EF6">
            <w:pPr>
              <w:pStyle w:val="TableBodyText"/>
            </w:pPr>
            <w:r w:rsidRPr="00B02658">
              <w:t xml:space="preserve">X </w:t>
            </w:r>
          </w:p>
        </w:tc>
        <w:tc>
          <w:tcPr>
            <w:tcW w:w="741" w:type="dxa"/>
            <w:shd w:val="clear" w:color="auto" w:fill="auto"/>
          </w:tcPr>
          <w:p w:rsidR="00DE681B" w:rsidRPr="00582494" w:rsidRDefault="00BA2340" w:rsidP="00604EF6">
            <w:pPr>
              <w:pStyle w:val="TableBodyText"/>
            </w:pPr>
            <w:r>
              <w:t>X</w:t>
            </w:r>
            <w:r w:rsidR="00DE681B" w:rsidRPr="00582494">
              <w:t xml:space="preserve"> </w:t>
            </w:r>
          </w:p>
        </w:tc>
        <w:tc>
          <w:tcPr>
            <w:tcW w:w="741" w:type="dxa"/>
            <w:shd w:val="clear" w:color="auto" w:fill="auto"/>
          </w:tcPr>
          <w:p w:rsidR="00DE681B" w:rsidRPr="007F21AE" w:rsidRDefault="00DE681B" w:rsidP="00604EF6">
            <w:pPr>
              <w:pStyle w:val="TableBodyText"/>
            </w:pPr>
            <w:r w:rsidRPr="007F21AE">
              <w:t xml:space="preserve">R </w:t>
            </w:r>
          </w:p>
        </w:tc>
        <w:tc>
          <w:tcPr>
            <w:tcW w:w="804" w:type="dxa"/>
            <w:shd w:val="clear" w:color="auto" w:fill="auto"/>
          </w:tcPr>
          <w:p w:rsidR="00DE681B" w:rsidRPr="007F21AE" w:rsidRDefault="00DE681B" w:rsidP="00604EF6">
            <w:pPr>
              <w:pStyle w:val="TableBodyText"/>
            </w:pPr>
            <w:r w:rsidRPr="007F21AE">
              <w:t xml:space="preserve">L </w:t>
            </w:r>
          </w:p>
        </w:tc>
        <w:tc>
          <w:tcPr>
            <w:tcW w:w="677" w:type="dxa"/>
            <w:shd w:val="clear" w:color="auto" w:fill="auto"/>
          </w:tcPr>
          <w:p w:rsidR="00DE681B" w:rsidRPr="007F21AE" w:rsidRDefault="00DE681B" w:rsidP="00604EF6">
            <w:pPr>
              <w:pStyle w:val="TableBodyText"/>
            </w:pPr>
            <w:proofErr w:type="spellStart"/>
            <w:r w:rsidRPr="007F21AE">
              <w:t>na</w:t>
            </w:r>
            <w:proofErr w:type="spellEnd"/>
            <w:r w:rsidRPr="007F21AE">
              <w:t xml:space="preserve"> </w:t>
            </w:r>
          </w:p>
        </w:tc>
        <w:tc>
          <w:tcPr>
            <w:tcW w:w="741" w:type="dxa"/>
            <w:shd w:val="clear" w:color="auto" w:fill="auto"/>
          </w:tcPr>
          <w:p w:rsidR="00DE681B" w:rsidRPr="007F21AE" w:rsidRDefault="00DE681B" w:rsidP="00604EF6">
            <w:pPr>
              <w:pStyle w:val="TableBodyText"/>
              <w:ind w:right="28"/>
            </w:pPr>
            <w:r w:rsidRPr="007F21AE">
              <w:t xml:space="preserve">X </w:t>
            </w:r>
          </w:p>
        </w:tc>
      </w:tr>
      <w:tr w:rsidR="00DE681B" w:rsidRPr="00C7239C" w:rsidTr="00C01F2F">
        <w:tc>
          <w:tcPr>
            <w:tcW w:w="2864" w:type="dxa"/>
            <w:shd w:val="clear" w:color="auto" w:fill="auto"/>
          </w:tcPr>
          <w:p w:rsidR="00DE681B" w:rsidRPr="00C7239C" w:rsidRDefault="00E90F1B" w:rsidP="00C7239C">
            <w:pPr>
              <w:pStyle w:val="TableBodyText"/>
              <w:jc w:val="left"/>
              <w:rPr>
                <w:sz w:val="18"/>
                <w:szCs w:val="18"/>
              </w:rPr>
            </w:pPr>
            <w:r w:rsidRPr="00C7239C">
              <w:t xml:space="preserve">Other </w:t>
            </w:r>
            <w:r w:rsidR="00DE681B" w:rsidRPr="00C7239C">
              <w:t>care</w:t>
            </w:r>
            <w:r w:rsidR="00D7475E">
              <w:rPr>
                <w:rStyle w:val="NoteLabel"/>
              </w:rPr>
              <w:t>d</w:t>
            </w:r>
            <w:r w:rsidR="00DE681B" w:rsidRPr="00C7239C">
              <w:rPr>
                <w:b/>
                <w:bCs/>
                <w:sz w:val="18"/>
                <w:szCs w:val="18"/>
              </w:rPr>
              <w:t xml:space="preserve"> </w:t>
            </w:r>
          </w:p>
        </w:tc>
        <w:tc>
          <w:tcPr>
            <w:tcW w:w="740" w:type="dxa"/>
            <w:shd w:val="clear" w:color="auto" w:fill="FFFFFF" w:themeFill="background1"/>
          </w:tcPr>
          <w:p w:rsidR="00DE681B" w:rsidRPr="00B02658" w:rsidRDefault="00DE681B" w:rsidP="00604EF6">
            <w:pPr>
              <w:pStyle w:val="TableBodyText"/>
            </w:pPr>
            <w:r w:rsidRPr="00B02658">
              <w:t xml:space="preserve">R </w:t>
            </w:r>
          </w:p>
        </w:tc>
        <w:tc>
          <w:tcPr>
            <w:tcW w:w="741" w:type="dxa"/>
            <w:shd w:val="clear" w:color="auto" w:fill="auto"/>
          </w:tcPr>
          <w:p w:rsidR="00DE681B" w:rsidRPr="00B02658" w:rsidRDefault="00DE681B" w:rsidP="00604EF6">
            <w:pPr>
              <w:pStyle w:val="TableBodyText"/>
            </w:pPr>
            <w:r w:rsidRPr="00B02658">
              <w:t xml:space="preserve">L </w:t>
            </w:r>
          </w:p>
        </w:tc>
        <w:tc>
          <w:tcPr>
            <w:tcW w:w="740" w:type="dxa"/>
            <w:shd w:val="clear" w:color="auto" w:fill="auto"/>
          </w:tcPr>
          <w:p w:rsidR="00DE681B" w:rsidRPr="00B02658" w:rsidRDefault="00DE681B" w:rsidP="00604EF6">
            <w:pPr>
              <w:pStyle w:val="TableBodyText"/>
            </w:pPr>
            <w:r w:rsidRPr="00B02658">
              <w:t xml:space="preserve">X </w:t>
            </w:r>
          </w:p>
        </w:tc>
        <w:tc>
          <w:tcPr>
            <w:tcW w:w="741" w:type="dxa"/>
            <w:shd w:val="clear" w:color="auto" w:fill="auto"/>
          </w:tcPr>
          <w:p w:rsidR="00DE681B" w:rsidRPr="00582494" w:rsidRDefault="00BA2340" w:rsidP="00604EF6">
            <w:pPr>
              <w:pStyle w:val="TableBodyText"/>
            </w:pPr>
            <w:r>
              <w:t>X</w:t>
            </w:r>
            <w:r w:rsidR="00DE681B" w:rsidRPr="00582494">
              <w:t xml:space="preserve"> </w:t>
            </w:r>
          </w:p>
        </w:tc>
        <w:tc>
          <w:tcPr>
            <w:tcW w:w="741" w:type="dxa"/>
            <w:shd w:val="clear" w:color="auto" w:fill="auto"/>
          </w:tcPr>
          <w:p w:rsidR="00DE681B" w:rsidRPr="007F21AE" w:rsidRDefault="00DE681B" w:rsidP="00604EF6">
            <w:pPr>
              <w:pStyle w:val="TableBodyText"/>
            </w:pPr>
            <w:r w:rsidRPr="007F21AE">
              <w:t xml:space="preserve">R </w:t>
            </w:r>
          </w:p>
        </w:tc>
        <w:tc>
          <w:tcPr>
            <w:tcW w:w="804" w:type="dxa"/>
            <w:shd w:val="clear" w:color="auto" w:fill="auto"/>
          </w:tcPr>
          <w:p w:rsidR="00DE681B" w:rsidRPr="007F21AE" w:rsidRDefault="005B5974" w:rsidP="00604EF6">
            <w:pPr>
              <w:pStyle w:val="TableBodyText"/>
            </w:pPr>
            <w:r w:rsidRPr="00493DF4">
              <w:t>L</w:t>
            </w:r>
            <w:r w:rsidR="00DE681B" w:rsidRPr="007F21AE">
              <w:t xml:space="preserve"> </w:t>
            </w:r>
          </w:p>
        </w:tc>
        <w:tc>
          <w:tcPr>
            <w:tcW w:w="677" w:type="dxa"/>
            <w:shd w:val="clear" w:color="auto" w:fill="auto"/>
          </w:tcPr>
          <w:p w:rsidR="00DE681B" w:rsidRPr="007F21AE" w:rsidRDefault="00DE681B" w:rsidP="00604EF6">
            <w:pPr>
              <w:pStyle w:val="TableBodyText"/>
            </w:pPr>
            <w:r w:rsidRPr="007F21AE">
              <w:t xml:space="preserve">L </w:t>
            </w:r>
          </w:p>
        </w:tc>
        <w:tc>
          <w:tcPr>
            <w:tcW w:w="741" w:type="dxa"/>
            <w:shd w:val="clear" w:color="auto" w:fill="auto"/>
          </w:tcPr>
          <w:p w:rsidR="00DE681B" w:rsidRPr="007F21AE" w:rsidRDefault="00DE681B" w:rsidP="00604EF6">
            <w:pPr>
              <w:pStyle w:val="TableBodyText"/>
              <w:ind w:right="28"/>
            </w:pPr>
            <w:r w:rsidRPr="007F21AE">
              <w:t xml:space="preserve">N </w:t>
            </w:r>
          </w:p>
        </w:tc>
      </w:tr>
      <w:tr w:rsidR="00DE681B" w:rsidRPr="00C7239C" w:rsidTr="00C01F2F">
        <w:tc>
          <w:tcPr>
            <w:tcW w:w="2864" w:type="dxa"/>
            <w:tcBorders>
              <w:bottom w:val="single" w:sz="4" w:space="0" w:color="auto"/>
            </w:tcBorders>
            <w:shd w:val="clear" w:color="auto" w:fill="auto"/>
          </w:tcPr>
          <w:p w:rsidR="00DE681B" w:rsidRPr="00C7239C" w:rsidRDefault="00DE681B" w:rsidP="00C7239C">
            <w:pPr>
              <w:pStyle w:val="TableBodyText"/>
              <w:jc w:val="left"/>
              <w:rPr>
                <w:sz w:val="18"/>
                <w:szCs w:val="18"/>
              </w:rPr>
            </w:pPr>
            <w:r w:rsidRPr="00C7239C">
              <w:t>Preschool/kindergarten</w:t>
            </w:r>
            <w:r w:rsidR="00D7475E">
              <w:rPr>
                <w:rStyle w:val="NoteLabel"/>
              </w:rPr>
              <w:t>e</w:t>
            </w:r>
            <w:r w:rsidRPr="00C7239C">
              <w:rPr>
                <w:rStyle w:val="NoteLabel"/>
              </w:rPr>
              <w:t xml:space="preserve"> </w:t>
            </w:r>
          </w:p>
        </w:tc>
        <w:tc>
          <w:tcPr>
            <w:tcW w:w="740" w:type="dxa"/>
            <w:tcBorders>
              <w:bottom w:val="single" w:sz="4" w:space="0" w:color="auto"/>
            </w:tcBorders>
            <w:shd w:val="clear" w:color="auto" w:fill="FFFFFF" w:themeFill="background1"/>
          </w:tcPr>
          <w:p w:rsidR="00DE681B" w:rsidRPr="00B02658" w:rsidRDefault="00DE681B" w:rsidP="00604EF6">
            <w:pPr>
              <w:pStyle w:val="TableBodyText"/>
            </w:pPr>
            <w:r w:rsidRPr="00B02658">
              <w:t xml:space="preserve">N </w:t>
            </w:r>
          </w:p>
        </w:tc>
        <w:tc>
          <w:tcPr>
            <w:tcW w:w="741" w:type="dxa"/>
            <w:tcBorders>
              <w:bottom w:val="single" w:sz="4" w:space="0" w:color="auto"/>
            </w:tcBorders>
            <w:shd w:val="clear" w:color="auto" w:fill="FFFFFF" w:themeFill="background1"/>
          </w:tcPr>
          <w:p w:rsidR="00DE681B" w:rsidRPr="00B02658" w:rsidRDefault="00E90F1B" w:rsidP="00604EF6">
            <w:pPr>
              <w:pStyle w:val="TableBodyText"/>
            </w:pPr>
            <w:r w:rsidRPr="00B02658">
              <w:t>N</w:t>
            </w:r>
            <w:r w:rsidR="00B02658" w:rsidRPr="00B02658">
              <w:t>/L</w:t>
            </w:r>
            <w:r w:rsidR="00DE681B" w:rsidRPr="00B02658">
              <w:t xml:space="preserve"> </w:t>
            </w:r>
          </w:p>
        </w:tc>
        <w:tc>
          <w:tcPr>
            <w:tcW w:w="740" w:type="dxa"/>
            <w:tcBorders>
              <w:bottom w:val="single" w:sz="4" w:space="0" w:color="auto"/>
            </w:tcBorders>
            <w:shd w:val="clear" w:color="auto" w:fill="FFFFFF" w:themeFill="background1"/>
          </w:tcPr>
          <w:p w:rsidR="00DE681B" w:rsidRPr="00B02658" w:rsidRDefault="00E90F1B" w:rsidP="00604EF6">
            <w:pPr>
              <w:pStyle w:val="TableBodyText"/>
            </w:pPr>
            <w:r w:rsidRPr="00B02658">
              <w:t>N</w:t>
            </w:r>
            <w:r w:rsidR="00DE681B" w:rsidRPr="00B02658">
              <w:t xml:space="preserve"> </w:t>
            </w:r>
          </w:p>
        </w:tc>
        <w:tc>
          <w:tcPr>
            <w:tcW w:w="741" w:type="dxa"/>
            <w:tcBorders>
              <w:bottom w:val="single" w:sz="4" w:space="0" w:color="auto"/>
            </w:tcBorders>
            <w:shd w:val="clear" w:color="auto" w:fill="FFFFFF" w:themeFill="background1"/>
          </w:tcPr>
          <w:p w:rsidR="00DE681B" w:rsidRPr="00582494" w:rsidRDefault="00DE681B" w:rsidP="00604EF6">
            <w:pPr>
              <w:pStyle w:val="TableBodyText"/>
            </w:pPr>
            <w:r w:rsidRPr="00582494">
              <w:t xml:space="preserve">G </w:t>
            </w:r>
          </w:p>
        </w:tc>
        <w:tc>
          <w:tcPr>
            <w:tcW w:w="741" w:type="dxa"/>
            <w:tcBorders>
              <w:bottom w:val="single" w:sz="4" w:space="0" w:color="auto"/>
            </w:tcBorders>
            <w:shd w:val="clear" w:color="auto" w:fill="FFFFFF" w:themeFill="background1"/>
          </w:tcPr>
          <w:p w:rsidR="00DE681B" w:rsidRPr="007F21AE" w:rsidRDefault="00DE681B" w:rsidP="00604EF6">
            <w:pPr>
              <w:pStyle w:val="TableBodyText"/>
            </w:pPr>
            <w:r w:rsidRPr="007F21AE">
              <w:t xml:space="preserve">N </w:t>
            </w:r>
          </w:p>
        </w:tc>
        <w:tc>
          <w:tcPr>
            <w:tcW w:w="804" w:type="dxa"/>
            <w:tcBorders>
              <w:bottom w:val="single" w:sz="4" w:space="0" w:color="auto"/>
            </w:tcBorders>
            <w:shd w:val="clear" w:color="auto" w:fill="auto"/>
          </w:tcPr>
          <w:p w:rsidR="00DE681B" w:rsidRPr="007F21AE" w:rsidRDefault="00DE681B" w:rsidP="00604EF6">
            <w:pPr>
              <w:pStyle w:val="TableBodyText"/>
            </w:pPr>
            <w:r w:rsidRPr="007F21AE">
              <w:t>G</w:t>
            </w:r>
            <w:r w:rsidR="003C737D" w:rsidRPr="007F21AE">
              <w:t>/R</w:t>
            </w:r>
            <w:r w:rsidRPr="007F21AE">
              <w:t xml:space="preserve"> </w:t>
            </w:r>
          </w:p>
        </w:tc>
        <w:tc>
          <w:tcPr>
            <w:tcW w:w="677" w:type="dxa"/>
            <w:tcBorders>
              <w:bottom w:val="single" w:sz="4" w:space="0" w:color="auto"/>
            </w:tcBorders>
            <w:shd w:val="clear" w:color="auto" w:fill="FFFFFF" w:themeFill="background1"/>
          </w:tcPr>
          <w:p w:rsidR="00DE681B" w:rsidRPr="007F21AE" w:rsidRDefault="00DE681B" w:rsidP="00604EF6">
            <w:pPr>
              <w:pStyle w:val="TableBodyText"/>
            </w:pPr>
            <w:r w:rsidRPr="007F21AE">
              <w:t xml:space="preserve">N </w:t>
            </w:r>
          </w:p>
        </w:tc>
        <w:tc>
          <w:tcPr>
            <w:tcW w:w="741" w:type="dxa"/>
            <w:tcBorders>
              <w:bottom w:val="single" w:sz="4" w:space="0" w:color="auto"/>
            </w:tcBorders>
            <w:shd w:val="clear" w:color="auto" w:fill="auto"/>
          </w:tcPr>
          <w:p w:rsidR="00DE681B" w:rsidRPr="007F21AE" w:rsidRDefault="00DE681B" w:rsidP="00604EF6">
            <w:pPr>
              <w:pStyle w:val="TableBodyText"/>
              <w:ind w:right="28"/>
            </w:pPr>
            <w:r w:rsidRPr="007F21AE">
              <w:t xml:space="preserve">N </w:t>
            </w:r>
          </w:p>
        </w:tc>
      </w:tr>
    </w:tbl>
    <w:p w:rsidR="00201ACB" w:rsidRPr="004369F9" w:rsidRDefault="00910306" w:rsidP="00C7239C">
      <w:pPr>
        <w:pStyle w:val="Note"/>
        <w:rPr>
          <w:color w:val="FF0000"/>
        </w:rPr>
      </w:pPr>
      <w:r w:rsidRPr="00C7239C">
        <w:rPr>
          <w:b/>
        </w:rPr>
        <w:t xml:space="preserve">N </w:t>
      </w:r>
      <w:r w:rsidR="00D60998" w:rsidRPr="00C7239C">
        <w:t xml:space="preserve">= </w:t>
      </w:r>
      <w:r w:rsidR="00D60998" w:rsidRPr="00B02658">
        <w:t>Services are regulated u</w:t>
      </w:r>
      <w:r w:rsidRPr="00B02658">
        <w:t>n</w:t>
      </w:r>
      <w:r w:rsidR="00D60998" w:rsidRPr="00B02658">
        <w:t>d</w:t>
      </w:r>
      <w:r w:rsidRPr="00B02658">
        <w:t xml:space="preserve">er the </w:t>
      </w:r>
      <w:r w:rsidRPr="00547D79">
        <w:rPr>
          <w:i/>
        </w:rPr>
        <w:t>National Quality Framework</w:t>
      </w:r>
      <w:r w:rsidR="00EB4DFF">
        <w:t xml:space="preserve"> (</w:t>
      </w:r>
      <w:proofErr w:type="spellStart"/>
      <w:r w:rsidR="00EB4DFF">
        <w:t>NQF</w:t>
      </w:r>
      <w:proofErr w:type="spellEnd"/>
      <w:r w:rsidR="00EB4DFF">
        <w:t>)</w:t>
      </w:r>
      <w:r w:rsidRPr="00B02658">
        <w:t xml:space="preserve"> and require a Provider Approval, Service Approval and a Nominated Supervisor who holds a Supervisor Certificate to operate.</w:t>
      </w:r>
      <w:r w:rsidRPr="00B02658">
        <w:rPr>
          <w:b/>
        </w:rPr>
        <w:t xml:space="preserve"> </w:t>
      </w:r>
      <w:r w:rsidR="00F931D3" w:rsidRPr="00B02658">
        <w:rPr>
          <w:b/>
        </w:rPr>
        <w:t xml:space="preserve">L </w:t>
      </w:r>
      <w:r w:rsidR="00F931D3" w:rsidRPr="00B02658">
        <w:t xml:space="preserve">= Services require a licence to operate. </w:t>
      </w:r>
      <w:r w:rsidR="00F931D3" w:rsidRPr="00B02658">
        <w:rPr>
          <w:b/>
        </w:rPr>
        <w:t>R</w:t>
      </w:r>
      <w:r w:rsidR="00F931D3" w:rsidRPr="00B02658">
        <w:t xml:space="preserve"> = Services require registration or approval to operate. </w:t>
      </w:r>
      <w:r w:rsidR="00F931D3" w:rsidRPr="00B02658">
        <w:rPr>
          <w:b/>
        </w:rPr>
        <w:t>G</w:t>
      </w:r>
      <w:r w:rsidR="00F931D3" w:rsidRPr="00B02658">
        <w:t xml:space="preserve"> = Services a</w:t>
      </w:r>
      <w:r w:rsidR="001E1816" w:rsidRPr="00B02658">
        <w:t>re provided by State/Territory g</w:t>
      </w:r>
      <w:r w:rsidR="00F931D3" w:rsidRPr="00B02658">
        <w:t xml:space="preserve">overnments. </w:t>
      </w:r>
      <w:r w:rsidR="00F931D3" w:rsidRPr="00B02658">
        <w:rPr>
          <w:b/>
        </w:rPr>
        <w:t xml:space="preserve">X </w:t>
      </w:r>
      <w:r w:rsidR="00F931D3" w:rsidRPr="00B02658">
        <w:t xml:space="preserve">= Services do not require licence, registration or approval to operate, but </w:t>
      </w:r>
      <w:r w:rsidR="00922771" w:rsidRPr="00B02658">
        <w:t>can</w:t>
      </w:r>
      <w:r w:rsidR="00F931D3" w:rsidRPr="00B02658">
        <w:t xml:space="preserve"> be required to meet regulatory standards.</w:t>
      </w:r>
    </w:p>
    <w:p w:rsidR="00A52E89" w:rsidRPr="00EB4DFF" w:rsidRDefault="00A52E89" w:rsidP="00C7239C">
      <w:pPr>
        <w:keepLines/>
        <w:spacing w:before="80" w:line="220" w:lineRule="exact"/>
        <w:jc w:val="both"/>
        <w:rPr>
          <w:rFonts w:ascii="Arial" w:hAnsi="Arial"/>
          <w:color w:val="FF0000"/>
          <w:sz w:val="18"/>
          <w:szCs w:val="20"/>
        </w:rPr>
      </w:pPr>
      <w:proofErr w:type="spellStart"/>
      <w:r w:rsidRPr="00B02658">
        <w:rPr>
          <w:rFonts w:ascii="Arial" w:hAnsi="Arial"/>
          <w:b/>
          <w:position w:val="6"/>
          <w:sz w:val="18"/>
          <w:szCs w:val="20"/>
        </w:rPr>
        <w:t>a</w:t>
      </w:r>
      <w:proofErr w:type="spellEnd"/>
      <w:r w:rsidRPr="00B02658">
        <w:rPr>
          <w:rFonts w:ascii="Arial" w:hAnsi="Arial"/>
          <w:b/>
          <w:position w:val="6"/>
          <w:sz w:val="18"/>
          <w:szCs w:val="20"/>
        </w:rPr>
        <w:t xml:space="preserve"> </w:t>
      </w:r>
      <w:r w:rsidR="007E3F1D" w:rsidRPr="00B02658">
        <w:rPr>
          <w:rFonts w:ascii="Arial" w:hAnsi="Arial"/>
          <w:sz w:val="18"/>
          <w:szCs w:val="20"/>
        </w:rPr>
        <w:t>Early childhood education and care services</w:t>
      </w:r>
      <w:r w:rsidRPr="00B02658">
        <w:rPr>
          <w:rFonts w:ascii="Arial" w:hAnsi="Arial"/>
          <w:sz w:val="18"/>
          <w:szCs w:val="20"/>
        </w:rPr>
        <w:t xml:space="preserve"> are </w:t>
      </w:r>
      <w:r w:rsidRPr="00493DF4">
        <w:rPr>
          <w:rFonts w:ascii="Arial" w:hAnsi="Arial"/>
          <w:sz w:val="18"/>
          <w:szCs w:val="20"/>
        </w:rPr>
        <w:t xml:space="preserve">regulated in accordance with the requirements of the relevant legislation in each jurisdiction. </w:t>
      </w:r>
      <w:r w:rsidR="0097539A" w:rsidRPr="00493DF4">
        <w:rPr>
          <w:rFonts w:ascii="Arial" w:hAnsi="Arial"/>
          <w:b/>
          <w:position w:val="6"/>
          <w:sz w:val="18"/>
          <w:szCs w:val="20"/>
        </w:rPr>
        <w:t>b</w:t>
      </w:r>
      <w:r w:rsidR="00B02658" w:rsidRPr="00493DF4">
        <w:rPr>
          <w:rFonts w:ascii="Arial" w:hAnsi="Arial"/>
          <w:sz w:val="18"/>
          <w:szCs w:val="20"/>
        </w:rPr>
        <w:t xml:space="preserve"> In Victoria a small number of </w:t>
      </w:r>
      <w:r w:rsidR="00D7475E" w:rsidRPr="00493DF4">
        <w:rPr>
          <w:rFonts w:ascii="Arial" w:hAnsi="Arial"/>
          <w:sz w:val="18"/>
          <w:szCs w:val="20"/>
        </w:rPr>
        <w:t>long day care</w:t>
      </w:r>
      <w:r w:rsidR="00B02658" w:rsidRPr="00493DF4">
        <w:rPr>
          <w:rFonts w:ascii="Arial" w:hAnsi="Arial"/>
          <w:sz w:val="18"/>
          <w:szCs w:val="20"/>
        </w:rPr>
        <w:t xml:space="preserve"> </w:t>
      </w:r>
      <w:r w:rsidR="00D7475E" w:rsidRPr="00493DF4">
        <w:rPr>
          <w:rFonts w:ascii="Arial" w:hAnsi="Arial"/>
          <w:sz w:val="18"/>
          <w:szCs w:val="20"/>
        </w:rPr>
        <w:t xml:space="preserve">and outside school hours care services </w:t>
      </w:r>
      <w:r w:rsidR="00B02658" w:rsidRPr="00493DF4">
        <w:rPr>
          <w:rFonts w:ascii="Arial" w:hAnsi="Arial"/>
          <w:sz w:val="18"/>
          <w:szCs w:val="20"/>
        </w:rPr>
        <w:t xml:space="preserve">have been exempted from the </w:t>
      </w:r>
      <w:proofErr w:type="spellStart"/>
      <w:r w:rsidR="00B02658" w:rsidRPr="00493DF4">
        <w:rPr>
          <w:rFonts w:ascii="Arial" w:hAnsi="Arial"/>
          <w:sz w:val="18"/>
          <w:szCs w:val="20"/>
        </w:rPr>
        <w:t>NQF</w:t>
      </w:r>
      <w:proofErr w:type="spellEnd"/>
      <w:r w:rsidR="00B02658" w:rsidRPr="00493DF4">
        <w:rPr>
          <w:rFonts w:ascii="Arial" w:hAnsi="Arial"/>
          <w:sz w:val="18"/>
          <w:szCs w:val="20"/>
        </w:rPr>
        <w:t xml:space="preserve"> and are licensed und</w:t>
      </w:r>
      <w:r w:rsidR="00996A19" w:rsidRPr="00493DF4">
        <w:rPr>
          <w:rFonts w:ascii="Arial" w:hAnsi="Arial"/>
          <w:sz w:val="18"/>
          <w:szCs w:val="20"/>
        </w:rPr>
        <w:t>er Victorian law.</w:t>
      </w:r>
      <w:r w:rsidR="00B02658" w:rsidRPr="00493DF4">
        <w:rPr>
          <w:rFonts w:ascii="Arial" w:hAnsi="Arial"/>
          <w:b/>
          <w:color w:val="FF0000"/>
          <w:position w:val="6"/>
          <w:sz w:val="18"/>
          <w:szCs w:val="20"/>
        </w:rPr>
        <w:t xml:space="preserve"> </w:t>
      </w:r>
      <w:r w:rsidR="00B02658" w:rsidRPr="00493DF4">
        <w:rPr>
          <w:rFonts w:ascii="Arial" w:hAnsi="Arial"/>
          <w:b/>
          <w:position w:val="6"/>
          <w:sz w:val="18"/>
          <w:szCs w:val="20"/>
        </w:rPr>
        <w:t>c </w:t>
      </w:r>
      <w:r w:rsidR="00B02658" w:rsidRPr="00493DF4">
        <w:rPr>
          <w:rFonts w:ascii="Arial" w:hAnsi="Arial" w:cs="Arial"/>
          <w:sz w:val="18"/>
          <w:szCs w:val="20"/>
          <w:lang w:val="en-US"/>
        </w:rPr>
        <w:t xml:space="preserve">In Victoria </w:t>
      </w:r>
      <w:r w:rsidR="002B56C7" w:rsidRPr="00493DF4">
        <w:rPr>
          <w:rFonts w:ascii="Arial" w:hAnsi="Arial" w:cs="Arial"/>
          <w:sz w:val="18"/>
          <w:szCs w:val="20"/>
          <w:lang w:val="en-US"/>
        </w:rPr>
        <w:t xml:space="preserve">occasional care </w:t>
      </w:r>
      <w:r w:rsidR="00B02658" w:rsidRPr="00493DF4">
        <w:rPr>
          <w:rFonts w:ascii="Arial" w:hAnsi="Arial" w:cs="Arial"/>
          <w:sz w:val="18"/>
          <w:szCs w:val="20"/>
          <w:lang w:val="en-US"/>
        </w:rPr>
        <w:t xml:space="preserve">services can be regulated under </w:t>
      </w:r>
      <w:proofErr w:type="spellStart"/>
      <w:r w:rsidR="00B02658" w:rsidRPr="00493DF4">
        <w:rPr>
          <w:rFonts w:ascii="Arial" w:hAnsi="Arial" w:cs="Arial"/>
          <w:sz w:val="18"/>
          <w:szCs w:val="20"/>
          <w:lang w:val="en-US"/>
        </w:rPr>
        <w:t>NQF</w:t>
      </w:r>
      <w:proofErr w:type="spellEnd"/>
      <w:r w:rsidR="00B02658" w:rsidRPr="00493DF4">
        <w:rPr>
          <w:rFonts w:ascii="Arial" w:hAnsi="Arial" w:cs="Arial"/>
          <w:sz w:val="18"/>
          <w:szCs w:val="20"/>
          <w:lang w:val="en-US"/>
        </w:rPr>
        <w:t xml:space="preserve"> as an approved associate service or be licensed under Victorian law. </w:t>
      </w:r>
      <w:r w:rsidR="00D7475E" w:rsidRPr="00493DF4">
        <w:rPr>
          <w:rFonts w:ascii="Arial" w:hAnsi="Arial"/>
          <w:b/>
          <w:position w:val="6"/>
          <w:sz w:val="18"/>
          <w:szCs w:val="20"/>
        </w:rPr>
        <w:t>d</w:t>
      </w:r>
      <w:r w:rsidRPr="00493DF4">
        <w:rPr>
          <w:rFonts w:ascii="Arial" w:hAnsi="Arial"/>
          <w:sz w:val="18"/>
          <w:szCs w:val="20"/>
        </w:rPr>
        <w:t xml:space="preserve"> Other care refers to all other government regulated care, for example, nannies, playschools</w:t>
      </w:r>
      <w:r w:rsidR="00565B28" w:rsidRPr="00493DF4">
        <w:rPr>
          <w:rFonts w:ascii="Arial" w:hAnsi="Arial"/>
          <w:sz w:val="18"/>
          <w:szCs w:val="20"/>
        </w:rPr>
        <w:t>, three year old kindergarten</w:t>
      </w:r>
      <w:r w:rsidRPr="00493DF4">
        <w:rPr>
          <w:rFonts w:ascii="Arial" w:hAnsi="Arial"/>
          <w:sz w:val="18"/>
          <w:szCs w:val="20"/>
        </w:rPr>
        <w:t xml:space="preserve"> and in</w:t>
      </w:r>
      <w:r w:rsidR="00172534">
        <w:rPr>
          <w:rFonts w:ascii="Arial" w:hAnsi="Arial"/>
          <w:sz w:val="18"/>
          <w:szCs w:val="20"/>
        </w:rPr>
        <w:noBreakHyphen/>
      </w:r>
      <w:r w:rsidRPr="00493DF4">
        <w:rPr>
          <w:rFonts w:ascii="Arial" w:hAnsi="Arial"/>
          <w:sz w:val="18"/>
          <w:szCs w:val="20"/>
        </w:rPr>
        <w:t>home care. Jurisdictions can licence some, but not all, types of other care services.</w:t>
      </w:r>
      <w:r w:rsidR="00834099" w:rsidRPr="00493DF4">
        <w:t xml:space="preserve"> </w:t>
      </w:r>
      <w:r w:rsidR="00D7475E" w:rsidRPr="00493DF4">
        <w:rPr>
          <w:rFonts w:ascii="Arial" w:hAnsi="Arial"/>
          <w:sz w:val="18"/>
          <w:szCs w:val="20"/>
        </w:rPr>
        <w:t>In Victoria other care refers to early intervention and short</w:t>
      </w:r>
      <w:r w:rsidR="00172534">
        <w:rPr>
          <w:rFonts w:ascii="Arial" w:hAnsi="Arial"/>
          <w:sz w:val="18"/>
          <w:szCs w:val="20"/>
        </w:rPr>
        <w:noBreakHyphen/>
      </w:r>
      <w:r w:rsidR="00D7475E" w:rsidRPr="00493DF4">
        <w:rPr>
          <w:rFonts w:ascii="Arial" w:hAnsi="Arial"/>
          <w:sz w:val="18"/>
          <w:szCs w:val="20"/>
        </w:rPr>
        <w:t>term services</w:t>
      </w:r>
      <w:r w:rsidR="00C34415" w:rsidRPr="00493DF4">
        <w:rPr>
          <w:rFonts w:ascii="Arial" w:hAnsi="Arial"/>
          <w:sz w:val="18"/>
          <w:szCs w:val="20"/>
        </w:rPr>
        <w:t>.</w:t>
      </w:r>
      <w:r w:rsidR="00C34415" w:rsidRPr="00493DF4">
        <w:t xml:space="preserve"> </w:t>
      </w:r>
      <w:r w:rsidR="005B5974" w:rsidRPr="00493DF4">
        <w:rPr>
          <w:rFonts w:ascii="Arial" w:hAnsi="Arial"/>
          <w:sz w:val="18"/>
          <w:szCs w:val="20"/>
        </w:rPr>
        <w:t xml:space="preserve">In SA other care includes rural and mobile care services. </w:t>
      </w:r>
      <w:r w:rsidR="005B5974" w:rsidRPr="00493DF4">
        <w:rPr>
          <w:rFonts w:ascii="Arial" w:hAnsi="Arial" w:cs="Arial"/>
          <w:sz w:val="18"/>
          <w:szCs w:val="20"/>
          <w:lang w:val="en-US"/>
        </w:rPr>
        <w:t>In Tasmania other care includes in</w:t>
      </w:r>
      <w:r w:rsidR="00172534">
        <w:rPr>
          <w:rFonts w:ascii="Arial" w:hAnsi="Arial" w:cs="Arial"/>
          <w:sz w:val="18"/>
          <w:szCs w:val="20"/>
          <w:lang w:val="en-US"/>
        </w:rPr>
        <w:noBreakHyphen/>
      </w:r>
      <w:r w:rsidR="005B5974" w:rsidRPr="00493DF4">
        <w:rPr>
          <w:rFonts w:ascii="Arial" w:hAnsi="Arial" w:cs="Arial"/>
          <w:sz w:val="18"/>
          <w:szCs w:val="20"/>
          <w:lang w:val="en-US"/>
        </w:rPr>
        <w:t>home care services (which are licensed under family day care services). Not all other care services re</w:t>
      </w:r>
      <w:r w:rsidR="00966FB2" w:rsidRPr="00493DF4">
        <w:rPr>
          <w:rFonts w:ascii="Arial" w:hAnsi="Arial" w:cs="Arial"/>
          <w:sz w:val="18"/>
          <w:szCs w:val="20"/>
          <w:lang w:val="en-US"/>
        </w:rPr>
        <w:t>quire registration or licensing</w:t>
      </w:r>
      <w:r w:rsidR="005B5974" w:rsidRPr="00493DF4">
        <w:rPr>
          <w:rFonts w:ascii="Arial" w:hAnsi="Arial" w:cs="Arial"/>
          <w:sz w:val="18"/>
          <w:szCs w:val="20"/>
          <w:lang w:val="en-US"/>
        </w:rPr>
        <w:t>.</w:t>
      </w:r>
      <w:r w:rsidR="005B5974">
        <w:rPr>
          <w:rFonts w:ascii="Calibri" w:hAnsi="Calibri"/>
          <w:color w:val="1F497D"/>
          <w:sz w:val="22"/>
          <w:szCs w:val="22"/>
        </w:rPr>
        <w:t xml:space="preserve"> </w:t>
      </w:r>
      <w:r w:rsidR="00C50980" w:rsidRPr="00C50980">
        <w:rPr>
          <w:rFonts w:ascii="Arial" w:hAnsi="Arial"/>
          <w:sz w:val="18"/>
          <w:szCs w:val="20"/>
        </w:rPr>
        <w:t>In the NT other</w:t>
      </w:r>
      <w:r w:rsidR="00834099" w:rsidRPr="00C50980">
        <w:rPr>
          <w:rFonts w:ascii="Arial" w:hAnsi="Arial"/>
          <w:sz w:val="18"/>
          <w:szCs w:val="20"/>
        </w:rPr>
        <w:t xml:space="preserve"> care refers to three year old kind</w:t>
      </w:r>
      <w:r w:rsidR="00770A0E" w:rsidRPr="00C50980">
        <w:rPr>
          <w:rFonts w:ascii="Arial" w:hAnsi="Arial"/>
          <w:sz w:val="18"/>
          <w:szCs w:val="20"/>
        </w:rPr>
        <w:t xml:space="preserve">ergarten </w:t>
      </w:r>
      <w:r w:rsidR="00EB4DFF">
        <w:rPr>
          <w:rFonts w:ascii="Arial" w:hAnsi="Arial"/>
          <w:sz w:val="18"/>
          <w:szCs w:val="20"/>
        </w:rPr>
        <w:t xml:space="preserve">services </w:t>
      </w:r>
      <w:r w:rsidR="00834099" w:rsidRPr="00C50980">
        <w:rPr>
          <w:rFonts w:ascii="Arial" w:hAnsi="Arial"/>
          <w:sz w:val="18"/>
          <w:szCs w:val="20"/>
        </w:rPr>
        <w:t>which are reg</w:t>
      </w:r>
      <w:r w:rsidR="00C50980" w:rsidRPr="00C50980">
        <w:rPr>
          <w:rFonts w:ascii="Arial" w:hAnsi="Arial"/>
          <w:sz w:val="18"/>
          <w:szCs w:val="20"/>
        </w:rPr>
        <w:t xml:space="preserve">ulated under the </w:t>
      </w:r>
      <w:proofErr w:type="spellStart"/>
      <w:r w:rsidR="00C50980" w:rsidRPr="00C50980">
        <w:rPr>
          <w:rFonts w:ascii="Arial" w:hAnsi="Arial"/>
          <w:sz w:val="18"/>
          <w:szCs w:val="20"/>
        </w:rPr>
        <w:t>NQF</w:t>
      </w:r>
      <w:proofErr w:type="spellEnd"/>
      <w:r w:rsidR="00C50980" w:rsidRPr="00C50980">
        <w:rPr>
          <w:rFonts w:ascii="Arial" w:hAnsi="Arial"/>
          <w:sz w:val="18"/>
          <w:szCs w:val="20"/>
        </w:rPr>
        <w:t xml:space="preserve">. </w:t>
      </w:r>
      <w:r w:rsidR="00D7475E">
        <w:rPr>
          <w:rFonts w:ascii="Arial" w:hAnsi="Arial"/>
          <w:b/>
          <w:position w:val="6"/>
          <w:sz w:val="18"/>
          <w:szCs w:val="20"/>
        </w:rPr>
        <w:t>e</w:t>
      </w:r>
      <w:r w:rsidR="003119E8" w:rsidRPr="00C50980">
        <w:rPr>
          <w:rFonts w:ascii="Arial" w:hAnsi="Arial"/>
          <w:b/>
          <w:position w:val="6"/>
          <w:sz w:val="18"/>
          <w:szCs w:val="20"/>
        </w:rPr>
        <w:t> </w:t>
      </w:r>
      <w:r w:rsidR="00C50980" w:rsidRPr="00C50980">
        <w:rPr>
          <w:rFonts w:ascii="Arial" w:hAnsi="Arial" w:cs="Arial"/>
          <w:sz w:val="18"/>
          <w:szCs w:val="20"/>
          <w:lang w:val="en-US"/>
        </w:rPr>
        <w:t xml:space="preserve">In Victoria two </w:t>
      </w:r>
      <w:r w:rsidR="002B56C7">
        <w:rPr>
          <w:rFonts w:ascii="Arial" w:hAnsi="Arial" w:cs="Arial"/>
          <w:sz w:val="18"/>
          <w:szCs w:val="20"/>
          <w:lang w:val="en-US"/>
        </w:rPr>
        <w:t xml:space="preserve">preschool </w:t>
      </w:r>
      <w:r w:rsidR="00C50980" w:rsidRPr="00C50980">
        <w:rPr>
          <w:rFonts w:ascii="Arial" w:hAnsi="Arial" w:cs="Arial"/>
          <w:sz w:val="18"/>
          <w:szCs w:val="20"/>
          <w:lang w:val="en-US"/>
        </w:rPr>
        <w:t xml:space="preserve">services are exempted from the </w:t>
      </w:r>
      <w:proofErr w:type="spellStart"/>
      <w:r w:rsidR="00C50980" w:rsidRPr="00C50980">
        <w:rPr>
          <w:rFonts w:ascii="Arial" w:hAnsi="Arial" w:cs="Arial"/>
          <w:sz w:val="18"/>
          <w:szCs w:val="20"/>
          <w:lang w:val="en-US"/>
        </w:rPr>
        <w:t>NQF</w:t>
      </w:r>
      <w:proofErr w:type="spellEnd"/>
      <w:r w:rsidR="00C50980" w:rsidRPr="00C50980">
        <w:rPr>
          <w:rFonts w:ascii="Arial" w:hAnsi="Arial" w:cs="Arial"/>
          <w:sz w:val="18"/>
          <w:szCs w:val="20"/>
          <w:lang w:val="en-US"/>
        </w:rPr>
        <w:t xml:space="preserve"> and are licensed under Victorian law. In Queensland </w:t>
      </w:r>
      <w:r w:rsidR="002B56C7">
        <w:rPr>
          <w:rFonts w:ascii="Arial" w:hAnsi="Arial" w:cs="Arial"/>
          <w:sz w:val="18"/>
          <w:szCs w:val="20"/>
          <w:lang w:val="en-US"/>
        </w:rPr>
        <w:t xml:space="preserve">preschool </w:t>
      </w:r>
      <w:r w:rsidR="00C50980" w:rsidRPr="00C50980">
        <w:rPr>
          <w:rFonts w:ascii="Arial" w:hAnsi="Arial" w:cs="Arial"/>
          <w:sz w:val="18"/>
          <w:szCs w:val="20"/>
          <w:lang w:val="en-US"/>
        </w:rPr>
        <w:t>services are licensed under state</w:t>
      </w:r>
      <w:r w:rsidR="00172534">
        <w:rPr>
          <w:rFonts w:ascii="Arial" w:hAnsi="Arial" w:cs="Arial"/>
          <w:sz w:val="18"/>
          <w:szCs w:val="20"/>
          <w:lang w:val="en-US"/>
        </w:rPr>
        <w:noBreakHyphen/>
      </w:r>
      <w:r w:rsidR="00C50980" w:rsidRPr="00C50980">
        <w:rPr>
          <w:rFonts w:ascii="Arial" w:hAnsi="Arial" w:cs="Arial"/>
          <w:sz w:val="18"/>
          <w:szCs w:val="20"/>
          <w:lang w:val="en-US"/>
        </w:rPr>
        <w:t>based legislation. I</w:t>
      </w:r>
      <w:r w:rsidRPr="00C50980">
        <w:rPr>
          <w:rFonts w:ascii="Arial" w:hAnsi="Arial" w:cs="Arial"/>
          <w:sz w:val="18"/>
          <w:szCs w:val="20"/>
          <w:lang w:val="en-US"/>
        </w:rPr>
        <w:t>n Tasmania, kindergartens not in government schools are registered with the Schools Registration Board</w:t>
      </w:r>
      <w:r w:rsidRPr="00C50980">
        <w:rPr>
          <w:rFonts w:ascii="Arial" w:hAnsi="Arial"/>
          <w:sz w:val="18"/>
          <w:szCs w:val="20"/>
        </w:rPr>
        <w:t xml:space="preserve">. </w:t>
      </w:r>
      <w:proofErr w:type="spellStart"/>
      <w:r w:rsidR="00151FB0" w:rsidRPr="00C7239C">
        <w:rPr>
          <w:rFonts w:ascii="Arial" w:hAnsi="Arial"/>
          <w:b/>
          <w:sz w:val="18"/>
          <w:szCs w:val="20"/>
        </w:rPr>
        <w:t>na</w:t>
      </w:r>
      <w:proofErr w:type="spellEnd"/>
      <w:r w:rsidR="00325BA4" w:rsidRPr="00C7239C">
        <w:rPr>
          <w:rFonts w:ascii="Arial" w:hAnsi="Arial"/>
          <w:sz w:val="18"/>
          <w:szCs w:val="20"/>
        </w:rPr>
        <w:t> </w:t>
      </w:r>
      <w:r w:rsidR="00151FB0" w:rsidRPr="00C7239C">
        <w:rPr>
          <w:rFonts w:ascii="Arial" w:hAnsi="Arial"/>
          <w:sz w:val="18"/>
          <w:szCs w:val="20"/>
        </w:rPr>
        <w:t>Not available</w:t>
      </w:r>
      <w:r w:rsidRPr="00C7239C">
        <w:rPr>
          <w:rFonts w:ascii="Arial" w:hAnsi="Arial"/>
          <w:sz w:val="18"/>
          <w:szCs w:val="20"/>
        </w:rPr>
        <w:t>.</w:t>
      </w:r>
      <w:r w:rsidR="00880EDE">
        <w:rPr>
          <w:rFonts w:ascii="Arial" w:hAnsi="Arial"/>
          <w:sz w:val="18"/>
          <w:szCs w:val="20"/>
        </w:rPr>
        <w:t xml:space="preserve"> .. N</w:t>
      </w:r>
      <w:r w:rsidR="0097539A" w:rsidRPr="00C7239C">
        <w:rPr>
          <w:rFonts w:ascii="Arial" w:hAnsi="Arial"/>
          <w:sz w:val="18"/>
          <w:szCs w:val="20"/>
        </w:rPr>
        <w:t>ot applicable</w:t>
      </w:r>
    </w:p>
    <w:p w:rsidR="0064069A" w:rsidRPr="00C07C29" w:rsidRDefault="0064069A" w:rsidP="002C46BF">
      <w:pPr>
        <w:pStyle w:val="Source"/>
        <w:rPr>
          <w:sz w:val="20"/>
        </w:rPr>
      </w:pPr>
      <w:r w:rsidRPr="00C941CD">
        <w:rPr>
          <w:i/>
        </w:rPr>
        <w:t>Source</w:t>
      </w:r>
      <w:r w:rsidRPr="00C941CD">
        <w:t>: State and Territory governments (unpublished).</w:t>
      </w:r>
    </w:p>
    <w:p w:rsidR="00355E3A" w:rsidRDefault="007268A1" w:rsidP="002C46BF">
      <w:pPr>
        <w:pStyle w:val="BodyText"/>
      </w:pPr>
      <w:r>
        <w:t>S</w:t>
      </w:r>
      <w:r w:rsidR="005F2C69">
        <w:t xml:space="preserve">tate and </w:t>
      </w:r>
      <w:r>
        <w:t>T</w:t>
      </w:r>
      <w:r w:rsidR="005F2C69">
        <w:t xml:space="preserve">erritory governments </w:t>
      </w:r>
      <w:r>
        <w:t xml:space="preserve">also monitor and </w:t>
      </w:r>
      <w:r w:rsidR="005F2C69">
        <w:t>inspect</w:t>
      </w:r>
      <w:r w:rsidR="00D60998">
        <w:t xml:space="preserve"> </w:t>
      </w:r>
      <w:r w:rsidR="00477AED">
        <w:t>early childhood education and care</w:t>
      </w:r>
      <w:r w:rsidR="005F2C69">
        <w:t xml:space="preserve"> services.</w:t>
      </w:r>
      <w:r w:rsidR="00355E3A">
        <w:t xml:space="preserve"> Table</w:t>
      </w:r>
      <w:r>
        <w:t> </w:t>
      </w:r>
      <w:r w:rsidR="00492DFD">
        <w:t>3.8</w:t>
      </w:r>
      <w:r w:rsidR="00E20214">
        <w:t xml:space="preserve"> </w:t>
      </w:r>
      <w:r w:rsidR="00355E3A">
        <w:t xml:space="preserve">provides an overview of the monitoring and inspection regimes that operate </w:t>
      </w:r>
      <w:r w:rsidR="0003475D">
        <w:t>across</w:t>
      </w:r>
      <w:r w:rsidR="002F3AE7">
        <w:t xml:space="preserve"> jurisdictions.</w:t>
      </w:r>
    </w:p>
    <w:p w:rsidR="001738B3" w:rsidRDefault="004C7DAE" w:rsidP="00C3586E">
      <w:pPr>
        <w:pStyle w:val="BodyText"/>
      </w:pPr>
      <w:r>
        <w:t>T</w:t>
      </w:r>
      <w:r w:rsidR="00355E3A">
        <w:t xml:space="preserve">here are broad commonalities in the monitoring and inspection regimes across jurisdictions. However, variability in the recording of breaches and </w:t>
      </w:r>
      <w:r w:rsidR="005A2A2C">
        <w:t>the</w:t>
      </w:r>
      <w:r w:rsidR="00355E3A">
        <w:t xml:space="preserve"> penalties applied for breaches</w:t>
      </w:r>
      <w:r w:rsidR="005A2A2C">
        <w:t xml:space="preserve"> affect the comparability of data across jurisdictions</w:t>
      </w:r>
      <w:r w:rsidR="00355E3A">
        <w:t>. This has hindered reporting of comparable data across jurisdiction</w:t>
      </w:r>
      <w:r w:rsidR="003D7973">
        <w:t>s for monitoring and inspection.</w:t>
      </w:r>
    </w:p>
    <w:p w:rsidR="001738B3" w:rsidRPr="008B42D1" w:rsidRDefault="001738B3" w:rsidP="00CB0726">
      <w:pPr>
        <w:pStyle w:val="TableTitle"/>
        <w:rPr>
          <w:rStyle w:val="BoxChar"/>
        </w:rPr>
      </w:pPr>
      <w:r w:rsidRPr="00477AED">
        <w:rPr>
          <w:b w:val="0"/>
        </w:rPr>
        <w:lastRenderedPageBreak/>
        <w:t xml:space="preserve">Table </w:t>
      </w:r>
      <w:bookmarkStart w:id="28" w:name="OLE_LINK45"/>
      <w:r w:rsidR="00923A1C" w:rsidRPr="00477AED">
        <w:rPr>
          <w:b w:val="0"/>
        </w:rPr>
        <w:t>3.</w:t>
      </w:r>
      <w:bookmarkEnd w:id="28"/>
      <w:r w:rsidR="00492DFD">
        <w:rPr>
          <w:b w:val="0"/>
        </w:rPr>
        <w:t>8</w:t>
      </w:r>
      <w:r w:rsidRPr="00477AED">
        <w:tab/>
        <w:t xml:space="preserve">State and Territory monitoring and inspection regimes, for </w:t>
      </w:r>
      <w:r w:rsidR="00D60998" w:rsidRPr="00477AED">
        <w:t xml:space="preserve">approved and </w:t>
      </w:r>
      <w:r w:rsidRPr="00477AED">
        <w:t>li</w:t>
      </w:r>
      <w:r w:rsidR="007E3F1D">
        <w:t>censed early childhood education and care</w:t>
      </w:r>
      <w:r w:rsidR="00CB1373" w:rsidRPr="00477AED">
        <w:t xml:space="preserve"> services</w:t>
      </w:r>
      <w:r w:rsidR="00CB1373" w:rsidRPr="00CB0726">
        <w:rPr>
          <w:shd w:val="clear" w:color="auto" w:fill="FFFFFF" w:themeFill="background1"/>
        </w:rPr>
        <w:t>, 20</w:t>
      </w:r>
      <w:r w:rsidR="00E37798" w:rsidRPr="00CB0726">
        <w:rPr>
          <w:shd w:val="clear" w:color="auto" w:fill="FFFFFF" w:themeFill="background1"/>
        </w:rPr>
        <w:t>1</w:t>
      </w:r>
      <w:r w:rsidR="007E3F1D">
        <w:rPr>
          <w:shd w:val="clear" w:color="auto" w:fill="FFFFFF" w:themeFill="background1"/>
        </w:rPr>
        <w:t>2</w:t>
      </w:r>
      <w:r w:rsidR="00172534">
        <w:rPr>
          <w:shd w:val="clear" w:color="auto" w:fill="FFFFFF" w:themeFill="background1"/>
        </w:rPr>
        <w:noBreakHyphen/>
      </w:r>
      <w:r w:rsidR="00CB1373" w:rsidRPr="00CB0726">
        <w:rPr>
          <w:shd w:val="clear" w:color="auto" w:fill="FFFFFF" w:themeFill="background1"/>
        </w:rPr>
        <w:t>1</w:t>
      </w:r>
      <w:r w:rsidR="007E3F1D">
        <w:rPr>
          <w:shd w:val="clear" w:color="auto" w:fill="FFFFFF" w:themeFill="background1"/>
        </w:rPr>
        <w:t>3</w:t>
      </w:r>
    </w:p>
    <w:tbl>
      <w:tblPr>
        <w:tblW w:w="5000" w:type="pct"/>
        <w:tblCellMar>
          <w:left w:w="0" w:type="dxa"/>
          <w:right w:w="0" w:type="dxa"/>
        </w:tblCellMar>
        <w:tblLook w:val="0000" w:firstRow="0" w:lastRow="0" w:firstColumn="0" w:lastColumn="0" w:noHBand="0" w:noVBand="0"/>
      </w:tblPr>
      <w:tblGrid>
        <w:gridCol w:w="2299"/>
        <w:gridCol w:w="475"/>
        <w:gridCol w:w="680"/>
        <w:gridCol w:w="614"/>
        <w:gridCol w:w="646"/>
        <w:gridCol w:w="960"/>
        <w:gridCol w:w="738"/>
        <w:gridCol w:w="910"/>
        <w:gridCol w:w="668"/>
        <w:gridCol w:w="799"/>
      </w:tblGrid>
      <w:tr w:rsidR="00376024" w:rsidTr="00860AC9">
        <w:tc>
          <w:tcPr>
            <w:tcW w:w="1343" w:type="pct"/>
            <w:tcBorders>
              <w:top w:val="single" w:sz="6" w:space="0" w:color="auto"/>
              <w:bottom w:val="single" w:sz="6" w:space="0" w:color="auto"/>
            </w:tcBorders>
            <w:shd w:val="clear" w:color="auto" w:fill="auto"/>
          </w:tcPr>
          <w:p w:rsidR="001738B3" w:rsidRPr="00C80DF5" w:rsidRDefault="001738B3" w:rsidP="00C3586E">
            <w:pPr>
              <w:pStyle w:val="TableColumnHeading"/>
              <w:jc w:val="left"/>
            </w:pPr>
            <w:r w:rsidRPr="00C80DF5">
              <w:t>Monitoring activities</w:t>
            </w:r>
          </w:p>
        </w:tc>
        <w:tc>
          <w:tcPr>
            <w:tcW w:w="270" w:type="pct"/>
            <w:tcBorders>
              <w:top w:val="single" w:sz="6" w:space="0" w:color="auto"/>
              <w:bottom w:val="single" w:sz="6" w:space="0" w:color="auto"/>
            </w:tcBorders>
            <w:shd w:val="clear" w:color="auto" w:fill="auto"/>
          </w:tcPr>
          <w:p w:rsidR="001738B3" w:rsidRPr="00C80DF5" w:rsidRDefault="001738B3" w:rsidP="00604EF6">
            <w:pPr>
              <w:pStyle w:val="TableColumnHeading"/>
            </w:pPr>
            <w:r w:rsidRPr="00C80DF5">
              <w:t>Unit</w:t>
            </w:r>
          </w:p>
        </w:tc>
        <w:tc>
          <w:tcPr>
            <w:tcW w:w="403" w:type="pct"/>
            <w:tcBorders>
              <w:top w:val="single" w:sz="6" w:space="0" w:color="auto"/>
              <w:bottom w:val="single" w:sz="6" w:space="0" w:color="auto"/>
            </w:tcBorders>
            <w:shd w:val="clear" w:color="auto" w:fill="auto"/>
          </w:tcPr>
          <w:p w:rsidR="001738B3" w:rsidRPr="00C80DF5" w:rsidRDefault="001738B3" w:rsidP="00604EF6">
            <w:pPr>
              <w:pStyle w:val="TableColumnHeading"/>
            </w:pPr>
            <w:r w:rsidRPr="00C80DF5">
              <w:t>NSW</w:t>
            </w:r>
          </w:p>
        </w:tc>
        <w:tc>
          <w:tcPr>
            <w:tcW w:w="404" w:type="pct"/>
            <w:tcBorders>
              <w:top w:val="single" w:sz="6" w:space="0" w:color="auto"/>
              <w:bottom w:val="single" w:sz="6" w:space="0" w:color="auto"/>
            </w:tcBorders>
            <w:shd w:val="clear" w:color="auto" w:fill="auto"/>
          </w:tcPr>
          <w:p w:rsidR="001738B3" w:rsidRPr="00C80DF5" w:rsidRDefault="001738B3" w:rsidP="00604EF6">
            <w:pPr>
              <w:pStyle w:val="TableColumnHeading"/>
            </w:pPr>
            <w:r w:rsidRPr="00C80DF5">
              <w:t>Vic</w:t>
            </w:r>
          </w:p>
        </w:tc>
        <w:tc>
          <w:tcPr>
            <w:tcW w:w="403" w:type="pct"/>
            <w:tcBorders>
              <w:top w:val="single" w:sz="6" w:space="0" w:color="auto"/>
              <w:bottom w:val="single" w:sz="6" w:space="0" w:color="auto"/>
            </w:tcBorders>
            <w:shd w:val="clear" w:color="auto" w:fill="auto"/>
          </w:tcPr>
          <w:p w:rsidR="001738B3" w:rsidRPr="00C80DF5" w:rsidRDefault="001738B3" w:rsidP="00604EF6">
            <w:pPr>
              <w:pStyle w:val="TableColumnHeading"/>
            </w:pPr>
            <w:r w:rsidRPr="00C80DF5">
              <w:t>Qld</w:t>
            </w:r>
          </w:p>
        </w:tc>
        <w:tc>
          <w:tcPr>
            <w:tcW w:w="402" w:type="pct"/>
            <w:tcBorders>
              <w:top w:val="single" w:sz="6" w:space="0" w:color="auto"/>
              <w:bottom w:val="single" w:sz="6" w:space="0" w:color="auto"/>
            </w:tcBorders>
            <w:shd w:val="clear" w:color="auto" w:fill="auto"/>
          </w:tcPr>
          <w:p w:rsidR="001738B3" w:rsidRPr="00C80DF5" w:rsidRDefault="001738B3" w:rsidP="00604EF6">
            <w:pPr>
              <w:pStyle w:val="TableColumnHeading"/>
            </w:pPr>
            <w:r w:rsidRPr="00C80DF5">
              <w:t>WA</w:t>
            </w:r>
          </w:p>
        </w:tc>
        <w:tc>
          <w:tcPr>
            <w:tcW w:w="455" w:type="pct"/>
            <w:tcBorders>
              <w:top w:val="single" w:sz="6" w:space="0" w:color="auto"/>
              <w:bottom w:val="single" w:sz="6" w:space="0" w:color="auto"/>
            </w:tcBorders>
            <w:shd w:val="clear" w:color="auto" w:fill="auto"/>
          </w:tcPr>
          <w:p w:rsidR="001738B3" w:rsidRPr="00C80DF5" w:rsidRDefault="001738B3" w:rsidP="00604EF6">
            <w:pPr>
              <w:pStyle w:val="TableColumnHeading"/>
            </w:pPr>
            <w:r w:rsidRPr="00397D8C">
              <w:t>SA</w:t>
            </w:r>
          </w:p>
        </w:tc>
        <w:tc>
          <w:tcPr>
            <w:tcW w:w="415" w:type="pct"/>
            <w:tcBorders>
              <w:top w:val="single" w:sz="6" w:space="0" w:color="auto"/>
              <w:bottom w:val="single" w:sz="6" w:space="0" w:color="auto"/>
            </w:tcBorders>
            <w:shd w:val="clear" w:color="auto" w:fill="auto"/>
          </w:tcPr>
          <w:p w:rsidR="001738B3" w:rsidRPr="00C80DF5" w:rsidRDefault="001738B3" w:rsidP="00604EF6">
            <w:pPr>
              <w:pStyle w:val="TableColumnHeading"/>
            </w:pPr>
            <w:proofErr w:type="spellStart"/>
            <w:r w:rsidRPr="00C80DF5">
              <w:t>Tas</w:t>
            </w:r>
            <w:proofErr w:type="spellEnd"/>
          </w:p>
        </w:tc>
        <w:tc>
          <w:tcPr>
            <w:tcW w:w="415" w:type="pct"/>
            <w:tcBorders>
              <w:top w:val="single" w:sz="6" w:space="0" w:color="auto"/>
              <w:bottom w:val="single" w:sz="6" w:space="0" w:color="auto"/>
            </w:tcBorders>
            <w:shd w:val="clear" w:color="auto" w:fill="auto"/>
          </w:tcPr>
          <w:p w:rsidR="001738B3" w:rsidRPr="00C80DF5" w:rsidRDefault="001738B3" w:rsidP="00604EF6">
            <w:pPr>
              <w:pStyle w:val="TableColumnHeading"/>
            </w:pPr>
            <w:r w:rsidRPr="00C80DF5">
              <w:t>ACT</w:t>
            </w:r>
          </w:p>
        </w:tc>
        <w:tc>
          <w:tcPr>
            <w:tcW w:w="489" w:type="pct"/>
            <w:tcBorders>
              <w:top w:val="single" w:sz="6" w:space="0" w:color="auto"/>
              <w:bottom w:val="single" w:sz="6" w:space="0" w:color="auto"/>
            </w:tcBorders>
            <w:shd w:val="clear" w:color="auto" w:fill="auto"/>
          </w:tcPr>
          <w:p w:rsidR="001738B3" w:rsidRDefault="001738B3" w:rsidP="00604EF6">
            <w:pPr>
              <w:pStyle w:val="TableColumnHeading"/>
              <w:ind w:right="28"/>
            </w:pPr>
            <w:r w:rsidRPr="00C80DF5">
              <w:t>NT</w:t>
            </w:r>
          </w:p>
        </w:tc>
      </w:tr>
      <w:tr w:rsidR="00376024" w:rsidRPr="00390851" w:rsidTr="00CB0726">
        <w:tc>
          <w:tcPr>
            <w:tcW w:w="1343" w:type="pct"/>
          </w:tcPr>
          <w:p w:rsidR="001738B3" w:rsidRPr="00390851" w:rsidRDefault="001738B3" w:rsidP="00C3586E">
            <w:pPr>
              <w:pStyle w:val="TableColumnHeading"/>
              <w:jc w:val="left"/>
            </w:pPr>
            <w:r w:rsidRPr="00390851">
              <w:t>Proactive monitoring</w:t>
            </w:r>
            <w:r w:rsidR="006574C9" w:rsidRPr="00390851">
              <w:rPr>
                <w:rStyle w:val="NoteLabel"/>
                <w:i w:val="0"/>
              </w:rPr>
              <w:t>a</w:t>
            </w:r>
          </w:p>
        </w:tc>
        <w:tc>
          <w:tcPr>
            <w:tcW w:w="270" w:type="pct"/>
          </w:tcPr>
          <w:p w:rsidR="001738B3" w:rsidRPr="007E3F1D" w:rsidRDefault="001738B3" w:rsidP="00604EF6">
            <w:pPr>
              <w:pStyle w:val="TableBodyText"/>
              <w:rPr>
                <w:color w:val="FF0000"/>
              </w:rPr>
            </w:pPr>
          </w:p>
        </w:tc>
        <w:tc>
          <w:tcPr>
            <w:tcW w:w="403" w:type="pct"/>
          </w:tcPr>
          <w:p w:rsidR="001738B3" w:rsidRPr="005554DA" w:rsidRDefault="00907FF4" w:rsidP="00604EF6">
            <w:pPr>
              <w:pStyle w:val="TableBodyText"/>
            </w:pPr>
            <w:r w:rsidRPr="005554DA">
              <w:rPr>
                <w:szCs w:val="24"/>
              </w:rPr>
              <w:sym w:font="Wingdings" w:char="F0FC"/>
            </w:r>
          </w:p>
        </w:tc>
        <w:tc>
          <w:tcPr>
            <w:tcW w:w="404" w:type="pct"/>
          </w:tcPr>
          <w:p w:rsidR="001738B3" w:rsidRPr="00B84ED4" w:rsidRDefault="00907FF4" w:rsidP="00604EF6">
            <w:pPr>
              <w:pStyle w:val="TableBodyText"/>
            </w:pPr>
            <w:r w:rsidRPr="00B84ED4">
              <w:rPr>
                <w:szCs w:val="24"/>
              </w:rPr>
              <w:sym w:font="Wingdings" w:char="F0FC"/>
            </w:r>
          </w:p>
        </w:tc>
        <w:tc>
          <w:tcPr>
            <w:tcW w:w="403" w:type="pct"/>
          </w:tcPr>
          <w:p w:rsidR="001738B3" w:rsidRPr="005A4B4E" w:rsidRDefault="00907FF4" w:rsidP="00604EF6">
            <w:pPr>
              <w:pStyle w:val="TableBodyText"/>
            </w:pPr>
            <w:r w:rsidRPr="005A4B4E">
              <w:rPr>
                <w:szCs w:val="24"/>
              </w:rPr>
              <w:sym w:font="Wingdings" w:char="F0FC"/>
            </w:r>
          </w:p>
        </w:tc>
        <w:tc>
          <w:tcPr>
            <w:tcW w:w="402" w:type="pct"/>
          </w:tcPr>
          <w:p w:rsidR="001738B3" w:rsidRPr="005554DA" w:rsidRDefault="00907FF4" w:rsidP="00604EF6">
            <w:pPr>
              <w:pStyle w:val="TableBodyText"/>
            </w:pPr>
            <w:r w:rsidRPr="005554DA">
              <w:rPr>
                <w:szCs w:val="24"/>
              </w:rPr>
              <w:sym w:font="Wingdings" w:char="F0FC"/>
            </w:r>
          </w:p>
        </w:tc>
        <w:tc>
          <w:tcPr>
            <w:tcW w:w="455" w:type="pct"/>
          </w:tcPr>
          <w:p w:rsidR="001738B3" w:rsidRPr="009D148E" w:rsidRDefault="00907FF4" w:rsidP="00604EF6">
            <w:pPr>
              <w:pStyle w:val="TableBodyText"/>
            </w:pPr>
            <w:r w:rsidRPr="009D148E">
              <w:rPr>
                <w:szCs w:val="24"/>
              </w:rPr>
              <w:sym w:font="Wingdings" w:char="F0FC"/>
            </w:r>
          </w:p>
        </w:tc>
        <w:tc>
          <w:tcPr>
            <w:tcW w:w="415" w:type="pct"/>
          </w:tcPr>
          <w:p w:rsidR="001738B3" w:rsidRPr="00376024" w:rsidRDefault="00907FF4" w:rsidP="00604EF6">
            <w:pPr>
              <w:pStyle w:val="TableBodyText"/>
            </w:pPr>
            <w:r w:rsidRPr="00376024">
              <w:rPr>
                <w:szCs w:val="24"/>
              </w:rPr>
              <w:sym w:font="Wingdings" w:char="F0FC"/>
            </w:r>
          </w:p>
        </w:tc>
        <w:tc>
          <w:tcPr>
            <w:tcW w:w="415" w:type="pct"/>
          </w:tcPr>
          <w:p w:rsidR="001738B3" w:rsidRPr="00376024" w:rsidRDefault="00907FF4" w:rsidP="00604EF6">
            <w:pPr>
              <w:pStyle w:val="TableBodyText"/>
            </w:pPr>
            <w:r w:rsidRPr="00376024">
              <w:rPr>
                <w:szCs w:val="24"/>
              </w:rPr>
              <w:sym w:font="Wingdings" w:char="F0FC"/>
            </w:r>
          </w:p>
        </w:tc>
        <w:tc>
          <w:tcPr>
            <w:tcW w:w="489" w:type="pct"/>
          </w:tcPr>
          <w:p w:rsidR="001738B3" w:rsidRPr="00376024" w:rsidRDefault="00907FF4" w:rsidP="00604EF6">
            <w:pPr>
              <w:pStyle w:val="TableBodyText"/>
              <w:ind w:right="28"/>
            </w:pPr>
            <w:r w:rsidRPr="00376024">
              <w:rPr>
                <w:szCs w:val="24"/>
              </w:rPr>
              <w:sym w:font="Wingdings" w:char="F0FC"/>
            </w:r>
          </w:p>
        </w:tc>
      </w:tr>
      <w:tr w:rsidR="00376024" w:rsidRPr="00390851" w:rsidTr="00CB0726">
        <w:tc>
          <w:tcPr>
            <w:tcW w:w="1343" w:type="pct"/>
            <w:shd w:val="clear" w:color="auto" w:fill="auto"/>
          </w:tcPr>
          <w:p w:rsidR="00860AC9" w:rsidRPr="00390851" w:rsidRDefault="00860AC9" w:rsidP="00C3586E">
            <w:pPr>
              <w:pStyle w:val="TableBodyText"/>
              <w:jc w:val="left"/>
            </w:pPr>
            <w:r w:rsidRPr="00390851">
              <w:t>Required frequency of inspections</w:t>
            </w:r>
          </w:p>
        </w:tc>
        <w:tc>
          <w:tcPr>
            <w:tcW w:w="270" w:type="pct"/>
            <w:shd w:val="clear" w:color="auto" w:fill="auto"/>
          </w:tcPr>
          <w:p w:rsidR="00860AC9" w:rsidRPr="007E3F1D" w:rsidRDefault="00860AC9" w:rsidP="00E602DE">
            <w:pPr>
              <w:pStyle w:val="TableBodyText"/>
              <w:jc w:val="center"/>
              <w:rPr>
                <w:color w:val="FF0000"/>
              </w:rPr>
            </w:pPr>
          </w:p>
        </w:tc>
        <w:tc>
          <w:tcPr>
            <w:tcW w:w="403" w:type="pct"/>
            <w:shd w:val="clear" w:color="auto" w:fill="auto"/>
          </w:tcPr>
          <w:p w:rsidR="00860AC9" w:rsidRPr="005554DA" w:rsidRDefault="00860AC9" w:rsidP="00604EF6">
            <w:pPr>
              <w:pStyle w:val="TableBodyText"/>
              <w:rPr>
                <w:sz w:val="18"/>
                <w:szCs w:val="18"/>
              </w:rPr>
            </w:pPr>
            <w:r w:rsidRPr="005554DA">
              <w:rPr>
                <w:sz w:val="18"/>
                <w:szCs w:val="18"/>
              </w:rPr>
              <w:t>Annual</w:t>
            </w:r>
          </w:p>
        </w:tc>
        <w:tc>
          <w:tcPr>
            <w:tcW w:w="404" w:type="pct"/>
            <w:shd w:val="clear" w:color="auto" w:fill="auto"/>
          </w:tcPr>
          <w:p w:rsidR="00860AC9" w:rsidRPr="00B84ED4" w:rsidRDefault="00390851" w:rsidP="00604EF6">
            <w:pPr>
              <w:pStyle w:val="TableBodyText"/>
              <w:rPr>
                <w:sz w:val="18"/>
                <w:szCs w:val="18"/>
              </w:rPr>
            </w:pPr>
            <w:r w:rsidRPr="00B84ED4">
              <w:rPr>
                <w:sz w:val="18"/>
                <w:szCs w:val="18"/>
              </w:rPr>
              <w:t>Risk based</w:t>
            </w:r>
          </w:p>
        </w:tc>
        <w:tc>
          <w:tcPr>
            <w:tcW w:w="403" w:type="pct"/>
            <w:shd w:val="clear" w:color="auto" w:fill="auto"/>
          </w:tcPr>
          <w:p w:rsidR="00860AC9" w:rsidRPr="005A4B4E" w:rsidRDefault="005A4B4E" w:rsidP="00604EF6">
            <w:pPr>
              <w:pStyle w:val="TableBodyText"/>
              <w:rPr>
                <w:sz w:val="18"/>
                <w:szCs w:val="18"/>
              </w:rPr>
            </w:pPr>
            <w:r w:rsidRPr="005A4B4E">
              <w:rPr>
                <w:sz w:val="18"/>
                <w:szCs w:val="18"/>
              </w:rPr>
              <w:t>..</w:t>
            </w:r>
          </w:p>
        </w:tc>
        <w:tc>
          <w:tcPr>
            <w:tcW w:w="402" w:type="pct"/>
            <w:shd w:val="clear" w:color="auto" w:fill="auto"/>
          </w:tcPr>
          <w:p w:rsidR="00860AC9" w:rsidRPr="005554DA" w:rsidRDefault="005554DA" w:rsidP="00604EF6">
            <w:pPr>
              <w:pStyle w:val="TableBodyText"/>
              <w:rPr>
                <w:sz w:val="18"/>
                <w:szCs w:val="18"/>
              </w:rPr>
            </w:pPr>
            <w:r w:rsidRPr="005554DA">
              <w:rPr>
                <w:sz w:val="18"/>
                <w:szCs w:val="18"/>
              </w:rPr>
              <w:t>1</w:t>
            </w:r>
            <w:r w:rsidR="00172534">
              <w:rPr>
                <w:sz w:val="18"/>
                <w:szCs w:val="18"/>
              </w:rPr>
              <w:noBreakHyphen/>
            </w:r>
            <w:r w:rsidRPr="005554DA">
              <w:rPr>
                <w:sz w:val="18"/>
                <w:szCs w:val="18"/>
              </w:rPr>
              <w:t>3 years depending on prior rating</w:t>
            </w:r>
          </w:p>
        </w:tc>
        <w:tc>
          <w:tcPr>
            <w:tcW w:w="455" w:type="pct"/>
            <w:shd w:val="clear" w:color="auto" w:fill="auto"/>
          </w:tcPr>
          <w:p w:rsidR="00860AC9" w:rsidRPr="009D148E" w:rsidRDefault="009D148E" w:rsidP="00604EF6">
            <w:pPr>
              <w:pStyle w:val="TableBodyText"/>
              <w:rPr>
                <w:sz w:val="18"/>
                <w:szCs w:val="18"/>
              </w:rPr>
            </w:pPr>
            <w:proofErr w:type="spellStart"/>
            <w:r w:rsidRPr="009D148E">
              <w:rPr>
                <w:sz w:val="18"/>
                <w:szCs w:val="18"/>
              </w:rPr>
              <w:t>na</w:t>
            </w:r>
            <w:proofErr w:type="spellEnd"/>
          </w:p>
        </w:tc>
        <w:tc>
          <w:tcPr>
            <w:tcW w:w="415" w:type="pct"/>
            <w:shd w:val="clear" w:color="auto" w:fill="auto"/>
          </w:tcPr>
          <w:p w:rsidR="00860AC9" w:rsidRPr="00376024" w:rsidRDefault="00376024" w:rsidP="00604EF6">
            <w:pPr>
              <w:pStyle w:val="TableBodyText"/>
              <w:rPr>
                <w:sz w:val="18"/>
                <w:szCs w:val="18"/>
              </w:rPr>
            </w:pPr>
            <w:r w:rsidRPr="00376024">
              <w:rPr>
                <w:sz w:val="18"/>
                <w:szCs w:val="18"/>
              </w:rPr>
              <w:t>Various based on the principle of earned autonomy</w:t>
            </w:r>
          </w:p>
        </w:tc>
        <w:tc>
          <w:tcPr>
            <w:tcW w:w="415" w:type="pct"/>
            <w:shd w:val="clear" w:color="auto" w:fill="auto"/>
          </w:tcPr>
          <w:p w:rsidR="00860AC9" w:rsidRPr="00376024" w:rsidRDefault="00376024" w:rsidP="00604EF6">
            <w:pPr>
              <w:pStyle w:val="TableBodyText"/>
              <w:rPr>
                <w:sz w:val="18"/>
                <w:szCs w:val="18"/>
              </w:rPr>
            </w:pPr>
            <w:r w:rsidRPr="00376024">
              <w:rPr>
                <w:sz w:val="18"/>
                <w:szCs w:val="18"/>
              </w:rPr>
              <w:t>Y</w:t>
            </w:r>
            <w:r w:rsidR="00801545" w:rsidRPr="00376024">
              <w:rPr>
                <w:sz w:val="18"/>
                <w:szCs w:val="18"/>
              </w:rPr>
              <w:t>early</w:t>
            </w:r>
          </w:p>
        </w:tc>
        <w:tc>
          <w:tcPr>
            <w:tcW w:w="489" w:type="pct"/>
            <w:shd w:val="clear" w:color="auto" w:fill="FFFFFF" w:themeFill="background1"/>
          </w:tcPr>
          <w:p w:rsidR="00860AC9" w:rsidRPr="00376024" w:rsidRDefault="00376024" w:rsidP="00604EF6">
            <w:pPr>
              <w:pStyle w:val="TableBodyText"/>
              <w:ind w:right="28"/>
              <w:rPr>
                <w:sz w:val="18"/>
                <w:szCs w:val="18"/>
              </w:rPr>
            </w:pPr>
            <w:r w:rsidRPr="00376024">
              <w:rPr>
                <w:sz w:val="18"/>
                <w:szCs w:val="18"/>
              </w:rPr>
              <w:t>Biannual</w:t>
            </w:r>
          </w:p>
        </w:tc>
      </w:tr>
      <w:tr w:rsidR="00376024" w:rsidRPr="00390851" w:rsidTr="00493DF4">
        <w:tc>
          <w:tcPr>
            <w:tcW w:w="1343" w:type="pct"/>
            <w:shd w:val="clear" w:color="auto" w:fill="auto"/>
          </w:tcPr>
          <w:p w:rsidR="00860AC9" w:rsidRPr="00390851" w:rsidRDefault="00860AC9" w:rsidP="00C3586E">
            <w:pPr>
              <w:pStyle w:val="TableBodyText"/>
              <w:ind w:left="142"/>
              <w:jc w:val="left"/>
            </w:pPr>
            <w:r w:rsidRPr="00390851">
              <w:t>Estimated share announced visits</w:t>
            </w:r>
            <w:r w:rsidR="00741225">
              <w:rPr>
                <w:rStyle w:val="NoteLabel"/>
              </w:rPr>
              <w:t>b</w:t>
            </w:r>
          </w:p>
        </w:tc>
        <w:tc>
          <w:tcPr>
            <w:tcW w:w="270" w:type="pct"/>
            <w:shd w:val="clear" w:color="auto" w:fill="auto"/>
          </w:tcPr>
          <w:p w:rsidR="00860AC9" w:rsidRPr="005A4B4E" w:rsidRDefault="00860AC9" w:rsidP="00E602DE">
            <w:pPr>
              <w:pStyle w:val="TableBodyText"/>
              <w:jc w:val="center"/>
            </w:pPr>
            <w:r w:rsidRPr="005A4B4E">
              <w:t>%</w:t>
            </w:r>
          </w:p>
        </w:tc>
        <w:tc>
          <w:tcPr>
            <w:tcW w:w="403" w:type="pct"/>
            <w:shd w:val="clear" w:color="auto" w:fill="auto"/>
          </w:tcPr>
          <w:p w:rsidR="00860AC9" w:rsidRPr="005554DA" w:rsidRDefault="005554DA" w:rsidP="00604EF6">
            <w:pPr>
              <w:pStyle w:val="TableBodyText"/>
            </w:pPr>
            <w:r w:rsidRPr="005554DA">
              <w:t>43</w:t>
            </w:r>
          </w:p>
        </w:tc>
        <w:tc>
          <w:tcPr>
            <w:tcW w:w="404" w:type="pct"/>
            <w:shd w:val="clear" w:color="auto" w:fill="auto"/>
          </w:tcPr>
          <w:p w:rsidR="00860AC9" w:rsidRPr="00350E00" w:rsidRDefault="00802A0F" w:rsidP="00604EF6">
            <w:pPr>
              <w:pStyle w:val="TableBodyText"/>
            </w:pPr>
            <w:r w:rsidRPr="00350E00">
              <w:t>46</w:t>
            </w:r>
          </w:p>
        </w:tc>
        <w:tc>
          <w:tcPr>
            <w:tcW w:w="403" w:type="pct"/>
            <w:shd w:val="clear" w:color="auto" w:fill="auto"/>
          </w:tcPr>
          <w:p w:rsidR="00860AC9" w:rsidRPr="00916691" w:rsidRDefault="00801545" w:rsidP="00604EF6">
            <w:pPr>
              <w:pStyle w:val="TableBodyText"/>
            </w:pPr>
            <w:proofErr w:type="spellStart"/>
            <w:r w:rsidRPr="00916691">
              <w:t>na</w:t>
            </w:r>
            <w:proofErr w:type="spellEnd"/>
          </w:p>
        </w:tc>
        <w:tc>
          <w:tcPr>
            <w:tcW w:w="402" w:type="pct"/>
            <w:shd w:val="clear" w:color="auto" w:fill="auto"/>
          </w:tcPr>
          <w:p w:rsidR="00860AC9" w:rsidRPr="005554DA" w:rsidRDefault="005554DA" w:rsidP="00604EF6">
            <w:pPr>
              <w:pStyle w:val="TableBodyText"/>
            </w:pPr>
            <w:r w:rsidRPr="005554DA">
              <w:t>23</w:t>
            </w:r>
          </w:p>
        </w:tc>
        <w:tc>
          <w:tcPr>
            <w:tcW w:w="455" w:type="pct"/>
            <w:shd w:val="clear" w:color="auto" w:fill="auto"/>
          </w:tcPr>
          <w:p w:rsidR="00860AC9" w:rsidRPr="009D148E" w:rsidRDefault="009D148E" w:rsidP="00604EF6">
            <w:pPr>
              <w:pStyle w:val="TableBodyText"/>
            </w:pPr>
            <w:r w:rsidRPr="009D148E">
              <w:t>63</w:t>
            </w:r>
          </w:p>
        </w:tc>
        <w:tc>
          <w:tcPr>
            <w:tcW w:w="415" w:type="pct"/>
            <w:shd w:val="clear" w:color="auto" w:fill="auto"/>
          </w:tcPr>
          <w:p w:rsidR="00860AC9" w:rsidRPr="00376024" w:rsidRDefault="00376024" w:rsidP="00604EF6">
            <w:pPr>
              <w:pStyle w:val="TableBodyText"/>
            </w:pPr>
            <w:r w:rsidRPr="00376024">
              <w:t>70</w:t>
            </w:r>
          </w:p>
        </w:tc>
        <w:tc>
          <w:tcPr>
            <w:tcW w:w="415" w:type="pct"/>
            <w:shd w:val="clear" w:color="auto" w:fill="auto"/>
          </w:tcPr>
          <w:p w:rsidR="00860AC9" w:rsidRPr="00376024" w:rsidRDefault="00801545" w:rsidP="00604EF6">
            <w:pPr>
              <w:pStyle w:val="TableBodyText"/>
            </w:pPr>
            <w:r w:rsidRPr="00376024">
              <w:t>5</w:t>
            </w:r>
            <w:r w:rsidR="00860AC9" w:rsidRPr="00376024">
              <w:t>0</w:t>
            </w:r>
          </w:p>
        </w:tc>
        <w:tc>
          <w:tcPr>
            <w:tcW w:w="489" w:type="pct"/>
            <w:shd w:val="clear" w:color="auto" w:fill="auto"/>
          </w:tcPr>
          <w:p w:rsidR="00860AC9" w:rsidRPr="00350E00" w:rsidRDefault="00376024" w:rsidP="00604EF6">
            <w:pPr>
              <w:pStyle w:val="TableBodyText"/>
              <w:ind w:right="28"/>
            </w:pPr>
            <w:r w:rsidRPr="00350E00">
              <w:t>8</w:t>
            </w:r>
            <w:r w:rsidR="00802A0F" w:rsidRPr="00350E00">
              <w:t>1</w:t>
            </w:r>
          </w:p>
        </w:tc>
      </w:tr>
      <w:tr w:rsidR="00376024" w:rsidRPr="00390851" w:rsidTr="00493DF4">
        <w:tc>
          <w:tcPr>
            <w:tcW w:w="1343" w:type="pct"/>
            <w:shd w:val="clear" w:color="auto" w:fill="auto"/>
          </w:tcPr>
          <w:p w:rsidR="00860AC9" w:rsidRPr="00390851" w:rsidRDefault="00860AC9" w:rsidP="00C3586E">
            <w:pPr>
              <w:pStyle w:val="TableBodyText"/>
              <w:ind w:left="142"/>
              <w:jc w:val="left"/>
            </w:pPr>
            <w:r w:rsidRPr="00390851">
              <w:t>Estimated share unannounced inspections</w:t>
            </w:r>
            <w:r w:rsidR="00741225">
              <w:rPr>
                <w:rStyle w:val="NoteLabel"/>
              </w:rPr>
              <w:t>c</w:t>
            </w:r>
          </w:p>
        </w:tc>
        <w:tc>
          <w:tcPr>
            <w:tcW w:w="270" w:type="pct"/>
            <w:shd w:val="clear" w:color="auto" w:fill="auto"/>
          </w:tcPr>
          <w:p w:rsidR="00860AC9" w:rsidRPr="005A4B4E" w:rsidRDefault="00860AC9" w:rsidP="00E602DE">
            <w:pPr>
              <w:pStyle w:val="TableBodyText"/>
              <w:jc w:val="center"/>
            </w:pPr>
            <w:r w:rsidRPr="005A4B4E">
              <w:t>%</w:t>
            </w:r>
          </w:p>
        </w:tc>
        <w:tc>
          <w:tcPr>
            <w:tcW w:w="403" w:type="pct"/>
            <w:shd w:val="clear" w:color="auto" w:fill="auto"/>
          </w:tcPr>
          <w:p w:rsidR="00860AC9" w:rsidRPr="005554DA" w:rsidRDefault="005554DA" w:rsidP="00604EF6">
            <w:pPr>
              <w:pStyle w:val="TableBodyText"/>
            </w:pPr>
            <w:r w:rsidRPr="005554DA">
              <w:t>57</w:t>
            </w:r>
          </w:p>
        </w:tc>
        <w:tc>
          <w:tcPr>
            <w:tcW w:w="404" w:type="pct"/>
            <w:shd w:val="clear" w:color="auto" w:fill="auto"/>
          </w:tcPr>
          <w:p w:rsidR="00860AC9" w:rsidRPr="00350E00" w:rsidRDefault="00802A0F" w:rsidP="00604EF6">
            <w:pPr>
              <w:pStyle w:val="TableBodyText"/>
            </w:pPr>
            <w:r w:rsidRPr="00350E00">
              <w:t>5</w:t>
            </w:r>
            <w:r w:rsidR="00B84ED4" w:rsidRPr="00350E00">
              <w:t>4</w:t>
            </w:r>
          </w:p>
        </w:tc>
        <w:tc>
          <w:tcPr>
            <w:tcW w:w="403" w:type="pct"/>
            <w:shd w:val="clear" w:color="auto" w:fill="auto"/>
          </w:tcPr>
          <w:p w:rsidR="00860AC9" w:rsidRPr="00916691" w:rsidRDefault="00801545" w:rsidP="00604EF6">
            <w:pPr>
              <w:pStyle w:val="TableBodyText"/>
            </w:pPr>
            <w:proofErr w:type="spellStart"/>
            <w:r w:rsidRPr="00916691">
              <w:t>na</w:t>
            </w:r>
            <w:proofErr w:type="spellEnd"/>
          </w:p>
        </w:tc>
        <w:tc>
          <w:tcPr>
            <w:tcW w:w="402" w:type="pct"/>
            <w:shd w:val="clear" w:color="auto" w:fill="auto"/>
          </w:tcPr>
          <w:p w:rsidR="00860AC9" w:rsidRPr="005554DA" w:rsidRDefault="005554DA" w:rsidP="00604EF6">
            <w:pPr>
              <w:pStyle w:val="TableBodyText"/>
            </w:pPr>
            <w:r w:rsidRPr="005554DA">
              <w:t>77</w:t>
            </w:r>
          </w:p>
        </w:tc>
        <w:tc>
          <w:tcPr>
            <w:tcW w:w="455" w:type="pct"/>
            <w:shd w:val="clear" w:color="auto" w:fill="auto"/>
          </w:tcPr>
          <w:p w:rsidR="00860AC9" w:rsidRPr="009D148E" w:rsidRDefault="009D148E" w:rsidP="00604EF6">
            <w:pPr>
              <w:pStyle w:val="TableBodyText"/>
            </w:pPr>
            <w:r w:rsidRPr="009D148E">
              <w:t>37</w:t>
            </w:r>
          </w:p>
        </w:tc>
        <w:tc>
          <w:tcPr>
            <w:tcW w:w="415" w:type="pct"/>
            <w:shd w:val="clear" w:color="auto" w:fill="auto"/>
          </w:tcPr>
          <w:p w:rsidR="00860AC9" w:rsidRPr="00376024" w:rsidRDefault="00376024" w:rsidP="00604EF6">
            <w:pPr>
              <w:pStyle w:val="TableBodyText"/>
            </w:pPr>
            <w:r w:rsidRPr="00376024">
              <w:t>30</w:t>
            </w:r>
          </w:p>
        </w:tc>
        <w:tc>
          <w:tcPr>
            <w:tcW w:w="415" w:type="pct"/>
            <w:shd w:val="clear" w:color="auto" w:fill="auto"/>
          </w:tcPr>
          <w:p w:rsidR="00860AC9" w:rsidRPr="00376024" w:rsidRDefault="00801545" w:rsidP="00604EF6">
            <w:pPr>
              <w:pStyle w:val="TableBodyText"/>
            </w:pPr>
            <w:r w:rsidRPr="00376024">
              <w:t>5</w:t>
            </w:r>
            <w:r w:rsidR="00860AC9" w:rsidRPr="00376024">
              <w:t>0</w:t>
            </w:r>
          </w:p>
        </w:tc>
        <w:tc>
          <w:tcPr>
            <w:tcW w:w="489" w:type="pct"/>
            <w:shd w:val="clear" w:color="auto" w:fill="auto"/>
          </w:tcPr>
          <w:p w:rsidR="00860AC9" w:rsidRPr="00350E00" w:rsidRDefault="00802A0F" w:rsidP="00604EF6">
            <w:pPr>
              <w:pStyle w:val="TableBodyText"/>
              <w:ind w:right="28"/>
            </w:pPr>
            <w:r w:rsidRPr="00350E00">
              <w:t>19</w:t>
            </w:r>
          </w:p>
        </w:tc>
      </w:tr>
      <w:tr w:rsidR="00376024" w:rsidRPr="00390851" w:rsidTr="00171F72">
        <w:tc>
          <w:tcPr>
            <w:tcW w:w="1343" w:type="pct"/>
            <w:shd w:val="clear" w:color="auto" w:fill="auto"/>
          </w:tcPr>
          <w:p w:rsidR="00860AC9" w:rsidRPr="00390851" w:rsidRDefault="00860AC9" w:rsidP="00C3586E">
            <w:pPr>
              <w:pStyle w:val="TableColumnHeading"/>
              <w:jc w:val="left"/>
            </w:pPr>
            <w:r w:rsidRPr="00390851">
              <w:t>Reactive monitoring</w:t>
            </w:r>
            <w:r w:rsidR="00741225">
              <w:rPr>
                <w:rStyle w:val="NoteLabel"/>
                <w:i w:val="0"/>
              </w:rPr>
              <w:t>d</w:t>
            </w:r>
          </w:p>
        </w:tc>
        <w:tc>
          <w:tcPr>
            <w:tcW w:w="270" w:type="pct"/>
            <w:shd w:val="clear" w:color="auto" w:fill="auto"/>
          </w:tcPr>
          <w:p w:rsidR="00860AC9" w:rsidRPr="007E3F1D" w:rsidRDefault="00860AC9" w:rsidP="00E602DE">
            <w:pPr>
              <w:pStyle w:val="TableBodyText"/>
              <w:jc w:val="center"/>
              <w:rPr>
                <w:color w:val="FF0000"/>
              </w:rPr>
            </w:pPr>
          </w:p>
        </w:tc>
        <w:tc>
          <w:tcPr>
            <w:tcW w:w="403" w:type="pct"/>
            <w:shd w:val="clear" w:color="auto" w:fill="auto"/>
          </w:tcPr>
          <w:p w:rsidR="00860AC9" w:rsidRPr="005554DA" w:rsidRDefault="00907FF4" w:rsidP="00604EF6">
            <w:pPr>
              <w:pStyle w:val="TableBodyText"/>
            </w:pPr>
            <w:r w:rsidRPr="005554DA">
              <w:rPr>
                <w:szCs w:val="24"/>
              </w:rPr>
              <w:sym w:font="Wingdings" w:char="F0FC"/>
            </w:r>
          </w:p>
        </w:tc>
        <w:tc>
          <w:tcPr>
            <w:tcW w:w="404" w:type="pct"/>
            <w:shd w:val="clear" w:color="auto" w:fill="auto"/>
          </w:tcPr>
          <w:p w:rsidR="00860AC9" w:rsidRPr="00B84ED4" w:rsidRDefault="00907FF4" w:rsidP="00604EF6">
            <w:pPr>
              <w:pStyle w:val="TableBodyText"/>
            </w:pPr>
            <w:r w:rsidRPr="00B84ED4">
              <w:rPr>
                <w:szCs w:val="24"/>
              </w:rPr>
              <w:sym w:font="Wingdings" w:char="F0FC"/>
            </w:r>
          </w:p>
        </w:tc>
        <w:tc>
          <w:tcPr>
            <w:tcW w:w="403" w:type="pct"/>
            <w:shd w:val="clear" w:color="auto" w:fill="auto"/>
          </w:tcPr>
          <w:p w:rsidR="00860AC9" w:rsidRPr="005A4B4E" w:rsidRDefault="00907FF4" w:rsidP="00604EF6">
            <w:pPr>
              <w:pStyle w:val="TableBodyText"/>
            </w:pPr>
            <w:r w:rsidRPr="005A4B4E">
              <w:rPr>
                <w:szCs w:val="24"/>
              </w:rPr>
              <w:sym w:font="Wingdings" w:char="F0FC"/>
            </w:r>
          </w:p>
        </w:tc>
        <w:tc>
          <w:tcPr>
            <w:tcW w:w="402" w:type="pct"/>
            <w:shd w:val="clear" w:color="auto" w:fill="auto"/>
          </w:tcPr>
          <w:p w:rsidR="00860AC9" w:rsidRPr="005554DA" w:rsidRDefault="00907FF4" w:rsidP="00604EF6">
            <w:pPr>
              <w:pStyle w:val="TableBodyText"/>
            </w:pPr>
            <w:r w:rsidRPr="005554DA">
              <w:rPr>
                <w:szCs w:val="24"/>
              </w:rPr>
              <w:sym w:font="Wingdings" w:char="F0FC"/>
            </w:r>
          </w:p>
        </w:tc>
        <w:tc>
          <w:tcPr>
            <w:tcW w:w="455" w:type="pct"/>
            <w:shd w:val="clear" w:color="auto" w:fill="auto"/>
          </w:tcPr>
          <w:p w:rsidR="00860AC9" w:rsidRPr="009D148E" w:rsidRDefault="00907FF4" w:rsidP="00604EF6">
            <w:pPr>
              <w:pStyle w:val="TableBodyText"/>
            </w:pPr>
            <w:r w:rsidRPr="009D148E">
              <w:rPr>
                <w:szCs w:val="24"/>
              </w:rPr>
              <w:sym w:font="Wingdings" w:char="F0FC"/>
            </w:r>
          </w:p>
        </w:tc>
        <w:tc>
          <w:tcPr>
            <w:tcW w:w="415" w:type="pct"/>
            <w:shd w:val="clear" w:color="auto" w:fill="auto"/>
          </w:tcPr>
          <w:p w:rsidR="00860AC9" w:rsidRPr="00376024" w:rsidRDefault="00907FF4" w:rsidP="00604EF6">
            <w:pPr>
              <w:pStyle w:val="TableBodyText"/>
            </w:pPr>
            <w:r w:rsidRPr="00376024">
              <w:rPr>
                <w:szCs w:val="24"/>
              </w:rPr>
              <w:sym w:font="Wingdings" w:char="F0FC"/>
            </w:r>
          </w:p>
        </w:tc>
        <w:tc>
          <w:tcPr>
            <w:tcW w:w="415" w:type="pct"/>
            <w:shd w:val="clear" w:color="auto" w:fill="auto"/>
          </w:tcPr>
          <w:p w:rsidR="00860AC9" w:rsidRPr="00376024" w:rsidRDefault="00907FF4" w:rsidP="00604EF6">
            <w:pPr>
              <w:pStyle w:val="TableBodyText"/>
            </w:pPr>
            <w:r w:rsidRPr="00376024">
              <w:rPr>
                <w:szCs w:val="24"/>
              </w:rPr>
              <w:sym w:font="Wingdings" w:char="F0FC"/>
            </w:r>
          </w:p>
        </w:tc>
        <w:tc>
          <w:tcPr>
            <w:tcW w:w="489" w:type="pct"/>
            <w:shd w:val="clear" w:color="auto" w:fill="auto"/>
          </w:tcPr>
          <w:p w:rsidR="00860AC9" w:rsidRPr="00376024" w:rsidRDefault="00907FF4" w:rsidP="00604EF6">
            <w:pPr>
              <w:pStyle w:val="TableBodyText"/>
              <w:ind w:right="28"/>
            </w:pPr>
            <w:r w:rsidRPr="00376024">
              <w:rPr>
                <w:szCs w:val="24"/>
              </w:rPr>
              <w:sym w:font="Wingdings" w:char="F0FC"/>
            </w:r>
          </w:p>
        </w:tc>
      </w:tr>
      <w:tr w:rsidR="00376024" w:rsidRPr="00390851" w:rsidTr="00171F72">
        <w:tc>
          <w:tcPr>
            <w:tcW w:w="1343" w:type="pct"/>
            <w:shd w:val="clear" w:color="auto" w:fill="auto"/>
          </w:tcPr>
          <w:p w:rsidR="00860AC9" w:rsidRPr="00390851" w:rsidRDefault="00860AC9" w:rsidP="001639AA">
            <w:pPr>
              <w:pStyle w:val="TableBodyText"/>
              <w:ind w:left="142"/>
              <w:jc w:val="left"/>
              <w:rPr>
                <w:b/>
              </w:rPr>
            </w:pPr>
            <w:r w:rsidRPr="00390851">
              <w:t>Data on substantiated breaches arising from complaints</w:t>
            </w:r>
            <w:r w:rsidR="00741225">
              <w:rPr>
                <w:rStyle w:val="NoteLabel"/>
              </w:rPr>
              <w:t>e</w:t>
            </w:r>
          </w:p>
        </w:tc>
        <w:tc>
          <w:tcPr>
            <w:tcW w:w="270" w:type="pct"/>
            <w:shd w:val="clear" w:color="auto" w:fill="auto"/>
          </w:tcPr>
          <w:p w:rsidR="00860AC9" w:rsidRPr="007E3F1D" w:rsidRDefault="00860AC9" w:rsidP="00E602DE">
            <w:pPr>
              <w:pStyle w:val="TableBodyText"/>
              <w:jc w:val="center"/>
              <w:rPr>
                <w:color w:val="FF0000"/>
              </w:rPr>
            </w:pPr>
          </w:p>
        </w:tc>
        <w:tc>
          <w:tcPr>
            <w:tcW w:w="403" w:type="pct"/>
            <w:shd w:val="clear" w:color="auto" w:fill="auto"/>
          </w:tcPr>
          <w:p w:rsidR="00860AC9" w:rsidRPr="005554DA" w:rsidRDefault="005554DA" w:rsidP="00604EF6">
            <w:pPr>
              <w:pStyle w:val="TableBodyText"/>
            </w:pPr>
            <w:r w:rsidRPr="005554DA">
              <w:rPr>
                <w:szCs w:val="24"/>
              </w:rPr>
              <w:sym w:font="Wingdings" w:char="F0FC"/>
            </w:r>
          </w:p>
        </w:tc>
        <w:tc>
          <w:tcPr>
            <w:tcW w:w="404" w:type="pct"/>
            <w:shd w:val="clear" w:color="auto" w:fill="auto"/>
          </w:tcPr>
          <w:p w:rsidR="00860AC9" w:rsidRPr="00B84ED4" w:rsidRDefault="00907FF4" w:rsidP="00604EF6">
            <w:pPr>
              <w:pStyle w:val="TableBodyText"/>
            </w:pPr>
            <w:r w:rsidRPr="00B84ED4">
              <w:rPr>
                <w:szCs w:val="24"/>
              </w:rPr>
              <w:sym w:font="Wingdings" w:char="F0FC"/>
            </w:r>
          </w:p>
        </w:tc>
        <w:tc>
          <w:tcPr>
            <w:tcW w:w="403" w:type="pct"/>
            <w:shd w:val="clear" w:color="auto" w:fill="auto"/>
          </w:tcPr>
          <w:p w:rsidR="00860AC9" w:rsidRPr="005A4B4E" w:rsidRDefault="00860AC9" w:rsidP="00604EF6">
            <w:pPr>
              <w:pStyle w:val="TableBodyText"/>
            </w:pPr>
            <w:r w:rsidRPr="005A4B4E">
              <w:t>x</w:t>
            </w:r>
          </w:p>
        </w:tc>
        <w:tc>
          <w:tcPr>
            <w:tcW w:w="402" w:type="pct"/>
            <w:shd w:val="clear" w:color="auto" w:fill="auto"/>
          </w:tcPr>
          <w:p w:rsidR="00860AC9" w:rsidRPr="005554DA" w:rsidRDefault="00907FF4" w:rsidP="00604EF6">
            <w:pPr>
              <w:pStyle w:val="TableBodyText"/>
            </w:pPr>
            <w:r w:rsidRPr="005554DA">
              <w:rPr>
                <w:szCs w:val="24"/>
              </w:rPr>
              <w:sym w:font="Wingdings" w:char="F0FC"/>
            </w:r>
          </w:p>
        </w:tc>
        <w:tc>
          <w:tcPr>
            <w:tcW w:w="455" w:type="pct"/>
            <w:shd w:val="clear" w:color="auto" w:fill="auto"/>
          </w:tcPr>
          <w:p w:rsidR="00860AC9" w:rsidRPr="009D148E" w:rsidRDefault="003248D3" w:rsidP="00604EF6">
            <w:pPr>
              <w:pStyle w:val="TableBodyText"/>
            </w:pPr>
            <w:r w:rsidRPr="009D148E">
              <w:t>x</w:t>
            </w:r>
          </w:p>
        </w:tc>
        <w:tc>
          <w:tcPr>
            <w:tcW w:w="415" w:type="pct"/>
            <w:shd w:val="clear" w:color="auto" w:fill="auto"/>
          </w:tcPr>
          <w:p w:rsidR="00860AC9" w:rsidRPr="00376024" w:rsidRDefault="00907FF4" w:rsidP="00604EF6">
            <w:pPr>
              <w:pStyle w:val="TableBodyText"/>
            </w:pPr>
            <w:r w:rsidRPr="00376024">
              <w:rPr>
                <w:szCs w:val="24"/>
              </w:rPr>
              <w:sym w:font="Wingdings" w:char="F0FC"/>
            </w:r>
          </w:p>
        </w:tc>
        <w:tc>
          <w:tcPr>
            <w:tcW w:w="415" w:type="pct"/>
            <w:shd w:val="clear" w:color="auto" w:fill="auto"/>
          </w:tcPr>
          <w:p w:rsidR="00860AC9" w:rsidRPr="00376024" w:rsidRDefault="00907FF4" w:rsidP="00604EF6">
            <w:pPr>
              <w:pStyle w:val="TableBodyText"/>
            </w:pPr>
            <w:r w:rsidRPr="00376024">
              <w:rPr>
                <w:szCs w:val="24"/>
              </w:rPr>
              <w:sym w:font="Wingdings" w:char="F0FC"/>
            </w:r>
          </w:p>
        </w:tc>
        <w:tc>
          <w:tcPr>
            <w:tcW w:w="489" w:type="pct"/>
            <w:shd w:val="clear" w:color="auto" w:fill="auto"/>
          </w:tcPr>
          <w:p w:rsidR="00860AC9" w:rsidRPr="00376024" w:rsidRDefault="00907FF4" w:rsidP="00604EF6">
            <w:pPr>
              <w:pStyle w:val="TableBodyText"/>
              <w:ind w:right="28"/>
            </w:pPr>
            <w:r w:rsidRPr="00376024">
              <w:rPr>
                <w:szCs w:val="24"/>
              </w:rPr>
              <w:sym w:font="Wingdings" w:char="F0FC"/>
            </w:r>
          </w:p>
        </w:tc>
      </w:tr>
      <w:tr w:rsidR="00376024" w:rsidRPr="00390851" w:rsidTr="00171F72">
        <w:tc>
          <w:tcPr>
            <w:tcW w:w="1343" w:type="pct"/>
            <w:shd w:val="clear" w:color="auto" w:fill="auto"/>
          </w:tcPr>
          <w:p w:rsidR="00860AC9" w:rsidRPr="00390851" w:rsidRDefault="00860AC9" w:rsidP="00C3586E">
            <w:pPr>
              <w:pStyle w:val="TableColumnHeading"/>
              <w:jc w:val="left"/>
            </w:pPr>
            <w:r w:rsidRPr="00390851">
              <w:t>Sanctions for breaches</w:t>
            </w:r>
            <w:r w:rsidR="00741225">
              <w:rPr>
                <w:rStyle w:val="NoteLabel"/>
                <w:i w:val="0"/>
              </w:rPr>
              <w:t>f</w:t>
            </w:r>
          </w:p>
        </w:tc>
        <w:tc>
          <w:tcPr>
            <w:tcW w:w="270" w:type="pct"/>
            <w:shd w:val="clear" w:color="auto" w:fill="auto"/>
          </w:tcPr>
          <w:p w:rsidR="00860AC9" w:rsidRPr="007E3F1D" w:rsidRDefault="00860AC9" w:rsidP="00E602DE">
            <w:pPr>
              <w:pStyle w:val="TableBodyText"/>
              <w:jc w:val="center"/>
              <w:rPr>
                <w:color w:val="FF0000"/>
              </w:rPr>
            </w:pPr>
          </w:p>
        </w:tc>
        <w:tc>
          <w:tcPr>
            <w:tcW w:w="403" w:type="pct"/>
            <w:shd w:val="clear" w:color="auto" w:fill="auto"/>
          </w:tcPr>
          <w:p w:rsidR="00860AC9" w:rsidRPr="005554DA" w:rsidRDefault="003248D3" w:rsidP="00604EF6">
            <w:pPr>
              <w:pStyle w:val="TableBodyText"/>
            </w:pPr>
            <w:r w:rsidRPr="005554DA">
              <w:rPr>
                <w:szCs w:val="24"/>
              </w:rPr>
              <w:sym w:font="Wingdings" w:char="F0FC"/>
            </w:r>
          </w:p>
        </w:tc>
        <w:tc>
          <w:tcPr>
            <w:tcW w:w="404" w:type="pct"/>
            <w:shd w:val="clear" w:color="auto" w:fill="auto"/>
          </w:tcPr>
          <w:p w:rsidR="00860AC9" w:rsidRPr="00B84ED4" w:rsidRDefault="003248D3" w:rsidP="00604EF6">
            <w:pPr>
              <w:pStyle w:val="TableBodyText"/>
            </w:pPr>
            <w:r w:rsidRPr="00B84ED4">
              <w:rPr>
                <w:szCs w:val="24"/>
              </w:rPr>
              <w:sym w:font="Wingdings" w:char="F0FC"/>
            </w:r>
          </w:p>
        </w:tc>
        <w:tc>
          <w:tcPr>
            <w:tcW w:w="403" w:type="pct"/>
            <w:shd w:val="clear" w:color="auto" w:fill="auto"/>
          </w:tcPr>
          <w:p w:rsidR="00860AC9" w:rsidRPr="005A4B4E" w:rsidRDefault="003248D3" w:rsidP="00604EF6">
            <w:pPr>
              <w:pStyle w:val="TableBodyText"/>
            </w:pPr>
            <w:r w:rsidRPr="005A4B4E">
              <w:rPr>
                <w:szCs w:val="24"/>
              </w:rPr>
              <w:sym w:font="Wingdings" w:char="F0FC"/>
            </w:r>
          </w:p>
        </w:tc>
        <w:tc>
          <w:tcPr>
            <w:tcW w:w="402" w:type="pct"/>
            <w:shd w:val="clear" w:color="auto" w:fill="auto"/>
          </w:tcPr>
          <w:p w:rsidR="00860AC9" w:rsidRPr="005554DA" w:rsidRDefault="003248D3" w:rsidP="00604EF6">
            <w:pPr>
              <w:pStyle w:val="TableBodyText"/>
            </w:pPr>
            <w:r w:rsidRPr="005554DA">
              <w:rPr>
                <w:szCs w:val="24"/>
              </w:rPr>
              <w:sym w:font="Wingdings" w:char="F0FC"/>
            </w:r>
          </w:p>
        </w:tc>
        <w:tc>
          <w:tcPr>
            <w:tcW w:w="455" w:type="pct"/>
            <w:shd w:val="clear" w:color="auto" w:fill="auto"/>
          </w:tcPr>
          <w:p w:rsidR="00860AC9" w:rsidRPr="009D148E" w:rsidRDefault="003248D3" w:rsidP="00604EF6">
            <w:pPr>
              <w:pStyle w:val="TableBodyText"/>
            </w:pPr>
            <w:r w:rsidRPr="009D148E">
              <w:rPr>
                <w:szCs w:val="24"/>
              </w:rPr>
              <w:sym w:font="Wingdings" w:char="F0FC"/>
            </w:r>
          </w:p>
        </w:tc>
        <w:tc>
          <w:tcPr>
            <w:tcW w:w="415" w:type="pct"/>
            <w:shd w:val="clear" w:color="auto" w:fill="auto"/>
          </w:tcPr>
          <w:p w:rsidR="00860AC9" w:rsidRPr="00376024" w:rsidRDefault="003248D3" w:rsidP="00604EF6">
            <w:pPr>
              <w:pStyle w:val="TableBodyText"/>
            </w:pPr>
            <w:r w:rsidRPr="00376024">
              <w:rPr>
                <w:szCs w:val="24"/>
              </w:rPr>
              <w:sym w:font="Wingdings" w:char="F0FC"/>
            </w:r>
          </w:p>
        </w:tc>
        <w:tc>
          <w:tcPr>
            <w:tcW w:w="415" w:type="pct"/>
            <w:shd w:val="clear" w:color="auto" w:fill="auto"/>
          </w:tcPr>
          <w:p w:rsidR="00860AC9" w:rsidRPr="00376024" w:rsidRDefault="003248D3" w:rsidP="00604EF6">
            <w:pPr>
              <w:pStyle w:val="TableBodyText"/>
            </w:pPr>
            <w:r w:rsidRPr="00376024">
              <w:rPr>
                <w:szCs w:val="24"/>
              </w:rPr>
              <w:sym w:font="Wingdings" w:char="F0FC"/>
            </w:r>
          </w:p>
        </w:tc>
        <w:tc>
          <w:tcPr>
            <w:tcW w:w="489" w:type="pct"/>
            <w:shd w:val="clear" w:color="auto" w:fill="auto"/>
          </w:tcPr>
          <w:p w:rsidR="00860AC9" w:rsidRPr="00376024" w:rsidRDefault="003248D3" w:rsidP="00604EF6">
            <w:pPr>
              <w:pStyle w:val="TableBodyText"/>
              <w:ind w:right="28"/>
            </w:pPr>
            <w:r w:rsidRPr="00376024">
              <w:rPr>
                <w:szCs w:val="24"/>
              </w:rPr>
              <w:sym w:font="Wingdings" w:char="F0FC"/>
            </w:r>
          </w:p>
        </w:tc>
      </w:tr>
      <w:tr w:rsidR="00376024" w:rsidRPr="00390851" w:rsidTr="00171F72">
        <w:tc>
          <w:tcPr>
            <w:tcW w:w="1343" w:type="pct"/>
            <w:shd w:val="clear" w:color="auto" w:fill="auto"/>
          </w:tcPr>
          <w:p w:rsidR="00860AC9" w:rsidRPr="00210360" w:rsidRDefault="00860AC9" w:rsidP="00C3586E">
            <w:pPr>
              <w:pStyle w:val="TableBodyText"/>
              <w:ind w:left="142"/>
              <w:jc w:val="left"/>
              <w:rPr>
                <w:highlight w:val="yellow"/>
              </w:rPr>
            </w:pPr>
            <w:r w:rsidRPr="00210360">
              <w:t>Under</w:t>
            </w:r>
            <w:r w:rsidR="00172534">
              <w:noBreakHyphen/>
            </w:r>
            <w:r w:rsidRPr="00210360">
              <w:t xml:space="preserve">performing services incur </w:t>
            </w:r>
            <w:r w:rsidR="004E60DD">
              <w:br/>
            </w:r>
            <w:r w:rsidRPr="00210360">
              <w:t>follow</w:t>
            </w:r>
            <w:r w:rsidR="00172534">
              <w:noBreakHyphen/>
            </w:r>
            <w:r w:rsidRPr="00210360">
              <w:t>up or more frequent inspections</w:t>
            </w:r>
          </w:p>
        </w:tc>
        <w:tc>
          <w:tcPr>
            <w:tcW w:w="270" w:type="pct"/>
            <w:shd w:val="clear" w:color="auto" w:fill="auto"/>
          </w:tcPr>
          <w:p w:rsidR="00860AC9" w:rsidRPr="007E3F1D" w:rsidRDefault="00860AC9" w:rsidP="00E602DE">
            <w:pPr>
              <w:pStyle w:val="TableBodyText"/>
              <w:jc w:val="center"/>
              <w:rPr>
                <w:color w:val="FF0000"/>
              </w:rPr>
            </w:pPr>
          </w:p>
        </w:tc>
        <w:tc>
          <w:tcPr>
            <w:tcW w:w="403" w:type="pct"/>
            <w:shd w:val="clear" w:color="auto" w:fill="auto"/>
          </w:tcPr>
          <w:p w:rsidR="00860AC9" w:rsidRPr="005554DA" w:rsidRDefault="003248D3" w:rsidP="00604EF6">
            <w:pPr>
              <w:pStyle w:val="TableBodyText"/>
            </w:pPr>
            <w:r w:rsidRPr="005554DA">
              <w:rPr>
                <w:szCs w:val="24"/>
              </w:rPr>
              <w:sym w:font="Wingdings" w:char="F0FC"/>
            </w:r>
          </w:p>
        </w:tc>
        <w:tc>
          <w:tcPr>
            <w:tcW w:w="404" w:type="pct"/>
            <w:shd w:val="clear" w:color="auto" w:fill="auto"/>
          </w:tcPr>
          <w:p w:rsidR="00860AC9" w:rsidRPr="00B84ED4" w:rsidRDefault="003248D3" w:rsidP="00604EF6">
            <w:pPr>
              <w:pStyle w:val="TableBodyText"/>
            </w:pPr>
            <w:r w:rsidRPr="00B84ED4">
              <w:rPr>
                <w:szCs w:val="24"/>
              </w:rPr>
              <w:sym w:font="Wingdings" w:char="F0FC"/>
            </w:r>
          </w:p>
        </w:tc>
        <w:tc>
          <w:tcPr>
            <w:tcW w:w="403" w:type="pct"/>
            <w:shd w:val="clear" w:color="auto" w:fill="auto"/>
          </w:tcPr>
          <w:p w:rsidR="00860AC9" w:rsidRPr="005A4B4E" w:rsidRDefault="003248D3" w:rsidP="00604EF6">
            <w:pPr>
              <w:pStyle w:val="TableBodyText"/>
            </w:pPr>
            <w:r w:rsidRPr="005A4B4E">
              <w:rPr>
                <w:szCs w:val="24"/>
              </w:rPr>
              <w:sym w:font="Wingdings" w:char="F0FC"/>
            </w:r>
          </w:p>
        </w:tc>
        <w:tc>
          <w:tcPr>
            <w:tcW w:w="402" w:type="pct"/>
            <w:shd w:val="clear" w:color="auto" w:fill="auto"/>
          </w:tcPr>
          <w:p w:rsidR="00860AC9" w:rsidRPr="005554DA" w:rsidRDefault="003248D3" w:rsidP="00604EF6">
            <w:pPr>
              <w:pStyle w:val="TableBodyText"/>
            </w:pPr>
            <w:r w:rsidRPr="005554DA">
              <w:rPr>
                <w:szCs w:val="24"/>
              </w:rPr>
              <w:sym w:font="Wingdings" w:char="F0FC"/>
            </w:r>
          </w:p>
        </w:tc>
        <w:tc>
          <w:tcPr>
            <w:tcW w:w="455" w:type="pct"/>
            <w:shd w:val="clear" w:color="auto" w:fill="auto"/>
          </w:tcPr>
          <w:p w:rsidR="00860AC9" w:rsidRPr="009D148E" w:rsidRDefault="003248D3" w:rsidP="00604EF6">
            <w:pPr>
              <w:pStyle w:val="TableBodyText"/>
            </w:pPr>
            <w:r w:rsidRPr="009D148E">
              <w:rPr>
                <w:szCs w:val="24"/>
              </w:rPr>
              <w:sym w:font="Wingdings" w:char="F0FC"/>
            </w:r>
          </w:p>
        </w:tc>
        <w:tc>
          <w:tcPr>
            <w:tcW w:w="415" w:type="pct"/>
            <w:shd w:val="clear" w:color="auto" w:fill="auto"/>
          </w:tcPr>
          <w:p w:rsidR="00860AC9" w:rsidRPr="00376024" w:rsidRDefault="003248D3" w:rsidP="00604EF6">
            <w:pPr>
              <w:pStyle w:val="TableBodyText"/>
            </w:pPr>
            <w:r w:rsidRPr="00376024">
              <w:rPr>
                <w:szCs w:val="24"/>
              </w:rPr>
              <w:sym w:font="Wingdings" w:char="F0FC"/>
            </w:r>
          </w:p>
        </w:tc>
        <w:tc>
          <w:tcPr>
            <w:tcW w:w="415" w:type="pct"/>
            <w:shd w:val="clear" w:color="auto" w:fill="auto"/>
          </w:tcPr>
          <w:p w:rsidR="00860AC9" w:rsidRPr="00376024" w:rsidRDefault="003248D3" w:rsidP="00604EF6">
            <w:pPr>
              <w:pStyle w:val="TableBodyText"/>
            </w:pPr>
            <w:r w:rsidRPr="00376024">
              <w:rPr>
                <w:szCs w:val="24"/>
              </w:rPr>
              <w:sym w:font="Wingdings" w:char="F0FC"/>
            </w:r>
          </w:p>
        </w:tc>
        <w:tc>
          <w:tcPr>
            <w:tcW w:w="489" w:type="pct"/>
            <w:shd w:val="clear" w:color="auto" w:fill="auto"/>
          </w:tcPr>
          <w:p w:rsidR="00860AC9" w:rsidRPr="00376024" w:rsidRDefault="003248D3" w:rsidP="00604EF6">
            <w:pPr>
              <w:pStyle w:val="TableBodyText"/>
              <w:ind w:right="28"/>
            </w:pPr>
            <w:r w:rsidRPr="00376024">
              <w:rPr>
                <w:szCs w:val="24"/>
              </w:rPr>
              <w:sym w:font="Wingdings" w:char="F0FC"/>
            </w:r>
          </w:p>
        </w:tc>
      </w:tr>
      <w:tr w:rsidR="00376024" w:rsidTr="00171F72">
        <w:tc>
          <w:tcPr>
            <w:tcW w:w="1343" w:type="pct"/>
            <w:tcBorders>
              <w:bottom w:val="single" w:sz="6" w:space="0" w:color="auto"/>
            </w:tcBorders>
            <w:shd w:val="clear" w:color="auto" w:fill="auto"/>
          </w:tcPr>
          <w:p w:rsidR="00860AC9" w:rsidRPr="005A4B4E" w:rsidRDefault="001639AA" w:rsidP="00151FB0">
            <w:pPr>
              <w:pStyle w:val="TableBodyText"/>
              <w:ind w:left="142"/>
              <w:jc w:val="left"/>
              <w:rPr>
                <w:highlight w:val="yellow"/>
              </w:rPr>
            </w:pPr>
            <w:r>
              <w:t>P</w:t>
            </w:r>
            <w:r w:rsidR="00860AC9" w:rsidRPr="005A4B4E">
              <w:t>rosecutions initiated</w:t>
            </w:r>
            <w:r w:rsidR="00615D85" w:rsidRPr="005A4B4E">
              <w:t xml:space="preserve"> against services during </w:t>
            </w:r>
            <w:r w:rsidR="00615D85" w:rsidRPr="005A4B4E">
              <w:rPr>
                <w:shd w:val="clear" w:color="auto" w:fill="FFFFFF" w:themeFill="background1"/>
              </w:rPr>
              <w:t>201</w:t>
            </w:r>
            <w:r w:rsidR="007E3F1D" w:rsidRPr="005A4B4E">
              <w:rPr>
                <w:shd w:val="clear" w:color="auto" w:fill="FFFFFF" w:themeFill="background1"/>
              </w:rPr>
              <w:t>2</w:t>
            </w:r>
            <w:r w:rsidR="00172534">
              <w:rPr>
                <w:shd w:val="clear" w:color="auto" w:fill="FFFFFF" w:themeFill="background1"/>
              </w:rPr>
              <w:noBreakHyphen/>
            </w:r>
            <w:r w:rsidR="001544BC" w:rsidRPr="005A4B4E">
              <w:rPr>
                <w:shd w:val="clear" w:color="auto" w:fill="FFFFFF" w:themeFill="background1"/>
              </w:rPr>
              <w:t>1</w:t>
            </w:r>
            <w:r w:rsidR="007E3F1D" w:rsidRPr="005A4B4E">
              <w:rPr>
                <w:shd w:val="clear" w:color="auto" w:fill="FFFFFF" w:themeFill="background1"/>
              </w:rPr>
              <w:t>3</w:t>
            </w:r>
            <w:r w:rsidR="00741225" w:rsidRPr="005A4B4E">
              <w:rPr>
                <w:rStyle w:val="NoteLabel"/>
                <w:szCs w:val="18"/>
              </w:rPr>
              <w:t>g</w:t>
            </w:r>
          </w:p>
        </w:tc>
        <w:tc>
          <w:tcPr>
            <w:tcW w:w="270" w:type="pct"/>
            <w:tcBorders>
              <w:bottom w:val="single" w:sz="6" w:space="0" w:color="auto"/>
            </w:tcBorders>
            <w:shd w:val="clear" w:color="auto" w:fill="auto"/>
          </w:tcPr>
          <w:p w:rsidR="00860AC9" w:rsidRPr="005A4B4E" w:rsidRDefault="00860AC9" w:rsidP="00E602DE">
            <w:pPr>
              <w:pStyle w:val="TableBodyText"/>
              <w:jc w:val="center"/>
            </w:pPr>
            <w:r w:rsidRPr="005A4B4E">
              <w:t>no.</w:t>
            </w:r>
          </w:p>
        </w:tc>
        <w:tc>
          <w:tcPr>
            <w:tcW w:w="403" w:type="pct"/>
            <w:tcBorders>
              <w:bottom w:val="single" w:sz="6" w:space="0" w:color="auto"/>
            </w:tcBorders>
            <w:shd w:val="clear" w:color="auto" w:fill="auto"/>
          </w:tcPr>
          <w:p w:rsidR="00860AC9" w:rsidRPr="005554DA" w:rsidRDefault="00801545" w:rsidP="00604EF6">
            <w:pPr>
              <w:pStyle w:val="TableBodyText"/>
            </w:pPr>
            <w:r w:rsidRPr="005554DA">
              <w:t>3</w:t>
            </w:r>
          </w:p>
        </w:tc>
        <w:tc>
          <w:tcPr>
            <w:tcW w:w="404" w:type="pct"/>
            <w:tcBorders>
              <w:bottom w:val="single" w:sz="6" w:space="0" w:color="auto"/>
            </w:tcBorders>
            <w:shd w:val="clear" w:color="auto" w:fill="auto"/>
          </w:tcPr>
          <w:p w:rsidR="00860AC9" w:rsidRPr="00B84ED4" w:rsidRDefault="00151FB0" w:rsidP="00604EF6">
            <w:pPr>
              <w:pStyle w:val="TableBodyText"/>
            </w:pPr>
            <w:r w:rsidRPr="00B84ED4">
              <w:t>–</w:t>
            </w:r>
          </w:p>
        </w:tc>
        <w:tc>
          <w:tcPr>
            <w:tcW w:w="403" w:type="pct"/>
            <w:tcBorders>
              <w:bottom w:val="single" w:sz="6" w:space="0" w:color="auto"/>
            </w:tcBorders>
            <w:shd w:val="clear" w:color="auto" w:fill="auto"/>
          </w:tcPr>
          <w:p w:rsidR="00860AC9" w:rsidRPr="005A4B4E" w:rsidRDefault="00126CF9" w:rsidP="00604EF6">
            <w:pPr>
              <w:pStyle w:val="TableBodyText"/>
            </w:pPr>
            <w:proofErr w:type="spellStart"/>
            <w:r w:rsidRPr="005A4B4E">
              <w:t>na</w:t>
            </w:r>
            <w:proofErr w:type="spellEnd"/>
          </w:p>
        </w:tc>
        <w:tc>
          <w:tcPr>
            <w:tcW w:w="402" w:type="pct"/>
            <w:tcBorders>
              <w:bottom w:val="single" w:sz="6" w:space="0" w:color="auto"/>
            </w:tcBorders>
            <w:shd w:val="clear" w:color="auto" w:fill="auto"/>
          </w:tcPr>
          <w:p w:rsidR="00860AC9" w:rsidRPr="005554DA" w:rsidRDefault="005554DA" w:rsidP="00604EF6">
            <w:pPr>
              <w:pStyle w:val="TableBodyText"/>
            </w:pPr>
            <w:r w:rsidRPr="005554DA">
              <w:t>3</w:t>
            </w:r>
          </w:p>
        </w:tc>
        <w:tc>
          <w:tcPr>
            <w:tcW w:w="455" w:type="pct"/>
            <w:tcBorders>
              <w:bottom w:val="single" w:sz="6" w:space="0" w:color="auto"/>
            </w:tcBorders>
            <w:shd w:val="clear" w:color="auto" w:fill="auto"/>
          </w:tcPr>
          <w:p w:rsidR="00860AC9" w:rsidRPr="009D148E" w:rsidRDefault="00390851" w:rsidP="00604EF6">
            <w:pPr>
              <w:pStyle w:val="TableBodyText"/>
            </w:pPr>
            <w:proofErr w:type="spellStart"/>
            <w:r w:rsidRPr="009D148E">
              <w:t>na</w:t>
            </w:r>
            <w:proofErr w:type="spellEnd"/>
          </w:p>
        </w:tc>
        <w:tc>
          <w:tcPr>
            <w:tcW w:w="415" w:type="pct"/>
            <w:tcBorders>
              <w:bottom w:val="single" w:sz="6" w:space="0" w:color="auto"/>
            </w:tcBorders>
            <w:shd w:val="clear" w:color="auto" w:fill="auto"/>
          </w:tcPr>
          <w:p w:rsidR="00860AC9" w:rsidRPr="00376024" w:rsidRDefault="00966FB2" w:rsidP="00604EF6">
            <w:pPr>
              <w:pStyle w:val="TableBodyText"/>
            </w:pPr>
            <w:r w:rsidRPr="00376024">
              <w:t>–</w:t>
            </w:r>
          </w:p>
        </w:tc>
        <w:tc>
          <w:tcPr>
            <w:tcW w:w="415" w:type="pct"/>
            <w:tcBorders>
              <w:bottom w:val="single" w:sz="6" w:space="0" w:color="auto"/>
            </w:tcBorders>
            <w:shd w:val="clear" w:color="auto" w:fill="auto"/>
          </w:tcPr>
          <w:p w:rsidR="00860AC9" w:rsidRPr="00376024" w:rsidRDefault="002C46BF" w:rsidP="00604EF6">
            <w:pPr>
              <w:pStyle w:val="TableBodyText"/>
            </w:pPr>
            <w:proofErr w:type="spellStart"/>
            <w:r w:rsidRPr="00376024">
              <w:t>na</w:t>
            </w:r>
            <w:proofErr w:type="spellEnd"/>
          </w:p>
        </w:tc>
        <w:tc>
          <w:tcPr>
            <w:tcW w:w="489" w:type="pct"/>
            <w:tcBorders>
              <w:bottom w:val="single" w:sz="6" w:space="0" w:color="auto"/>
            </w:tcBorders>
            <w:shd w:val="clear" w:color="auto" w:fill="auto"/>
          </w:tcPr>
          <w:p w:rsidR="00860AC9" w:rsidRPr="00376024" w:rsidRDefault="00860AC9" w:rsidP="00604EF6">
            <w:pPr>
              <w:pStyle w:val="TableBodyText"/>
              <w:ind w:right="28"/>
            </w:pPr>
            <w:r w:rsidRPr="00376024">
              <w:t>–</w:t>
            </w:r>
          </w:p>
        </w:tc>
      </w:tr>
    </w:tbl>
    <w:p w:rsidR="001738B3" w:rsidRPr="007069F4" w:rsidRDefault="001738B3" w:rsidP="00C3586E">
      <w:pPr>
        <w:pStyle w:val="Note"/>
      </w:pPr>
      <w:r w:rsidRPr="007069F4">
        <w:rPr>
          <w:rFonts w:ascii="Helvetica" w:hAnsi="Helvetica"/>
          <w:b/>
          <w:position w:val="6"/>
          <w:szCs w:val="18"/>
        </w:rPr>
        <w:t>a </w:t>
      </w:r>
      <w:r w:rsidRPr="007069F4">
        <w:t xml:space="preserve">Proactive monitoring refers to the ongoing program of visits/inspections to services that are determined by legislation and/or the monitoring policies in each jurisdiction. </w:t>
      </w:r>
      <w:r w:rsidR="00741225" w:rsidRPr="007069F4">
        <w:rPr>
          <w:rStyle w:val="NoteLabel"/>
        </w:rPr>
        <w:t>b</w:t>
      </w:r>
      <w:r w:rsidRPr="007069F4">
        <w:rPr>
          <w:rStyle w:val="NoteLabel"/>
        </w:rPr>
        <w:t xml:space="preserve"> </w:t>
      </w:r>
      <w:r w:rsidRPr="000E6AF8">
        <w:t>Announced visits are scheduled with the service provider including but not limited to consultative and advisory meetings.</w:t>
      </w:r>
      <w:r w:rsidR="00AC3A7E" w:rsidRPr="000E6AF8">
        <w:t xml:space="preserve"> </w:t>
      </w:r>
      <w:r w:rsidR="000E6AF8" w:rsidRPr="00493DF4">
        <w:t xml:space="preserve">Assessment and rating visits under the </w:t>
      </w:r>
      <w:proofErr w:type="spellStart"/>
      <w:r w:rsidR="000E6AF8" w:rsidRPr="00493DF4">
        <w:t>NQS</w:t>
      </w:r>
      <w:proofErr w:type="spellEnd"/>
      <w:r w:rsidR="000E6AF8" w:rsidRPr="00493DF4">
        <w:t xml:space="preserve"> are included.</w:t>
      </w:r>
      <w:r w:rsidR="000E6AF8">
        <w:t xml:space="preserve"> </w:t>
      </w:r>
      <w:r w:rsidR="00741225" w:rsidRPr="0018652C">
        <w:rPr>
          <w:rStyle w:val="NoteLabel"/>
        </w:rPr>
        <w:t>c</w:t>
      </w:r>
      <w:r w:rsidRPr="0018652C">
        <w:rPr>
          <w:rStyle w:val="NoteLabel"/>
        </w:rPr>
        <w:t xml:space="preserve"> </w:t>
      </w:r>
      <w:r w:rsidRPr="0018652C">
        <w:t>Unannounced inspections of services are used to assess performance against licence conditions including</w:t>
      </w:r>
      <w:r w:rsidR="00F7662D" w:rsidRPr="0018652C">
        <w:t>,</w:t>
      </w:r>
      <w:r w:rsidRPr="0018652C">
        <w:t xml:space="preserve"> but not limited to</w:t>
      </w:r>
      <w:r w:rsidR="00F7662D" w:rsidRPr="0018652C">
        <w:t>,</w:t>
      </w:r>
      <w:r w:rsidRPr="0018652C">
        <w:t xml:space="preserve"> investigations of complaints. Unannounced inspections allow the operation of the service to be monitored under normal operational circumstances.</w:t>
      </w:r>
      <w:r w:rsidR="00AC3A7E" w:rsidRPr="0018652C">
        <w:t xml:space="preserve"> </w:t>
      </w:r>
      <w:r w:rsidR="00741225" w:rsidRPr="007069F4">
        <w:rPr>
          <w:rStyle w:val="NoteLabel"/>
        </w:rPr>
        <w:t>d</w:t>
      </w:r>
      <w:r w:rsidRPr="007069F4">
        <w:rPr>
          <w:rStyle w:val="NoteLabel"/>
        </w:rPr>
        <w:t xml:space="preserve"> </w:t>
      </w:r>
      <w:r w:rsidRPr="007069F4">
        <w:t>A</w:t>
      </w:r>
      <w:r w:rsidRPr="007069F4">
        <w:rPr>
          <w:rFonts w:ascii="Helvetica" w:hAnsi="Helvetica"/>
          <w:position w:val="6"/>
          <w:szCs w:val="18"/>
        </w:rPr>
        <w:t xml:space="preserve"> </w:t>
      </w:r>
      <w:r w:rsidRPr="007069F4">
        <w:t xml:space="preserve">reactive monitoring regime can be triggered by either a complaint or a service’s failure to comply with legislative requirements. </w:t>
      </w:r>
      <w:r w:rsidR="00773686">
        <w:br/>
      </w:r>
      <w:proofErr w:type="spellStart"/>
      <w:r w:rsidR="00741225" w:rsidRPr="007069F4">
        <w:rPr>
          <w:rStyle w:val="NoteLabel"/>
        </w:rPr>
        <w:t>e</w:t>
      </w:r>
      <w:proofErr w:type="spellEnd"/>
      <w:r w:rsidRPr="007069F4">
        <w:t xml:space="preserve"> See detaile</w:t>
      </w:r>
      <w:r w:rsidR="00F044F4">
        <w:t xml:space="preserve">d </w:t>
      </w:r>
      <w:r w:rsidR="00916691">
        <w:t>data in attachment tables</w:t>
      </w:r>
      <w:r w:rsidR="00172534">
        <w:t> </w:t>
      </w:r>
      <w:proofErr w:type="spellStart"/>
      <w:r w:rsidR="00916691">
        <w:t>3A.65</w:t>
      </w:r>
      <w:proofErr w:type="spellEnd"/>
      <w:r w:rsidR="00916691">
        <w:t xml:space="preserve">, </w:t>
      </w:r>
      <w:proofErr w:type="spellStart"/>
      <w:r w:rsidR="00916691">
        <w:t>3A.72</w:t>
      </w:r>
      <w:proofErr w:type="spellEnd"/>
      <w:r w:rsidR="00916691">
        <w:t xml:space="preserve">, </w:t>
      </w:r>
      <w:proofErr w:type="spellStart"/>
      <w:r w:rsidR="00916691">
        <w:t>3A.79</w:t>
      </w:r>
      <w:proofErr w:type="spellEnd"/>
      <w:r w:rsidR="00916691">
        <w:t xml:space="preserve">, </w:t>
      </w:r>
      <w:proofErr w:type="spellStart"/>
      <w:r w:rsidR="00916691">
        <w:t>3A.86</w:t>
      </w:r>
      <w:proofErr w:type="spellEnd"/>
      <w:r w:rsidR="00916691">
        <w:t xml:space="preserve">, </w:t>
      </w:r>
      <w:proofErr w:type="spellStart"/>
      <w:r w:rsidR="00916691">
        <w:t>3A.93</w:t>
      </w:r>
      <w:proofErr w:type="spellEnd"/>
      <w:r w:rsidR="00916691">
        <w:t xml:space="preserve">, </w:t>
      </w:r>
      <w:proofErr w:type="spellStart"/>
      <w:r w:rsidR="00916691">
        <w:t>3A.100</w:t>
      </w:r>
      <w:proofErr w:type="spellEnd"/>
      <w:r w:rsidR="00916691">
        <w:t xml:space="preserve">, </w:t>
      </w:r>
      <w:proofErr w:type="spellStart"/>
      <w:r w:rsidR="00916691">
        <w:t>3A.107</w:t>
      </w:r>
      <w:proofErr w:type="spellEnd"/>
      <w:r w:rsidR="009817D1" w:rsidRPr="007069F4">
        <w:t xml:space="preserve"> and</w:t>
      </w:r>
      <w:r w:rsidRPr="007069F4">
        <w:t xml:space="preserve"> </w:t>
      </w:r>
      <w:proofErr w:type="spellStart"/>
      <w:r w:rsidRPr="007069F4">
        <w:t>3A.</w:t>
      </w:r>
      <w:r w:rsidR="00916691">
        <w:t>114</w:t>
      </w:r>
      <w:proofErr w:type="spellEnd"/>
      <w:r w:rsidRPr="007069F4">
        <w:t xml:space="preserve">. </w:t>
      </w:r>
      <w:r w:rsidR="00773686">
        <w:br/>
      </w:r>
      <w:r w:rsidR="00741225" w:rsidRPr="007069F4">
        <w:rPr>
          <w:rStyle w:val="NoteLabel"/>
        </w:rPr>
        <w:t>f</w:t>
      </w:r>
      <w:r w:rsidRPr="007069F4">
        <w:rPr>
          <w:rStyle w:val="NoteLabel"/>
        </w:rPr>
        <w:t xml:space="preserve"> </w:t>
      </w:r>
      <w:r w:rsidRPr="007069F4">
        <w:t>Jurisdictions can apply a range of actions to underperforming services</w:t>
      </w:r>
      <w:r w:rsidR="001639AA">
        <w:t>, which</w:t>
      </w:r>
      <w:r w:rsidRPr="007069F4">
        <w:t xml:space="preserve"> can include administrative and/or statutory sanctions including</w:t>
      </w:r>
      <w:r w:rsidR="00A20404">
        <w:t xml:space="preserve"> prosecution. Not all sanctions </w:t>
      </w:r>
      <w:r w:rsidRPr="007069F4">
        <w:t xml:space="preserve">are included. </w:t>
      </w:r>
      <w:r w:rsidR="00741225" w:rsidRPr="007069F4">
        <w:rPr>
          <w:rStyle w:val="NoteLabel"/>
        </w:rPr>
        <w:t>g</w:t>
      </w:r>
      <w:r w:rsidRPr="007069F4">
        <w:rPr>
          <w:rStyle w:val="NoteLabel"/>
        </w:rPr>
        <w:t xml:space="preserve"> </w:t>
      </w:r>
      <w:r w:rsidRPr="007069F4">
        <w:t xml:space="preserve">Prosecutions refer to all prosecutions against services that are brought under the relevant children’s services Act in each jurisdiction. </w:t>
      </w:r>
      <w:proofErr w:type="spellStart"/>
      <w:r w:rsidR="00956CDE" w:rsidRPr="007069F4">
        <w:rPr>
          <w:b/>
        </w:rPr>
        <w:t>na</w:t>
      </w:r>
      <w:proofErr w:type="spellEnd"/>
      <w:r w:rsidR="00956CDE" w:rsidRPr="007069F4">
        <w:rPr>
          <w:b/>
        </w:rPr>
        <w:t> </w:t>
      </w:r>
      <w:r w:rsidR="00956CDE" w:rsidRPr="007069F4">
        <w:t xml:space="preserve">Not available. </w:t>
      </w:r>
      <w:r w:rsidR="00C75B0B" w:rsidRPr="001803C8">
        <w:t>..</w:t>
      </w:r>
      <w:r w:rsidR="00C75B0B" w:rsidRPr="00C75B0B">
        <w:rPr>
          <w:b/>
        </w:rPr>
        <w:t xml:space="preserve"> </w:t>
      </w:r>
      <w:r w:rsidR="00C75B0B">
        <w:t>N</w:t>
      </w:r>
      <w:r w:rsidR="00C75B0B" w:rsidRPr="007069F4">
        <w:t>ot applicable</w:t>
      </w:r>
      <w:r w:rsidR="00C75B0B">
        <w:t>.</w:t>
      </w:r>
      <w:r w:rsidR="00C75B0B" w:rsidRPr="007069F4">
        <w:t xml:space="preserve"> </w:t>
      </w:r>
      <w:r w:rsidRPr="007069F4">
        <w:t>–</w:t>
      </w:r>
      <w:r w:rsidRPr="007069F4">
        <w:rPr>
          <w:b/>
        </w:rPr>
        <w:t> </w:t>
      </w:r>
      <w:r w:rsidRPr="007069F4">
        <w:t>Nil or rounded to zero.</w:t>
      </w:r>
      <w:r w:rsidR="00C75B0B">
        <w:t xml:space="preserve"> </w:t>
      </w:r>
    </w:p>
    <w:p w:rsidR="001738B3" w:rsidRPr="007B6A66" w:rsidRDefault="001738B3" w:rsidP="00C3586E">
      <w:pPr>
        <w:pStyle w:val="Source"/>
      </w:pPr>
      <w:r w:rsidRPr="002271AE">
        <w:rPr>
          <w:i/>
        </w:rPr>
        <w:t>Source</w:t>
      </w:r>
      <w:r w:rsidRPr="00E62913">
        <w:t>:</w:t>
      </w:r>
      <w:r>
        <w:t xml:space="preserve"> </w:t>
      </w:r>
      <w:r w:rsidRPr="00C941CD">
        <w:t>State and Territory governments (unpublished).</w:t>
      </w:r>
    </w:p>
    <w:p w:rsidR="0064069A" w:rsidRPr="008B42D1" w:rsidRDefault="007E3F1D" w:rsidP="00C3586E">
      <w:pPr>
        <w:pStyle w:val="Heading5"/>
        <w:rPr>
          <w:rStyle w:val="BoxChar"/>
        </w:rPr>
      </w:pPr>
      <w:r>
        <w:t>Standards — achievement of the National Quality Standard</w:t>
      </w:r>
    </w:p>
    <w:p w:rsidR="00F01E0E" w:rsidRDefault="007E3F1D" w:rsidP="00171F72">
      <w:pPr>
        <w:pStyle w:val="BodyText"/>
      </w:pPr>
      <w:r>
        <w:t xml:space="preserve">‘Achievement of the </w:t>
      </w:r>
      <w:r w:rsidRPr="002B1F73">
        <w:rPr>
          <w:i/>
        </w:rPr>
        <w:t>National Quality Standard</w:t>
      </w:r>
      <w:r w:rsidR="00C472EB" w:rsidRPr="002B1F73">
        <w:rPr>
          <w:i/>
        </w:rPr>
        <w:t>’</w:t>
      </w:r>
      <w:r w:rsidR="00C472EB" w:rsidRPr="00A827B8">
        <w:t xml:space="preserve"> is an indicator </w:t>
      </w:r>
      <w:r w:rsidR="00C472EB" w:rsidRPr="00C472EB">
        <w:t xml:space="preserve">of </w:t>
      </w:r>
      <w:r w:rsidR="005A2A2C">
        <w:t>g</w:t>
      </w:r>
      <w:r>
        <w:t>overnment</w:t>
      </w:r>
      <w:r w:rsidR="00C472EB" w:rsidRPr="00C472EB">
        <w:t>s</w:t>
      </w:r>
      <w:r>
        <w:t>’</w:t>
      </w:r>
      <w:r w:rsidR="00C472EB" w:rsidRPr="00C472EB">
        <w:t xml:space="preserve"> objective to ensure</w:t>
      </w:r>
      <w:r w:rsidR="000C1336">
        <w:t xml:space="preserve"> that</w:t>
      </w:r>
      <w:r>
        <w:t xml:space="preserve"> early childhood education and care services </w:t>
      </w:r>
      <w:r w:rsidR="00C472EB" w:rsidRPr="00C472EB">
        <w:t xml:space="preserve">meet the standards </w:t>
      </w:r>
      <w:r w:rsidR="00537B69">
        <w:t>deemed</w:t>
      </w:r>
      <w:r w:rsidR="00C472EB" w:rsidRPr="00C472EB">
        <w:t xml:space="preserve"> necessary to provide a safe and nurturing environment</w:t>
      </w:r>
      <w:r>
        <w:t>, and to meet</w:t>
      </w:r>
      <w:r w:rsidR="00DB6F80">
        <w:t xml:space="preserve"> the educational and developmental needs of children</w:t>
      </w:r>
      <w:r w:rsidR="00C472EB" w:rsidRPr="00C472EB">
        <w:t xml:space="preserve"> </w:t>
      </w:r>
      <w:r w:rsidR="001C521F" w:rsidRPr="0064069A">
        <w:t>(box</w:t>
      </w:r>
      <w:r w:rsidR="001C521F">
        <w:t> 3.17</w:t>
      </w:r>
      <w:r w:rsidR="001C521F" w:rsidRPr="0064069A">
        <w:t>).</w:t>
      </w:r>
    </w:p>
    <w:p w:rsidR="000777DC" w:rsidRDefault="000777DC" w:rsidP="001639AA">
      <w:pPr>
        <w:pStyle w:val="BoxSpace"/>
        <w:spacing w:before="12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777DC">
        <w:tc>
          <w:tcPr>
            <w:tcW w:w="8771" w:type="dxa"/>
            <w:tcBorders>
              <w:top w:val="single" w:sz="6" w:space="0" w:color="auto"/>
              <w:bottom w:val="nil"/>
            </w:tcBorders>
          </w:tcPr>
          <w:p w:rsidR="000777DC" w:rsidRPr="000777DC" w:rsidRDefault="000777DC" w:rsidP="00E1515B">
            <w:pPr>
              <w:pStyle w:val="BoxTitle"/>
            </w:pPr>
            <w:r>
              <w:rPr>
                <w:b w:val="0"/>
              </w:rPr>
              <w:t xml:space="preserve">Box </w:t>
            </w:r>
            <w:bookmarkStart w:id="29" w:name="OLE_LINK24"/>
            <w:r w:rsidR="00923A1C">
              <w:rPr>
                <w:b w:val="0"/>
              </w:rPr>
              <w:t>3.</w:t>
            </w:r>
            <w:bookmarkEnd w:id="29"/>
            <w:r w:rsidR="00D6543A">
              <w:rPr>
                <w:b w:val="0"/>
              </w:rPr>
              <w:t>17</w:t>
            </w:r>
            <w:r>
              <w:tab/>
            </w:r>
            <w:r w:rsidR="00B62E45">
              <w:t xml:space="preserve">Achievement of the </w:t>
            </w:r>
            <w:r w:rsidR="00B62E45" w:rsidRPr="002B1F73">
              <w:rPr>
                <w:i/>
              </w:rPr>
              <w:t>National Quality Standard</w:t>
            </w:r>
          </w:p>
        </w:tc>
      </w:tr>
      <w:tr w:rsidR="000777DC">
        <w:trPr>
          <w:cantSplit/>
        </w:trPr>
        <w:tc>
          <w:tcPr>
            <w:tcW w:w="8771" w:type="dxa"/>
            <w:tcBorders>
              <w:top w:val="nil"/>
              <w:left w:val="single" w:sz="6" w:space="0" w:color="auto"/>
              <w:bottom w:val="nil"/>
              <w:right w:val="single" w:sz="6" w:space="0" w:color="auto"/>
            </w:tcBorders>
          </w:tcPr>
          <w:p w:rsidR="00B62E45" w:rsidRPr="00975605" w:rsidRDefault="00B62E45" w:rsidP="00B62E45">
            <w:pPr>
              <w:pStyle w:val="Box"/>
            </w:pPr>
            <w:r>
              <w:t xml:space="preserve">‘Achievement of the </w:t>
            </w:r>
            <w:r w:rsidRPr="002B1F73">
              <w:rPr>
                <w:i/>
              </w:rPr>
              <w:t>National Quality Standard’</w:t>
            </w:r>
            <w:r>
              <w:t xml:space="preserve"> is defined as the proportion, for each of the seven quality areas under the </w:t>
            </w:r>
            <w:proofErr w:type="spellStart"/>
            <w:r>
              <w:t>NQF</w:t>
            </w:r>
            <w:proofErr w:type="spellEnd"/>
            <w:r>
              <w:t xml:space="preserve">, of approved services with a rating of ‘Meeting </w:t>
            </w:r>
            <w:proofErr w:type="spellStart"/>
            <w:r>
              <w:t>NQS</w:t>
            </w:r>
            <w:proofErr w:type="spellEnd"/>
            <w:r>
              <w:t xml:space="preserve">’ or ‘Exceeding </w:t>
            </w:r>
            <w:proofErr w:type="spellStart"/>
            <w:r>
              <w:t>NQS</w:t>
            </w:r>
            <w:proofErr w:type="spellEnd"/>
            <w:r>
              <w:t xml:space="preserve">’. </w:t>
            </w:r>
            <w:r w:rsidRPr="00975605">
              <w:t xml:space="preserve">There are two types of approved services under the </w:t>
            </w:r>
            <w:proofErr w:type="spellStart"/>
            <w:r w:rsidRPr="00975605">
              <w:t>NQF</w:t>
            </w:r>
            <w:proofErr w:type="spellEnd"/>
            <w:r w:rsidRPr="00975605">
              <w:t>:</w:t>
            </w:r>
          </w:p>
          <w:p w:rsidR="00B62E45" w:rsidRPr="00975605" w:rsidRDefault="00B62E45" w:rsidP="00751B02">
            <w:pPr>
              <w:pStyle w:val="BoxListBullet"/>
            </w:pPr>
            <w:r w:rsidRPr="00975605">
              <w:t>Centre</w:t>
            </w:r>
            <w:r w:rsidR="00172534">
              <w:noBreakHyphen/>
            </w:r>
            <w:r w:rsidRPr="00975605">
              <w:t xml:space="preserve">based </w:t>
            </w:r>
            <w:r w:rsidR="004E60DD">
              <w:t xml:space="preserve">care </w:t>
            </w:r>
            <w:r w:rsidRPr="00975605">
              <w:t xml:space="preserve">service: </w:t>
            </w:r>
            <w:r w:rsidR="004E60DD">
              <w:t xml:space="preserve">an education and care service other than a family day care service. This </w:t>
            </w:r>
            <w:r w:rsidRPr="00975605">
              <w:t xml:space="preserve">includes </w:t>
            </w:r>
            <w:r w:rsidR="00B20E22">
              <w:t xml:space="preserve">most </w:t>
            </w:r>
            <w:r w:rsidRPr="00975605">
              <w:t>long day care, preschool and outside school hours care services</w:t>
            </w:r>
            <w:r w:rsidR="004E60DD">
              <w:t xml:space="preserve"> that are delivered at a centre</w:t>
            </w:r>
          </w:p>
          <w:p w:rsidR="00B62E45" w:rsidRDefault="00B62E45" w:rsidP="00751B02">
            <w:pPr>
              <w:pStyle w:val="BoxListBullet"/>
            </w:pPr>
            <w:r w:rsidRPr="00975605">
              <w:t xml:space="preserve">Family day care service: </w:t>
            </w:r>
            <w:r w:rsidR="00B20E22">
              <w:t xml:space="preserve">an education and care service delivered through the use of two or more educators to provide education and care for children in residences, whether or not the service also provides education and care to children at a place other than the residence. </w:t>
            </w:r>
          </w:p>
          <w:p w:rsidR="00B62E45" w:rsidRPr="009B5CC5" w:rsidRDefault="009B5CC5" w:rsidP="00B62E45">
            <w:pPr>
              <w:pStyle w:val="Box"/>
            </w:pPr>
            <w:r w:rsidRPr="009B5CC5">
              <w:t xml:space="preserve">The </w:t>
            </w:r>
            <w:r>
              <w:t xml:space="preserve">seven </w:t>
            </w:r>
            <w:r w:rsidR="00B62E45" w:rsidRPr="009B5CC5">
              <w:t xml:space="preserve">measures reported are: </w:t>
            </w:r>
          </w:p>
          <w:p w:rsidR="00B62E45" w:rsidRPr="009B5CC5" w:rsidRDefault="00B62E45" w:rsidP="00751B02">
            <w:pPr>
              <w:pStyle w:val="BoxListBullet"/>
              <w:shd w:val="clear" w:color="auto" w:fill="FFFFFF" w:themeFill="background1"/>
            </w:pPr>
            <w:r w:rsidRPr="009B5CC5">
              <w:t xml:space="preserve">Quality Area 1 </w:t>
            </w:r>
            <w:r w:rsidR="00172534">
              <w:noBreakHyphen/>
            </w:r>
            <w:r w:rsidRPr="009B5CC5">
              <w:t xml:space="preserve"> Educational program and practice</w:t>
            </w:r>
          </w:p>
          <w:p w:rsidR="00B62E45" w:rsidRPr="009B5CC5" w:rsidRDefault="00B62E45" w:rsidP="00751B02">
            <w:pPr>
              <w:pStyle w:val="BoxListBullet"/>
              <w:shd w:val="clear" w:color="auto" w:fill="FFFFFF" w:themeFill="background1"/>
            </w:pPr>
            <w:r w:rsidRPr="009B5CC5">
              <w:t xml:space="preserve">Quality Area 2 </w:t>
            </w:r>
            <w:r w:rsidR="00172534">
              <w:noBreakHyphen/>
            </w:r>
            <w:r w:rsidRPr="009B5CC5">
              <w:t xml:space="preserve"> Children’s health and safety </w:t>
            </w:r>
          </w:p>
          <w:p w:rsidR="00B62E45" w:rsidRPr="009B5CC5" w:rsidRDefault="00B62E45" w:rsidP="00751B02">
            <w:pPr>
              <w:pStyle w:val="BoxListBullet"/>
              <w:shd w:val="clear" w:color="auto" w:fill="FFFFFF" w:themeFill="background1"/>
            </w:pPr>
            <w:r w:rsidRPr="009B5CC5">
              <w:t xml:space="preserve">Quality Area 3 </w:t>
            </w:r>
            <w:r w:rsidR="00172534">
              <w:noBreakHyphen/>
            </w:r>
            <w:r w:rsidRPr="009B5CC5">
              <w:t xml:space="preserve"> Physical environment</w:t>
            </w:r>
          </w:p>
          <w:p w:rsidR="00B62E45" w:rsidRPr="009B5CC5" w:rsidRDefault="00B62E45" w:rsidP="00751B02">
            <w:pPr>
              <w:pStyle w:val="BoxListBullet"/>
              <w:shd w:val="clear" w:color="auto" w:fill="FFFFFF" w:themeFill="background1"/>
            </w:pPr>
            <w:r w:rsidRPr="009B5CC5">
              <w:t xml:space="preserve">Quality Area 4 </w:t>
            </w:r>
            <w:r w:rsidR="00172534">
              <w:noBreakHyphen/>
            </w:r>
            <w:r w:rsidRPr="009B5CC5">
              <w:t xml:space="preserve"> Staffing </w:t>
            </w:r>
            <w:r w:rsidRPr="009B5CC5">
              <w:rPr>
                <w:shd w:val="clear" w:color="auto" w:fill="FFFFFF" w:themeFill="background1"/>
              </w:rPr>
              <w:t xml:space="preserve">arrangements </w:t>
            </w:r>
          </w:p>
          <w:p w:rsidR="00B62E45" w:rsidRPr="009B5CC5" w:rsidRDefault="00B62E45" w:rsidP="00751B02">
            <w:pPr>
              <w:pStyle w:val="BoxListBullet"/>
            </w:pPr>
            <w:r w:rsidRPr="009B5CC5">
              <w:t xml:space="preserve">Quality Area 5 </w:t>
            </w:r>
            <w:r w:rsidR="00172534">
              <w:noBreakHyphen/>
            </w:r>
            <w:r w:rsidRPr="009B5CC5">
              <w:t xml:space="preserve"> Relationships with children</w:t>
            </w:r>
          </w:p>
          <w:p w:rsidR="00B62E45" w:rsidRPr="009B5CC5" w:rsidRDefault="00B62E45" w:rsidP="00751B02">
            <w:pPr>
              <w:pStyle w:val="BoxListBullet"/>
            </w:pPr>
            <w:r w:rsidRPr="009B5CC5">
              <w:t xml:space="preserve">Quality Area 6 </w:t>
            </w:r>
            <w:r w:rsidR="00172534">
              <w:noBreakHyphen/>
            </w:r>
            <w:r w:rsidRPr="009B5CC5">
              <w:t xml:space="preserve"> Partnerships with families and communities</w:t>
            </w:r>
          </w:p>
          <w:p w:rsidR="00B62E45" w:rsidRPr="009B5CC5" w:rsidRDefault="00B62E45" w:rsidP="00751B02">
            <w:pPr>
              <w:pStyle w:val="BoxListBullet"/>
            </w:pPr>
            <w:r w:rsidRPr="009B5CC5">
              <w:t xml:space="preserve">Quality Area 7 </w:t>
            </w:r>
            <w:r w:rsidR="00172534">
              <w:noBreakHyphen/>
            </w:r>
            <w:r w:rsidRPr="009B5CC5">
              <w:t xml:space="preserve"> Leadership and service management.</w:t>
            </w:r>
          </w:p>
          <w:p w:rsidR="00B62E45" w:rsidRDefault="00B62E45" w:rsidP="00B62E45">
            <w:pPr>
              <w:pStyle w:val="Box"/>
            </w:pPr>
            <w:r w:rsidRPr="00975605">
              <w:t>To determine a rating</w:t>
            </w:r>
            <w:r>
              <w:t xml:space="preserve"> for each quality area within a service</w:t>
            </w:r>
            <w:r w:rsidRPr="00975605">
              <w:t>, firstly all 58 elements</w:t>
            </w:r>
            <w:r w:rsidR="00752A94">
              <w:t>, located across the 18 standards,</w:t>
            </w:r>
            <w:r w:rsidRPr="00975605">
              <w:t xml:space="preserve"> are assessed as being ‘met’ or ‘not met’. If all elements in a standard are met, the standard will</w:t>
            </w:r>
            <w:r>
              <w:t xml:space="preserve"> be rated as ‘Meeting </w:t>
            </w:r>
            <w:proofErr w:type="spellStart"/>
            <w:r>
              <w:t>NQS</w:t>
            </w:r>
            <w:proofErr w:type="spellEnd"/>
            <w:r>
              <w:t>’ or ‘E</w:t>
            </w:r>
            <w:r w:rsidRPr="00975605">
              <w:t>xce</w:t>
            </w:r>
            <w:r>
              <w:t xml:space="preserve">eding </w:t>
            </w:r>
            <w:proofErr w:type="spellStart"/>
            <w:r>
              <w:t>NQS</w:t>
            </w:r>
            <w:proofErr w:type="spellEnd"/>
            <w:r>
              <w:t xml:space="preserve">’. Each quality </w:t>
            </w:r>
            <w:r w:rsidRPr="00975605">
              <w:t>area is then rated by calculating the rating of all of the standards within th</w:t>
            </w:r>
            <w:r>
              <w:t>at</w:t>
            </w:r>
            <w:r w:rsidRPr="00975605">
              <w:t xml:space="preserve"> quality area. If all standards are met, the q</w:t>
            </w:r>
            <w:r>
              <w:t>uality area will be rated as ‘Me</w:t>
            </w:r>
            <w:r w:rsidRPr="00975605">
              <w:t xml:space="preserve">eting </w:t>
            </w:r>
            <w:proofErr w:type="spellStart"/>
            <w:r w:rsidRPr="00975605">
              <w:t>NQS</w:t>
            </w:r>
            <w:proofErr w:type="spellEnd"/>
            <w:r w:rsidRPr="00975605">
              <w:t>’. If at least t</w:t>
            </w:r>
            <w:r>
              <w:t>wo of the standards are rated ‘E</w:t>
            </w:r>
            <w:r w:rsidRPr="00975605">
              <w:t xml:space="preserve">xceeding </w:t>
            </w:r>
            <w:proofErr w:type="spellStart"/>
            <w:r w:rsidRPr="00975605">
              <w:t>NQS</w:t>
            </w:r>
            <w:proofErr w:type="spellEnd"/>
            <w:r w:rsidRPr="00975605">
              <w:t>’ and all other standards are met, the quality a</w:t>
            </w:r>
            <w:r>
              <w:t>rea will be rated ‘E</w:t>
            </w:r>
            <w:r w:rsidRPr="00975605">
              <w:t xml:space="preserve">xceeding </w:t>
            </w:r>
            <w:proofErr w:type="spellStart"/>
            <w:r w:rsidRPr="00975605">
              <w:t>NQS</w:t>
            </w:r>
            <w:proofErr w:type="spellEnd"/>
            <w:r w:rsidRPr="00975605">
              <w:t>’</w:t>
            </w:r>
            <w:r>
              <w:t>.</w:t>
            </w:r>
            <w:r w:rsidRPr="00975605">
              <w:t xml:space="preserve"> A large numbe</w:t>
            </w:r>
            <w:r w:rsidR="002A0D5C">
              <w:t>r of services have a rating of ‘Working T</w:t>
            </w:r>
            <w:r w:rsidRPr="00975605">
              <w:t xml:space="preserve">owards </w:t>
            </w:r>
            <w:proofErr w:type="spellStart"/>
            <w:r w:rsidRPr="00975605">
              <w:t>NQS</w:t>
            </w:r>
            <w:proofErr w:type="spellEnd"/>
            <w:r w:rsidR="002A0D5C">
              <w:t>’</w:t>
            </w:r>
            <w:r w:rsidRPr="00975605">
              <w:t xml:space="preserve"> as the </w:t>
            </w:r>
            <w:proofErr w:type="spellStart"/>
            <w:r w:rsidRPr="00975605">
              <w:t>NQS</w:t>
            </w:r>
            <w:proofErr w:type="spellEnd"/>
            <w:r w:rsidRPr="00975605">
              <w:t xml:space="preserve"> sets a high</w:t>
            </w:r>
            <w:r>
              <w:t>er</w:t>
            </w:r>
            <w:r w:rsidRPr="00975605">
              <w:t xml:space="preserve"> benchmark for all children’s education and care services across Australia. Services are expected to work towards meeting the higher benchmark.</w:t>
            </w:r>
          </w:p>
          <w:p w:rsidR="001C521F" w:rsidRDefault="00B62E45" w:rsidP="00B62E45">
            <w:pPr>
              <w:pStyle w:val="Box"/>
            </w:pPr>
            <w:r w:rsidRPr="00A522AC">
              <w:t xml:space="preserve">A high proportion of services meeting or exceeding </w:t>
            </w:r>
            <w:proofErr w:type="spellStart"/>
            <w:r w:rsidRPr="00A522AC">
              <w:t>NQ</w:t>
            </w:r>
            <w:r>
              <w:t>S</w:t>
            </w:r>
            <w:proofErr w:type="spellEnd"/>
            <w:r>
              <w:t xml:space="preserve"> suggests a high quality of service to children and parents across Australia. </w:t>
            </w:r>
          </w:p>
          <w:p w:rsidR="00B62E45" w:rsidRPr="00B62E45" w:rsidRDefault="00A55187" w:rsidP="00B62E45">
            <w:pPr>
              <w:pStyle w:val="Box"/>
            </w:pPr>
            <w:r>
              <w:t>Data reported for these measures</w:t>
            </w:r>
            <w:r w:rsidR="00B62E45" w:rsidRPr="00B62E45">
              <w:t xml:space="preserve"> are:</w:t>
            </w:r>
          </w:p>
          <w:p w:rsidR="00B62E45" w:rsidRPr="00B62E45" w:rsidRDefault="00E53376" w:rsidP="00751B02">
            <w:pPr>
              <w:pStyle w:val="BoxListBullet"/>
            </w:pPr>
            <w:r>
              <w:t>c</w:t>
            </w:r>
            <w:r w:rsidR="00B62E45" w:rsidRPr="00B62E45">
              <w:t>omparable (subject to caveats) ac</w:t>
            </w:r>
            <w:r w:rsidR="00724C26">
              <w:t>ross jurisdictions</w:t>
            </w:r>
          </w:p>
          <w:p w:rsidR="00B62E45" w:rsidRDefault="00E53376" w:rsidP="00751B02">
            <w:pPr>
              <w:pStyle w:val="BoxListBullet"/>
            </w:pPr>
            <w:r>
              <w:t>c</w:t>
            </w:r>
            <w:r w:rsidR="00B62E45" w:rsidRPr="00B62E45">
              <w:t xml:space="preserve">omplete </w:t>
            </w:r>
            <w:r w:rsidR="003907A5">
              <w:t xml:space="preserve">(subject to caveats) </w:t>
            </w:r>
            <w:r w:rsidR="00B62E45" w:rsidRPr="00B62E45">
              <w:t>for the current reporting period. All required data as at 30</w:t>
            </w:r>
            <w:r w:rsidR="00172534">
              <w:t> </w:t>
            </w:r>
            <w:r w:rsidR="00B62E45" w:rsidRPr="00B62E45">
              <w:t>June 2013 are available for all jur</w:t>
            </w:r>
            <w:r w:rsidR="004A020D">
              <w:t>isdictions</w:t>
            </w:r>
            <w:r w:rsidR="00B62E45" w:rsidRPr="00B62E45">
              <w:t>.</w:t>
            </w:r>
          </w:p>
          <w:p w:rsidR="00724C26" w:rsidRDefault="001639AA" w:rsidP="00724C26">
            <w:pPr>
              <w:pStyle w:val="Box"/>
            </w:pPr>
            <w:r>
              <w:rPr>
                <w:rFonts w:cs="Arial"/>
                <w:szCs w:val="26"/>
              </w:rPr>
              <w:t>D</w:t>
            </w:r>
            <w:r w:rsidR="00724C26">
              <w:rPr>
                <w:rFonts w:cs="Arial"/>
                <w:szCs w:val="26"/>
              </w:rPr>
              <w:t xml:space="preserve">ata quality </w:t>
            </w:r>
            <w:r>
              <w:rPr>
                <w:rFonts w:cs="Arial"/>
                <w:szCs w:val="26"/>
              </w:rPr>
              <w:t xml:space="preserve">information </w:t>
            </w:r>
            <w:r w:rsidR="00BA1373">
              <w:rPr>
                <w:rFonts w:cs="Arial"/>
                <w:szCs w:val="26"/>
              </w:rPr>
              <w:t>for this indicator</w:t>
            </w:r>
            <w:r w:rsidR="00724C26" w:rsidRPr="00BC652D">
              <w:rPr>
                <w:rFonts w:cs="Arial"/>
                <w:szCs w:val="26"/>
              </w:rPr>
              <w:t xml:space="preserve"> is at </w:t>
            </w:r>
            <w:proofErr w:type="spellStart"/>
            <w:r w:rsidR="00724C26" w:rsidRPr="00BC652D">
              <w:rPr>
                <w:rFonts w:cs="Arial"/>
                <w:szCs w:val="26"/>
              </w:rPr>
              <w:t>www.pc.gov.au</w:t>
            </w:r>
            <w:proofErr w:type="spellEnd"/>
            <w:r w:rsidR="00724C26" w:rsidRPr="00BC652D">
              <w:rPr>
                <w:rFonts w:cs="Arial"/>
                <w:szCs w:val="26"/>
              </w:rPr>
              <w:t>/</w:t>
            </w:r>
            <w:proofErr w:type="spellStart"/>
            <w:r w:rsidR="00724C26" w:rsidRPr="00BC652D">
              <w:rPr>
                <w:rFonts w:cs="Arial"/>
                <w:szCs w:val="26"/>
              </w:rPr>
              <w:t>gsp</w:t>
            </w:r>
            <w:proofErr w:type="spellEnd"/>
            <w:r w:rsidR="00724C26" w:rsidRPr="00BC652D">
              <w:rPr>
                <w:rFonts w:cs="Arial"/>
                <w:szCs w:val="26"/>
              </w:rPr>
              <w:t>/reports/</w:t>
            </w:r>
            <w:proofErr w:type="spellStart"/>
            <w:r w:rsidR="00724C26" w:rsidRPr="00BC652D">
              <w:rPr>
                <w:rFonts w:cs="Arial"/>
                <w:szCs w:val="26"/>
              </w:rPr>
              <w:t>rogs</w:t>
            </w:r>
            <w:proofErr w:type="spellEnd"/>
            <w:r w:rsidR="00724C26" w:rsidRPr="00BC652D">
              <w:rPr>
                <w:rFonts w:cs="Arial"/>
                <w:szCs w:val="26"/>
              </w:rPr>
              <w:t>/2014.</w:t>
            </w:r>
          </w:p>
          <w:p w:rsidR="00B5040B" w:rsidRDefault="00B5040B" w:rsidP="00B5040B">
            <w:pPr>
              <w:pStyle w:val="BoxSource"/>
            </w:pPr>
            <w:r w:rsidRPr="00A46E44">
              <w:t xml:space="preserve">Source: </w:t>
            </w:r>
            <w:proofErr w:type="spellStart"/>
            <w:r w:rsidRPr="00A46E44">
              <w:t>ACECQA</w:t>
            </w:r>
            <w:proofErr w:type="spellEnd"/>
            <w:r w:rsidRPr="00A46E44">
              <w:t xml:space="preserve"> (2013).</w:t>
            </w:r>
          </w:p>
        </w:tc>
      </w:tr>
      <w:tr w:rsidR="000777DC">
        <w:trPr>
          <w:cantSplit/>
        </w:trPr>
        <w:tc>
          <w:tcPr>
            <w:tcW w:w="8771" w:type="dxa"/>
            <w:tcBorders>
              <w:top w:val="nil"/>
              <w:left w:val="single" w:sz="6" w:space="0" w:color="auto"/>
              <w:bottom w:val="single" w:sz="6" w:space="0" w:color="auto"/>
              <w:right w:val="single" w:sz="6" w:space="0" w:color="auto"/>
            </w:tcBorders>
          </w:tcPr>
          <w:p w:rsidR="000777DC" w:rsidRDefault="000777DC" w:rsidP="00C3586E">
            <w:pPr>
              <w:pStyle w:val="Box"/>
              <w:spacing w:before="0" w:line="120" w:lineRule="exact"/>
            </w:pPr>
          </w:p>
        </w:tc>
      </w:tr>
    </w:tbl>
    <w:p w:rsidR="009E33D6" w:rsidRDefault="009E33D6" w:rsidP="009E33D6">
      <w:pPr>
        <w:pStyle w:val="BodyText"/>
      </w:pPr>
      <w:r w:rsidRPr="008F396A">
        <w:t xml:space="preserve">Data on </w:t>
      </w:r>
      <w:r>
        <w:t xml:space="preserve">the numbers and proportions of </w:t>
      </w:r>
      <w:r w:rsidRPr="008F396A">
        <w:t xml:space="preserve">approved services with a quality rating by service type are provided in </w:t>
      </w:r>
      <w:r w:rsidR="00086C53">
        <w:t>table</w:t>
      </w:r>
      <w:r w:rsidR="00172534">
        <w:t> </w:t>
      </w:r>
      <w:r w:rsidR="00086C53">
        <w:t>3.9</w:t>
      </w:r>
      <w:r w:rsidRPr="004369F9">
        <w:t>.</w:t>
      </w:r>
      <w:r w:rsidRPr="008F396A">
        <w:t xml:space="preserve"> </w:t>
      </w:r>
      <w:r w:rsidR="007069F4" w:rsidRPr="007069F4">
        <w:t>Nationally, 19.3</w:t>
      </w:r>
      <w:r w:rsidRPr="007069F4">
        <w:t xml:space="preserve"> per cent of services had </w:t>
      </w:r>
      <w:r w:rsidRPr="007069F4">
        <w:lastRenderedPageBreak/>
        <w:t>received a quality rating at 30</w:t>
      </w:r>
      <w:r w:rsidR="00172534">
        <w:t> </w:t>
      </w:r>
      <w:r w:rsidRPr="007069F4">
        <w:t xml:space="preserve">June 2013. </w:t>
      </w:r>
      <w:r w:rsidRPr="008F396A">
        <w:t>The majority of services with a quality rating were centre</w:t>
      </w:r>
      <w:r w:rsidR="00172534">
        <w:noBreakHyphen/>
      </w:r>
      <w:r w:rsidRPr="008F396A">
        <w:t xml:space="preserve">based </w:t>
      </w:r>
      <w:r w:rsidR="004E60DD">
        <w:t xml:space="preserve">care </w:t>
      </w:r>
      <w:r w:rsidRPr="008F396A">
        <w:t>services. However, a greater proportion of family</w:t>
      </w:r>
      <w:r w:rsidR="00785224">
        <w:t xml:space="preserve"> day care services were assessed and </w:t>
      </w:r>
      <w:r w:rsidRPr="008F396A">
        <w:t>rated by 30</w:t>
      </w:r>
      <w:r w:rsidR="00172534">
        <w:t> </w:t>
      </w:r>
      <w:r w:rsidRPr="008F396A">
        <w:t>June 2013 than ce</w:t>
      </w:r>
      <w:r w:rsidR="00C54340">
        <w:t>ntre</w:t>
      </w:r>
      <w:r w:rsidR="00172534">
        <w:noBreakHyphen/>
      </w:r>
      <w:r w:rsidR="00C54340">
        <w:t xml:space="preserve">based </w:t>
      </w:r>
      <w:r w:rsidR="004E60DD">
        <w:t xml:space="preserve">care </w:t>
      </w:r>
      <w:r w:rsidR="00C54340">
        <w:t>services. State and T</w:t>
      </w:r>
      <w:r w:rsidRPr="008F396A">
        <w:t xml:space="preserve">erritory </w:t>
      </w:r>
      <w:r w:rsidR="009E3534">
        <w:t>d</w:t>
      </w:r>
      <w:r w:rsidR="00916691">
        <w:t>ata are presented in table</w:t>
      </w:r>
      <w:r w:rsidR="00172534">
        <w:t> </w:t>
      </w:r>
      <w:proofErr w:type="spellStart"/>
      <w:r w:rsidR="00916691">
        <w:t>3A.41</w:t>
      </w:r>
      <w:proofErr w:type="spellEnd"/>
      <w:r w:rsidRPr="008F396A">
        <w:t>.</w:t>
      </w:r>
    </w:p>
    <w:p w:rsidR="009E3534" w:rsidRPr="008B42D1" w:rsidRDefault="009E3534" w:rsidP="009E3534">
      <w:pPr>
        <w:pStyle w:val="TableTitle"/>
        <w:rPr>
          <w:rStyle w:val="BoxChar"/>
        </w:rPr>
      </w:pPr>
      <w:r w:rsidRPr="004369F9">
        <w:rPr>
          <w:b w:val="0"/>
        </w:rPr>
        <w:t>Table 3.</w:t>
      </w:r>
      <w:r w:rsidR="00086C53">
        <w:rPr>
          <w:b w:val="0"/>
        </w:rPr>
        <w:t>9</w:t>
      </w:r>
      <w:r>
        <w:tab/>
        <w:t>Approved services with a quality rating, by service type, Australia, June 2013</w:t>
      </w:r>
      <w:r>
        <w:rPr>
          <w:rStyle w:val="NoteLabel"/>
          <w:b/>
        </w:rPr>
        <w:t>a, b</w:t>
      </w:r>
      <w:r w:rsidR="006D46B4">
        <w:rPr>
          <w:rStyle w:val="NoteLabel"/>
          <w:b/>
        </w:rPr>
        <w:t xml:space="preserve"> </w:t>
      </w:r>
    </w:p>
    <w:tbl>
      <w:tblPr>
        <w:tblW w:w="5000" w:type="pct"/>
        <w:tblLayout w:type="fixed"/>
        <w:tblCellMar>
          <w:left w:w="0" w:type="dxa"/>
          <w:right w:w="0" w:type="dxa"/>
        </w:tblCellMar>
        <w:tblLook w:val="0000" w:firstRow="0" w:lastRow="0" w:firstColumn="0" w:lastColumn="0" w:noHBand="0" w:noVBand="0"/>
      </w:tblPr>
      <w:tblGrid>
        <w:gridCol w:w="2198"/>
        <w:gridCol w:w="2197"/>
        <w:gridCol w:w="2197"/>
        <w:gridCol w:w="2197"/>
      </w:tblGrid>
      <w:tr w:rsidR="009E3534" w:rsidTr="00FB09A6">
        <w:tc>
          <w:tcPr>
            <w:tcW w:w="1250" w:type="pct"/>
            <w:tcBorders>
              <w:top w:val="single" w:sz="6" w:space="0" w:color="auto"/>
              <w:bottom w:val="single" w:sz="6" w:space="0" w:color="auto"/>
            </w:tcBorders>
            <w:shd w:val="clear" w:color="auto" w:fill="auto"/>
          </w:tcPr>
          <w:p w:rsidR="009E3534" w:rsidRDefault="009E3534" w:rsidP="00FB09A6">
            <w:pPr>
              <w:pStyle w:val="TableColumnHeading"/>
              <w:jc w:val="left"/>
            </w:pPr>
          </w:p>
        </w:tc>
        <w:tc>
          <w:tcPr>
            <w:tcW w:w="1250" w:type="pct"/>
            <w:tcBorders>
              <w:top w:val="single" w:sz="6" w:space="0" w:color="auto"/>
              <w:bottom w:val="single" w:sz="6" w:space="0" w:color="auto"/>
            </w:tcBorders>
            <w:shd w:val="clear" w:color="auto" w:fill="auto"/>
          </w:tcPr>
          <w:p w:rsidR="009E3534" w:rsidRDefault="009E3534" w:rsidP="00FB09A6">
            <w:pPr>
              <w:pStyle w:val="TableColumnHeading"/>
            </w:pPr>
            <w:r>
              <w:t xml:space="preserve">Number of </w:t>
            </w:r>
            <w:r w:rsidR="00C54340">
              <w:t xml:space="preserve">approved </w:t>
            </w:r>
            <w:r>
              <w:t xml:space="preserve">services with a </w:t>
            </w:r>
            <w:r w:rsidR="00C54340">
              <w:br/>
            </w:r>
            <w:r>
              <w:t>quality rating</w:t>
            </w:r>
          </w:p>
        </w:tc>
        <w:tc>
          <w:tcPr>
            <w:tcW w:w="1250" w:type="pct"/>
            <w:tcBorders>
              <w:top w:val="single" w:sz="6" w:space="0" w:color="auto"/>
              <w:bottom w:val="single" w:sz="6" w:space="0" w:color="auto"/>
            </w:tcBorders>
            <w:shd w:val="clear" w:color="auto" w:fill="auto"/>
          </w:tcPr>
          <w:p w:rsidR="009E3534" w:rsidRDefault="009E3534" w:rsidP="00FB09A6">
            <w:pPr>
              <w:pStyle w:val="TableColumnHeading"/>
            </w:pPr>
            <w:r>
              <w:t xml:space="preserve">Number of </w:t>
            </w:r>
            <w:r w:rsidR="00C54340">
              <w:t xml:space="preserve">approved </w:t>
            </w:r>
            <w:r>
              <w:t>services</w:t>
            </w:r>
          </w:p>
        </w:tc>
        <w:tc>
          <w:tcPr>
            <w:tcW w:w="1250" w:type="pct"/>
            <w:tcBorders>
              <w:top w:val="single" w:sz="6" w:space="0" w:color="auto"/>
              <w:bottom w:val="single" w:sz="6" w:space="0" w:color="auto"/>
            </w:tcBorders>
            <w:shd w:val="clear" w:color="auto" w:fill="auto"/>
          </w:tcPr>
          <w:p w:rsidR="009E3534" w:rsidRDefault="009E3534" w:rsidP="00FB09A6">
            <w:pPr>
              <w:pStyle w:val="TableColumnHeading"/>
              <w:ind w:right="28"/>
            </w:pPr>
            <w:r>
              <w:t xml:space="preserve">Proportion of </w:t>
            </w:r>
            <w:r w:rsidR="00C54340">
              <w:t xml:space="preserve">approved </w:t>
            </w:r>
            <w:r>
              <w:t xml:space="preserve">services with a </w:t>
            </w:r>
            <w:r w:rsidR="00C54340">
              <w:br/>
            </w:r>
            <w:r>
              <w:t>quality rating</w:t>
            </w:r>
          </w:p>
        </w:tc>
      </w:tr>
      <w:tr w:rsidR="009E3534" w:rsidTr="00FB09A6">
        <w:tc>
          <w:tcPr>
            <w:tcW w:w="1250" w:type="pct"/>
            <w:tcBorders>
              <w:top w:val="single" w:sz="6" w:space="0" w:color="auto"/>
            </w:tcBorders>
          </w:tcPr>
          <w:p w:rsidR="009E3534" w:rsidRDefault="009E3534" w:rsidP="00FB09A6">
            <w:pPr>
              <w:pStyle w:val="TableUnitsRow"/>
              <w:jc w:val="left"/>
            </w:pPr>
            <w:r>
              <w:t>Centre</w:t>
            </w:r>
            <w:r w:rsidR="00172534">
              <w:noBreakHyphen/>
            </w:r>
            <w:r>
              <w:t>based care</w:t>
            </w:r>
          </w:p>
        </w:tc>
        <w:tc>
          <w:tcPr>
            <w:tcW w:w="1250" w:type="pct"/>
            <w:tcBorders>
              <w:top w:val="single" w:sz="6" w:space="0" w:color="auto"/>
            </w:tcBorders>
          </w:tcPr>
          <w:p w:rsidR="009E3534" w:rsidRDefault="009E3534" w:rsidP="00FB09A6">
            <w:pPr>
              <w:pStyle w:val="TableUnitsRow"/>
            </w:pPr>
            <w:r>
              <w:t>2 439</w:t>
            </w:r>
          </w:p>
        </w:tc>
        <w:tc>
          <w:tcPr>
            <w:tcW w:w="1250" w:type="pct"/>
            <w:tcBorders>
              <w:top w:val="single" w:sz="6" w:space="0" w:color="auto"/>
            </w:tcBorders>
          </w:tcPr>
          <w:p w:rsidR="009E3534" w:rsidRDefault="009E3534" w:rsidP="00FB09A6">
            <w:pPr>
              <w:pStyle w:val="TableUnitsRow"/>
            </w:pPr>
            <w:r>
              <w:t>12 740</w:t>
            </w:r>
          </w:p>
        </w:tc>
        <w:tc>
          <w:tcPr>
            <w:tcW w:w="1250" w:type="pct"/>
            <w:tcBorders>
              <w:top w:val="single" w:sz="6" w:space="0" w:color="auto"/>
            </w:tcBorders>
          </w:tcPr>
          <w:p w:rsidR="009E3534" w:rsidRDefault="009E3534" w:rsidP="00FB09A6">
            <w:pPr>
              <w:pStyle w:val="TableUnitsRow"/>
              <w:ind w:right="28"/>
            </w:pPr>
            <w:r>
              <w:t>19.1</w:t>
            </w:r>
          </w:p>
        </w:tc>
      </w:tr>
      <w:tr w:rsidR="009E3534" w:rsidTr="009E3534">
        <w:trPr>
          <w:trHeight w:val="80"/>
        </w:trPr>
        <w:tc>
          <w:tcPr>
            <w:tcW w:w="1250" w:type="pct"/>
          </w:tcPr>
          <w:p w:rsidR="009E3534" w:rsidRDefault="009E3534" w:rsidP="00FB09A6">
            <w:pPr>
              <w:pStyle w:val="TableBodyText"/>
              <w:jc w:val="left"/>
            </w:pPr>
            <w:r>
              <w:t>Family day care</w:t>
            </w:r>
          </w:p>
        </w:tc>
        <w:tc>
          <w:tcPr>
            <w:tcW w:w="1250" w:type="pct"/>
          </w:tcPr>
          <w:p w:rsidR="009E3534" w:rsidRDefault="009E3534" w:rsidP="00FB09A6">
            <w:pPr>
              <w:pStyle w:val="TableBodyText"/>
            </w:pPr>
            <w:r>
              <w:t>128</w:t>
            </w:r>
          </w:p>
        </w:tc>
        <w:tc>
          <w:tcPr>
            <w:tcW w:w="1250" w:type="pct"/>
          </w:tcPr>
          <w:p w:rsidR="009E3534" w:rsidRDefault="009E3534" w:rsidP="00FB09A6">
            <w:pPr>
              <w:pStyle w:val="TableBodyText"/>
            </w:pPr>
            <w:r>
              <w:t>544</w:t>
            </w:r>
          </w:p>
        </w:tc>
        <w:tc>
          <w:tcPr>
            <w:tcW w:w="1250" w:type="pct"/>
          </w:tcPr>
          <w:p w:rsidR="009E3534" w:rsidRDefault="009E3534" w:rsidP="00FB09A6">
            <w:pPr>
              <w:pStyle w:val="TableBodyText"/>
              <w:ind w:right="28"/>
            </w:pPr>
            <w:r>
              <w:t>23.5</w:t>
            </w:r>
          </w:p>
        </w:tc>
      </w:tr>
      <w:tr w:rsidR="009E3534" w:rsidTr="00FB09A6">
        <w:tc>
          <w:tcPr>
            <w:tcW w:w="1250" w:type="pct"/>
            <w:tcBorders>
              <w:bottom w:val="single" w:sz="6" w:space="0" w:color="auto"/>
            </w:tcBorders>
            <w:shd w:val="clear" w:color="auto" w:fill="auto"/>
          </w:tcPr>
          <w:p w:rsidR="009E3534" w:rsidRPr="00B3708F" w:rsidRDefault="009E3534" w:rsidP="00FB09A6">
            <w:pPr>
              <w:pStyle w:val="TableBodyText"/>
              <w:jc w:val="left"/>
              <w:rPr>
                <w:b/>
              </w:rPr>
            </w:pPr>
            <w:r w:rsidRPr="00B3708F">
              <w:rPr>
                <w:b/>
              </w:rPr>
              <w:t>Total</w:t>
            </w:r>
          </w:p>
        </w:tc>
        <w:tc>
          <w:tcPr>
            <w:tcW w:w="1250" w:type="pct"/>
            <w:tcBorders>
              <w:bottom w:val="single" w:sz="6" w:space="0" w:color="auto"/>
            </w:tcBorders>
            <w:shd w:val="clear" w:color="auto" w:fill="auto"/>
          </w:tcPr>
          <w:p w:rsidR="009E3534" w:rsidRPr="003A7A88" w:rsidRDefault="009E3534" w:rsidP="00FB09A6">
            <w:pPr>
              <w:pStyle w:val="TableBodyText"/>
              <w:rPr>
                <w:b/>
              </w:rPr>
            </w:pPr>
            <w:r w:rsidRPr="003A7A88">
              <w:rPr>
                <w:b/>
              </w:rPr>
              <w:t>2 567</w:t>
            </w:r>
          </w:p>
        </w:tc>
        <w:tc>
          <w:tcPr>
            <w:tcW w:w="1250" w:type="pct"/>
            <w:tcBorders>
              <w:bottom w:val="single" w:sz="6" w:space="0" w:color="auto"/>
            </w:tcBorders>
            <w:shd w:val="clear" w:color="auto" w:fill="auto"/>
          </w:tcPr>
          <w:p w:rsidR="009E3534" w:rsidRPr="003A7A88" w:rsidRDefault="009E3534" w:rsidP="00FB09A6">
            <w:pPr>
              <w:pStyle w:val="TableBodyText"/>
              <w:rPr>
                <w:b/>
              </w:rPr>
            </w:pPr>
            <w:r w:rsidRPr="003A7A88">
              <w:rPr>
                <w:b/>
              </w:rPr>
              <w:t>13 284</w:t>
            </w:r>
          </w:p>
        </w:tc>
        <w:tc>
          <w:tcPr>
            <w:tcW w:w="1250" w:type="pct"/>
            <w:tcBorders>
              <w:bottom w:val="single" w:sz="6" w:space="0" w:color="auto"/>
            </w:tcBorders>
            <w:shd w:val="clear" w:color="auto" w:fill="auto"/>
          </w:tcPr>
          <w:p w:rsidR="009E3534" w:rsidRPr="003A7A88" w:rsidRDefault="009E3534" w:rsidP="00FB09A6">
            <w:pPr>
              <w:pStyle w:val="TableBodyText"/>
              <w:ind w:right="28"/>
              <w:rPr>
                <w:b/>
              </w:rPr>
            </w:pPr>
            <w:r>
              <w:rPr>
                <w:b/>
              </w:rPr>
              <w:t>19.3</w:t>
            </w:r>
          </w:p>
        </w:tc>
      </w:tr>
    </w:tbl>
    <w:p w:rsidR="009E3534" w:rsidRPr="00532F07" w:rsidRDefault="009E3534" w:rsidP="009E3534">
      <w:pPr>
        <w:pStyle w:val="Note"/>
      </w:pPr>
      <w:r w:rsidRPr="0073075C">
        <w:rPr>
          <w:rStyle w:val="NoteLabel"/>
        </w:rPr>
        <w:t>a</w:t>
      </w:r>
      <w:r>
        <w:t xml:space="preserve"> As at 30</w:t>
      </w:r>
      <w:r w:rsidR="00172534">
        <w:t> </w:t>
      </w:r>
      <w:r>
        <w:t>June 2013.</w:t>
      </w:r>
      <w:r w:rsidR="00CD2405">
        <w:t xml:space="preserve"> Data </w:t>
      </w:r>
      <w:r w:rsidR="009403BA">
        <w:t xml:space="preserve">for the number and proportion of approved services with a quality rating </w:t>
      </w:r>
      <w:r w:rsidR="00CD2405">
        <w:t>are available at a national level only for centre</w:t>
      </w:r>
      <w:r w:rsidR="00172534">
        <w:noBreakHyphen/>
      </w:r>
      <w:r w:rsidR="00CD2405">
        <w:t>based care and family day care</w:t>
      </w:r>
      <w:r w:rsidR="004E60DD">
        <w:t xml:space="preserve"> services</w:t>
      </w:r>
      <w:r w:rsidR="00CD2405">
        <w:t>.</w:t>
      </w:r>
      <w:r>
        <w:t> </w:t>
      </w:r>
      <w:r>
        <w:rPr>
          <w:rStyle w:val="NoteLabel"/>
        </w:rPr>
        <w:t>b</w:t>
      </w:r>
      <w:r>
        <w:t xml:space="preserve"> </w:t>
      </w:r>
      <w:r w:rsidR="006162BE" w:rsidRPr="006162BE">
        <w:t>Regulatory authorities in each jurisdiction differ in their approach to selecting services for quality rat</w:t>
      </w:r>
      <w:r w:rsidR="006162BE">
        <w:t xml:space="preserve">ing data. The implication of </w:t>
      </w:r>
      <w:r w:rsidR="006162BE" w:rsidRPr="006162BE">
        <w:t>quality rating services based on different approaches is that data are not representative of all edu</w:t>
      </w:r>
      <w:r w:rsidR="00CD2405">
        <w:t>cation and care services nation</w:t>
      </w:r>
      <w:r w:rsidR="006162BE" w:rsidRPr="006162BE">
        <w:t>wide.</w:t>
      </w:r>
      <w:r w:rsidR="006162BE">
        <w:t xml:space="preserve"> </w:t>
      </w:r>
      <w:r w:rsidR="006162BE" w:rsidRPr="006162BE">
        <w:t>Therefore, it is inadvisable to draw conclusions about education and care services that are yet to be rated based on those that have been rated to date.</w:t>
      </w:r>
      <w:r w:rsidRPr="00532F07">
        <w:t xml:space="preserve"> </w:t>
      </w:r>
    </w:p>
    <w:p w:rsidR="009E3534" w:rsidRDefault="009E3534" w:rsidP="009E3534">
      <w:pPr>
        <w:pStyle w:val="Source"/>
      </w:pPr>
      <w:r w:rsidRPr="00F124B3">
        <w:rPr>
          <w:rStyle w:val="SourceChar"/>
          <w:i/>
        </w:rPr>
        <w:t>Source</w:t>
      </w:r>
      <w:r w:rsidRPr="00172534">
        <w:rPr>
          <w:rStyle w:val="SourceChar"/>
        </w:rPr>
        <w:t>:</w:t>
      </w:r>
      <w:r>
        <w:t xml:space="preserve"> </w:t>
      </w:r>
      <w:proofErr w:type="spellStart"/>
      <w:r>
        <w:t>ACECQA</w:t>
      </w:r>
      <w:proofErr w:type="spellEnd"/>
      <w:r>
        <w:t xml:space="preserve"> (2013) </w:t>
      </w:r>
      <w:proofErr w:type="spellStart"/>
      <w:r w:rsidRPr="00991ACB">
        <w:rPr>
          <w:i/>
        </w:rPr>
        <w:t>NQF</w:t>
      </w:r>
      <w:proofErr w:type="spellEnd"/>
      <w:r w:rsidRPr="00991ACB">
        <w:rPr>
          <w:i/>
        </w:rPr>
        <w:t xml:space="preserve"> Snapshot </w:t>
      </w:r>
      <w:proofErr w:type="spellStart"/>
      <w:r w:rsidRPr="00991ACB">
        <w:rPr>
          <w:i/>
        </w:rPr>
        <w:t>Q2</w:t>
      </w:r>
      <w:proofErr w:type="spellEnd"/>
      <w:r w:rsidRPr="00991ACB">
        <w:rPr>
          <w:i/>
        </w:rPr>
        <w:t xml:space="preserve"> 2013</w:t>
      </w:r>
      <w:r>
        <w:rPr>
          <w:i/>
        </w:rPr>
        <w:t xml:space="preserve">; </w:t>
      </w:r>
      <w:r w:rsidR="00916691">
        <w:t>table</w:t>
      </w:r>
      <w:r w:rsidR="00172534">
        <w:t> </w:t>
      </w:r>
      <w:proofErr w:type="spellStart"/>
      <w:r w:rsidR="00916691">
        <w:t>3A.41</w:t>
      </w:r>
      <w:proofErr w:type="spellEnd"/>
      <w:r>
        <w:t>.</w:t>
      </w:r>
    </w:p>
    <w:p w:rsidR="009E3534" w:rsidRPr="00D97DF7" w:rsidRDefault="009E3534" w:rsidP="009E3534">
      <w:pPr>
        <w:pStyle w:val="BodyText"/>
        <w:spacing w:line="240" w:lineRule="auto"/>
        <w:rPr>
          <w:sz w:val="12"/>
          <w:szCs w:val="12"/>
        </w:rPr>
      </w:pPr>
      <w:r>
        <w:t xml:space="preserve">Nationally, the proportion of services </w:t>
      </w:r>
      <w:r w:rsidR="00A34A38">
        <w:t>assessed from June</w:t>
      </w:r>
      <w:r>
        <w:t xml:space="preserve"> 2012 to Ju</w:t>
      </w:r>
      <w:r w:rsidR="002A0D5C">
        <w:t xml:space="preserve">ne 2013 with a rating level of meeting or exceeding the </w:t>
      </w:r>
      <w:proofErr w:type="spellStart"/>
      <w:r>
        <w:t>NQS</w:t>
      </w:r>
      <w:proofErr w:type="spellEnd"/>
      <w:r>
        <w:t xml:space="preserve"> varied by quality area: </w:t>
      </w:r>
    </w:p>
    <w:p w:rsidR="009E3534" w:rsidRDefault="00C54340" w:rsidP="009E3534">
      <w:pPr>
        <w:pStyle w:val="ListBullet"/>
      </w:pPr>
      <w:r>
        <w:t>66.1</w:t>
      </w:r>
      <w:r w:rsidR="009E3534">
        <w:t xml:space="preserve"> per cent of services met or exceeded</w:t>
      </w:r>
      <w:r w:rsidR="00B522D0">
        <w:t xml:space="preserve"> the </w:t>
      </w:r>
      <w:proofErr w:type="spellStart"/>
      <w:r w:rsidR="00B522D0">
        <w:t>NQS</w:t>
      </w:r>
      <w:proofErr w:type="spellEnd"/>
      <w:r w:rsidR="00B522D0">
        <w:t xml:space="preserve"> in Q</w:t>
      </w:r>
      <w:r w:rsidR="002A0D5C">
        <w:t>uality A</w:t>
      </w:r>
      <w:r w:rsidR="009E3534">
        <w:t xml:space="preserve">rea 1: </w:t>
      </w:r>
      <w:r w:rsidR="00B522D0">
        <w:t>E</w:t>
      </w:r>
      <w:r w:rsidR="009E3534">
        <w:t>ducational program and practice (44.2 per cent met, 21.9 per cent exceeded)</w:t>
      </w:r>
    </w:p>
    <w:p w:rsidR="009E3534" w:rsidRDefault="009E3534" w:rsidP="009E3534">
      <w:pPr>
        <w:pStyle w:val="ListBullet"/>
      </w:pPr>
      <w:r>
        <w:t xml:space="preserve">74.8 per cent of services met or exceeded the </w:t>
      </w:r>
      <w:proofErr w:type="spellStart"/>
      <w:r>
        <w:t>NQS</w:t>
      </w:r>
      <w:proofErr w:type="spellEnd"/>
      <w:r>
        <w:t xml:space="preserve"> in </w:t>
      </w:r>
      <w:r w:rsidR="00B522D0">
        <w:t>Q</w:t>
      </w:r>
      <w:r w:rsidR="002A0D5C">
        <w:t>uality A</w:t>
      </w:r>
      <w:r>
        <w:t xml:space="preserve">rea 2: </w:t>
      </w:r>
      <w:r w:rsidR="00B522D0">
        <w:t>C</w:t>
      </w:r>
      <w:r>
        <w:t>hildren’s health and safety (53.6 per cent met, 21.2 per cent exceeded)</w:t>
      </w:r>
    </w:p>
    <w:p w:rsidR="009E3534" w:rsidRDefault="009E3534" w:rsidP="009E3534">
      <w:pPr>
        <w:pStyle w:val="ListBullet"/>
      </w:pPr>
      <w:r>
        <w:t xml:space="preserve">70.0 per cent of services met or exceeded the </w:t>
      </w:r>
      <w:proofErr w:type="spellStart"/>
      <w:r>
        <w:t>NQS</w:t>
      </w:r>
      <w:proofErr w:type="spellEnd"/>
      <w:r>
        <w:t xml:space="preserve"> in </w:t>
      </w:r>
      <w:r w:rsidR="00B522D0">
        <w:t>Q</w:t>
      </w:r>
      <w:r w:rsidR="002A0D5C">
        <w:t>uality A</w:t>
      </w:r>
      <w:r>
        <w:t xml:space="preserve">rea 3: </w:t>
      </w:r>
      <w:r w:rsidR="00B522D0">
        <w:t>P</w:t>
      </w:r>
      <w:r>
        <w:t>hysical environment (49.0 per cent met, 21.0 per cent exceeded)</w:t>
      </w:r>
    </w:p>
    <w:p w:rsidR="009E3534" w:rsidRDefault="009E3534" w:rsidP="009E3534">
      <w:pPr>
        <w:pStyle w:val="ListBullet"/>
      </w:pPr>
      <w:r>
        <w:t xml:space="preserve">88.2 per cent of services met or exceeded the </w:t>
      </w:r>
      <w:proofErr w:type="spellStart"/>
      <w:r>
        <w:t>NQS</w:t>
      </w:r>
      <w:proofErr w:type="spellEnd"/>
      <w:r>
        <w:t xml:space="preserve"> in </w:t>
      </w:r>
      <w:r w:rsidR="00B522D0">
        <w:t>Q</w:t>
      </w:r>
      <w:r w:rsidR="002A0D5C">
        <w:t>uality A</w:t>
      </w:r>
      <w:r>
        <w:t>rea 4:</w:t>
      </w:r>
      <w:r w:rsidR="00B522D0">
        <w:t xml:space="preserve"> S</w:t>
      </w:r>
      <w:r>
        <w:t>taffing arrangements (61.4 per cent met, 26.8 per cent exceeded)</w:t>
      </w:r>
    </w:p>
    <w:p w:rsidR="009E3534" w:rsidRDefault="009E3534" w:rsidP="009E3534">
      <w:pPr>
        <w:pStyle w:val="ListBullet"/>
      </w:pPr>
      <w:r>
        <w:t xml:space="preserve">84.3 per cent of services met or exceeded the </w:t>
      </w:r>
      <w:proofErr w:type="spellStart"/>
      <w:r>
        <w:t>NQS</w:t>
      </w:r>
      <w:proofErr w:type="spellEnd"/>
      <w:r>
        <w:t xml:space="preserve"> in </w:t>
      </w:r>
      <w:r w:rsidR="00B522D0">
        <w:t>Q</w:t>
      </w:r>
      <w:r w:rsidR="002A0D5C">
        <w:t>uality A</w:t>
      </w:r>
      <w:r>
        <w:t>rea 5:</w:t>
      </w:r>
      <w:r w:rsidR="00B522D0">
        <w:t xml:space="preserve"> R</w:t>
      </w:r>
      <w:r w:rsidR="002A0D5C">
        <w:t>elationship</w:t>
      </w:r>
      <w:r>
        <w:t>s with children (49.0 per cent met, 35.3 per cent exceeded)</w:t>
      </w:r>
    </w:p>
    <w:p w:rsidR="009E3534" w:rsidRDefault="009E3534" w:rsidP="009E3534">
      <w:pPr>
        <w:pStyle w:val="ListBullet"/>
      </w:pPr>
      <w:r>
        <w:t xml:space="preserve">81.7 per cent of services met or exceeded the </w:t>
      </w:r>
      <w:proofErr w:type="spellStart"/>
      <w:r>
        <w:t>NQS</w:t>
      </w:r>
      <w:proofErr w:type="spellEnd"/>
      <w:r>
        <w:t xml:space="preserve"> in </w:t>
      </w:r>
      <w:r w:rsidR="00B522D0">
        <w:t>Q</w:t>
      </w:r>
      <w:r w:rsidR="002A0D5C">
        <w:t>uality A</w:t>
      </w:r>
      <w:r>
        <w:t xml:space="preserve">rea 6: </w:t>
      </w:r>
      <w:r w:rsidR="00B522D0">
        <w:t>P</w:t>
      </w:r>
      <w:r>
        <w:t>artnerships with families and communities (50.8 per cent met, 30.9 per cent exceeded)</w:t>
      </w:r>
    </w:p>
    <w:p w:rsidR="009E3534" w:rsidRPr="004369F9" w:rsidRDefault="009E3534" w:rsidP="009E3534">
      <w:pPr>
        <w:pStyle w:val="ListBullet"/>
      </w:pPr>
      <w:r>
        <w:t xml:space="preserve">73.5 per cent of services met or exceeded the </w:t>
      </w:r>
      <w:proofErr w:type="spellStart"/>
      <w:r>
        <w:t>NQS</w:t>
      </w:r>
      <w:proofErr w:type="spellEnd"/>
      <w:r>
        <w:t xml:space="preserve"> in </w:t>
      </w:r>
      <w:r w:rsidR="00B522D0">
        <w:t>Q</w:t>
      </w:r>
      <w:r w:rsidR="002A0D5C">
        <w:t>uality A</w:t>
      </w:r>
      <w:r>
        <w:t xml:space="preserve">rea 7: </w:t>
      </w:r>
      <w:r w:rsidR="00B522D0">
        <w:t>L</w:t>
      </w:r>
      <w:r>
        <w:t xml:space="preserve">eadership and service management (45.9 per cent met, 27.6 per cent exceeded) </w:t>
      </w:r>
      <w:r w:rsidR="00F620DE">
        <w:br/>
      </w:r>
      <w:r w:rsidR="00086C53">
        <w:t>(figure</w:t>
      </w:r>
      <w:r w:rsidR="00172534">
        <w:t> </w:t>
      </w:r>
      <w:r w:rsidR="00086C53">
        <w:t>3.13</w:t>
      </w:r>
      <w:r w:rsidRPr="004369F9">
        <w:t>).</w:t>
      </w:r>
    </w:p>
    <w:p w:rsidR="009E3534" w:rsidRDefault="00F620DE" w:rsidP="00046C67">
      <w:pPr>
        <w:pStyle w:val="BodyText"/>
        <w:spacing w:line="240" w:lineRule="auto"/>
      </w:pPr>
      <w:r>
        <w:t>State and T</w:t>
      </w:r>
      <w:r w:rsidR="009E3534">
        <w:t xml:space="preserve">erritory data for each quality area </w:t>
      </w:r>
      <w:r w:rsidR="009E3534" w:rsidRPr="00C37717">
        <w:t>are presented in table</w:t>
      </w:r>
      <w:r w:rsidR="00916691">
        <w:t>s</w:t>
      </w:r>
      <w:r w:rsidR="00172534">
        <w:t> </w:t>
      </w:r>
      <w:proofErr w:type="spellStart"/>
      <w:r w:rsidR="00916691">
        <w:t>3A.42</w:t>
      </w:r>
      <w:r w:rsidR="00CB0A43" w:rsidRPr="00CB0A43">
        <w:rPr>
          <w:b/>
        </w:rPr>
        <w:t>-</w:t>
      </w:r>
      <w:r w:rsidR="00916691">
        <w:t>A.48</w:t>
      </w:r>
      <w:proofErr w:type="spellEnd"/>
      <w:r w:rsidR="009E3534" w:rsidRPr="00C37717">
        <w:t>.</w:t>
      </w:r>
      <w:r w:rsidR="0008584A">
        <w:t xml:space="preserve"> </w:t>
      </w:r>
    </w:p>
    <w:p w:rsidR="009E3534" w:rsidRPr="008B42D1" w:rsidRDefault="009E3534" w:rsidP="009E3534">
      <w:pPr>
        <w:pStyle w:val="FigureTitle"/>
        <w:rPr>
          <w:rStyle w:val="BoxChar"/>
        </w:rPr>
      </w:pPr>
      <w:r w:rsidRPr="004369F9">
        <w:rPr>
          <w:b w:val="0"/>
        </w:rPr>
        <w:lastRenderedPageBreak/>
        <w:t>Figure 3.</w:t>
      </w:r>
      <w:r w:rsidR="00086C53">
        <w:rPr>
          <w:b w:val="0"/>
        </w:rPr>
        <w:t>13</w:t>
      </w:r>
      <w:r>
        <w:tab/>
        <w:t>Proportion of approved services with a quality rating, by quality rating level and quality area, Australia, June 2013</w:t>
      </w:r>
      <w:r w:rsidRPr="00C86801">
        <w:rPr>
          <w:rStyle w:val="NoteLabel"/>
          <w:b/>
        </w:rPr>
        <w:t>a, b</w:t>
      </w:r>
      <w:r w:rsidR="006162BE">
        <w:rPr>
          <w:rStyle w:val="NoteLabel"/>
          <w:b/>
        </w:rPr>
        <w:t>,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E3534" w:rsidTr="00FB09A6">
        <w:tc>
          <w:tcPr>
            <w:tcW w:w="8777" w:type="dxa"/>
          </w:tcPr>
          <w:p w:rsidR="009E3534" w:rsidRDefault="0036399F" w:rsidP="00FB09A6">
            <w:pPr>
              <w:pStyle w:val="Figure"/>
            </w:pPr>
            <w:r>
              <w:rPr>
                <w:noProof/>
              </w:rPr>
              <w:drawing>
                <wp:inline distT="0" distB="0" distL="0" distR="0">
                  <wp:extent cx="5391150" cy="2699385"/>
                  <wp:effectExtent l="0" t="0" r="0" b="5715"/>
                  <wp:docPr id="13" name="Picture 13" descr="Figure 3.13 Proportion of approved services with a quality rating, by quality rating level and quality area, Australia, June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91150" cy="2699385"/>
                          </a:xfrm>
                          <a:prstGeom prst="rect">
                            <a:avLst/>
                          </a:prstGeom>
                          <a:noFill/>
                          <a:ln>
                            <a:noFill/>
                          </a:ln>
                        </pic:spPr>
                      </pic:pic>
                    </a:graphicData>
                  </a:graphic>
                </wp:inline>
              </w:drawing>
            </w:r>
          </w:p>
        </w:tc>
      </w:tr>
    </w:tbl>
    <w:p w:rsidR="009E3534" w:rsidRPr="00975605" w:rsidRDefault="009E3534" w:rsidP="009E3534">
      <w:pPr>
        <w:pStyle w:val="Note"/>
        <w:rPr>
          <w:rStyle w:val="NoteLabel"/>
          <w:b w:val="0"/>
          <w:position w:val="0"/>
        </w:rPr>
      </w:pPr>
      <w:proofErr w:type="spellStart"/>
      <w:r>
        <w:rPr>
          <w:rStyle w:val="NoteLabel"/>
          <w:b w:val="0"/>
          <w:position w:val="0"/>
        </w:rPr>
        <w:t>QA</w:t>
      </w:r>
      <w:proofErr w:type="spellEnd"/>
      <w:r>
        <w:rPr>
          <w:rStyle w:val="NoteLabel"/>
          <w:b w:val="0"/>
          <w:position w:val="0"/>
        </w:rPr>
        <w:t xml:space="preserve"> 1 = E</w:t>
      </w:r>
      <w:r w:rsidRPr="00975605">
        <w:rPr>
          <w:rStyle w:val="NoteLabel"/>
          <w:b w:val="0"/>
          <w:position w:val="0"/>
        </w:rPr>
        <w:t>ducationa</w:t>
      </w:r>
      <w:r>
        <w:rPr>
          <w:rStyle w:val="NoteLabel"/>
          <w:b w:val="0"/>
          <w:position w:val="0"/>
        </w:rPr>
        <w:t xml:space="preserve">l program and practice. </w:t>
      </w:r>
      <w:proofErr w:type="spellStart"/>
      <w:r>
        <w:rPr>
          <w:rStyle w:val="NoteLabel"/>
          <w:b w:val="0"/>
          <w:position w:val="0"/>
        </w:rPr>
        <w:t>QA</w:t>
      </w:r>
      <w:proofErr w:type="spellEnd"/>
      <w:r>
        <w:rPr>
          <w:rStyle w:val="NoteLabel"/>
          <w:b w:val="0"/>
          <w:position w:val="0"/>
        </w:rPr>
        <w:t xml:space="preserve"> 2 = C</w:t>
      </w:r>
      <w:r w:rsidRPr="00975605">
        <w:rPr>
          <w:rStyle w:val="NoteLabel"/>
          <w:b w:val="0"/>
          <w:position w:val="0"/>
        </w:rPr>
        <w:t>hildr</w:t>
      </w:r>
      <w:r>
        <w:rPr>
          <w:rStyle w:val="NoteLabel"/>
          <w:b w:val="0"/>
          <w:position w:val="0"/>
        </w:rPr>
        <w:t xml:space="preserve">en’s health and safety. </w:t>
      </w:r>
      <w:proofErr w:type="spellStart"/>
      <w:r>
        <w:rPr>
          <w:rStyle w:val="NoteLabel"/>
          <w:b w:val="0"/>
          <w:position w:val="0"/>
        </w:rPr>
        <w:t>QA</w:t>
      </w:r>
      <w:proofErr w:type="spellEnd"/>
      <w:r>
        <w:rPr>
          <w:rStyle w:val="NoteLabel"/>
          <w:b w:val="0"/>
          <w:position w:val="0"/>
        </w:rPr>
        <w:t xml:space="preserve"> 3 = Physical environment. </w:t>
      </w:r>
      <w:proofErr w:type="spellStart"/>
      <w:r>
        <w:rPr>
          <w:rStyle w:val="NoteLabel"/>
          <w:b w:val="0"/>
          <w:position w:val="0"/>
        </w:rPr>
        <w:t>QA</w:t>
      </w:r>
      <w:proofErr w:type="spellEnd"/>
      <w:r>
        <w:rPr>
          <w:rStyle w:val="NoteLabel"/>
          <w:b w:val="0"/>
          <w:position w:val="0"/>
        </w:rPr>
        <w:t xml:space="preserve"> 4 = Staffing arrangements. </w:t>
      </w:r>
      <w:proofErr w:type="spellStart"/>
      <w:r>
        <w:rPr>
          <w:rStyle w:val="NoteLabel"/>
          <w:b w:val="0"/>
          <w:position w:val="0"/>
        </w:rPr>
        <w:t>QA</w:t>
      </w:r>
      <w:proofErr w:type="spellEnd"/>
      <w:r>
        <w:rPr>
          <w:rStyle w:val="NoteLabel"/>
          <w:b w:val="0"/>
          <w:position w:val="0"/>
        </w:rPr>
        <w:t xml:space="preserve"> 5 = R</w:t>
      </w:r>
      <w:r w:rsidRPr="00975605">
        <w:rPr>
          <w:rStyle w:val="NoteLabel"/>
          <w:b w:val="0"/>
          <w:position w:val="0"/>
        </w:rPr>
        <w:t>elationships with child</w:t>
      </w:r>
      <w:r>
        <w:rPr>
          <w:rStyle w:val="NoteLabel"/>
          <w:b w:val="0"/>
          <w:position w:val="0"/>
        </w:rPr>
        <w:t xml:space="preserve">ren. </w:t>
      </w:r>
      <w:proofErr w:type="spellStart"/>
      <w:r>
        <w:rPr>
          <w:rStyle w:val="NoteLabel"/>
          <w:b w:val="0"/>
          <w:position w:val="0"/>
        </w:rPr>
        <w:t>QA</w:t>
      </w:r>
      <w:proofErr w:type="spellEnd"/>
      <w:r>
        <w:rPr>
          <w:rStyle w:val="NoteLabel"/>
          <w:b w:val="0"/>
          <w:position w:val="0"/>
        </w:rPr>
        <w:t xml:space="preserve"> 6 = P</w:t>
      </w:r>
      <w:r w:rsidRPr="00975605">
        <w:rPr>
          <w:rStyle w:val="NoteLabel"/>
          <w:b w:val="0"/>
          <w:position w:val="0"/>
        </w:rPr>
        <w:t>artnerships with fa</w:t>
      </w:r>
      <w:r>
        <w:rPr>
          <w:rStyle w:val="NoteLabel"/>
          <w:b w:val="0"/>
          <w:position w:val="0"/>
        </w:rPr>
        <w:t xml:space="preserve">milies and communities. </w:t>
      </w:r>
      <w:proofErr w:type="spellStart"/>
      <w:r>
        <w:rPr>
          <w:rStyle w:val="NoteLabel"/>
          <w:b w:val="0"/>
          <w:position w:val="0"/>
        </w:rPr>
        <w:t>QA</w:t>
      </w:r>
      <w:proofErr w:type="spellEnd"/>
      <w:r>
        <w:rPr>
          <w:rStyle w:val="NoteLabel"/>
          <w:b w:val="0"/>
          <w:position w:val="0"/>
        </w:rPr>
        <w:t xml:space="preserve"> 7 = L</w:t>
      </w:r>
      <w:r w:rsidRPr="00975605">
        <w:rPr>
          <w:rStyle w:val="NoteLabel"/>
          <w:b w:val="0"/>
          <w:position w:val="0"/>
        </w:rPr>
        <w:t xml:space="preserve">eadership and service management. </w:t>
      </w:r>
    </w:p>
    <w:p w:rsidR="009E3534" w:rsidRPr="00F124B3" w:rsidRDefault="009E3534" w:rsidP="009E3534">
      <w:pPr>
        <w:pStyle w:val="Note"/>
      </w:pPr>
      <w:r>
        <w:rPr>
          <w:rStyle w:val="NoteLabel"/>
        </w:rPr>
        <w:t>a</w:t>
      </w:r>
      <w:r>
        <w:t xml:space="preserve"> As at 30</w:t>
      </w:r>
      <w:r w:rsidR="00172534">
        <w:t> </w:t>
      </w:r>
      <w:r>
        <w:t>June 2013. </w:t>
      </w:r>
      <w:r>
        <w:rPr>
          <w:rStyle w:val="NoteLabel"/>
        </w:rPr>
        <w:t>b</w:t>
      </w:r>
      <w:r w:rsidR="00E56B2A">
        <w:t xml:space="preserve"> T</w:t>
      </w:r>
      <w:r w:rsidR="002A0D5C">
        <w:t xml:space="preserve">he percentages for Significant Improvement Required are </w:t>
      </w:r>
      <w:r w:rsidR="00046C67">
        <w:t xml:space="preserve">zero </w:t>
      </w:r>
      <w:r w:rsidR="00E56B2A">
        <w:t>per cent</w:t>
      </w:r>
      <w:r w:rsidR="002A0D5C">
        <w:t xml:space="preserve"> for </w:t>
      </w:r>
      <w:proofErr w:type="spellStart"/>
      <w:r w:rsidR="002A0D5C">
        <w:t>QA</w:t>
      </w:r>
      <w:proofErr w:type="spellEnd"/>
      <w:r w:rsidR="002A0D5C">
        <w:t xml:space="preserve"> 1, </w:t>
      </w:r>
      <w:r w:rsidR="00E56B2A">
        <w:t>0.2 per cent</w:t>
      </w:r>
      <w:r w:rsidR="002A0D5C">
        <w:t xml:space="preserve"> for </w:t>
      </w:r>
      <w:proofErr w:type="spellStart"/>
      <w:r w:rsidR="002A0D5C">
        <w:t>QA</w:t>
      </w:r>
      <w:proofErr w:type="spellEnd"/>
      <w:r w:rsidR="002A0D5C">
        <w:t xml:space="preserve"> 2, </w:t>
      </w:r>
      <w:r w:rsidR="0037177B">
        <w:t>zero</w:t>
      </w:r>
      <w:r w:rsidR="00E56B2A">
        <w:t xml:space="preserve"> per cent</w:t>
      </w:r>
      <w:r w:rsidR="002A0D5C">
        <w:t xml:space="preserve"> for </w:t>
      </w:r>
      <w:proofErr w:type="spellStart"/>
      <w:r w:rsidR="002A0D5C">
        <w:t>QA</w:t>
      </w:r>
      <w:proofErr w:type="spellEnd"/>
      <w:r w:rsidR="002A0D5C">
        <w:t xml:space="preserve"> 3, </w:t>
      </w:r>
      <w:r w:rsidR="00E56B2A">
        <w:t>0.1 per cent</w:t>
      </w:r>
      <w:r w:rsidR="002A0D5C">
        <w:t xml:space="preserve"> for </w:t>
      </w:r>
      <w:proofErr w:type="spellStart"/>
      <w:r w:rsidR="002A0D5C">
        <w:t>QA</w:t>
      </w:r>
      <w:proofErr w:type="spellEnd"/>
      <w:r w:rsidR="002A0D5C">
        <w:t xml:space="preserve"> 4, </w:t>
      </w:r>
      <w:r w:rsidR="00E56B2A">
        <w:t>0.1 per cent</w:t>
      </w:r>
      <w:r w:rsidR="002A0D5C">
        <w:t xml:space="preserve"> for </w:t>
      </w:r>
      <w:proofErr w:type="spellStart"/>
      <w:r w:rsidR="002A0D5C">
        <w:t>QA</w:t>
      </w:r>
      <w:proofErr w:type="spellEnd"/>
      <w:r w:rsidR="002A0D5C">
        <w:t xml:space="preserve"> 5, </w:t>
      </w:r>
      <w:r w:rsidR="0037177B">
        <w:t>zero</w:t>
      </w:r>
      <w:r w:rsidR="00E56B2A">
        <w:t xml:space="preserve"> per cent</w:t>
      </w:r>
      <w:r w:rsidR="002A0D5C">
        <w:t xml:space="preserve"> for </w:t>
      </w:r>
      <w:proofErr w:type="spellStart"/>
      <w:r w:rsidR="002A0D5C">
        <w:t>QA</w:t>
      </w:r>
      <w:proofErr w:type="spellEnd"/>
      <w:r w:rsidR="002A0D5C">
        <w:t xml:space="preserve"> 6 and </w:t>
      </w:r>
      <w:r w:rsidR="00E56B2A">
        <w:t>0.1 per cent</w:t>
      </w:r>
      <w:r w:rsidR="002A0D5C">
        <w:t xml:space="preserve"> for </w:t>
      </w:r>
      <w:proofErr w:type="spellStart"/>
      <w:r w:rsidR="002A0D5C">
        <w:t>QA</w:t>
      </w:r>
      <w:proofErr w:type="spellEnd"/>
      <w:r w:rsidR="002A0D5C">
        <w:t xml:space="preserve"> 7</w:t>
      </w:r>
      <w:r w:rsidR="00E56B2A">
        <w:t xml:space="preserve">. </w:t>
      </w:r>
      <w:r w:rsidR="00E56B2A">
        <w:rPr>
          <w:rStyle w:val="NoteLabel"/>
        </w:rPr>
        <w:t>c</w:t>
      </w:r>
      <w:r w:rsidR="00E56B2A">
        <w:t xml:space="preserve"> </w:t>
      </w:r>
      <w:r w:rsidR="006162BE" w:rsidRPr="006162BE">
        <w:t>Regulatory authorities in each jurisdiction differ in their approach to selecting services for quality rat</w:t>
      </w:r>
      <w:r w:rsidR="006162BE">
        <w:t xml:space="preserve">ing data. The implication of </w:t>
      </w:r>
      <w:r w:rsidR="006162BE" w:rsidRPr="006162BE">
        <w:t>quality rating services based on different approaches is that data are not representative of all edu</w:t>
      </w:r>
      <w:r w:rsidR="00CD2405">
        <w:t>cation and care services nation</w:t>
      </w:r>
      <w:r w:rsidR="006162BE" w:rsidRPr="006162BE">
        <w:t>wide.</w:t>
      </w:r>
      <w:r w:rsidR="006162BE">
        <w:t xml:space="preserve"> </w:t>
      </w:r>
      <w:r w:rsidR="006162BE" w:rsidRPr="006162BE">
        <w:t>Therefore, it is inadvisable to draw conclusions about education and care services that are yet to be rated based on those that have been rated to date.</w:t>
      </w:r>
      <w:r w:rsidR="006162BE">
        <w:t> </w:t>
      </w:r>
    </w:p>
    <w:p w:rsidR="009E3534" w:rsidRPr="00EA6765" w:rsidRDefault="009E3534" w:rsidP="009E3534">
      <w:pPr>
        <w:pStyle w:val="Source"/>
      </w:pPr>
      <w:r>
        <w:rPr>
          <w:i/>
        </w:rPr>
        <w:t>Source</w:t>
      </w:r>
      <w:r w:rsidRPr="00167F06">
        <w:t xml:space="preserve">: </w:t>
      </w:r>
      <w:proofErr w:type="spellStart"/>
      <w:r>
        <w:t>ACECQA</w:t>
      </w:r>
      <w:proofErr w:type="spellEnd"/>
      <w:r>
        <w:t xml:space="preserve"> (2013) </w:t>
      </w:r>
      <w:proofErr w:type="spellStart"/>
      <w:r w:rsidRPr="005115E1">
        <w:rPr>
          <w:i/>
        </w:rPr>
        <w:t>NQF</w:t>
      </w:r>
      <w:proofErr w:type="spellEnd"/>
      <w:r w:rsidRPr="005115E1">
        <w:rPr>
          <w:i/>
        </w:rPr>
        <w:t xml:space="preserve"> Snapshot</w:t>
      </w:r>
      <w:r>
        <w:t xml:space="preserve"> </w:t>
      </w:r>
      <w:proofErr w:type="spellStart"/>
      <w:r>
        <w:rPr>
          <w:i/>
        </w:rPr>
        <w:t>Q2</w:t>
      </w:r>
      <w:proofErr w:type="spellEnd"/>
      <w:r>
        <w:rPr>
          <w:i/>
        </w:rPr>
        <w:t xml:space="preserve"> 2013; </w:t>
      </w:r>
      <w:r w:rsidRPr="00771D74">
        <w:t>table</w:t>
      </w:r>
      <w:r w:rsidR="00916691">
        <w:t>s</w:t>
      </w:r>
      <w:r w:rsidR="00172534">
        <w:t> </w:t>
      </w:r>
      <w:proofErr w:type="spellStart"/>
      <w:r w:rsidR="00916691">
        <w:t>3A.42</w:t>
      </w:r>
      <w:proofErr w:type="spellEnd"/>
      <w:r w:rsidR="00172534">
        <w:noBreakHyphen/>
      </w:r>
      <w:r w:rsidR="00916691">
        <w:t>48</w:t>
      </w:r>
      <w:r>
        <w:rPr>
          <w:i/>
        </w:rPr>
        <w:t>.</w:t>
      </w:r>
    </w:p>
    <w:p w:rsidR="009E3534" w:rsidRDefault="009E3534" w:rsidP="009E3534">
      <w:pPr>
        <w:pStyle w:val="Heading5"/>
      </w:pPr>
      <w:r>
        <w:t>Overall quality rating for services</w:t>
      </w:r>
    </w:p>
    <w:p w:rsidR="009E3534" w:rsidRPr="0098122B" w:rsidRDefault="009E3534" w:rsidP="009E3534">
      <w:pPr>
        <w:pStyle w:val="BodyText"/>
        <w:rPr>
          <w:rFonts w:ascii="Arial" w:hAnsi="Arial"/>
          <w:sz w:val="24"/>
          <w:szCs w:val="24"/>
        </w:rPr>
      </w:pPr>
      <w:r w:rsidRPr="00C27DA5">
        <w:t>Data on approved services with a quality rating by overall quality rating level and service</w:t>
      </w:r>
      <w:r w:rsidR="00086C53">
        <w:t xml:space="preserve"> type are provided in table</w:t>
      </w:r>
      <w:r w:rsidR="00172534">
        <w:t> </w:t>
      </w:r>
      <w:r w:rsidR="00086C53">
        <w:t>3.10</w:t>
      </w:r>
      <w:r w:rsidRPr="00C27DA5">
        <w:t xml:space="preserve">. Services that receive an overall rating of Meeting </w:t>
      </w:r>
      <w:proofErr w:type="spellStart"/>
      <w:r w:rsidRPr="00C27DA5">
        <w:t>NQS</w:t>
      </w:r>
      <w:proofErr w:type="spellEnd"/>
      <w:r w:rsidRPr="00C27DA5">
        <w:t xml:space="preserve"> can be rated as Meeting </w:t>
      </w:r>
      <w:proofErr w:type="spellStart"/>
      <w:r w:rsidR="00132AB5" w:rsidRPr="00C27DA5">
        <w:t>NQS</w:t>
      </w:r>
      <w:proofErr w:type="spellEnd"/>
      <w:r w:rsidR="00132AB5" w:rsidRPr="00C27DA5">
        <w:t xml:space="preserve"> </w:t>
      </w:r>
      <w:r w:rsidRPr="00C27DA5">
        <w:t xml:space="preserve">in all seven quality areas or have a mix of quality areas rated Meeting </w:t>
      </w:r>
      <w:proofErr w:type="spellStart"/>
      <w:r w:rsidR="00132AB5" w:rsidRPr="00C27DA5">
        <w:t>NQS</w:t>
      </w:r>
      <w:proofErr w:type="spellEnd"/>
      <w:r w:rsidR="00132AB5" w:rsidRPr="00C27DA5">
        <w:t xml:space="preserve"> </w:t>
      </w:r>
      <w:r w:rsidRPr="00C27DA5">
        <w:t>and Exceeding</w:t>
      </w:r>
      <w:r w:rsidR="00132AB5" w:rsidRPr="00C27DA5">
        <w:t xml:space="preserve"> </w:t>
      </w:r>
      <w:proofErr w:type="spellStart"/>
      <w:r w:rsidR="00132AB5" w:rsidRPr="00C27DA5">
        <w:t>NQS</w:t>
      </w:r>
      <w:proofErr w:type="spellEnd"/>
      <w:r w:rsidRPr="00C27DA5">
        <w:t xml:space="preserve">. Services receive an overall rating of Exceeding </w:t>
      </w:r>
      <w:proofErr w:type="spellStart"/>
      <w:r w:rsidRPr="00C27DA5">
        <w:t>NQS</w:t>
      </w:r>
      <w:proofErr w:type="spellEnd"/>
      <w:r w:rsidRPr="00C27DA5">
        <w:t xml:space="preserve"> if four or more </w:t>
      </w:r>
      <w:r w:rsidR="00785224" w:rsidRPr="00C27DA5">
        <w:t>q</w:t>
      </w:r>
      <w:r w:rsidRPr="00C27DA5">
        <w:t>uality areas are rated as Exceeding</w:t>
      </w:r>
      <w:r w:rsidR="00132AB5" w:rsidRPr="00C27DA5">
        <w:t xml:space="preserve"> </w:t>
      </w:r>
      <w:proofErr w:type="spellStart"/>
      <w:r w:rsidR="00132AB5" w:rsidRPr="00C27DA5">
        <w:t>NQS</w:t>
      </w:r>
      <w:proofErr w:type="spellEnd"/>
      <w:r w:rsidRPr="00C27DA5">
        <w:t xml:space="preserve">, including two of the four following </w:t>
      </w:r>
      <w:r w:rsidR="00785224" w:rsidRPr="00C27DA5">
        <w:t>q</w:t>
      </w:r>
      <w:r w:rsidRPr="00C27DA5">
        <w:t>uality areas: Q</w:t>
      </w:r>
      <w:r w:rsidR="00785224" w:rsidRPr="00C27DA5">
        <w:t>uality A</w:t>
      </w:r>
      <w:r w:rsidRPr="00C27DA5">
        <w:t>rea 1, Q</w:t>
      </w:r>
      <w:r w:rsidR="00785224" w:rsidRPr="00C27DA5">
        <w:t>uality A</w:t>
      </w:r>
      <w:r w:rsidRPr="00C27DA5">
        <w:t>rea 5, Q</w:t>
      </w:r>
      <w:r w:rsidR="00785224" w:rsidRPr="00C27DA5">
        <w:t>uality A</w:t>
      </w:r>
      <w:r w:rsidRPr="00C27DA5">
        <w:t>rea 6 and Q</w:t>
      </w:r>
      <w:r w:rsidR="00785224" w:rsidRPr="00C27DA5">
        <w:t>uality A</w:t>
      </w:r>
      <w:r w:rsidRPr="00C27DA5">
        <w:t>rea 7 (</w:t>
      </w:r>
      <w:proofErr w:type="spellStart"/>
      <w:r w:rsidRPr="00C27DA5">
        <w:t>ACECQA</w:t>
      </w:r>
      <w:proofErr w:type="spellEnd"/>
      <w:r w:rsidRPr="00C27DA5">
        <w:t xml:space="preserve"> 2013). Nationally, centre</w:t>
      </w:r>
      <w:r w:rsidR="00172534">
        <w:noBreakHyphen/>
      </w:r>
      <w:r w:rsidRPr="00C27DA5">
        <w:t xml:space="preserve">based and family day care services </w:t>
      </w:r>
      <w:r w:rsidR="00785224" w:rsidRPr="00C27DA5">
        <w:t>are more likely to be rated as Working T</w:t>
      </w:r>
      <w:r w:rsidRPr="00C27DA5">
        <w:t xml:space="preserve">owards </w:t>
      </w:r>
      <w:proofErr w:type="spellStart"/>
      <w:r w:rsidRPr="00C27DA5">
        <w:t>NQS</w:t>
      </w:r>
      <w:proofErr w:type="spellEnd"/>
      <w:r w:rsidRPr="00C27DA5">
        <w:t xml:space="preserve"> (43.6 per cent and 44.5 per cent respectively) than the other qu</w:t>
      </w:r>
      <w:r w:rsidR="00046C67">
        <w:t>ality rating levels. State and T</w:t>
      </w:r>
      <w:r w:rsidRPr="00C27DA5">
        <w:t>erritory data are presented in table</w:t>
      </w:r>
      <w:r w:rsidR="00172534">
        <w:t> </w:t>
      </w:r>
      <w:proofErr w:type="spellStart"/>
      <w:r w:rsidRPr="00C27DA5">
        <w:t>3A.4</w:t>
      </w:r>
      <w:r w:rsidR="00916691">
        <w:t>1</w:t>
      </w:r>
      <w:proofErr w:type="spellEnd"/>
      <w:r w:rsidRPr="00C27DA5">
        <w:t>.</w:t>
      </w:r>
    </w:p>
    <w:p w:rsidR="009E3534" w:rsidRDefault="009E3534" w:rsidP="009E3534">
      <w:pPr>
        <w:pStyle w:val="TableTitle"/>
      </w:pPr>
      <w:r w:rsidRPr="004369F9">
        <w:rPr>
          <w:b w:val="0"/>
        </w:rPr>
        <w:lastRenderedPageBreak/>
        <w:t>Table 3.</w:t>
      </w:r>
      <w:r w:rsidR="00086C53">
        <w:rPr>
          <w:b w:val="0"/>
        </w:rPr>
        <w:t>10</w:t>
      </w:r>
      <w:r>
        <w:tab/>
        <w:t>Approved services with a quality rating, by quality rating level and service type, Australia, June 2013</w:t>
      </w:r>
      <w:r w:rsidRPr="00C86801">
        <w:rPr>
          <w:rStyle w:val="NoteLabel"/>
          <w:b/>
        </w:rPr>
        <w:t>a, b</w:t>
      </w:r>
    </w:p>
    <w:tbl>
      <w:tblPr>
        <w:tblW w:w="5000" w:type="pct"/>
        <w:tblCellMar>
          <w:left w:w="0" w:type="dxa"/>
          <w:right w:w="0" w:type="dxa"/>
        </w:tblCellMar>
        <w:tblLook w:val="0000" w:firstRow="0" w:lastRow="0" w:firstColumn="0" w:lastColumn="0" w:noHBand="0" w:noVBand="0"/>
      </w:tblPr>
      <w:tblGrid>
        <w:gridCol w:w="1985"/>
        <w:gridCol w:w="744"/>
        <w:gridCol w:w="744"/>
        <w:gridCol w:w="744"/>
        <w:gridCol w:w="745"/>
        <w:gridCol w:w="744"/>
        <w:gridCol w:w="745"/>
        <w:gridCol w:w="744"/>
        <w:gridCol w:w="745"/>
        <w:gridCol w:w="849"/>
      </w:tblGrid>
      <w:tr w:rsidR="009E3534" w:rsidTr="00FB09A6">
        <w:tc>
          <w:tcPr>
            <w:tcW w:w="1130" w:type="pct"/>
            <w:tcBorders>
              <w:top w:val="single" w:sz="6" w:space="0" w:color="auto"/>
              <w:bottom w:val="single" w:sz="6" w:space="0" w:color="auto"/>
            </w:tcBorders>
            <w:shd w:val="clear" w:color="auto" w:fill="auto"/>
          </w:tcPr>
          <w:p w:rsidR="009E3534" w:rsidRDefault="009E3534" w:rsidP="00FB09A6">
            <w:pPr>
              <w:pStyle w:val="TableColumnHeading"/>
              <w:jc w:val="left"/>
            </w:pPr>
          </w:p>
        </w:tc>
        <w:tc>
          <w:tcPr>
            <w:tcW w:w="846" w:type="pct"/>
            <w:gridSpan w:val="2"/>
            <w:tcBorders>
              <w:top w:val="single" w:sz="6" w:space="0" w:color="auto"/>
              <w:bottom w:val="single" w:sz="6" w:space="0" w:color="auto"/>
            </w:tcBorders>
            <w:shd w:val="clear" w:color="auto" w:fill="auto"/>
          </w:tcPr>
          <w:p w:rsidR="009E3534" w:rsidRDefault="00132AB5" w:rsidP="00FB09A6">
            <w:pPr>
              <w:pStyle w:val="TableColumnHeading"/>
            </w:pPr>
            <w:r>
              <w:t>Significant I</w:t>
            </w:r>
            <w:r w:rsidR="009E3534">
              <w:t>mprovement required</w:t>
            </w:r>
          </w:p>
        </w:tc>
        <w:tc>
          <w:tcPr>
            <w:tcW w:w="847" w:type="pct"/>
            <w:gridSpan w:val="2"/>
            <w:tcBorders>
              <w:top w:val="single" w:sz="6" w:space="0" w:color="auto"/>
              <w:bottom w:val="single" w:sz="6" w:space="0" w:color="auto"/>
            </w:tcBorders>
            <w:shd w:val="clear" w:color="auto" w:fill="auto"/>
          </w:tcPr>
          <w:p w:rsidR="009E3534" w:rsidRDefault="00132AB5" w:rsidP="00FB09A6">
            <w:pPr>
              <w:pStyle w:val="TableColumnHeading"/>
            </w:pPr>
            <w:r>
              <w:t>Working T</w:t>
            </w:r>
            <w:r w:rsidR="009E3534">
              <w:t xml:space="preserve">owards </w:t>
            </w:r>
            <w:proofErr w:type="spellStart"/>
            <w:r w:rsidR="009E3534">
              <w:t>NQS</w:t>
            </w:r>
            <w:proofErr w:type="spellEnd"/>
          </w:p>
        </w:tc>
        <w:tc>
          <w:tcPr>
            <w:tcW w:w="847" w:type="pct"/>
            <w:gridSpan w:val="2"/>
            <w:tcBorders>
              <w:top w:val="single" w:sz="6" w:space="0" w:color="auto"/>
              <w:bottom w:val="single" w:sz="6" w:space="0" w:color="auto"/>
            </w:tcBorders>
            <w:shd w:val="clear" w:color="auto" w:fill="auto"/>
          </w:tcPr>
          <w:p w:rsidR="009E3534" w:rsidRDefault="009E3534" w:rsidP="00FB09A6">
            <w:pPr>
              <w:pStyle w:val="TableColumnHeading"/>
            </w:pPr>
            <w:r>
              <w:t xml:space="preserve">Meeting </w:t>
            </w:r>
            <w:proofErr w:type="spellStart"/>
            <w:r>
              <w:t>NQS</w:t>
            </w:r>
            <w:proofErr w:type="spellEnd"/>
          </w:p>
        </w:tc>
        <w:tc>
          <w:tcPr>
            <w:tcW w:w="847" w:type="pct"/>
            <w:gridSpan w:val="2"/>
            <w:tcBorders>
              <w:top w:val="single" w:sz="6" w:space="0" w:color="auto"/>
              <w:bottom w:val="single" w:sz="6" w:space="0" w:color="auto"/>
            </w:tcBorders>
            <w:shd w:val="clear" w:color="auto" w:fill="auto"/>
          </w:tcPr>
          <w:p w:rsidR="009E3534" w:rsidRDefault="009E3534" w:rsidP="00FB09A6">
            <w:pPr>
              <w:pStyle w:val="TableColumnHeading"/>
            </w:pPr>
            <w:r>
              <w:t xml:space="preserve">Exceeding </w:t>
            </w:r>
            <w:proofErr w:type="spellStart"/>
            <w:r>
              <w:t>NQS</w:t>
            </w:r>
            <w:proofErr w:type="spellEnd"/>
          </w:p>
        </w:tc>
        <w:tc>
          <w:tcPr>
            <w:tcW w:w="483" w:type="pct"/>
            <w:tcBorders>
              <w:top w:val="single" w:sz="6" w:space="0" w:color="auto"/>
              <w:bottom w:val="single" w:sz="6" w:space="0" w:color="auto"/>
            </w:tcBorders>
            <w:shd w:val="clear" w:color="auto" w:fill="auto"/>
          </w:tcPr>
          <w:p w:rsidR="009E3534" w:rsidRDefault="009E3534" w:rsidP="00FB09A6">
            <w:pPr>
              <w:pStyle w:val="TableColumnHeading"/>
              <w:ind w:right="28"/>
            </w:pPr>
            <w:r>
              <w:t>Total</w:t>
            </w:r>
          </w:p>
        </w:tc>
      </w:tr>
      <w:tr w:rsidR="009E3534" w:rsidTr="00FB09A6">
        <w:tc>
          <w:tcPr>
            <w:tcW w:w="1130" w:type="pct"/>
            <w:tcBorders>
              <w:top w:val="single" w:sz="6" w:space="0" w:color="auto"/>
              <w:bottom w:val="single" w:sz="6" w:space="0" w:color="auto"/>
            </w:tcBorders>
            <w:shd w:val="clear" w:color="auto" w:fill="auto"/>
          </w:tcPr>
          <w:p w:rsidR="009E3534" w:rsidRDefault="009E3534" w:rsidP="00FB09A6">
            <w:pPr>
              <w:pStyle w:val="TableColumnHeading"/>
              <w:jc w:val="left"/>
            </w:pPr>
          </w:p>
        </w:tc>
        <w:tc>
          <w:tcPr>
            <w:tcW w:w="423" w:type="pct"/>
            <w:tcBorders>
              <w:top w:val="single" w:sz="6" w:space="0" w:color="auto"/>
              <w:bottom w:val="single" w:sz="6" w:space="0" w:color="auto"/>
            </w:tcBorders>
            <w:shd w:val="clear" w:color="auto" w:fill="auto"/>
          </w:tcPr>
          <w:p w:rsidR="009E3534" w:rsidRDefault="009E3534" w:rsidP="00FB09A6">
            <w:pPr>
              <w:pStyle w:val="TableColumnHeading"/>
            </w:pPr>
            <w:r>
              <w:t>no.</w:t>
            </w:r>
          </w:p>
        </w:tc>
        <w:tc>
          <w:tcPr>
            <w:tcW w:w="423" w:type="pct"/>
            <w:tcBorders>
              <w:top w:val="single" w:sz="6" w:space="0" w:color="auto"/>
              <w:bottom w:val="single" w:sz="6" w:space="0" w:color="auto"/>
            </w:tcBorders>
            <w:shd w:val="clear" w:color="auto" w:fill="auto"/>
          </w:tcPr>
          <w:p w:rsidR="009E3534" w:rsidRDefault="009E3534" w:rsidP="00FB09A6">
            <w:pPr>
              <w:pStyle w:val="TableColumnHeading"/>
            </w:pPr>
            <w:r>
              <w:t>%</w:t>
            </w:r>
          </w:p>
        </w:tc>
        <w:tc>
          <w:tcPr>
            <w:tcW w:w="423" w:type="pct"/>
            <w:tcBorders>
              <w:top w:val="single" w:sz="6" w:space="0" w:color="auto"/>
              <w:bottom w:val="single" w:sz="6" w:space="0" w:color="auto"/>
            </w:tcBorders>
            <w:shd w:val="clear" w:color="auto" w:fill="auto"/>
          </w:tcPr>
          <w:p w:rsidR="009E3534" w:rsidRDefault="009E3534" w:rsidP="00FB09A6">
            <w:pPr>
              <w:pStyle w:val="TableColumnHeading"/>
            </w:pPr>
            <w:r>
              <w:t>no.</w:t>
            </w:r>
          </w:p>
        </w:tc>
        <w:tc>
          <w:tcPr>
            <w:tcW w:w="424" w:type="pct"/>
            <w:tcBorders>
              <w:top w:val="single" w:sz="6" w:space="0" w:color="auto"/>
              <w:bottom w:val="single" w:sz="6" w:space="0" w:color="auto"/>
            </w:tcBorders>
            <w:shd w:val="clear" w:color="auto" w:fill="auto"/>
          </w:tcPr>
          <w:p w:rsidR="009E3534" w:rsidRDefault="009E3534" w:rsidP="00FB09A6">
            <w:pPr>
              <w:pStyle w:val="TableColumnHeading"/>
              <w:ind w:left="0"/>
            </w:pPr>
            <w:r>
              <w:t xml:space="preserve"> %</w:t>
            </w:r>
          </w:p>
        </w:tc>
        <w:tc>
          <w:tcPr>
            <w:tcW w:w="423" w:type="pct"/>
            <w:tcBorders>
              <w:top w:val="single" w:sz="6" w:space="0" w:color="auto"/>
              <w:bottom w:val="single" w:sz="6" w:space="0" w:color="auto"/>
            </w:tcBorders>
            <w:shd w:val="clear" w:color="auto" w:fill="auto"/>
          </w:tcPr>
          <w:p w:rsidR="009E3534" w:rsidRDefault="009E3534" w:rsidP="00FB09A6">
            <w:pPr>
              <w:pStyle w:val="TableColumnHeading"/>
              <w:ind w:left="0"/>
            </w:pPr>
            <w:r>
              <w:t>no.</w:t>
            </w:r>
          </w:p>
        </w:tc>
        <w:tc>
          <w:tcPr>
            <w:tcW w:w="423" w:type="pct"/>
            <w:tcBorders>
              <w:top w:val="single" w:sz="6" w:space="0" w:color="auto"/>
              <w:bottom w:val="single" w:sz="6" w:space="0" w:color="auto"/>
            </w:tcBorders>
            <w:shd w:val="clear" w:color="auto" w:fill="auto"/>
          </w:tcPr>
          <w:p w:rsidR="009E3534" w:rsidRDefault="00F0169A" w:rsidP="00FB09A6">
            <w:pPr>
              <w:pStyle w:val="TableColumnHeading"/>
            </w:pPr>
            <w:r>
              <w:t>%</w:t>
            </w:r>
            <w:r w:rsidR="009E3534">
              <w:t xml:space="preserve"> </w:t>
            </w:r>
          </w:p>
        </w:tc>
        <w:tc>
          <w:tcPr>
            <w:tcW w:w="423" w:type="pct"/>
            <w:tcBorders>
              <w:top w:val="single" w:sz="6" w:space="0" w:color="auto"/>
              <w:bottom w:val="single" w:sz="6" w:space="0" w:color="auto"/>
            </w:tcBorders>
            <w:shd w:val="clear" w:color="auto" w:fill="auto"/>
          </w:tcPr>
          <w:p w:rsidR="009E3534" w:rsidRDefault="009E3534" w:rsidP="00FB09A6">
            <w:pPr>
              <w:pStyle w:val="TableColumnHeading"/>
            </w:pPr>
            <w:r>
              <w:t>no.</w:t>
            </w:r>
          </w:p>
        </w:tc>
        <w:tc>
          <w:tcPr>
            <w:tcW w:w="424" w:type="pct"/>
            <w:tcBorders>
              <w:top w:val="single" w:sz="6" w:space="0" w:color="auto"/>
              <w:bottom w:val="single" w:sz="6" w:space="0" w:color="auto"/>
            </w:tcBorders>
            <w:shd w:val="clear" w:color="auto" w:fill="auto"/>
          </w:tcPr>
          <w:p w:rsidR="009E3534" w:rsidRDefault="009E3534" w:rsidP="00FB09A6">
            <w:pPr>
              <w:pStyle w:val="TableColumnHeading"/>
            </w:pPr>
            <w:r>
              <w:t>%</w:t>
            </w:r>
          </w:p>
        </w:tc>
        <w:tc>
          <w:tcPr>
            <w:tcW w:w="483" w:type="pct"/>
            <w:tcBorders>
              <w:top w:val="single" w:sz="6" w:space="0" w:color="auto"/>
              <w:bottom w:val="single" w:sz="6" w:space="0" w:color="auto"/>
            </w:tcBorders>
            <w:shd w:val="clear" w:color="auto" w:fill="auto"/>
          </w:tcPr>
          <w:p w:rsidR="009E3534" w:rsidRDefault="009E3534" w:rsidP="00FB09A6">
            <w:pPr>
              <w:pStyle w:val="TableColumnHeading"/>
              <w:ind w:right="28"/>
            </w:pPr>
            <w:r>
              <w:t>no.</w:t>
            </w:r>
          </w:p>
        </w:tc>
      </w:tr>
      <w:tr w:rsidR="009E3534" w:rsidTr="00FB09A6">
        <w:tc>
          <w:tcPr>
            <w:tcW w:w="1130" w:type="pct"/>
            <w:tcBorders>
              <w:top w:val="single" w:sz="6" w:space="0" w:color="auto"/>
            </w:tcBorders>
          </w:tcPr>
          <w:p w:rsidR="009E3534" w:rsidRDefault="009E3534" w:rsidP="00FB09A6">
            <w:pPr>
              <w:pStyle w:val="TableUnitsRow"/>
              <w:jc w:val="left"/>
            </w:pPr>
            <w:r>
              <w:t>Centre</w:t>
            </w:r>
            <w:r w:rsidR="00172534">
              <w:noBreakHyphen/>
            </w:r>
            <w:r>
              <w:t>based care</w:t>
            </w:r>
            <w:r>
              <w:rPr>
                <w:rStyle w:val="NoteLabel"/>
              </w:rPr>
              <w:t>c</w:t>
            </w:r>
          </w:p>
        </w:tc>
        <w:tc>
          <w:tcPr>
            <w:tcW w:w="423" w:type="pct"/>
            <w:tcBorders>
              <w:top w:val="single" w:sz="6" w:space="0" w:color="auto"/>
            </w:tcBorders>
          </w:tcPr>
          <w:p w:rsidR="009E3534" w:rsidRDefault="009E3534" w:rsidP="00FB09A6">
            <w:pPr>
              <w:pStyle w:val="TableUnitsRow"/>
            </w:pPr>
            <w:r>
              <w:t>5</w:t>
            </w:r>
          </w:p>
        </w:tc>
        <w:tc>
          <w:tcPr>
            <w:tcW w:w="423" w:type="pct"/>
            <w:tcBorders>
              <w:top w:val="single" w:sz="6" w:space="0" w:color="auto"/>
            </w:tcBorders>
          </w:tcPr>
          <w:p w:rsidR="009E3534" w:rsidRDefault="009E3534" w:rsidP="00FB09A6">
            <w:pPr>
              <w:pStyle w:val="TableUnitsRow"/>
            </w:pPr>
            <w:r>
              <w:t>0.2</w:t>
            </w:r>
          </w:p>
        </w:tc>
        <w:tc>
          <w:tcPr>
            <w:tcW w:w="423" w:type="pct"/>
            <w:tcBorders>
              <w:top w:val="single" w:sz="6" w:space="0" w:color="auto"/>
            </w:tcBorders>
          </w:tcPr>
          <w:p w:rsidR="009E3534" w:rsidRDefault="009E3534" w:rsidP="00FB09A6">
            <w:pPr>
              <w:pStyle w:val="TableUnitsRow"/>
            </w:pPr>
            <w:r>
              <w:t>1 064</w:t>
            </w:r>
          </w:p>
        </w:tc>
        <w:tc>
          <w:tcPr>
            <w:tcW w:w="424" w:type="pct"/>
            <w:tcBorders>
              <w:top w:val="single" w:sz="6" w:space="0" w:color="auto"/>
            </w:tcBorders>
          </w:tcPr>
          <w:p w:rsidR="009E3534" w:rsidRDefault="009E3534" w:rsidP="00FB09A6">
            <w:pPr>
              <w:pStyle w:val="TableUnitsRow"/>
            </w:pPr>
            <w:r>
              <w:t>43.6</w:t>
            </w:r>
          </w:p>
        </w:tc>
        <w:tc>
          <w:tcPr>
            <w:tcW w:w="423" w:type="pct"/>
            <w:tcBorders>
              <w:top w:val="single" w:sz="6" w:space="0" w:color="auto"/>
            </w:tcBorders>
          </w:tcPr>
          <w:p w:rsidR="009E3534" w:rsidRDefault="009E3534" w:rsidP="00FB09A6">
            <w:pPr>
              <w:pStyle w:val="TableUnitsRow"/>
            </w:pPr>
            <w:r>
              <w:t>811</w:t>
            </w:r>
          </w:p>
        </w:tc>
        <w:tc>
          <w:tcPr>
            <w:tcW w:w="423" w:type="pct"/>
            <w:tcBorders>
              <w:top w:val="single" w:sz="6" w:space="0" w:color="auto"/>
            </w:tcBorders>
          </w:tcPr>
          <w:p w:rsidR="009E3534" w:rsidRDefault="009E3534" w:rsidP="00FB09A6">
            <w:pPr>
              <w:pStyle w:val="TableUnitsRow"/>
            </w:pPr>
            <w:r>
              <w:t>33.3</w:t>
            </w:r>
          </w:p>
        </w:tc>
        <w:tc>
          <w:tcPr>
            <w:tcW w:w="423" w:type="pct"/>
            <w:tcBorders>
              <w:top w:val="single" w:sz="6" w:space="0" w:color="auto"/>
            </w:tcBorders>
          </w:tcPr>
          <w:p w:rsidR="009E3534" w:rsidRDefault="009E3534" w:rsidP="00FB09A6">
            <w:pPr>
              <w:pStyle w:val="TableUnitsRow"/>
            </w:pPr>
            <w:r>
              <w:t>559</w:t>
            </w:r>
          </w:p>
        </w:tc>
        <w:tc>
          <w:tcPr>
            <w:tcW w:w="424" w:type="pct"/>
            <w:tcBorders>
              <w:top w:val="single" w:sz="6" w:space="0" w:color="auto"/>
            </w:tcBorders>
          </w:tcPr>
          <w:p w:rsidR="009E3534" w:rsidRDefault="009E3534" w:rsidP="00FB09A6">
            <w:pPr>
              <w:pStyle w:val="TableUnitsRow"/>
            </w:pPr>
            <w:r>
              <w:t>22.9</w:t>
            </w:r>
          </w:p>
        </w:tc>
        <w:tc>
          <w:tcPr>
            <w:tcW w:w="483" w:type="pct"/>
            <w:tcBorders>
              <w:top w:val="single" w:sz="6" w:space="0" w:color="auto"/>
            </w:tcBorders>
          </w:tcPr>
          <w:p w:rsidR="009E3534" w:rsidRDefault="009E3534" w:rsidP="00FB09A6">
            <w:pPr>
              <w:pStyle w:val="TableUnitsRow"/>
              <w:ind w:right="28"/>
            </w:pPr>
            <w:r>
              <w:t>2 439</w:t>
            </w:r>
          </w:p>
        </w:tc>
      </w:tr>
      <w:tr w:rsidR="009E3534" w:rsidTr="00FB09A6">
        <w:tc>
          <w:tcPr>
            <w:tcW w:w="1130" w:type="pct"/>
          </w:tcPr>
          <w:p w:rsidR="009E3534" w:rsidRDefault="009E3534" w:rsidP="00FB09A6">
            <w:pPr>
              <w:pStyle w:val="TableBodyText"/>
              <w:jc w:val="left"/>
            </w:pPr>
            <w:r>
              <w:t>Family day care</w:t>
            </w:r>
            <w:r>
              <w:rPr>
                <w:rStyle w:val="NoteLabel"/>
              </w:rPr>
              <w:t>d</w:t>
            </w:r>
          </w:p>
        </w:tc>
        <w:tc>
          <w:tcPr>
            <w:tcW w:w="423" w:type="pct"/>
          </w:tcPr>
          <w:p w:rsidR="009E3534" w:rsidRDefault="009E3534" w:rsidP="00FB09A6">
            <w:pPr>
              <w:pStyle w:val="TableBodyText"/>
            </w:pPr>
            <w:r>
              <w:t>1</w:t>
            </w:r>
          </w:p>
        </w:tc>
        <w:tc>
          <w:tcPr>
            <w:tcW w:w="423" w:type="pct"/>
          </w:tcPr>
          <w:p w:rsidR="009E3534" w:rsidRDefault="009E3534" w:rsidP="00FB09A6">
            <w:pPr>
              <w:pStyle w:val="TableBodyText"/>
            </w:pPr>
            <w:r>
              <w:t>0.8</w:t>
            </w:r>
          </w:p>
        </w:tc>
        <w:tc>
          <w:tcPr>
            <w:tcW w:w="423" w:type="pct"/>
          </w:tcPr>
          <w:p w:rsidR="009E3534" w:rsidRDefault="009E3534" w:rsidP="00FB09A6">
            <w:pPr>
              <w:pStyle w:val="TableBodyText"/>
            </w:pPr>
            <w:r>
              <w:t>57</w:t>
            </w:r>
          </w:p>
        </w:tc>
        <w:tc>
          <w:tcPr>
            <w:tcW w:w="424" w:type="pct"/>
          </w:tcPr>
          <w:p w:rsidR="009E3534" w:rsidRDefault="009E3534" w:rsidP="00FB09A6">
            <w:pPr>
              <w:pStyle w:val="TableBodyText"/>
            </w:pPr>
            <w:r>
              <w:t>44.5</w:t>
            </w:r>
          </w:p>
        </w:tc>
        <w:tc>
          <w:tcPr>
            <w:tcW w:w="423" w:type="pct"/>
          </w:tcPr>
          <w:p w:rsidR="009E3534" w:rsidRDefault="009E3534" w:rsidP="00FB09A6">
            <w:pPr>
              <w:pStyle w:val="TableBodyText"/>
            </w:pPr>
            <w:r>
              <w:t>40</w:t>
            </w:r>
          </w:p>
        </w:tc>
        <w:tc>
          <w:tcPr>
            <w:tcW w:w="423" w:type="pct"/>
          </w:tcPr>
          <w:p w:rsidR="009E3534" w:rsidRDefault="009E3534" w:rsidP="00FB09A6">
            <w:pPr>
              <w:pStyle w:val="TableBodyText"/>
            </w:pPr>
            <w:r>
              <w:t>31.3</w:t>
            </w:r>
          </w:p>
        </w:tc>
        <w:tc>
          <w:tcPr>
            <w:tcW w:w="423" w:type="pct"/>
          </w:tcPr>
          <w:p w:rsidR="009E3534" w:rsidRDefault="009E3534" w:rsidP="00FB09A6">
            <w:pPr>
              <w:pStyle w:val="TableBodyText"/>
            </w:pPr>
            <w:r>
              <w:t>30</w:t>
            </w:r>
          </w:p>
        </w:tc>
        <w:tc>
          <w:tcPr>
            <w:tcW w:w="424" w:type="pct"/>
          </w:tcPr>
          <w:p w:rsidR="009E3534" w:rsidRDefault="009E3534" w:rsidP="00FB09A6">
            <w:pPr>
              <w:pStyle w:val="TableBodyText"/>
            </w:pPr>
            <w:r>
              <w:t>23.4</w:t>
            </w:r>
          </w:p>
        </w:tc>
        <w:tc>
          <w:tcPr>
            <w:tcW w:w="483" w:type="pct"/>
          </w:tcPr>
          <w:p w:rsidR="009E3534" w:rsidRDefault="009E3534" w:rsidP="00FB09A6">
            <w:pPr>
              <w:pStyle w:val="TableBodyText"/>
              <w:ind w:right="28"/>
            </w:pPr>
            <w:r>
              <w:t>128</w:t>
            </w:r>
          </w:p>
        </w:tc>
      </w:tr>
      <w:tr w:rsidR="009E3534" w:rsidTr="00FB09A6">
        <w:tc>
          <w:tcPr>
            <w:tcW w:w="1130" w:type="pct"/>
            <w:tcBorders>
              <w:bottom w:val="single" w:sz="4" w:space="0" w:color="auto"/>
            </w:tcBorders>
          </w:tcPr>
          <w:p w:rsidR="009E3534" w:rsidRPr="00513731" w:rsidRDefault="009E3534" w:rsidP="00FB09A6">
            <w:pPr>
              <w:pStyle w:val="TableBodyText"/>
              <w:ind w:left="0"/>
              <w:jc w:val="left"/>
              <w:rPr>
                <w:b/>
              </w:rPr>
            </w:pPr>
            <w:r w:rsidRPr="00513731">
              <w:rPr>
                <w:b/>
              </w:rPr>
              <w:t>Total</w:t>
            </w:r>
          </w:p>
        </w:tc>
        <w:tc>
          <w:tcPr>
            <w:tcW w:w="423" w:type="pct"/>
            <w:tcBorders>
              <w:bottom w:val="single" w:sz="4" w:space="0" w:color="auto"/>
            </w:tcBorders>
          </w:tcPr>
          <w:p w:rsidR="009E3534" w:rsidRPr="00513731" w:rsidRDefault="009E3534" w:rsidP="00FB09A6">
            <w:pPr>
              <w:pStyle w:val="TableBodyText"/>
              <w:rPr>
                <w:b/>
              </w:rPr>
            </w:pPr>
            <w:r w:rsidRPr="00513731">
              <w:rPr>
                <w:b/>
              </w:rPr>
              <w:t>6</w:t>
            </w:r>
          </w:p>
        </w:tc>
        <w:tc>
          <w:tcPr>
            <w:tcW w:w="423" w:type="pct"/>
            <w:tcBorders>
              <w:bottom w:val="single" w:sz="4" w:space="0" w:color="auto"/>
            </w:tcBorders>
          </w:tcPr>
          <w:p w:rsidR="009E3534" w:rsidRPr="00513731" w:rsidRDefault="009E3534" w:rsidP="00FB09A6">
            <w:pPr>
              <w:pStyle w:val="TableBodyText"/>
              <w:rPr>
                <w:b/>
              </w:rPr>
            </w:pPr>
            <w:r w:rsidRPr="00513731">
              <w:rPr>
                <w:b/>
              </w:rPr>
              <w:t>0.2</w:t>
            </w:r>
          </w:p>
        </w:tc>
        <w:tc>
          <w:tcPr>
            <w:tcW w:w="423" w:type="pct"/>
            <w:tcBorders>
              <w:bottom w:val="single" w:sz="4" w:space="0" w:color="auto"/>
            </w:tcBorders>
          </w:tcPr>
          <w:p w:rsidR="009E3534" w:rsidRPr="00513731" w:rsidRDefault="009E3534" w:rsidP="00FB09A6">
            <w:pPr>
              <w:pStyle w:val="TableBodyText"/>
              <w:rPr>
                <w:b/>
              </w:rPr>
            </w:pPr>
            <w:r w:rsidRPr="00513731">
              <w:rPr>
                <w:b/>
              </w:rPr>
              <w:t>1 121</w:t>
            </w:r>
          </w:p>
        </w:tc>
        <w:tc>
          <w:tcPr>
            <w:tcW w:w="424" w:type="pct"/>
            <w:tcBorders>
              <w:bottom w:val="single" w:sz="4" w:space="0" w:color="auto"/>
            </w:tcBorders>
          </w:tcPr>
          <w:p w:rsidR="009E3534" w:rsidRPr="00513731" w:rsidRDefault="009E3534" w:rsidP="00FB09A6">
            <w:pPr>
              <w:pStyle w:val="TableBodyText"/>
              <w:rPr>
                <w:b/>
              </w:rPr>
            </w:pPr>
            <w:r w:rsidRPr="00513731">
              <w:rPr>
                <w:b/>
              </w:rPr>
              <w:t>43.7</w:t>
            </w:r>
          </w:p>
        </w:tc>
        <w:tc>
          <w:tcPr>
            <w:tcW w:w="423" w:type="pct"/>
            <w:tcBorders>
              <w:bottom w:val="single" w:sz="4" w:space="0" w:color="auto"/>
            </w:tcBorders>
          </w:tcPr>
          <w:p w:rsidR="009E3534" w:rsidRPr="00513731" w:rsidRDefault="009E3534" w:rsidP="00FB09A6">
            <w:pPr>
              <w:pStyle w:val="TableBodyText"/>
              <w:rPr>
                <w:b/>
              </w:rPr>
            </w:pPr>
            <w:r w:rsidRPr="00513731">
              <w:rPr>
                <w:b/>
              </w:rPr>
              <w:t xml:space="preserve">851 </w:t>
            </w:r>
          </w:p>
        </w:tc>
        <w:tc>
          <w:tcPr>
            <w:tcW w:w="423" w:type="pct"/>
            <w:tcBorders>
              <w:bottom w:val="single" w:sz="4" w:space="0" w:color="auto"/>
            </w:tcBorders>
          </w:tcPr>
          <w:p w:rsidR="009E3534" w:rsidRPr="00513731" w:rsidRDefault="009E3534" w:rsidP="00FB09A6">
            <w:pPr>
              <w:pStyle w:val="TableBodyText"/>
              <w:rPr>
                <w:b/>
              </w:rPr>
            </w:pPr>
            <w:r w:rsidRPr="00513731">
              <w:rPr>
                <w:b/>
              </w:rPr>
              <w:t>33.2</w:t>
            </w:r>
          </w:p>
        </w:tc>
        <w:tc>
          <w:tcPr>
            <w:tcW w:w="423" w:type="pct"/>
            <w:tcBorders>
              <w:bottom w:val="single" w:sz="4" w:space="0" w:color="auto"/>
            </w:tcBorders>
          </w:tcPr>
          <w:p w:rsidR="009E3534" w:rsidRPr="00513731" w:rsidRDefault="009E3534" w:rsidP="00FB09A6">
            <w:pPr>
              <w:pStyle w:val="TableBodyText"/>
              <w:rPr>
                <w:b/>
              </w:rPr>
            </w:pPr>
            <w:r w:rsidRPr="00513731">
              <w:rPr>
                <w:b/>
              </w:rPr>
              <w:t>589</w:t>
            </w:r>
          </w:p>
        </w:tc>
        <w:tc>
          <w:tcPr>
            <w:tcW w:w="424" w:type="pct"/>
            <w:tcBorders>
              <w:bottom w:val="single" w:sz="4" w:space="0" w:color="auto"/>
            </w:tcBorders>
          </w:tcPr>
          <w:p w:rsidR="009E3534" w:rsidRPr="00513731" w:rsidRDefault="009E3534" w:rsidP="00FB09A6">
            <w:pPr>
              <w:pStyle w:val="TableBodyText"/>
              <w:rPr>
                <w:b/>
              </w:rPr>
            </w:pPr>
            <w:r w:rsidRPr="00513731">
              <w:rPr>
                <w:b/>
              </w:rPr>
              <w:t>22.9</w:t>
            </w:r>
          </w:p>
        </w:tc>
        <w:tc>
          <w:tcPr>
            <w:tcW w:w="483" w:type="pct"/>
            <w:tcBorders>
              <w:bottom w:val="single" w:sz="4" w:space="0" w:color="auto"/>
            </w:tcBorders>
          </w:tcPr>
          <w:p w:rsidR="009E3534" w:rsidRPr="00513731" w:rsidRDefault="009E3534" w:rsidP="00FB09A6">
            <w:pPr>
              <w:pStyle w:val="TableBodyText"/>
              <w:ind w:right="28"/>
              <w:rPr>
                <w:b/>
              </w:rPr>
            </w:pPr>
            <w:r w:rsidRPr="00513731">
              <w:rPr>
                <w:b/>
              </w:rPr>
              <w:t>2 567</w:t>
            </w:r>
          </w:p>
        </w:tc>
      </w:tr>
    </w:tbl>
    <w:p w:rsidR="009E3534" w:rsidRPr="00F124B3" w:rsidRDefault="009E3534" w:rsidP="009E3534">
      <w:pPr>
        <w:pStyle w:val="Note"/>
      </w:pPr>
      <w:r w:rsidRPr="007A147E">
        <w:rPr>
          <w:rStyle w:val="NoteLabel"/>
        </w:rPr>
        <w:t>a</w:t>
      </w:r>
      <w:r>
        <w:t xml:space="preserve"> As at 30</w:t>
      </w:r>
      <w:r w:rsidR="00172534">
        <w:t> </w:t>
      </w:r>
      <w:r>
        <w:t>June 2013.</w:t>
      </w:r>
      <w:r w:rsidR="00CD2405">
        <w:t xml:space="preserve"> Data are available at a national level only for centre</w:t>
      </w:r>
      <w:r w:rsidR="00172534">
        <w:noBreakHyphen/>
      </w:r>
      <w:r w:rsidR="00CD2405">
        <w:t>based care and family day care.</w:t>
      </w:r>
      <w:r>
        <w:t> </w:t>
      </w:r>
      <w:r w:rsidR="00CD2405">
        <w:br/>
      </w:r>
      <w:r>
        <w:rPr>
          <w:rStyle w:val="NoteLabel"/>
        </w:rPr>
        <w:t>b</w:t>
      </w:r>
      <w:r>
        <w:t xml:space="preserve"> </w:t>
      </w:r>
      <w:r w:rsidR="006162BE" w:rsidRPr="006162BE">
        <w:t>Regulatory authorities in each jurisdiction differ in their approach to selecting services for quality rat</w:t>
      </w:r>
      <w:r w:rsidR="006162BE">
        <w:t xml:space="preserve">ing data. The implication of </w:t>
      </w:r>
      <w:r w:rsidR="006162BE" w:rsidRPr="006162BE">
        <w:t>quality rating services based on different approaches is that data are not representative of all edu</w:t>
      </w:r>
      <w:r w:rsidR="00CD2405">
        <w:t>cation and care services nation</w:t>
      </w:r>
      <w:r w:rsidR="006162BE" w:rsidRPr="006162BE">
        <w:t>wide.</w:t>
      </w:r>
      <w:r w:rsidR="006162BE">
        <w:t xml:space="preserve"> </w:t>
      </w:r>
      <w:r w:rsidR="006162BE" w:rsidRPr="006162BE">
        <w:t>Therefore, it is inadvisable to draw conclusions about education and care services that are yet to be rated based on those that have been rated to</w:t>
      </w:r>
      <w:r w:rsidR="006162BE">
        <w:t xml:space="preserve"> date.</w:t>
      </w:r>
    </w:p>
    <w:p w:rsidR="009E3534" w:rsidRPr="008F396A" w:rsidRDefault="009E3534" w:rsidP="001272BA">
      <w:pPr>
        <w:pStyle w:val="Source"/>
      </w:pPr>
      <w:r w:rsidRPr="00F124B3">
        <w:rPr>
          <w:rStyle w:val="SourceChar"/>
          <w:i/>
        </w:rPr>
        <w:t>Source</w:t>
      </w:r>
      <w:r w:rsidRPr="00172534">
        <w:rPr>
          <w:rStyle w:val="SourceChar"/>
        </w:rPr>
        <w:t>:</w:t>
      </w:r>
      <w:r w:rsidRPr="00F124B3">
        <w:rPr>
          <w:rStyle w:val="SourceChar"/>
        </w:rPr>
        <w:t xml:space="preserve"> </w:t>
      </w:r>
      <w:proofErr w:type="spellStart"/>
      <w:r w:rsidRPr="00F124B3">
        <w:rPr>
          <w:rStyle w:val="SourceChar"/>
        </w:rPr>
        <w:t>ACECQA</w:t>
      </w:r>
      <w:proofErr w:type="spellEnd"/>
      <w:r w:rsidRPr="00F124B3">
        <w:rPr>
          <w:rStyle w:val="SourceChar"/>
        </w:rPr>
        <w:t xml:space="preserve"> (2013) </w:t>
      </w:r>
      <w:proofErr w:type="spellStart"/>
      <w:r w:rsidRPr="00F124B3">
        <w:rPr>
          <w:rStyle w:val="SourceChar"/>
          <w:i/>
        </w:rPr>
        <w:t>NQF</w:t>
      </w:r>
      <w:proofErr w:type="spellEnd"/>
      <w:r w:rsidRPr="00F124B3">
        <w:rPr>
          <w:rStyle w:val="SourceChar"/>
          <w:i/>
        </w:rPr>
        <w:t xml:space="preserve"> Snapshot </w:t>
      </w:r>
      <w:proofErr w:type="spellStart"/>
      <w:r w:rsidRPr="00F124B3">
        <w:rPr>
          <w:rStyle w:val="SourceChar"/>
          <w:i/>
        </w:rPr>
        <w:t>Q2</w:t>
      </w:r>
      <w:proofErr w:type="spellEnd"/>
      <w:r w:rsidRPr="00F124B3">
        <w:rPr>
          <w:rStyle w:val="SourceChar"/>
          <w:i/>
        </w:rPr>
        <w:t xml:space="preserve"> 2013</w:t>
      </w:r>
      <w:r>
        <w:rPr>
          <w:i/>
        </w:rPr>
        <w:t xml:space="preserve">; </w:t>
      </w:r>
      <w:r w:rsidR="00916691">
        <w:t>table</w:t>
      </w:r>
      <w:r w:rsidR="00172534">
        <w:t> </w:t>
      </w:r>
      <w:proofErr w:type="spellStart"/>
      <w:r w:rsidR="00916691">
        <w:t>3A.41</w:t>
      </w:r>
      <w:proofErr w:type="spellEnd"/>
      <w:r w:rsidRPr="00F124B3">
        <w:rPr>
          <w:i/>
        </w:rPr>
        <w:t>.</w:t>
      </w:r>
    </w:p>
    <w:p w:rsidR="00E12AEF" w:rsidRDefault="00E12AEF" w:rsidP="00C3586E">
      <w:pPr>
        <w:pStyle w:val="Heading5"/>
      </w:pPr>
      <w:r w:rsidRPr="00E12AEF">
        <w:t xml:space="preserve">Health </w:t>
      </w:r>
      <w:r w:rsidR="00A67E2D">
        <w:t>and safety — hospital separations</w:t>
      </w:r>
      <w:r w:rsidRPr="00E12AEF">
        <w:t xml:space="preserve"> for external causes of injury</w:t>
      </w:r>
    </w:p>
    <w:p w:rsidR="00C7718E" w:rsidRPr="008B42D1" w:rsidRDefault="00345B48" w:rsidP="00CB0726">
      <w:pPr>
        <w:pStyle w:val="BodyText"/>
        <w:shd w:val="clear" w:color="auto" w:fill="FFFFFF" w:themeFill="background1"/>
        <w:rPr>
          <w:rStyle w:val="BoxChar"/>
        </w:rPr>
      </w:pPr>
      <w:r w:rsidRPr="003F7B35">
        <w:t>‘Hospital separations for external causes of injury’</w:t>
      </w:r>
      <w:r w:rsidR="00A67E2D" w:rsidRPr="003F7B35">
        <w:t xml:space="preserve"> </w:t>
      </w:r>
      <w:r w:rsidR="00A67E2D" w:rsidRPr="00CB0726">
        <w:rPr>
          <w:shd w:val="clear" w:color="auto" w:fill="FFFFFF" w:themeFill="background1"/>
        </w:rPr>
        <w:t xml:space="preserve">(occurring in </w:t>
      </w:r>
      <w:r w:rsidR="00DF209A" w:rsidRPr="00CB0726">
        <w:rPr>
          <w:shd w:val="clear" w:color="auto" w:fill="FFFFFF" w:themeFill="background1"/>
        </w:rPr>
        <w:t>early childhood education and care</w:t>
      </w:r>
      <w:r w:rsidR="00A67E2D" w:rsidRPr="00CB0726">
        <w:rPr>
          <w:shd w:val="clear" w:color="auto" w:fill="FFFFFF" w:themeFill="background1"/>
        </w:rPr>
        <w:t>)</w:t>
      </w:r>
      <w:r w:rsidRPr="00CB0726">
        <w:rPr>
          <w:shd w:val="clear" w:color="auto" w:fill="FFFFFF" w:themeFill="background1"/>
        </w:rPr>
        <w:t xml:space="preserve"> is a proxy indicator of governments’ objective to ensure that </w:t>
      </w:r>
      <w:r w:rsidR="00DF209A" w:rsidRPr="00CB0726">
        <w:rPr>
          <w:shd w:val="clear" w:color="auto" w:fill="FFFFFF" w:themeFill="background1"/>
        </w:rPr>
        <w:t>early childhood education and care</w:t>
      </w:r>
      <w:r w:rsidRPr="00CB0726">
        <w:rPr>
          <w:shd w:val="clear" w:color="auto" w:fill="FFFFFF" w:themeFill="background1"/>
        </w:rPr>
        <w:t xml:space="preserve"> services meet the care, educational and developmental needs of children in a safe and nurturing environment </w:t>
      </w:r>
      <w:r w:rsidR="00E12AEF" w:rsidRPr="00CB0726">
        <w:rPr>
          <w:shd w:val="clear" w:color="auto" w:fill="FFFFFF" w:themeFill="background1"/>
        </w:rPr>
        <w:t>(</w:t>
      </w:r>
      <w:r w:rsidR="00E12AEF" w:rsidRPr="003F7B35">
        <w:t>box</w:t>
      </w:r>
      <w:r w:rsidR="00446CA3" w:rsidRPr="003F7B35">
        <w:t> </w:t>
      </w:r>
      <w:r w:rsidR="004369F9">
        <w:t>3.18</w:t>
      </w:r>
      <w:r w:rsidR="00E12AEF" w:rsidRPr="003F7B35">
        <w:t>).</w:t>
      </w:r>
    </w:p>
    <w:p w:rsidR="00E331D2" w:rsidRDefault="00E331D2" w:rsidP="00C3586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331D2">
        <w:tc>
          <w:tcPr>
            <w:tcW w:w="8771" w:type="dxa"/>
            <w:tcBorders>
              <w:top w:val="single" w:sz="6" w:space="0" w:color="auto"/>
              <w:bottom w:val="nil"/>
            </w:tcBorders>
          </w:tcPr>
          <w:p w:rsidR="00E331D2" w:rsidRDefault="00E331D2" w:rsidP="004369F9">
            <w:pPr>
              <w:pStyle w:val="BoxTitle"/>
            </w:pPr>
            <w:r>
              <w:rPr>
                <w:b w:val="0"/>
              </w:rPr>
              <w:t xml:space="preserve">Box </w:t>
            </w:r>
            <w:bookmarkStart w:id="30" w:name="OLE_LINK26"/>
            <w:r w:rsidR="00923A1C">
              <w:rPr>
                <w:b w:val="0"/>
              </w:rPr>
              <w:t>3.</w:t>
            </w:r>
            <w:bookmarkEnd w:id="30"/>
            <w:r w:rsidR="004369F9">
              <w:rPr>
                <w:b w:val="0"/>
              </w:rPr>
              <w:t>18</w:t>
            </w:r>
            <w:r>
              <w:tab/>
            </w:r>
            <w:r w:rsidRPr="00E12AEF">
              <w:t>Hospital separations for external causes of injury</w:t>
            </w:r>
            <w:r>
              <w:t xml:space="preserve"> </w:t>
            </w:r>
          </w:p>
        </w:tc>
      </w:tr>
      <w:tr w:rsidR="00E331D2">
        <w:trPr>
          <w:cantSplit/>
        </w:trPr>
        <w:tc>
          <w:tcPr>
            <w:tcW w:w="8771" w:type="dxa"/>
            <w:tcBorders>
              <w:top w:val="nil"/>
              <w:left w:val="single" w:sz="6" w:space="0" w:color="auto"/>
              <w:bottom w:val="nil"/>
              <w:right w:val="single" w:sz="6" w:space="0" w:color="auto"/>
            </w:tcBorders>
          </w:tcPr>
          <w:p w:rsidR="00E331D2" w:rsidRDefault="00E331D2" w:rsidP="00C3586E">
            <w:pPr>
              <w:pStyle w:val="Box"/>
            </w:pPr>
            <w:r>
              <w:t>‘Hospital separations for external causes of injury’ is defined as the number of hospital separations for children aged</w:t>
            </w:r>
            <w:r w:rsidR="00345B48">
              <w:t xml:space="preserve"> </w:t>
            </w:r>
            <w:r>
              <w:t xml:space="preserve">0–4 years resulting from an external cause of injury occurring in ‘school’ </w:t>
            </w:r>
            <w:r w:rsidR="00490EC1" w:rsidRPr="00490EC1">
              <w:t xml:space="preserve">as a proportion of </w:t>
            </w:r>
            <w:r w:rsidRPr="00490EC1">
              <w:t xml:space="preserve">total hospital </w:t>
            </w:r>
            <w:r>
              <w:t>separations for children aged 0–4 years resulting from an external cause of injury.</w:t>
            </w:r>
            <w:r w:rsidR="003248D3">
              <w:t xml:space="preserve"> For </w:t>
            </w:r>
            <w:r w:rsidR="006D023C">
              <w:t xml:space="preserve">children aged </w:t>
            </w:r>
            <w:r w:rsidR="000B11A9">
              <w:t xml:space="preserve">0–4 </w:t>
            </w:r>
            <w:r w:rsidR="006D023C">
              <w:t>years</w:t>
            </w:r>
            <w:r w:rsidR="00B220C1">
              <w:t>,</w:t>
            </w:r>
            <w:r w:rsidR="006D023C">
              <w:t xml:space="preserve"> </w:t>
            </w:r>
            <w:r w:rsidR="003248D3">
              <w:t xml:space="preserve">‘school’ incorporates a range of formal </w:t>
            </w:r>
            <w:r w:rsidR="007921BA">
              <w:t>early childhood education and care</w:t>
            </w:r>
            <w:r w:rsidR="003248D3">
              <w:t xml:space="preserve"> settings including kindergarten, preschool and centre</w:t>
            </w:r>
            <w:r w:rsidR="00172534">
              <w:noBreakHyphen/>
            </w:r>
            <w:r w:rsidR="003248D3">
              <w:t>based child care services.</w:t>
            </w:r>
          </w:p>
          <w:p w:rsidR="00E331D2" w:rsidRDefault="00E331D2" w:rsidP="00C3586E">
            <w:pPr>
              <w:pStyle w:val="Box"/>
            </w:pPr>
            <w:r>
              <w:t>Low or decreasing hospitalisations for external causes of injury for children aged</w:t>
            </w:r>
            <w:r>
              <w:br/>
              <w:t xml:space="preserve">0–4 years occurring in a ‘school’ </w:t>
            </w:r>
            <w:r w:rsidR="00922771">
              <w:t>can</w:t>
            </w:r>
            <w:r>
              <w:t xml:space="preserve"> indicate better performance towards achieving the objective of providing the care, educational and development</w:t>
            </w:r>
            <w:r w:rsidR="0021264F">
              <w:t>al</w:t>
            </w:r>
            <w:r>
              <w:t xml:space="preserve"> needs of children in a safe and nurturing environment.</w:t>
            </w:r>
          </w:p>
          <w:p w:rsidR="00345B48" w:rsidRDefault="00345B48" w:rsidP="00C3586E">
            <w:pPr>
              <w:pStyle w:val="Box"/>
            </w:pPr>
            <w:r>
              <w:t xml:space="preserve">All hospital separation data need to be interpreted with care. Nationally, no place of occurrence was reported </w:t>
            </w:r>
            <w:r w:rsidR="00DC7AAB">
              <w:t xml:space="preserve">for </w:t>
            </w:r>
            <w:r w:rsidR="0068030A">
              <w:t xml:space="preserve">some </w:t>
            </w:r>
            <w:r>
              <w:t>hospitalisations of children aged</w:t>
            </w:r>
            <w:r>
              <w:br/>
              <w:t>0–4 years</w:t>
            </w:r>
            <w:r w:rsidR="00736511">
              <w:t>.</w:t>
            </w:r>
            <w:r>
              <w:t xml:space="preserve"> As a result, this indicator should be interpreted as the minimum number of hospital separations for an external cause of injury that</w:t>
            </w:r>
            <w:r w:rsidR="007921BA">
              <w:t xml:space="preserve"> occurred in early childhood education and care services</w:t>
            </w:r>
            <w:r>
              <w:t>.</w:t>
            </w:r>
          </w:p>
          <w:p w:rsidR="00345B48" w:rsidRPr="00A90ADB" w:rsidRDefault="00345B48" w:rsidP="00C3586E">
            <w:pPr>
              <w:pStyle w:val="Box"/>
            </w:pPr>
            <w:r w:rsidRPr="00A90ADB">
              <w:t>Data reported f</w:t>
            </w:r>
            <w:r w:rsidR="00A90ADB" w:rsidRPr="00A90ADB">
              <w:t>or this indicator are:</w:t>
            </w:r>
          </w:p>
          <w:p w:rsidR="00A90ADB" w:rsidRPr="00A90ADB" w:rsidRDefault="00A90ADB" w:rsidP="00751B02">
            <w:pPr>
              <w:pStyle w:val="BoxListBullet"/>
            </w:pPr>
            <w:r w:rsidRPr="00A90ADB">
              <w:t>comparable (subject to caveats) acro</w:t>
            </w:r>
            <w:r w:rsidR="00E53376">
              <w:t>ss jurisdictions and over time</w:t>
            </w:r>
          </w:p>
          <w:p w:rsidR="00A90ADB" w:rsidRPr="00A90ADB" w:rsidRDefault="00A90ADB" w:rsidP="00751B02">
            <w:pPr>
              <w:pStyle w:val="BoxListBullet"/>
            </w:pPr>
            <w:r w:rsidRPr="00A90ADB">
              <w:t xml:space="preserve">complete </w:t>
            </w:r>
            <w:r w:rsidR="003907A5">
              <w:t xml:space="preserve">(subject to caveats) </w:t>
            </w:r>
            <w:r w:rsidRPr="00A90ADB">
              <w:t>for the current repor</w:t>
            </w:r>
            <w:r w:rsidR="003907A5">
              <w:t>ting period</w:t>
            </w:r>
            <w:r w:rsidRPr="00A90ADB">
              <w:t>. All required 2011</w:t>
            </w:r>
            <w:r w:rsidR="00172534">
              <w:noBreakHyphen/>
            </w:r>
            <w:r w:rsidRPr="00A90ADB">
              <w:t>12 data are available for all jur</w:t>
            </w:r>
            <w:r w:rsidR="004A020D">
              <w:t>isdictions</w:t>
            </w:r>
            <w:r w:rsidRPr="00A90ADB">
              <w:t>.</w:t>
            </w:r>
          </w:p>
          <w:p w:rsidR="00664BD6" w:rsidRDefault="00664BD6" w:rsidP="00C3586E">
            <w:pPr>
              <w:pStyle w:val="Box"/>
            </w:pPr>
            <w:r w:rsidRPr="00A90ADB">
              <w:rPr>
                <w:rFonts w:cs="Arial"/>
                <w:szCs w:val="26"/>
              </w:rPr>
              <w:t xml:space="preserve">Data quality information for this indicator </w:t>
            </w:r>
            <w:r w:rsidR="007921BA" w:rsidRPr="00A90ADB">
              <w:rPr>
                <w:rFonts w:cs="Arial"/>
                <w:szCs w:val="26"/>
              </w:rPr>
              <w:t xml:space="preserve">is </w:t>
            </w:r>
            <w:r w:rsidR="009A1225" w:rsidRPr="00A90ADB">
              <w:rPr>
                <w:rFonts w:cs="Arial"/>
                <w:szCs w:val="26"/>
              </w:rPr>
              <w:t>under development.</w:t>
            </w:r>
          </w:p>
        </w:tc>
      </w:tr>
      <w:tr w:rsidR="00E331D2">
        <w:trPr>
          <w:cantSplit/>
        </w:trPr>
        <w:tc>
          <w:tcPr>
            <w:tcW w:w="8771" w:type="dxa"/>
            <w:tcBorders>
              <w:top w:val="nil"/>
              <w:left w:val="single" w:sz="6" w:space="0" w:color="auto"/>
              <w:bottom w:val="single" w:sz="6" w:space="0" w:color="auto"/>
              <w:right w:val="single" w:sz="6" w:space="0" w:color="auto"/>
            </w:tcBorders>
          </w:tcPr>
          <w:p w:rsidR="00E331D2" w:rsidRDefault="00E331D2" w:rsidP="00C3586E">
            <w:pPr>
              <w:pStyle w:val="Box"/>
              <w:spacing w:before="0" w:line="120" w:lineRule="exact"/>
            </w:pPr>
          </w:p>
        </w:tc>
      </w:tr>
      <w:tr w:rsidR="00E331D2">
        <w:tc>
          <w:tcPr>
            <w:tcW w:w="8771" w:type="dxa"/>
            <w:tcBorders>
              <w:top w:val="nil"/>
              <w:left w:val="nil"/>
              <w:bottom w:val="nil"/>
              <w:right w:val="nil"/>
            </w:tcBorders>
          </w:tcPr>
          <w:p w:rsidR="00E331D2" w:rsidRDefault="00E331D2" w:rsidP="00C3586E">
            <w:pPr>
              <w:pStyle w:val="Box"/>
              <w:keepNext w:val="0"/>
              <w:spacing w:before="60" w:after="60" w:line="80" w:lineRule="exact"/>
              <w:rPr>
                <w:b/>
                <w:color w:val="FF00FF"/>
                <w:sz w:val="14"/>
              </w:rPr>
            </w:pPr>
          </w:p>
        </w:tc>
      </w:tr>
    </w:tbl>
    <w:p w:rsidR="00F84136" w:rsidRDefault="00F84136" w:rsidP="00C3586E">
      <w:pPr>
        <w:pStyle w:val="BodyText"/>
      </w:pPr>
      <w:r>
        <w:t xml:space="preserve">Limiting the data to children aged 0–4 </w:t>
      </w:r>
      <w:r w:rsidR="00464B79">
        <w:t xml:space="preserve">years </w:t>
      </w:r>
      <w:r>
        <w:t>reduces the likelihood that the ‘school’ place of occurrence includes children in full time compulsory schooling, which children generally attend when they are</w:t>
      </w:r>
      <w:r w:rsidR="00674B6B">
        <w:t xml:space="preserve"> aged</w:t>
      </w:r>
      <w:r w:rsidR="0068030A">
        <w:t xml:space="preserve"> 5 years or over</w:t>
      </w:r>
      <w:r>
        <w:t>. For children in the older age group</w:t>
      </w:r>
      <w:r w:rsidR="00B220C1">
        <w:t>,</w:t>
      </w:r>
      <w:r>
        <w:t xml:space="preserve"> it is not possible to separate injuries th</w:t>
      </w:r>
      <w:r w:rsidR="00E811ED">
        <w:t xml:space="preserve">at occur in </w:t>
      </w:r>
      <w:r w:rsidR="00E811ED" w:rsidRPr="00493DF4">
        <w:t>early childhood education and care</w:t>
      </w:r>
      <w:r w:rsidRPr="00493DF4">
        <w:t xml:space="preserve"> </w:t>
      </w:r>
      <w:r>
        <w:t>from those t</w:t>
      </w:r>
      <w:r w:rsidR="0068030A">
        <w:t xml:space="preserve">hat occur in a full time </w:t>
      </w:r>
      <w:r>
        <w:t>school setting, so they are excluded from the indicator.</w:t>
      </w:r>
    </w:p>
    <w:p w:rsidR="00F84136" w:rsidRDefault="006D023C" w:rsidP="00C3586E">
      <w:pPr>
        <w:pStyle w:val="BodyText"/>
      </w:pPr>
      <w:r>
        <w:t xml:space="preserve">The </w:t>
      </w:r>
      <w:r w:rsidR="00F84136">
        <w:t xml:space="preserve">data can capture children who were injured at these </w:t>
      </w:r>
      <w:r>
        <w:t xml:space="preserve">‘school’ </w:t>
      </w:r>
      <w:r w:rsidR="00F84136">
        <w:t>services without necessarily attending them. Family day care services, which are typically provided in the carer’s home, are not likely to be covered under ‘schools’. External cause refers to the environmental event, circumstance or condition that causes the injury. People admitted to hospital as a result of a pre</w:t>
      </w:r>
      <w:r w:rsidR="00172534">
        <w:noBreakHyphen/>
      </w:r>
      <w:r w:rsidR="00F84136">
        <w:t>existing illnes</w:t>
      </w:r>
      <w:r w:rsidR="0068030A">
        <w:t>s or condition (such as asthma)</w:t>
      </w:r>
      <w:r w:rsidR="00F84136">
        <w:t xml:space="preserve"> are excluded.</w:t>
      </w:r>
    </w:p>
    <w:p w:rsidR="00932815" w:rsidRPr="00580100" w:rsidRDefault="006D023C" w:rsidP="00CB0726">
      <w:pPr>
        <w:pStyle w:val="BodyText"/>
        <w:shd w:val="clear" w:color="auto" w:fill="FFFFFF" w:themeFill="background1"/>
        <w:rPr>
          <w:color w:val="FF0000"/>
        </w:rPr>
      </w:pPr>
      <w:r>
        <w:t>Nationally, in</w:t>
      </w:r>
      <w:r w:rsidR="00E12AEF" w:rsidRPr="00B33866">
        <w:t xml:space="preserve"> </w:t>
      </w:r>
      <w:r w:rsidR="00580100">
        <w:t>2011</w:t>
      </w:r>
      <w:r w:rsidR="00172534">
        <w:noBreakHyphen/>
      </w:r>
      <w:r w:rsidR="00580100">
        <w:t>12</w:t>
      </w:r>
      <w:r w:rsidR="00E12AEF" w:rsidRPr="003F7B35">
        <w:t xml:space="preserve">, </w:t>
      </w:r>
      <w:r w:rsidR="00E12AEF" w:rsidRPr="004A7385">
        <w:t>there</w:t>
      </w:r>
      <w:r w:rsidR="00925E37" w:rsidRPr="004A7385">
        <w:t xml:space="preserve"> were </w:t>
      </w:r>
      <w:r w:rsidR="003F7B35" w:rsidRPr="004A7385">
        <w:rPr>
          <w:shd w:val="clear" w:color="auto" w:fill="FFFFFF" w:themeFill="background1"/>
        </w:rPr>
        <w:t>34</w:t>
      </w:r>
      <w:r w:rsidR="00DC7AAB" w:rsidRPr="004A7385">
        <w:rPr>
          <w:shd w:val="clear" w:color="auto" w:fill="FFFFFF" w:themeFill="background1"/>
        </w:rPr>
        <w:t> </w:t>
      </w:r>
      <w:r w:rsidR="004A7385" w:rsidRPr="004A7385">
        <w:rPr>
          <w:shd w:val="clear" w:color="auto" w:fill="FFFFFF" w:themeFill="background1"/>
        </w:rPr>
        <w:t>436</w:t>
      </w:r>
      <w:r w:rsidR="00E12AEF" w:rsidRPr="004A7385">
        <w:t xml:space="preserve"> injuries to children aged 0–4 years that resulted in a hospital admission (table</w:t>
      </w:r>
      <w:r w:rsidR="00172534">
        <w:t> </w:t>
      </w:r>
      <w:proofErr w:type="spellStart"/>
      <w:r w:rsidR="00AA1034" w:rsidRPr="004A7385">
        <w:t>3</w:t>
      </w:r>
      <w:r w:rsidR="00040BE2" w:rsidRPr="004A7385">
        <w:t>A.</w:t>
      </w:r>
      <w:r w:rsidR="002148AC">
        <w:t>49</w:t>
      </w:r>
      <w:proofErr w:type="spellEnd"/>
      <w:r w:rsidR="00E12AEF" w:rsidRPr="004A7385">
        <w:t xml:space="preserve">). </w:t>
      </w:r>
      <w:r w:rsidR="00E12AEF" w:rsidRPr="00B2190B">
        <w:t xml:space="preserve">Males accounted for approximately </w:t>
      </w:r>
      <w:r w:rsidR="00B2190B" w:rsidRPr="00B2190B">
        <w:rPr>
          <w:shd w:val="clear" w:color="auto" w:fill="FFFFFF" w:themeFill="background1"/>
        </w:rPr>
        <w:t>58.2</w:t>
      </w:r>
      <w:r w:rsidR="0077169D" w:rsidRPr="00B2190B">
        <w:t> </w:t>
      </w:r>
      <w:r w:rsidR="00E12AEF" w:rsidRPr="00B2190B">
        <w:t>per</w:t>
      </w:r>
      <w:r w:rsidR="0077169D" w:rsidRPr="00B2190B">
        <w:t> </w:t>
      </w:r>
      <w:r w:rsidR="00E12AEF" w:rsidRPr="00B2190B">
        <w:t>cent of these admissions. In total, the most common causes of injury to children aged 0–4 years were falls (</w:t>
      </w:r>
      <w:r w:rsidR="00B2190B" w:rsidRPr="00B2190B">
        <w:rPr>
          <w:shd w:val="clear" w:color="auto" w:fill="FFFFFF" w:themeFill="background1"/>
        </w:rPr>
        <w:t>30.5</w:t>
      </w:r>
      <w:r w:rsidR="0077169D" w:rsidRPr="00B2190B">
        <w:t> </w:t>
      </w:r>
      <w:r w:rsidR="00E12AEF" w:rsidRPr="00B2190B">
        <w:t>per</w:t>
      </w:r>
      <w:r w:rsidR="0077169D" w:rsidRPr="00B2190B">
        <w:t> </w:t>
      </w:r>
      <w:r w:rsidR="00E12AEF" w:rsidRPr="00B2190B">
        <w:t xml:space="preserve">cent), </w:t>
      </w:r>
      <w:r w:rsidR="00D04DC5" w:rsidRPr="00B2190B">
        <w:t>complications of medical and surgical care (</w:t>
      </w:r>
      <w:r w:rsidR="00B2190B" w:rsidRPr="00B2190B">
        <w:rPr>
          <w:shd w:val="clear" w:color="auto" w:fill="FFFFFF" w:themeFill="background1"/>
        </w:rPr>
        <w:t>25.1</w:t>
      </w:r>
      <w:r w:rsidR="00D04DC5" w:rsidRPr="00B2190B">
        <w:t xml:space="preserve"> per cent) </w:t>
      </w:r>
      <w:r w:rsidR="00D04DC5" w:rsidRPr="004C7588">
        <w:t xml:space="preserve">and </w:t>
      </w:r>
      <w:r w:rsidR="00453053" w:rsidRPr="004C7588">
        <w:t xml:space="preserve">exposure to mechanical forces </w:t>
      </w:r>
      <w:r w:rsidR="00453053" w:rsidRPr="004C7588">
        <w:rPr>
          <w:shd w:val="clear" w:color="auto" w:fill="FFFFFF" w:themeFill="background1"/>
        </w:rPr>
        <w:t>(</w:t>
      </w:r>
      <w:r w:rsidR="004C7588" w:rsidRPr="004C7588">
        <w:rPr>
          <w:shd w:val="clear" w:color="auto" w:fill="FFFFFF" w:themeFill="background1"/>
        </w:rPr>
        <w:t>21.9</w:t>
      </w:r>
      <w:r w:rsidR="003F7B35" w:rsidRPr="004C7588">
        <w:rPr>
          <w:shd w:val="clear" w:color="auto" w:fill="FFFFFF" w:themeFill="background1"/>
        </w:rPr>
        <w:t> </w:t>
      </w:r>
      <w:r w:rsidR="00453053" w:rsidRPr="004C7588">
        <w:t>per</w:t>
      </w:r>
      <w:r w:rsidR="0077169D" w:rsidRPr="004C7588">
        <w:t> </w:t>
      </w:r>
      <w:r w:rsidR="00453053" w:rsidRPr="004C7588">
        <w:t>cent)</w:t>
      </w:r>
      <w:r w:rsidR="00E12AEF" w:rsidRPr="004C7588">
        <w:t xml:space="preserve"> </w:t>
      </w:r>
      <w:r w:rsidR="00E12AEF" w:rsidRPr="004C7588">
        <w:lastRenderedPageBreak/>
        <w:t>(Australian Institute of Health and Welfare</w:t>
      </w:r>
      <w:r w:rsidR="00F02A6E" w:rsidRPr="004C7588">
        <w:t xml:space="preserve"> </w:t>
      </w:r>
      <w:r w:rsidR="002348AD" w:rsidRPr="004C7588">
        <w:t>[</w:t>
      </w:r>
      <w:proofErr w:type="spellStart"/>
      <w:r w:rsidR="002348AD" w:rsidRPr="004C7588">
        <w:t>AIHW</w:t>
      </w:r>
      <w:proofErr w:type="spellEnd"/>
      <w:r w:rsidR="002348AD" w:rsidRPr="004C7588">
        <w:t xml:space="preserve">] </w:t>
      </w:r>
      <w:r w:rsidR="00E12AEF" w:rsidRPr="004C7588">
        <w:t>unpublished). Males and females generally experienced similar causes of injury.</w:t>
      </w:r>
    </w:p>
    <w:p w:rsidR="00E12AEF" w:rsidRPr="002A619D" w:rsidRDefault="00F02A6E" w:rsidP="00CB0726">
      <w:pPr>
        <w:pStyle w:val="BodyText"/>
        <w:shd w:val="clear" w:color="auto" w:fill="FFFFFF" w:themeFill="background1"/>
      </w:pPr>
      <w:r>
        <w:t xml:space="preserve">Nationally, </w:t>
      </w:r>
      <w:r w:rsidR="00E12AEF">
        <w:t xml:space="preserve">in </w:t>
      </w:r>
      <w:r w:rsidR="00512E2C">
        <w:t>20</w:t>
      </w:r>
      <w:r w:rsidR="00580100">
        <w:t>11</w:t>
      </w:r>
      <w:r w:rsidR="00172534">
        <w:noBreakHyphen/>
      </w:r>
      <w:r w:rsidR="00512E2C">
        <w:t>1</w:t>
      </w:r>
      <w:r w:rsidR="00580100">
        <w:t>2</w:t>
      </w:r>
      <w:r w:rsidR="00E12AEF" w:rsidRPr="009E3120">
        <w:t xml:space="preserve">, </w:t>
      </w:r>
      <w:r w:rsidR="004C7588" w:rsidRPr="004C7588">
        <w:t>33.1</w:t>
      </w:r>
      <w:r w:rsidR="00A67602" w:rsidRPr="004C7588">
        <w:t xml:space="preserve"> </w:t>
      </w:r>
      <w:r w:rsidR="00E12AEF" w:rsidRPr="004C7588">
        <w:t xml:space="preserve">per cent </w:t>
      </w:r>
      <w:r w:rsidRPr="004C7588">
        <w:t xml:space="preserve">of injuries requiring hospitalisation </w:t>
      </w:r>
      <w:r w:rsidR="00E12AEF" w:rsidRPr="004C7588">
        <w:t>occurred in the child’s home. This reflects that children in this age group spend the majority of their time in the home and about half do</w:t>
      </w:r>
      <w:r w:rsidR="00602003">
        <w:t xml:space="preserve"> not attend formal care. Across</w:t>
      </w:r>
      <w:r w:rsidR="0099232F" w:rsidRPr="004C7588">
        <w:t xml:space="preserve"> jurisdictions, on average</w:t>
      </w:r>
      <w:r w:rsidR="00E12AEF" w:rsidRPr="004C7588">
        <w:t xml:space="preserve"> </w:t>
      </w:r>
      <w:r w:rsidR="004C7588" w:rsidRPr="004C7588">
        <w:t>2.5</w:t>
      </w:r>
      <w:r w:rsidR="00A67602" w:rsidRPr="004C7588">
        <w:t xml:space="preserve"> </w:t>
      </w:r>
      <w:r w:rsidR="00E12AEF" w:rsidRPr="004C7588">
        <w:t>per</w:t>
      </w:r>
      <w:r w:rsidR="00DF1AF3" w:rsidRPr="004C7588">
        <w:t> </w:t>
      </w:r>
      <w:r w:rsidR="00E12AEF" w:rsidRPr="004C7588">
        <w:t>cent of injuries were reported as occurring at a ‘school’ (which includes day nursery, centre</w:t>
      </w:r>
      <w:r w:rsidR="00172534">
        <w:noBreakHyphen/>
      </w:r>
      <w:r w:rsidR="00E12AEF" w:rsidRPr="004C7588">
        <w:t xml:space="preserve">based child care, and public or private kindergartens and preschools) </w:t>
      </w:r>
      <w:r w:rsidR="00E12AEF" w:rsidRPr="00797622">
        <w:t>(figure</w:t>
      </w:r>
      <w:r w:rsidR="00172534">
        <w:t> </w:t>
      </w:r>
      <w:r w:rsidR="00E811ED">
        <w:t>3.14</w:t>
      </w:r>
      <w:r w:rsidR="002A619D" w:rsidRPr="00797622">
        <w:t>)</w:t>
      </w:r>
      <w:r w:rsidR="00F114D7">
        <w:t>.</w:t>
      </w:r>
    </w:p>
    <w:p w:rsidR="00242F4E" w:rsidRDefault="00242F4E" w:rsidP="00242F4E">
      <w:pPr>
        <w:pStyle w:val="FigureTitle"/>
      </w:pPr>
      <w:r>
        <w:rPr>
          <w:b w:val="0"/>
        </w:rPr>
        <w:t>Figure 3.1</w:t>
      </w:r>
      <w:r w:rsidR="00E811ED">
        <w:rPr>
          <w:b w:val="0"/>
        </w:rPr>
        <w:t>4</w:t>
      </w:r>
      <w:r>
        <w:tab/>
        <w:t>Hospital separations for external causes of injury for children aged 0–4 years, proportion by place of occurrence, 2011</w:t>
      </w:r>
      <w:r w:rsidR="00172534">
        <w:noBreakHyphen/>
      </w:r>
      <w:r>
        <w:t>12</w:t>
      </w:r>
      <w:r w:rsidRPr="002A619D">
        <w:rPr>
          <w:rStyle w:val="NoteLabel"/>
          <w:b/>
        </w:rPr>
        <w:t>a, b,</w:t>
      </w:r>
      <w:r>
        <w:rPr>
          <w:rStyle w:val="NoteLabel"/>
          <w:b/>
        </w:rPr>
        <w:t xml:space="preserve"> c,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42F4E">
        <w:tc>
          <w:tcPr>
            <w:tcW w:w="8777" w:type="dxa"/>
          </w:tcPr>
          <w:p w:rsidR="00242F4E" w:rsidRDefault="00F230C0">
            <w:pPr>
              <w:pStyle w:val="Figure"/>
            </w:pPr>
            <w:r>
              <w:rPr>
                <w:noProof/>
              </w:rPr>
              <w:drawing>
                <wp:inline distT="0" distB="0" distL="0" distR="0" wp14:anchorId="76DFFDAE" wp14:editId="0A14002A">
                  <wp:extent cx="5401310" cy="2700655"/>
                  <wp:effectExtent l="0" t="0" r="8890" b="4445"/>
                  <wp:docPr id="14" name="Picture 14" descr="Figure 3.14 Hospital separations for external causes of injury for children aged 0-4 years, proportion by place of occurrence, 2011-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01310" cy="2700655"/>
                          </a:xfrm>
                          <a:prstGeom prst="rect">
                            <a:avLst/>
                          </a:prstGeom>
                          <a:noFill/>
                          <a:ln>
                            <a:noFill/>
                          </a:ln>
                        </pic:spPr>
                      </pic:pic>
                    </a:graphicData>
                  </a:graphic>
                </wp:inline>
              </w:drawing>
            </w:r>
          </w:p>
        </w:tc>
      </w:tr>
    </w:tbl>
    <w:p w:rsidR="00242F4E" w:rsidRDefault="00242F4E">
      <w:pPr>
        <w:pStyle w:val="Note"/>
      </w:pPr>
      <w:proofErr w:type="spellStart"/>
      <w:r>
        <w:rPr>
          <w:rStyle w:val="NoteLabel"/>
        </w:rPr>
        <w:t>a</w:t>
      </w:r>
      <w:proofErr w:type="spellEnd"/>
      <w:r>
        <w:t xml:space="preserve"> </w:t>
      </w:r>
      <w:r w:rsidRPr="00170BF9">
        <w:t>External cause refers to the environmental event, circumstance or condition that causes the injury. People admitted to hospital as a result of a pre</w:t>
      </w:r>
      <w:r w:rsidRPr="00170BF9">
        <w:noBreakHyphen/>
        <w:t xml:space="preserve">existing illness or condition, such as asthma, are excluded. </w:t>
      </w:r>
      <w:r w:rsidRPr="00170BF9">
        <w:rPr>
          <w:rStyle w:val="NoteLabel"/>
        </w:rPr>
        <w:t>b </w:t>
      </w:r>
      <w:r w:rsidRPr="00170BF9">
        <w:t xml:space="preserve">A hospital separation is an episode of care for a person admitted to a hospital. </w:t>
      </w:r>
      <w:r w:rsidRPr="00170BF9">
        <w:rPr>
          <w:rStyle w:val="NoteLabel"/>
        </w:rPr>
        <w:t>c</w:t>
      </w:r>
      <w:r w:rsidRPr="00170BF9">
        <w:sym w:font="Symbol" w:char="F020"/>
      </w:r>
      <w:r w:rsidRPr="00170BF9">
        <w:t xml:space="preserve">Separations without an external cause and those for which care type was reported as newborn with no qualified days, and records for hospital boarders or posthumous organ procurement are excluded. </w:t>
      </w:r>
      <w:r w:rsidRPr="00170BF9">
        <w:rPr>
          <w:rStyle w:val="NoteLabel"/>
        </w:rPr>
        <w:t>d </w:t>
      </w:r>
      <w:r w:rsidRPr="00170BF9">
        <w:t>Due to the high levels of non</w:t>
      </w:r>
      <w:r w:rsidR="00172534">
        <w:noBreakHyphen/>
      </w:r>
      <w:r w:rsidRPr="00170BF9">
        <w:t>reporting for place of occurrence, all hospital separations data ne</w:t>
      </w:r>
      <w:r>
        <w:t>ed to be interpreted with care.</w:t>
      </w:r>
      <w:r w:rsidRPr="00602003">
        <w:rPr>
          <w:rStyle w:val="NoteLabel"/>
        </w:rPr>
        <w:t xml:space="preserve"> </w:t>
      </w:r>
      <w:r>
        <w:rPr>
          <w:rStyle w:val="NoteLabel"/>
        </w:rPr>
        <w:t xml:space="preserve">e </w:t>
      </w:r>
      <w:r w:rsidRPr="00602003">
        <w:t>The definition of school will include a range of different formal early childhood education and care services</w:t>
      </w:r>
      <w:r w:rsidR="0068030A">
        <w:t>’</w:t>
      </w:r>
      <w:r w:rsidRPr="00602003">
        <w:t xml:space="preserve"> settings including kindergarten, preschool and child care services.</w:t>
      </w:r>
    </w:p>
    <w:p w:rsidR="00242F4E" w:rsidRPr="00242F4E" w:rsidRDefault="00242F4E" w:rsidP="00DD39F4">
      <w:pPr>
        <w:pStyle w:val="Source"/>
      </w:pPr>
      <w:r>
        <w:rPr>
          <w:i/>
        </w:rPr>
        <w:t>Source</w:t>
      </w:r>
      <w:r w:rsidRPr="00167F06">
        <w:t xml:space="preserve">: </w:t>
      </w:r>
      <w:proofErr w:type="spellStart"/>
      <w:r w:rsidRPr="004871E1">
        <w:t>AIHW</w:t>
      </w:r>
      <w:proofErr w:type="spellEnd"/>
      <w:r w:rsidRPr="004871E1">
        <w:t xml:space="preserve"> </w:t>
      </w:r>
      <w:r>
        <w:t xml:space="preserve">(unpublished) </w:t>
      </w:r>
      <w:r w:rsidRPr="0035057E">
        <w:rPr>
          <w:i/>
        </w:rPr>
        <w:t xml:space="preserve">Australian Hospital Statistics </w:t>
      </w:r>
      <w:r>
        <w:rPr>
          <w:i/>
        </w:rPr>
        <w:t>2011</w:t>
      </w:r>
      <w:r w:rsidR="00172534">
        <w:rPr>
          <w:i/>
        </w:rPr>
        <w:noBreakHyphen/>
      </w:r>
      <w:r>
        <w:rPr>
          <w:i/>
        </w:rPr>
        <w:t>12</w:t>
      </w:r>
      <w:r>
        <w:t xml:space="preserve">; </w:t>
      </w:r>
      <w:r w:rsidRPr="0082749B">
        <w:t>table</w:t>
      </w:r>
      <w:r w:rsidR="00172534">
        <w:t> </w:t>
      </w:r>
      <w:proofErr w:type="spellStart"/>
      <w:r w:rsidRPr="0082749B">
        <w:t>3A.</w:t>
      </w:r>
      <w:r w:rsidR="00835895">
        <w:t>49</w:t>
      </w:r>
      <w:proofErr w:type="spellEnd"/>
      <w:r>
        <w:t>.</w:t>
      </w:r>
    </w:p>
    <w:p w:rsidR="00380313" w:rsidRDefault="00380313" w:rsidP="00615D85">
      <w:pPr>
        <w:pStyle w:val="Heading5"/>
      </w:pPr>
      <w:r w:rsidRPr="00380313">
        <w:t>Client satisfaction — substantiated breaches arising from complaints</w:t>
      </w:r>
      <w:r w:rsidR="00AE11EF">
        <w:t xml:space="preserve"> </w:t>
      </w:r>
    </w:p>
    <w:p w:rsidR="00380313" w:rsidRDefault="000C52CE" w:rsidP="00615D85">
      <w:pPr>
        <w:pStyle w:val="BodyText"/>
      </w:pPr>
      <w:r>
        <w:t xml:space="preserve">‘Substantiated </w:t>
      </w:r>
      <w:r w:rsidR="00B85C69" w:rsidRPr="00B85C69">
        <w:t xml:space="preserve">breaches arising from complaints’ is an indicator of governments’ objective to ensure </w:t>
      </w:r>
      <w:r w:rsidR="000C1336">
        <w:t xml:space="preserve">that </w:t>
      </w:r>
      <w:r w:rsidR="00B85C69" w:rsidRPr="00B85C69">
        <w:t>governmen</w:t>
      </w:r>
      <w:r w:rsidR="003A3B79">
        <w:t xml:space="preserve">t funded or provided early childhood education and care </w:t>
      </w:r>
      <w:r w:rsidR="00B85C69" w:rsidRPr="00B85C69">
        <w:t xml:space="preserve">services meet the needs and expectations of users </w:t>
      </w:r>
      <w:r w:rsidR="00E44D22" w:rsidRPr="00E44D22">
        <w:t>(box</w:t>
      </w:r>
      <w:r w:rsidR="00172534">
        <w:t> </w:t>
      </w:r>
      <w:r w:rsidR="004369F9">
        <w:t>3.19</w:t>
      </w:r>
      <w:r w:rsidR="00D33119">
        <w:t>).</w:t>
      </w:r>
    </w:p>
    <w:p w:rsidR="00E44D22" w:rsidRDefault="00E44D22" w:rsidP="00C3586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44D22" w:rsidTr="00736511">
        <w:tc>
          <w:tcPr>
            <w:tcW w:w="8771" w:type="dxa"/>
            <w:tcBorders>
              <w:top w:val="single" w:sz="6" w:space="0" w:color="auto"/>
              <w:left w:val="single" w:sz="6" w:space="0" w:color="auto"/>
              <w:bottom w:val="nil"/>
              <w:right w:val="single" w:sz="6" w:space="0" w:color="auto"/>
            </w:tcBorders>
          </w:tcPr>
          <w:p w:rsidR="00E44D22" w:rsidRPr="00E44D22" w:rsidRDefault="00E44D22" w:rsidP="004369F9">
            <w:pPr>
              <w:pStyle w:val="BoxTitle"/>
            </w:pPr>
            <w:r>
              <w:rPr>
                <w:b w:val="0"/>
              </w:rPr>
              <w:t xml:space="preserve">Box </w:t>
            </w:r>
            <w:bookmarkStart w:id="31" w:name="OLE_LINK30"/>
            <w:r w:rsidR="00923A1C">
              <w:rPr>
                <w:b w:val="0"/>
              </w:rPr>
              <w:t>3.</w:t>
            </w:r>
            <w:bookmarkEnd w:id="31"/>
            <w:r w:rsidR="004369F9">
              <w:rPr>
                <w:b w:val="0"/>
              </w:rPr>
              <w:t>19</w:t>
            </w:r>
            <w:r>
              <w:tab/>
            </w:r>
            <w:r w:rsidR="006D1DE0">
              <w:t>S</w:t>
            </w:r>
            <w:r w:rsidRPr="00E44D22">
              <w:t>ubstantiated breaches arising from complaints</w:t>
            </w:r>
          </w:p>
        </w:tc>
      </w:tr>
      <w:tr w:rsidR="00E44D22" w:rsidTr="00736511">
        <w:trPr>
          <w:cantSplit/>
        </w:trPr>
        <w:tc>
          <w:tcPr>
            <w:tcW w:w="8771" w:type="dxa"/>
            <w:tcBorders>
              <w:top w:val="nil"/>
              <w:left w:val="single" w:sz="6" w:space="0" w:color="auto"/>
              <w:bottom w:val="nil"/>
              <w:right w:val="single" w:sz="6" w:space="0" w:color="auto"/>
            </w:tcBorders>
          </w:tcPr>
          <w:p w:rsidR="00AE52BA" w:rsidRDefault="00E44D22" w:rsidP="00C3586E">
            <w:pPr>
              <w:pStyle w:val="Box"/>
            </w:pPr>
            <w:r>
              <w:t xml:space="preserve">‘Substantiated breaches arising from complaints’ is defined as the number of substantiated breaches arising from complaints </w:t>
            </w:r>
            <w:r w:rsidR="00420CEA">
              <w:t xml:space="preserve">divided by </w:t>
            </w:r>
            <w:r w:rsidRPr="00490EC1">
              <w:t>the total number of registered or licensed services.</w:t>
            </w:r>
            <w:r w:rsidRPr="00207808">
              <w:rPr>
                <w:color w:val="FF0000"/>
              </w:rPr>
              <w:t xml:space="preserve"> </w:t>
            </w:r>
            <w:r>
              <w:t xml:space="preserve">Results are presented by service </w:t>
            </w:r>
            <w:r w:rsidR="00E47AF3">
              <w:t>model</w:t>
            </w:r>
            <w:r>
              <w:t xml:space="preserve">. </w:t>
            </w:r>
          </w:p>
          <w:p w:rsidR="00E44D22" w:rsidRDefault="00EA08D7" w:rsidP="00C3586E">
            <w:pPr>
              <w:pStyle w:val="Box"/>
            </w:pPr>
            <w:r>
              <w:t>All else being e</w:t>
            </w:r>
            <w:r w:rsidR="006D023C">
              <w:t>qual, a low</w:t>
            </w:r>
            <w:r>
              <w:t xml:space="preserve"> or decreasing rate of breaches arising from complaints can suggest a higher quality service. </w:t>
            </w:r>
            <w:r w:rsidR="00E44D22">
              <w:t xml:space="preserve">A high </w:t>
            </w:r>
            <w:r w:rsidR="00FF1A0B">
              <w:t xml:space="preserve">or increasing </w:t>
            </w:r>
            <w:r w:rsidR="00E44D22">
              <w:t>rate of complaints does not</w:t>
            </w:r>
            <w:r w:rsidR="00FA422F">
              <w:t xml:space="preserve"> necessarily mean that a jurisdiction </w:t>
            </w:r>
            <w:r w:rsidR="00E44D22">
              <w:t xml:space="preserve">has lower service safety and quality, </w:t>
            </w:r>
            <w:r w:rsidR="00FA422F">
              <w:t xml:space="preserve">it might mean it has a </w:t>
            </w:r>
            <w:r w:rsidR="00E44D22">
              <w:t>more effective r</w:t>
            </w:r>
            <w:r>
              <w:t>eporting and monitoring regime.</w:t>
            </w:r>
          </w:p>
          <w:p w:rsidR="00E44D22" w:rsidRDefault="00E44D22" w:rsidP="00C3586E">
            <w:pPr>
              <w:pStyle w:val="Box"/>
            </w:pPr>
            <w:r>
              <w:t xml:space="preserve">Complaints data need to be interpreted with care, because: </w:t>
            </w:r>
          </w:p>
          <w:p w:rsidR="00FA422F" w:rsidRDefault="00FA422F" w:rsidP="00751B02">
            <w:pPr>
              <w:pStyle w:val="BoxListBullet"/>
            </w:pPr>
            <w:r>
              <w:t xml:space="preserve">one complaint can include multiple breaches. </w:t>
            </w:r>
            <w:r w:rsidRPr="00E44D22">
              <w:t>Breaches identified as a result of normal monitoring and inspection visits</w:t>
            </w:r>
            <w:r>
              <w:t xml:space="preserve"> are excluded from these data</w:t>
            </w:r>
          </w:p>
          <w:p w:rsidR="00E44D22" w:rsidRDefault="00D123F9" w:rsidP="00751B02">
            <w:pPr>
              <w:pStyle w:val="BoxListBullet"/>
            </w:pPr>
            <w:r>
              <w:t xml:space="preserve">clients who are well informed </w:t>
            </w:r>
            <w:r w:rsidR="00922771">
              <w:t>can</w:t>
            </w:r>
            <w:r>
              <w:t xml:space="preserve"> be more likely to make a complaint than </w:t>
            </w:r>
            <w:r w:rsidR="00006196">
              <w:t>less informed clients</w:t>
            </w:r>
            <w:r>
              <w:t>. S</w:t>
            </w:r>
            <w:r w:rsidR="00E44D22">
              <w:t>ome jurisdictions give priority to developing client groups who are well informed, as part of improvi</w:t>
            </w:r>
            <w:r w:rsidR="00CF6BDA">
              <w:t>ng their service delivery</w:t>
            </w:r>
            <w:r w:rsidR="00E44D22">
              <w:t xml:space="preserve"> </w:t>
            </w:r>
          </w:p>
          <w:p w:rsidR="00E44D22" w:rsidRDefault="00CA5B65" w:rsidP="00751B02">
            <w:pPr>
              <w:pStyle w:val="BoxListBullet"/>
            </w:pPr>
            <w:r>
              <w:t>t</w:t>
            </w:r>
            <w:r w:rsidR="00E44D22">
              <w:t>he number of approved care providers or parent users per service differs in each service across states and territories</w:t>
            </w:r>
          </w:p>
          <w:p w:rsidR="00E44D22" w:rsidRDefault="00CA5B65" w:rsidP="00751B02">
            <w:pPr>
              <w:pStyle w:val="BoxListBullet"/>
            </w:pPr>
            <w:r>
              <w:t>c</w:t>
            </w:r>
            <w:r w:rsidR="00E44D22">
              <w:t>omplaints management systems vary across jurisdictions.</w:t>
            </w:r>
          </w:p>
          <w:p w:rsidR="00ED2901" w:rsidRPr="00E86CD5" w:rsidRDefault="001738FE" w:rsidP="00C3586E">
            <w:pPr>
              <w:pStyle w:val="Box"/>
            </w:pPr>
            <w:r w:rsidRPr="00E86CD5">
              <w:t xml:space="preserve">Data </w:t>
            </w:r>
            <w:r w:rsidR="00E86CD5" w:rsidRPr="00E86CD5">
              <w:t>reported for this indicator are:</w:t>
            </w:r>
          </w:p>
          <w:p w:rsidR="00E86CD5" w:rsidRPr="00DA5769" w:rsidRDefault="00E86CD5" w:rsidP="00751B02">
            <w:pPr>
              <w:pStyle w:val="BoxListBullet"/>
            </w:pPr>
            <w:r>
              <w:t>c</w:t>
            </w:r>
            <w:r w:rsidRPr="00DA5769">
              <w:t>omparable</w:t>
            </w:r>
            <w:r>
              <w:t xml:space="preserve"> (subject to caveats) within some jurisdictions over time but are not </w:t>
            </w:r>
            <w:r w:rsidR="00E53376">
              <w:t>comparable across jurisdictions</w:t>
            </w:r>
          </w:p>
          <w:p w:rsidR="00E86CD5" w:rsidRPr="004369F9" w:rsidRDefault="00E86CD5" w:rsidP="00751B02">
            <w:pPr>
              <w:pStyle w:val="BoxListBullet"/>
            </w:pPr>
            <w:r>
              <w:t xml:space="preserve">incomplete for the current reporting period. All required data were not </w:t>
            </w:r>
            <w:r w:rsidR="004A020D">
              <w:t>available for Queensland and SA</w:t>
            </w:r>
            <w:r w:rsidRPr="007069F4">
              <w:t>.</w:t>
            </w:r>
          </w:p>
          <w:p w:rsidR="00664BD6" w:rsidRDefault="00664BD6" w:rsidP="00C3586E">
            <w:pPr>
              <w:pStyle w:val="Box"/>
            </w:pPr>
            <w:r w:rsidRPr="00E86CD5">
              <w:t>Data quality information for this indicator is under development.</w:t>
            </w:r>
          </w:p>
        </w:tc>
      </w:tr>
      <w:tr w:rsidR="00E44D22" w:rsidTr="00736511">
        <w:trPr>
          <w:cantSplit/>
        </w:trPr>
        <w:tc>
          <w:tcPr>
            <w:tcW w:w="8771" w:type="dxa"/>
            <w:tcBorders>
              <w:top w:val="nil"/>
              <w:left w:val="single" w:sz="6" w:space="0" w:color="auto"/>
              <w:bottom w:val="single" w:sz="6" w:space="0" w:color="auto"/>
              <w:right w:val="single" w:sz="6" w:space="0" w:color="auto"/>
            </w:tcBorders>
          </w:tcPr>
          <w:p w:rsidR="00E44D22" w:rsidRDefault="00E44D22" w:rsidP="00C3586E">
            <w:pPr>
              <w:pStyle w:val="Box"/>
              <w:spacing w:before="0" w:line="120" w:lineRule="exact"/>
            </w:pPr>
          </w:p>
        </w:tc>
      </w:tr>
      <w:tr w:rsidR="00E44D22">
        <w:tc>
          <w:tcPr>
            <w:tcW w:w="8771" w:type="dxa"/>
            <w:tcBorders>
              <w:top w:val="nil"/>
              <w:left w:val="nil"/>
              <w:bottom w:val="nil"/>
              <w:right w:val="nil"/>
            </w:tcBorders>
          </w:tcPr>
          <w:p w:rsidR="00E44D22" w:rsidRDefault="00E44D22" w:rsidP="00C3586E">
            <w:pPr>
              <w:pStyle w:val="Box"/>
              <w:keepNext w:val="0"/>
              <w:spacing w:before="60" w:after="60" w:line="80" w:lineRule="exact"/>
              <w:rPr>
                <w:b/>
                <w:color w:val="FF00FF"/>
                <w:sz w:val="14"/>
              </w:rPr>
            </w:pPr>
          </w:p>
        </w:tc>
      </w:tr>
    </w:tbl>
    <w:p w:rsidR="00E44D22" w:rsidRDefault="00E44D22" w:rsidP="00C3586E">
      <w:pPr>
        <w:pStyle w:val="BodyText"/>
      </w:pPr>
      <w:r>
        <w:t xml:space="preserve">Breaches of legislation, regulations or conditions </w:t>
      </w:r>
      <w:r w:rsidR="005A42A1">
        <w:t>va</w:t>
      </w:r>
      <w:r w:rsidR="00CF6BDA">
        <w:t>ry in circumstance and severity</w:t>
      </w:r>
      <w:r>
        <w:t xml:space="preserve">. Some </w:t>
      </w:r>
      <w:r w:rsidR="005A42A1">
        <w:t>breaches can</w:t>
      </w:r>
      <w:r>
        <w:t xml:space="preserve"> have serious implications for the quality of care provided to children (such as requirements to undertake criminal record checks for staff and requirements to install smoke detectors). Other </w:t>
      </w:r>
      <w:r w:rsidR="005A42A1">
        <w:t>breaches</w:t>
      </w:r>
      <w:r>
        <w:t xml:space="preserve"> do not necessarily directly affect the quality of care (such as requirements to display licensing information). Similarly, action taken by regulatory authorities in response to a breach can range from a requirement to comply within a specified time frame through to licensing action or prosecution.</w:t>
      </w:r>
    </w:p>
    <w:p w:rsidR="00E44D22" w:rsidRPr="00170BF9" w:rsidRDefault="007069F4" w:rsidP="00C3586E">
      <w:pPr>
        <w:pStyle w:val="BodyText"/>
      </w:pPr>
      <w:r>
        <w:t xml:space="preserve">NSW, </w:t>
      </w:r>
      <w:r w:rsidR="00201ACB">
        <w:t>Victoria, WA, Tasmania</w:t>
      </w:r>
      <w:r w:rsidR="002F3244">
        <w:t>,</w:t>
      </w:r>
      <w:r w:rsidR="00201ACB">
        <w:t xml:space="preserve"> </w:t>
      </w:r>
      <w:r w:rsidR="0097041F">
        <w:t>the</w:t>
      </w:r>
      <w:r w:rsidR="009B7071">
        <w:t xml:space="preserve"> </w:t>
      </w:r>
      <w:r w:rsidR="00E44D22" w:rsidRPr="000B177C">
        <w:t xml:space="preserve">ACT </w:t>
      </w:r>
      <w:r w:rsidR="002F3244">
        <w:t xml:space="preserve">and </w:t>
      </w:r>
      <w:r w:rsidR="002F3244" w:rsidRPr="000B177C">
        <w:t xml:space="preserve">the </w:t>
      </w:r>
      <w:r w:rsidR="002F3244">
        <w:t xml:space="preserve">NT </w:t>
      </w:r>
      <w:r w:rsidR="00E44D22" w:rsidRPr="000B177C">
        <w:t>provided</w:t>
      </w:r>
      <w:r w:rsidR="00E44D22">
        <w:t xml:space="preserve"> data on the number of substantiated breaches arising from complaints and allegations of regulation breaches made to the State and Territory government regulatory bodies in </w:t>
      </w:r>
      <w:r w:rsidR="00EA6C0D">
        <w:t>201</w:t>
      </w:r>
      <w:r w:rsidR="00580100">
        <w:t>2</w:t>
      </w:r>
      <w:r w:rsidR="00172534">
        <w:noBreakHyphen/>
      </w:r>
      <w:r w:rsidR="00EB1219">
        <w:t>1</w:t>
      </w:r>
      <w:r w:rsidR="00580100">
        <w:t>3</w:t>
      </w:r>
      <w:r w:rsidR="00E44D22">
        <w:t xml:space="preserve"> (</w:t>
      </w:r>
      <w:r w:rsidR="00E44D22" w:rsidRPr="00170BF9">
        <w:t>tables</w:t>
      </w:r>
      <w:r w:rsidR="00172534">
        <w:t> </w:t>
      </w:r>
      <w:proofErr w:type="spellStart"/>
      <w:r w:rsidR="00835895">
        <w:t>3A.65</w:t>
      </w:r>
      <w:proofErr w:type="spellEnd"/>
      <w:r>
        <w:t xml:space="preserve">, </w:t>
      </w:r>
      <w:proofErr w:type="spellStart"/>
      <w:r w:rsidR="000831E6" w:rsidRPr="00170BF9">
        <w:t>3A</w:t>
      </w:r>
      <w:r w:rsidR="00CA5B65" w:rsidRPr="00170BF9">
        <w:t>.</w:t>
      </w:r>
      <w:r w:rsidR="00835895">
        <w:t>72</w:t>
      </w:r>
      <w:proofErr w:type="spellEnd"/>
      <w:r w:rsidR="000831E6" w:rsidRPr="00170BF9">
        <w:t xml:space="preserve">, </w:t>
      </w:r>
      <w:proofErr w:type="spellStart"/>
      <w:r w:rsidR="000831E6" w:rsidRPr="00170BF9">
        <w:t>3A</w:t>
      </w:r>
      <w:r w:rsidR="00CA5B65" w:rsidRPr="00170BF9">
        <w:t>.</w:t>
      </w:r>
      <w:r w:rsidR="00835895">
        <w:t>86</w:t>
      </w:r>
      <w:proofErr w:type="spellEnd"/>
      <w:r w:rsidR="000831E6" w:rsidRPr="00170BF9">
        <w:t xml:space="preserve">, </w:t>
      </w:r>
      <w:proofErr w:type="spellStart"/>
      <w:r w:rsidR="000831E6" w:rsidRPr="00170BF9">
        <w:t>3A.</w:t>
      </w:r>
      <w:r w:rsidR="00835895">
        <w:t>100</w:t>
      </w:r>
      <w:proofErr w:type="spellEnd"/>
      <w:r w:rsidR="002F3244">
        <w:t>,</w:t>
      </w:r>
      <w:r w:rsidR="006D023C">
        <w:t xml:space="preserve"> </w:t>
      </w:r>
      <w:proofErr w:type="spellStart"/>
      <w:r w:rsidR="000831E6" w:rsidRPr="00170BF9">
        <w:t>3A.</w:t>
      </w:r>
      <w:r w:rsidR="00835895">
        <w:t>107</w:t>
      </w:r>
      <w:proofErr w:type="spellEnd"/>
      <w:r w:rsidR="0097041F">
        <w:t xml:space="preserve"> </w:t>
      </w:r>
      <w:r w:rsidR="002F3244">
        <w:t xml:space="preserve">and </w:t>
      </w:r>
      <w:proofErr w:type="spellStart"/>
      <w:r w:rsidR="002F3244">
        <w:t>3A.</w:t>
      </w:r>
      <w:r w:rsidR="00835895">
        <w:t>114</w:t>
      </w:r>
      <w:proofErr w:type="spellEnd"/>
      <w:r w:rsidR="00E44D22" w:rsidRPr="00170BF9">
        <w:t>).</w:t>
      </w:r>
      <w:r w:rsidR="00420CEA" w:rsidRPr="00420CEA">
        <w:t xml:space="preserve"> </w:t>
      </w:r>
      <w:r w:rsidR="00FA422F">
        <w:t>T</w:t>
      </w:r>
      <w:r w:rsidR="00420CEA">
        <w:t>he proportion of substantiated breaches arising from complaints against which ac</w:t>
      </w:r>
      <w:r w:rsidR="00FA422F">
        <w:t>tion was taken is also presented</w:t>
      </w:r>
      <w:r w:rsidR="00420CEA">
        <w:t>.</w:t>
      </w:r>
    </w:p>
    <w:p w:rsidR="00E44D22" w:rsidRDefault="00793D46" w:rsidP="00C3586E">
      <w:pPr>
        <w:pStyle w:val="Heading4"/>
      </w:pPr>
      <w:r w:rsidRPr="00793D46">
        <w:lastRenderedPageBreak/>
        <w:t>Efficiency</w:t>
      </w:r>
    </w:p>
    <w:p w:rsidR="00BF3412" w:rsidRDefault="00BF3412" w:rsidP="00C3586E">
      <w:pPr>
        <w:pStyle w:val="BodyText"/>
      </w:pPr>
      <w:r w:rsidRPr="00BF3412">
        <w:t xml:space="preserve">Differences in reported efficiency results across jurisdictions </w:t>
      </w:r>
      <w:r w:rsidR="00922771">
        <w:t>can</w:t>
      </w:r>
      <w:r w:rsidRPr="00BF3412">
        <w:t xml:space="preserve"> reflect differences in counting and reporting rules for financial data and in reported expenditure</w:t>
      </w:r>
      <w:r w:rsidR="002E744B">
        <w:t xml:space="preserve"> (</w:t>
      </w:r>
      <w:r w:rsidRPr="00BF3412">
        <w:t>which are partly due to different treatments of various expenditure items</w:t>
      </w:r>
      <w:r w:rsidR="002E744B">
        <w:t>)</w:t>
      </w:r>
      <w:r w:rsidRPr="00BF3412">
        <w:t>. Information on the comparability of expenditure is shown in table</w:t>
      </w:r>
      <w:r w:rsidR="00172534">
        <w:t> </w:t>
      </w:r>
      <w:proofErr w:type="spellStart"/>
      <w:r>
        <w:t>3</w:t>
      </w:r>
      <w:r w:rsidRPr="00BF3412">
        <w:t>A.</w:t>
      </w:r>
      <w:r w:rsidR="0097041F">
        <w:t>7</w:t>
      </w:r>
      <w:proofErr w:type="spellEnd"/>
      <w:r w:rsidR="00D4121C">
        <w:t>.</w:t>
      </w:r>
    </w:p>
    <w:p w:rsidR="00BF3412" w:rsidRPr="006C2D97" w:rsidRDefault="00BF3412" w:rsidP="00736511">
      <w:pPr>
        <w:pStyle w:val="Heading5"/>
      </w:pPr>
      <w:r w:rsidRPr="00BF3412">
        <w:t xml:space="preserve">Inputs per output unit — total </w:t>
      </w:r>
      <w:r w:rsidRPr="006C2D97">
        <w:t xml:space="preserve">government </w:t>
      </w:r>
      <w:r w:rsidR="00BC6DA3" w:rsidRPr="006C2D97">
        <w:t xml:space="preserve">recurrent </w:t>
      </w:r>
      <w:r w:rsidRPr="006C2D97">
        <w:t>expenditure</w:t>
      </w:r>
      <w:r w:rsidR="000C52CE" w:rsidRPr="006C2D97">
        <w:t xml:space="preserve"> on </w:t>
      </w:r>
      <w:r w:rsidR="00035038">
        <w:t>early childhood education and care</w:t>
      </w:r>
      <w:r w:rsidR="00DA5E19" w:rsidRPr="006C2D97">
        <w:t xml:space="preserve"> per child in the community</w:t>
      </w:r>
    </w:p>
    <w:p w:rsidR="00BF3412" w:rsidRDefault="009D36AA" w:rsidP="00736511">
      <w:pPr>
        <w:pStyle w:val="BodyText"/>
      </w:pPr>
      <w:r w:rsidRPr="006C2D97">
        <w:t xml:space="preserve">‘Total government </w:t>
      </w:r>
      <w:r w:rsidR="003B5E34" w:rsidRPr="006C2D97">
        <w:t xml:space="preserve">recurrent </w:t>
      </w:r>
      <w:r w:rsidRPr="006C2D97">
        <w:t>expenditure</w:t>
      </w:r>
      <w:r w:rsidR="00D51F10" w:rsidRPr="006C2D97">
        <w:t xml:space="preserve"> on </w:t>
      </w:r>
      <w:r w:rsidR="00035038">
        <w:t>early childhood education and care</w:t>
      </w:r>
      <w:r w:rsidR="00035038" w:rsidRPr="006C2D97">
        <w:t xml:space="preserve"> </w:t>
      </w:r>
      <w:r w:rsidRPr="006C2D97">
        <w:t xml:space="preserve">per child in the community’ is an indicator of governments’ </w:t>
      </w:r>
      <w:r w:rsidRPr="009D36AA">
        <w:t>objective to maximise the availability and quality of services throug</w:t>
      </w:r>
      <w:r w:rsidR="0068030A">
        <w:t xml:space="preserve">h the efficient use of public </w:t>
      </w:r>
      <w:r w:rsidRPr="009D36AA">
        <w:t xml:space="preserve">resources </w:t>
      </w:r>
      <w:r w:rsidR="00BF3412" w:rsidRPr="00BF3412">
        <w:t>(box</w:t>
      </w:r>
      <w:r w:rsidR="00172534">
        <w:t> </w:t>
      </w:r>
      <w:r w:rsidR="00D6543A">
        <w:t>3.20</w:t>
      </w:r>
      <w:r w:rsidR="00BF3412" w:rsidRPr="00BF3412">
        <w:t>).</w:t>
      </w:r>
    </w:p>
    <w:p w:rsidR="00BF3412" w:rsidRDefault="00BF3412" w:rsidP="00C3586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F3412" w:rsidTr="00FB35DF">
        <w:tc>
          <w:tcPr>
            <w:tcW w:w="8771" w:type="dxa"/>
            <w:tcBorders>
              <w:top w:val="single" w:sz="6" w:space="0" w:color="auto"/>
              <w:bottom w:val="nil"/>
              <w:right w:val="single" w:sz="4" w:space="0" w:color="auto"/>
            </w:tcBorders>
          </w:tcPr>
          <w:p w:rsidR="00BF3412" w:rsidRPr="00BF3412" w:rsidRDefault="00BF3412" w:rsidP="00D6543A">
            <w:pPr>
              <w:pStyle w:val="BoxTitle"/>
            </w:pPr>
            <w:r>
              <w:rPr>
                <w:b w:val="0"/>
              </w:rPr>
              <w:t xml:space="preserve">Box </w:t>
            </w:r>
            <w:bookmarkStart w:id="32" w:name="OLE_LINK35"/>
            <w:r w:rsidR="00923A1C">
              <w:rPr>
                <w:b w:val="0"/>
              </w:rPr>
              <w:t>3.</w:t>
            </w:r>
            <w:bookmarkEnd w:id="32"/>
            <w:r w:rsidR="00D6543A">
              <w:rPr>
                <w:b w:val="0"/>
              </w:rPr>
              <w:t>20</w:t>
            </w:r>
            <w:r>
              <w:tab/>
            </w:r>
            <w:r w:rsidRPr="00BF3412">
              <w:t xml:space="preserve">Total </w:t>
            </w:r>
            <w:r w:rsidRPr="006C2D97">
              <w:t xml:space="preserve">government </w:t>
            </w:r>
            <w:r w:rsidR="003046A4" w:rsidRPr="006C2D97">
              <w:t xml:space="preserve">recurrent </w:t>
            </w:r>
            <w:r w:rsidRPr="006C2D97">
              <w:t>expenditure</w:t>
            </w:r>
            <w:r w:rsidR="002C520E" w:rsidRPr="006C2D97">
              <w:t xml:space="preserve"> </w:t>
            </w:r>
            <w:r w:rsidR="002C520E">
              <w:t xml:space="preserve">on </w:t>
            </w:r>
            <w:r w:rsidR="00035038">
              <w:t>early childhood education and care</w:t>
            </w:r>
            <w:r w:rsidR="00035038" w:rsidRPr="006C2D97">
              <w:t xml:space="preserve"> </w:t>
            </w:r>
            <w:r w:rsidR="00DA5E19">
              <w:t>per child in the community</w:t>
            </w:r>
          </w:p>
        </w:tc>
      </w:tr>
      <w:tr w:rsidR="00BF3412" w:rsidRPr="00516B82" w:rsidTr="00FB35DF">
        <w:trPr>
          <w:cantSplit/>
        </w:trPr>
        <w:tc>
          <w:tcPr>
            <w:tcW w:w="8771" w:type="dxa"/>
            <w:tcBorders>
              <w:top w:val="nil"/>
              <w:left w:val="single" w:sz="6" w:space="0" w:color="auto"/>
              <w:bottom w:val="nil"/>
              <w:right w:val="single" w:sz="4" w:space="0" w:color="auto"/>
            </w:tcBorders>
          </w:tcPr>
          <w:p w:rsidR="00D4121C" w:rsidRDefault="00BF3412" w:rsidP="006C2D97">
            <w:pPr>
              <w:pStyle w:val="Box"/>
            </w:pPr>
            <w:r w:rsidRPr="00516B82">
              <w:t xml:space="preserve">‘Total </w:t>
            </w:r>
            <w:r w:rsidRPr="006C2D97">
              <w:t xml:space="preserve">government </w:t>
            </w:r>
            <w:r w:rsidR="003046A4" w:rsidRPr="008B42D1">
              <w:t xml:space="preserve">recurrent </w:t>
            </w:r>
            <w:r w:rsidRPr="006C2D97">
              <w:t>expenditure</w:t>
            </w:r>
            <w:r w:rsidR="002C520E" w:rsidRPr="006C2D97">
              <w:t xml:space="preserve"> on </w:t>
            </w:r>
            <w:r w:rsidR="00035038">
              <w:t>early childhood education and care</w:t>
            </w:r>
            <w:r w:rsidR="00035038" w:rsidRPr="006C2D97">
              <w:t xml:space="preserve"> </w:t>
            </w:r>
            <w:r w:rsidR="00DA5E19" w:rsidRPr="006C2D97">
              <w:t>per child in the community</w:t>
            </w:r>
            <w:r w:rsidRPr="006C2D97">
              <w:t xml:space="preserve">’ is defined as Australian Government </w:t>
            </w:r>
            <w:r w:rsidR="003046A4" w:rsidRPr="008B42D1">
              <w:t>recurrent</w:t>
            </w:r>
            <w:r w:rsidR="003046A4" w:rsidRPr="006C2D97">
              <w:t xml:space="preserve"> </w:t>
            </w:r>
            <w:r w:rsidRPr="006C2D97">
              <w:t xml:space="preserve">expenditure and State and Territory government </w:t>
            </w:r>
            <w:r w:rsidR="003046A4" w:rsidRPr="008B42D1">
              <w:t>recurrent</w:t>
            </w:r>
            <w:r w:rsidR="003046A4" w:rsidRPr="006C2D97">
              <w:t xml:space="preserve"> </w:t>
            </w:r>
            <w:r w:rsidRPr="006C2D97">
              <w:t xml:space="preserve">expenditure on </w:t>
            </w:r>
            <w:r w:rsidR="00035038">
              <w:t>early childhood education and care</w:t>
            </w:r>
            <w:r w:rsidR="00035038" w:rsidRPr="006C2D97">
              <w:t xml:space="preserve"> </w:t>
            </w:r>
            <w:r w:rsidRPr="006C2D97">
              <w:t>per child aged</w:t>
            </w:r>
            <w:r w:rsidR="009D36AA" w:rsidRPr="006C2D97">
              <w:t xml:space="preserve"> </w:t>
            </w:r>
            <w:r w:rsidRPr="006C2D97">
              <w:t>0–12</w:t>
            </w:r>
            <w:r w:rsidR="00384C16" w:rsidRPr="006C2D97">
              <w:t> </w:t>
            </w:r>
            <w:r w:rsidR="00D51F10" w:rsidRPr="006C2D97">
              <w:t>years</w:t>
            </w:r>
            <w:r w:rsidR="006D023C" w:rsidRPr="006C2D97">
              <w:t xml:space="preserve"> in the community</w:t>
            </w:r>
            <w:r w:rsidR="00D51F10" w:rsidRPr="006C2D97">
              <w:t>.</w:t>
            </w:r>
            <w:r w:rsidR="00DB0CC6">
              <w:t xml:space="preserve"> </w:t>
            </w:r>
          </w:p>
          <w:p w:rsidR="00BF3412" w:rsidRDefault="00BF3412" w:rsidP="003E272E">
            <w:pPr>
              <w:pStyle w:val="Box"/>
            </w:pPr>
            <w:r w:rsidRPr="00516B82">
              <w:t xml:space="preserve">All efficiency data </w:t>
            </w:r>
            <w:r w:rsidR="00DB0CC6">
              <w:t>should</w:t>
            </w:r>
            <w:r w:rsidRPr="00516B82">
              <w:t xml:space="preserve"> be interpreted with care. Changes in expenditure per child could represent changes in government funding policy. While high or increasing unit costs </w:t>
            </w:r>
            <w:r w:rsidR="00922771">
              <w:t>can</w:t>
            </w:r>
            <w:r w:rsidRPr="00516B82">
              <w:t xml:space="preserve"> reflect deteriorating efficiency, they </w:t>
            </w:r>
            <w:r w:rsidR="00922771">
              <w:t>can</w:t>
            </w:r>
            <w:r w:rsidRPr="00516B82">
              <w:t xml:space="preserve"> also reflect increases in the quality or quantity of service provided. Similarly, low or declining expenditure per child </w:t>
            </w:r>
            <w:r w:rsidR="00922771">
              <w:t>can</w:t>
            </w:r>
            <w:r w:rsidRPr="00516B82">
              <w:t xml:space="preserve"> reflect improving efficiency or lower quality or quantity. Provided the level and quality of,</w:t>
            </w:r>
            <w:r w:rsidR="00D4121C">
              <w:t xml:space="preserve"> and access to, services remain</w:t>
            </w:r>
            <w:r w:rsidRPr="00516B82">
              <w:t xml:space="preserve"> unchanged, lower expenditure per child can indicate greater efficiency of government expenditure.</w:t>
            </w:r>
          </w:p>
          <w:p w:rsidR="0084787F" w:rsidRDefault="0084787F" w:rsidP="0084787F">
            <w:pPr>
              <w:pStyle w:val="Box"/>
            </w:pPr>
            <w:r w:rsidRPr="006C2D97">
              <w:t xml:space="preserve">All Australian Government </w:t>
            </w:r>
            <w:r w:rsidRPr="008B42D1">
              <w:t>recurrent</w:t>
            </w:r>
            <w:r w:rsidRPr="006C2D97">
              <w:t xml:space="preserve"> expenditure reported for this indicator is provided for child care services, whereas State and Territory government </w:t>
            </w:r>
            <w:r w:rsidRPr="008B42D1">
              <w:t>recurrent</w:t>
            </w:r>
            <w:r w:rsidRPr="006C2D97">
              <w:t xml:space="preserve"> expenditure covers both child care and preschool services. Expenditure</w:t>
            </w:r>
            <w:r w:rsidRPr="00D51F10">
              <w:t xml:space="preserve"> data per child are reported separately for the Australian Government and each State and Territory government, as well as total expenditure per child</w:t>
            </w:r>
            <w:r>
              <w:t>.</w:t>
            </w:r>
          </w:p>
          <w:p w:rsidR="0084787F" w:rsidRDefault="0084787F" w:rsidP="003E272E">
            <w:pPr>
              <w:pStyle w:val="Box"/>
            </w:pPr>
            <w:r w:rsidRPr="0075483D">
              <w:t xml:space="preserve">Government expenditure includes </w:t>
            </w:r>
            <w:r>
              <w:t xml:space="preserve">recurrent expenditure </w:t>
            </w:r>
            <w:r w:rsidRPr="0075483D">
              <w:t xml:space="preserve">on child care and preschool services. Unit cost data for </w:t>
            </w:r>
            <w:r>
              <w:t>early childhood education and care</w:t>
            </w:r>
            <w:r w:rsidRPr="006C2D97">
              <w:t xml:space="preserve"> </w:t>
            </w:r>
            <w:r w:rsidRPr="0075483D">
              <w:t>do not yet contain an estimate of user cost of capital.</w:t>
            </w:r>
          </w:p>
          <w:p w:rsidR="00A561D3" w:rsidRDefault="00C75730" w:rsidP="003E272E">
            <w:pPr>
              <w:pStyle w:val="Box"/>
            </w:pPr>
            <w:r>
              <w:t xml:space="preserve">Data reported </w:t>
            </w:r>
            <w:r w:rsidR="00E86CD5">
              <w:t>for this indicator are:</w:t>
            </w:r>
          </w:p>
          <w:p w:rsidR="00E86CD5" w:rsidRPr="00CE7EF1" w:rsidRDefault="00E86CD5" w:rsidP="00751B02">
            <w:pPr>
              <w:pStyle w:val="BoxListBullet"/>
            </w:pPr>
            <w:r>
              <w:t>c</w:t>
            </w:r>
            <w:r w:rsidRPr="00CE7EF1">
              <w:t>omparable (subject to caveats) within jurisdictions over time but are not c</w:t>
            </w:r>
            <w:r w:rsidR="00E53376">
              <w:t>omparable across jurisdictions</w:t>
            </w:r>
          </w:p>
          <w:p w:rsidR="00E86CD5" w:rsidRDefault="00E86CD5" w:rsidP="00751B02">
            <w:pPr>
              <w:pStyle w:val="BoxListBullet"/>
            </w:pPr>
            <w:r>
              <w:t xml:space="preserve">complete </w:t>
            </w:r>
            <w:r w:rsidR="003907A5">
              <w:t xml:space="preserve">(subject to caveats) </w:t>
            </w:r>
            <w:r>
              <w:t>for the current repo</w:t>
            </w:r>
            <w:r w:rsidR="003907A5">
              <w:t>rting period</w:t>
            </w:r>
            <w:r>
              <w:t>. All required 2012</w:t>
            </w:r>
            <w:r w:rsidR="00172534">
              <w:noBreakHyphen/>
            </w:r>
            <w:r>
              <w:t>13 data are available for all jur</w:t>
            </w:r>
            <w:r w:rsidR="004A020D">
              <w:t>isdictions</w:t>
            </w:r>
            <w:r>
              <w:t xml:space="preserve">. </w:t>
            </w:r>
          </w:p>
          <w:p w:rsidR="00664BD6" w:rsidRPr="00664BD6" w:rsidRDefault="00EB300F" w:rsidP="00CB0726">
            <w:pPr>
              <w:pStyle w:val="Box"/>
              <w:rPr>
                <w:rStyle w:val="DraftingNote"/>
                <w:b w:val="0"/>
                <w:color w:val="auto"/>
                <w:sz w:val="22"/>
                <w:u w:val="none"/>
              </w:rPr>
            </w:pPr>
            <w:r>
              <w:rPr>
                <w:rFonts w:cs="Arial"/>
                <w:szCs w:val="26"/>
              </w:rPr>
              <w:t>D</w:t>
            </w:r>
            <w:r w:rsidR="00E86CD5">
              <w:rPr>
                <w:rFonts w:cs="Arial"/>
                <w:szCs w:val="26"/>
              </w:rPr>
              <w:t xml:space="preserve">ata quality </w:t>
            </w:r>
            <w:r>
              <w:rPr>
                <w:rFonts w:cs="Arial"/>
                <w:szCs w:val="26"/>
              </w:rPr>
              <w:t xml:space="preserve">information </w:t>
            </w:r>
            <w:r w:rsidR="006C15A2">
              <w:rPr>
                <w:rFonts w:cs="Arial"/>
                <w:szCs w:val="26"/>
              </w:rPr>
              <w:t>for this indicator</w:t>
            </w:r>
            <w:r w:rsidR="00E86CD5" w:rsidRPr="00BC652D">
              <w:rPr>
                <w:rFonts w:cs="Arial"/>
                <w:szCs w:val="26"/>
              </w:rPr>
              <w:t xml:space="preserve"> is at </w:t>
            </w:r>
            <w:proofErr w:type="spellStart"/>
            <w:r w:rsidR="00E86CD5" w:rsidRPr="00BC652D">
              <w:rPr>
                <w:rFonts w:cs="Arial"/>
                <w:szCs w:val="26"/>
              </w:rPr>
              <w:t>www.pc.gov.au</w:t>
            </w:r>
            <w:proofErr w:type="spellEnd"/>
            <w:r w:rsidR="00E86CD5" w:rsidRPr="00BC652D">
              <w:rPr>
                <w:rFonts w:cs="Arial"/>
                <w:szCs w:val="26"/>
              </w:rPr>
              <w:t>/</w:t>
            </w:r>
            <w:proofErr w:type="spellStart"/>
            <w:r w:rsidR="00E86CD5" w:rsidRPr="00BC652D">
              <w:rPr>
                <w:rFonts w:cs="Arial"/>
                <w:szCs w:val="26"/>
              </w:rPr>
              <w:t>gsp</w:t>
            </w:r>
            <w:proofErr w:type="spellEnd"/>
            <w:r w:rsidR="00E86CD5" w:rsidRPr="00BC652D">
              <w:rPr>
                <w:rFonts w:cs="Arial"/>
                <w:szCs w:val="26"/>
              </w:rPr>
              <w:t>/reports/</w:t>
            </w:r>
            <w:proofErr w:type="spellStart"/>
            <w:r w:rsidR="00E86CD5" w:rsidRPr="00BC652D">
              <w:rPr>
                <w:rFonts w:cs="Arial"/>
                <w:szCs w:val="26"/>
              </w:rPr>
              <w:t>rogs</w:t>
            </w:r>
            <w:proofErr w:type="spellEnd"/>
            <w:r w:rsidR="00E86CD5" w:rsidRPr="00BC652D">
              <w:rPr>
                <w:rFonts w:cs="Arial"/>
                <w:szCs w:val="26"/>
              </w:rPr>
              <w:t>/2014.</w:t>
            </w:r>
          </w:p>
        </w:tc>
      </w:tr>
      <w:tr w:rsidR="00BF3412">
        <w:trPr>
          <w:cantSplit/>
        </w:trPr>
        <w:tc>
          <w:tcPr>
            <w:tcW w:w="8771" w:type="dxa"/>
            <w:tcBorders>
              <w:top w:val="nil"/>
              <w:left w:val="single" w:sz="6" w:space="0" w:color="auto"/>
              <w:bottom w:val="single" w:sz="6" w:space="0" w:color="auto"/>
              <w:right w:val="single" w:sz="6" w:space="0" w:color="auto"/>
            </w:tcBorders>
          </w:tcPr>
          <w:p w:rsidR="00BF3412" w:rsidRDefault="00BF3412" w:rsidP="00C3586E">
            <w:pPr>
              <w:pStyle w:val="Box"/>
              <w:spacing w:before="0" w:line="120" w:lineRule="exact"/>
            </w:pPr>
          </w:p>
        </w:tc>
      </w:tr>
      <w:tr w:rsidR="00BF3412">
        <w:tc>
          <w:tcPr>
            <w:tcW w:w="8771" w:type="dxa"/>
            <w:tcBorders>
              <w:top w:val="nil"/>
              <w:left w:val="nil"/>
              <w:bottom w:val="nil"/>
              <w:right w:val="nil"/>
            </w:tcBorders>
          </w:tcPr>
          <w:p w:rsidR="00BF3412" w:rsidRDefault="00BF3412" w:rsidP="00C3586E">
            <w:pPr>
              <w:pStyle w:val="Box"/>
              <w:keepNext w:val="0"/>
              <w:spacing w:before="60" w:after="60" w:line="80" w:lineRule="exact"/>
              <w:rPr>
                <w:b/>
                <w:color w:val="FF00FF"/>
                <w:sz w:val="14"/>
              </w:rPr>
            </w:pPr>
          </w:p>
        </w:tc>
      </w:tr>
    </w:tbl>
    <w:p w:rsidR="00BF3412" w:rsidRPr="002A619D" w:rsidRDefault="00E9688A" w:rsidP="00171F72">
      <w:pPr>
        <w:pStyle w:val="BodyText"/>
      </w:pPr>
      <w:r w:rsidRPr="00E9688A">
        <w:t xml:space="preserve">Nationally, the average annual growth rate of </w:t>
      </w:r>
      <w:r>
        <w:t xml:space="preserve">Australian Government real recurrent </w:t>
      </w:r>
      <w:r w:rsidRPr="00E9688A">
        <w:t xml:space="preserve">expenditure </w:t>
      </w:r>
      <w:r>
        <w:t>was 5.1</w:t>
      </w:r>
      <w:r w:rsidRPr="00E9688A">
        <w:t xml:space="preserve"> per cent bet</w:t>
      </w:r>
      <w:r>
        <w:t xml:space="preserve">ween </w:t>
      </w:r>
      <w:r w:rsidR="00E811ED">
        <w:t>2008</w:t>
      </w:r>
      <w:r w:rsidR="00172534">
        <w:noBreakHyphen/>
      </w:r>
      <w:r w:rsidR="00E811ED">
        <w:t>09 and 2012</w:t>
      </w:r>
      <w:r w:rsidR="00172534">
        <w:noBreakHyphen/>
      </w:r>
      <w:r w:rsidR="00E811ED">
        <w:t>13 (figure</w:t>
      </w:r>
      <w:r w:rsidR="00172534">
        <w:t> </w:t>
      </w:r>
      <w:r w:rsidR="00E811ED">
        <w:t>3.15</w:t>
      </w:r>
      <w:r w:rsidRPr="00E9688A">
        <w:t>).</w:t>
      </w:r>
    </w:p>
    <w:p w:rsidR="00BF3412" w:rsidRPr="008B42D1" w:rsidRDefault="00BF3412" w:rsidP="00956CDE">
      <w:pPr>
        <w:pStyle w:val="FigureTitle"/>
        <w:rPr>
          <w:rStyle w:val="BoxChar"/>
        </w:rPr>
      </w:pPr>
      <w:r w:rsidRPr="008B7588">
        <w:rPr>
          <w:b w:val="0"/>
        </w:rPr>
        <w:lastRenderedPageBreak/>
        <w:t xml:space="preserve">Figure </w:t>
      </w:r>
      <w:bookmarkStart w:id="33" w:name="OLE_LINK36"/>
      <w:r w:rsidR="00923A1C" w:rsidRPr="008B7588">
        <w:rPr>
          <w:b w:val="0"/>
        </w:rPr>
        <w:t>3.</w:t>
      </w:r>
      <w:bookmarkEnd w:id="33"/>
      <w:r w:rsidR="00E811ED">
        <w:rPr>
          <w:b w:val="0"/>
        </w:rPr>
        <w:t>15</w:t>
      </w:r>
      <w:r w:rsidRPr="008B7588">
        <w:tab/>
        <w:t xml:space="preserve">Australian </w:t>
      </w:r>
      <w:r w:rsidRPr="006C2D97">
        <w:t xml:space="preserve">Government real </w:t>
      </w:r>
      <w:r w:rsidR="003046A4" w:rsidRPr="006C2D97">
        <w:t xml:space="preserve">recurrent </w:t>
      </w:r>
      <w:r w:rsidRPr="006C2D97">
        <w:t>expenditure</w:t>
      </w:r>
      <w:r w:rsidR="00255D50">
        <w:t xml:space="preserve"> on </w:t>
      </w:r>
      <w:r w:rsidR="00255D50">
        <w:rPr>
          <w:shd w:val="clear" w:color="auto" w:fill="FFFFFF" w:themeFill="background1"/>
        </w:rPr>
        <w:t>child care services</w:t>
      </w:r>
      <w:r w:rsidR="00651F6D" w:rsidRPr="00CB0726">
        <w:rPr>
          <w:shd w:val="clear" w:color="auto" w:fill="FFFFFF" w:themeFill="background1"/>
        </w:rPr>
        <w:t xml:space="preserve"> </w:t>
      </w:r>
      <w:r w:rsidRPr="00CB0726">
        <w:rPr>
          <w:shd w:val="clear" w:color="auto" w:fill="FFFFFF" w:themeFill="background1"/>
        </w:rPr>
        <w:t>per child</w:t>
      </w:r>
      <w:r w:rsidR="00EF00EB" w:rsidRPr="00CB0726">
        <w:rPr>
          <w:shd w:val="clear" w:color="auto" w:fill="FFFFFF" w:themeFill="background1"/>
        </w:rPr>
        <w:t xml:space="preserve"> </w:t>
      </w:r>
      <w:r w:rsidRPr="00CB0726">
        <w:rPr>
          <w:shd w:val="clear" w:color="auto" w:fill="FFFFFF" w:themeFill="background1"/>
        </w:rPr>
        <w:t>a</w:t>
      </w:r>
      <w:r w:rsidRPr="008B7588">
        <w:t xml:space="preserve">ged 0–12 </w:t>
      </w:r>
      <w:r w:rsidR="002C75D4" w:rsidRPr="008B7588">
        <w:t xml:space="preserve">years </w:t>
      </w:r>
      <w:r w:rsidR="006D023C" w:rsidRPr="008B7588">
        <w:t xml:space="preserve">in the community </w:t>
      </w:r>
      <w:r w:rsidRPr="008B7588">
        <w:t>(</w:t>
      </w:r>
      <w:r w:rsidR="00A17D2A" w:rsidRPr="008B7588">
        <w:t>20</w:t>
      </w:r>
      <w:r w:rsidR="00EB5372" w:rsidRPr="008B7588">
        <w:t>1</w:t>
      </w:r>
      <w:r w:rsidR="00580100">
        <w:t>2</w:t>
      </w:r>
      <w:r w:rsidR="00172534">
        <w:noBreakHyphen/>
      </w:r>
      <w:r w:rsidR="00EB1219" w:rsidRPr="008B7588">
        <w:t>1</w:t>
      </w:r>
      <w:r w:rsidR="00580100">
        <w:t>3</w:t>
      </w:r>
      <w:r w:rsidRPr="008B7588">
        <w:t xml:space="preserve"> dollars)</w:t>
      </w:r>
      <w:r w:rsidRPr="008B7588">
        <w:rPr>
          <w:rStyle w:val="NoteLabel"/>
          <w:b/>
        </w:rPr>
        <w:t>a, b</w:t>
      </w:r>
      <w:r w:rsidR="00435A78" w:rsidRPr="008B7588">
        <w:rPr>
          <w:rStyle w:val="NoteLabel"/>
          <w:b/>
        </w:rPr>
        <w:t>, c</w:t>
      </w:r>
      <w:r w:rsidR="007B4E5C" w:rsidRPr="008B7588">
        <w:rPr>
          <w:rStyle w:val="NoteLabel"/>
          <w:b/>
        </w:rPr>
        <w:t>, d</w:t>
      </w:r>
      <w:r w:rsidR="00844DC1">
        <w:rPr>
          <w:rStyle w:val="NoteLabel"/>
          <w:b/>
        </w:rPr>
        <w:t>, e</w:t>
      </w:r>
      <w:r w:rsidR="0007689C" w:rsidRPr="008B7588">
        <w:rPr>
          <w:rStyle w:val="NoteLabel"/>
          <w:b/>
        </w:rPr>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F3412" w:rsidRPr="003A0FE4">
        <w:tc>
          <w:tcPr>
            <w:tcW w:w="8777" w:type="dxa"/>
          </w:tcPr>
          <w:p w:rsidR="00BF3412" w:rsidRPr="003A0FE4" w:rsidRDefault="00964663" w:rsidP="00C3586E">
            <w:pPr>
              <w:pStyle w:val="Figure"/>
            </w:pPr>
            <w:r>
              <w:rPr>
                <w:noProof/>
              </w:rPr>
              <w:drawing>
                <wp:inline distT="0" distB="0" distL="0" distR="0" wp14:anchorId="3C56F9CA" wp14:editId="6FB98C80">
                  <wp:extent cx="5401310" cy="2689860"/>
                  <wp:effectExtent l="0" t="0" r="8890" b="0"/>
                  <wp:docPr id="15" name="Picture 15" descr="Figure 3.15 Australian Government real recurrent expenditure on child care services per child aged 0-12 years in the community (2012-13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01310" cy="2689860"/>
                          </a:xfrm>
                          <a:prstGeom prst="rect">
                            <a:avLst/>
                          </a:prstGeom>
                          <a:noFill/>
                          <a:ln>
                            <a:noFill/>
                          </a:ln>
                        </pic:spPr>
                      </pic:pic>
                    </a:graphicData>
                  </a:graphic>
                </wp:inline>
              </w:drawing>
            </w:r>
          </w:p>
        </w:tc>
      </w:tr>
    </w:tbl>
    <w:p w:rsidR="00435A78" w:rsidRPr="00844DC1" w:rsidRDefault="00A7340E" w:rsidP="00844DC1">
      <w:pPr>
        <w:pStyle w:val="Note"/>
      </w:pPr>
      <w:proofErr w:type="spellStart"/>
      <w:r w:rsidRPr="003A0FE4">
        <w:rPr>
          <w:rStyle w:val="NoteLabel"/>
        </w:rPr>
        <w:t>a</w:t>
      </w:r>
      <w:proofErr w:type="spellEnd"/>
      <w:r w:rsidRPr="003A0FE4">
        <w:t xml:space="preserve"> </w:t>
      </w:r>
      <w:r w:rsidR="00023740" w:rsidRPr="003302E2">
        <w:t>Includes recurrent expenditure on child care services</w:t>
      </w:r>
      <w:r w:rsidRPr="003302E2">
        <w:t>.</w:t>
      </w:r>
      <w:r w:rsidRPr="003302E2">
        <w:rPr>
          <w:rStyle w:val="NoteLabel"/>
        </w:rPr>
        <w:t xml:space="preserve"> b</w:t>
      </w:r>
      <w:r w:rsidR="00023740">
        <w:t> </w:t>
      </w:r>
      <w:r w:rsidR="00023740" w:rsidRPr="003302E2">
        <w:rPr>
          <w:shd w:val="clear" w:color="auto" w:fill="FFFFFF" w:themeFill="background1"/>
        </w:rPr>
        <w:t>Estimated resident population as at 31 December in each year</w:t>
      </w:r>
      <w:r w:rsidR="00023740">
        <w:rPr>
          <w:shd w:val="clear" w:color="auto" w:fill="FFFFFF" w:themeFill="background1"/>
        </w:rPr>
        <w:t xml:space="preserve">, based on the </w:t>
      </w:r>
      <w:r w:rsidR="00023740" w:rsidRPr="00250644">
        <w:rPr>
          <w:i/>
          <w:shd w:val="clear" w:color="auto" w:fill="FFFFFF" w:themeFill="background1"/>
        </w:rPr>
        <w:t>2011 Census of Population and Housing.</w:t>
      </w:r>
      <w:r w:rsidR="00023740" w:rsidRPr="00250644">
        <w:rPr>
          <w:i/>
        </w:rPr>
        <w:t xml:space="preserve"> </w:t>
      </w:r>
      <w:r w:rsidR="00023740" w:rsidRPr="00250644">
        <w:t xml:space="preserve">The </w:t>
      </w:r>
      <w:r w:rsidR="00023740" w:rsidRPr="003302E2">
        <w:t>Australian total includes children in other territories.</w:t>
      </w:r>
      <w:r w:rsidR="00023740" w:rsidRPr="003302E2">
        <w:rPr>
          <w:rStyle w:val="NoteLabel"/>
        </w:rPr>
        <w:t xml:space="preserve"> </w:t>
      </w:r>
      <w:r w:rsidR="00844DC1">
        <w:rPr>
          <w:rStyle w:val="NoteLabel"/>
        </w:rPr>
        <w:t>c</w:t>
      </w:r>
      <w:r w:rsidR="00844DC1">
        <w:t xml:space="preserve"> </w:t>
      </w:r>
      <w:r w:rsidR="00844DC1" w:rsidRPr="00250644">
        <w:t>Time series financial data are adjusted to 2012</w:t>
      </w:r>
      <w:r w:rsidR="00172534">
        <w:noBreakHyphen/>
      </w:r>
      <w:r w:rsidR="00844DC1" w:rsidRPr="00250644">
        <w:t>13 dollars using the General Government Final Consumption Expenditure (</w:t>
      </w:r>
      <w:proofErr w:type="spellStart"/>
      <w:r w:rsidR="00844DC1" w:rsidRPr="00250644">
        <w:t>GGFCE</w:t>
      </w:r>
      <w:proofErr w:type="spellEnd"/>
      <w:r w:rsidR="00844DC1" w:rsidRPr="00250644">
        <w:t>) chain price deflator (2012</w:t>
      </w:r>
      <w:r w:rsidR="00172534">
        <w:noBreakHyphen/>
      </w:r>
      <w:r w:rsidR="00844DC1" w:rsidRPr="00250644">
        <w:t>13 = 100) (table</w:t>
      </w:r>
      <w:r w:rsidR="00172534">
        <w:t> </w:t>
      </w:r>
      <w:proofErr w:type="spellStart"/>
      <w:r w:rsidR="00844DC1" w:rsidRPr="00250644">
        <w:t>2A.53</w:t>
      </w:r>
      <w:proofErr w:type="spellEnd"/>
      <w:r w:rsidR="00844DC1" w:rsidRPr="00250644">
        <w:t xml:space="preserve">). The </w:t>
      </w:r>
      <w:proofErr w:type="spellStart"/>
      <w:r w:rsidR="00844DC1" w:rsidRPr="00250644">
        <w:t>GGFCE</w:t>
      </w:r>
      <w:proofErr w:type="spellEnd"/>
      <w:r w:rsidR="00844DC1" w:rsidRPr="00250644">
        <w:t xml:space="preserve"> replaces the Gross Domestic Product implicit price deflator used in previous editions. See </w:t>
      </w:r>
      <w:r w:rsidR="00917355">
        <w:t>c</w:t>
      </w:r>
      <w:r w:rsidR="00844DC1" w:rsidRPr="00250644">
        <w:t>hap</w:t>
      </w:r>
      <w:r w:rsidR="00844DC1">
        <w:t>ter</w:t>
      </w:r>
      <w:r w:rsidR="00172534">
        <w:t> </w:t>
      </w:r>
      <w:r w:rsidR="00844DC1">
        <w:t>2 (section</w:t>
      </w:r>
      <w:r w:rsidR="00172534">
        <w:t> </w:t>
      </w:r>
      <w:r w:rsidR="00844DC1">
        <w:t>2.5) for details</w:t>
      </w:r>
      <w:r w:rsidR="00844DC1" w:rsidRPr="00CE541D">
        <w:t>.</w:t>
      </w:r>
      <w:r w:rsidR="00BF3412" w:rsidRPr="003302E2">
        <w:rPr>
          <w:rStyle w:val="NoteLabel"/>
          <w:b w:val="0"/>
        </w:rPr>
        <w:t xml:space="preserve"> </w:t>
      </w:r>
      <w:r w:rsidR="00844DC1">
        <w:rPr>
          <w:rStyle w:val="NoteLabel"/>
        </w:rPr>
        <w:t>d</w:t>
      </w:r>
      <w:r w:rsidR="00BF3412" w:rsidRPr="003302E2">
        <w:rPr>
          <w:rStyle w:val="NoteLabel"/>
        </w:rPr>
        <w:t xml:space="preserve"> </w:t>
      </w:r>
      <w:r w:rsidR="00BF3412" w:rsidRPr="003302E2">
        <w:t xml:space="preserve">The Australian total includes a component of expenditure that cannot be disaggregated by </w:t>
      </w:r>
      <w:r w:rsidR="001541DD">
        <w:t>S</w:t>
      </w:r>
      <w:r w:rsidR="00BF3412" w:rsidRPr="003302E2">
        <w:t xml:space="preserve">tate and </w:t>
      </w:r>
      <w:r w:rsidR="001541DD">
        <w:t>T</w:t>
      </w:r>
      <w:r w:rsidR="00BF3412" w:rsidRPr="003302E2">
        <w:t>erritory.</w:t>
      </w:r>
      <w:r w:rsidR="00435A78" w:rsidRPr="003302E2">
        <w:t xml:space="preserve"> </w:t>
      </w:r>
      <w:r w:rsidR="00844DC1">
        <w:rPr>
          <w:rStyle w:val="NoteLabel"/>
        </w:rPr>
        <w:t>e</w:t>
      </w:r>
      <w:r w:rsidR="00435A78" w:rsidRPr="003302E2">
        <w:rPr>
          <w:i/>
        </w:rPr>
        <w:t xml:space="preserve"> </w:t>
      </w:r>
      <w:r w:rsidR="00435A78" w:rsidRPr="003302E2">
        <w:t>Expenditure i</w:t>
      </w:r>
      <w:r w:rsidR="003E6B9A" w:rsidRPr="003302E2">
        <w:t>nclude</w:t>
      </w:r>
      <w:r w:rsidR="0069675E" w:rsidRPr="003302E2">
        <w:t xml:space="preserve">s payment of </w:t>
      </w:r>
      <w:proofErr w:type="spellStart"/>
      <w:r w:rsidR="00435A78" w:rsidRPr="003302E2">
        <w:t>CCTR</w:t>
      </w:r>
      <w:proofErr w:type="spellEnd"/>
      <w:r w:rsidR="00435A78" w:rsidRPr="003302E2">
        <w:t>.</w:t>
      </w:r>
    </w:p>
    <w:p w:rsidR="00BF3412" w:rsidRPr="00C941CD" w:rsidRDefault="00BF3412" w:rsidP="00C3586E">
      <w:pPr>
        <w:pStyle w:val="Source"/>
      </w:pPr>
      <w:r w:rsidRPr="003A0FE4">
        <w:rPr>
          <w:i/>
        </w:rPr>
        <w:t>Source</w:t>
      </w:r>
      <w:r w:rsidRPr="003A0FE4">
        <w:t xml:space="preserve">: </w:t>
      </w:r>
      <w:r w:rsidR="002F10CE">
        <w:t>Department of Education</w:t>
      </w:r>
      <w:r w:rsidRPr="003A0FE4">
        <w:t xml:space="preserve"> (unpublished);</w:t>
      </w:r>
      <w:r w:rsidR="00A07DD6" w:rsidRPr="003A0FE4">
        <w:t xml:space="preserve"> ABS (unpublished)</w:t>
      </w:r>
      <w:r w:rsidR="00D656CC" w:rsidRPr="003A0FE4">
        <w:t xml:space="preserve"> </w:t>
      </w:r>
      <w:r w:rsidR="00D656CC" w:rsidRPr="003E7828">
        <w:rPr>
          <w:i/>
        </w:rPr>
        <w:t>A</w:t>
      </w:r>
      <w:r w:rsidR="00A07DD6" w:rsidRPr="003E7828">
        <w:rPr>
          <w:i/>
        </w:rPr>
        <w:t>u</w:t>
      </w:r>
      <w:r w:rsidR="00A07DD6" w:rsidRPr="003A0FE4">
        <w:rPr>
          <w:i/>
        </w:rPr>
        <w:t>stralian Demographic Statistics</w:t>
      </w:r>
      <w:r w:rsidR="00B12C45" w:rsidRPr="003A0FE4">
        <w:t>, Cat. no. 3101.0</w:t>
      </w:r>
      <w:r w:rsidR="00D656CC" w:rsidRPr="003A0FE4">
        <w:t>;</w:t>
      </w:r>
      <w:r w:rsidRPr="003A0FE4">
        <w:t xml:space="preserve"> </w:t>
      </w:r>
      <w:r w:rsidRPr="003A0FE4">
        <w:rPr>
          <w:rStyle w:val="SourceChar"/>
        </w:rPr>
        <w:t>table</w:t>
      </w:r>
      <w:r w:rsidR="00B12C45" w:rsidRPr="003A0FE4">
        <w:rPr>
          <w:rStyle w:val="SourceChar"/>
        </w:rPr>
        <w:t> </w:t>
      </w:r>
      <w:proofErr w:type="spellStart"/>
      <w:r w:rsidRPr="003A0FE4">
        <w:rPr>
          <w:rStyle w:val="SourceChar"/>
        </w:rPr>
        <w:t>3A.</w:t>
      </w:r>
      <w:r w:rsidR="00835895">
        <w:rPr>
          <w:rStyle w:val="SourceChar"/>
        </w:rPr>
        <w:t>50</w:t>
      </w:r>
      <w:proofErr w:type="spellEnd"/>
      <w:r w:rsidRPr="003A0FE4">
        <w:rPr>
          <w:rStyle w:val="SourceChar"/>
        </w:rPr>
        <w:t>.</w:t>
      </w:r>
    </w:p>
    <w:p w:rsidR="00466FD9" w:rsidRPr="00466FD9" w:rsidRDefault="00466FD9" w:rsidP="00C3586E">
      <w:pPr>
        <w:pStyle w:val="BodyText"/>
      </w:pPr>
      <w:r w:rsidRPr="00466FD9">
        <w:t>Additional time serie</w:t>
      </w:r>
      <w:r>
        <w:t xml:space="preserve">s data </w:t>
      </w:r>
      <w:r w:rsidRPr="00FA474E">
        <w:t>from 200</w:t>
      </w:r>
      <w:r w:rsidR="002A226D" w:rsidRPr="00FA474E">
        <w:t>3</w:t>
      </w:r>
      <w:r w:rsidR="00172534">
        <w:noBreakHyphen/>
      </w:r>
      <w:r w:rsidRPr="00FA474E">
        <w:t>0</w:t>
      </w:r>
      <w:r w:rsidR="002A226D" w:rsidRPr="00FA474E">
        <w:t>4</w:t>
      </w:r>
      <w:r w:rsidRPr="00FA474E">
        <w:t xml:space="preserve"> </w:t>
      </w:r>
      <w:r>
        <w:t xml:space="preserve">are presented for Australian </w:t>
      </w:r>
      <w:r w:rsidR="006D023C">
        <w:t xml:space="preserve">Government real </w:t>
      </w:r>
      <w:r w:rsidR="00D630B6">
        <w:t xml:space="preserve">recurrent </w:t>
      </w:r>
      <w:r w:rsidR="006D023C">
        <w:t xml:space="preserve">expenditure on </w:t>
      </w:r>
      <w:r w:rsidR="00D4121C">
        <w:t>child care services</w:t>
      </w:r>
      <w:r w:rsidR="00530D25" w:rsidRPr="006C2D97">
        <w:t xml:space="preserve"> </w:t>
      </w:r>
      <w:r>
        <w:t>per child in table</w:t>
      </w:r>
      <w:r w:rsidR="00172534">
        <w:t> </w:t>
      </w:r>
      <w:proofErr w:type="spellStart"/>
      <w:r>
        <w:t>3A.</w:t>
      </w:r>
      <w:r w:rsidR="00835895">
        <w:t>50</w:t>
      </w:r>
      <w:proofErr w:type="spellEnd"/>
      <w:r w:rsidR="003A0FE4" w:rsidRPr="00FA474E">
        <w:t>.</w:t>
      </w:r>
    </w:p>
    <w:p w:rsidR="00BF3412" w:rsidRPr="00580100" w:rsidRDefault="00BF3412" w:rsidP="00B36F4D">
      <w:pPr>
        <w:pStyle w:val="BodyText"/>
        <w:rPr>
          <w:color w:val="FF0000"/>
        </w:rPr>
      </w:pPr>
      <w:r>
        <w:t xml:space="preserve">Data were </w:t>
      </w:r>
      <w:r w:rsidR="00201ACB">
        <w:t>supplied by</w:t>
      </w:r>
      <w:r>
        <w:t xml:space="preserve"> all State and Territory gov</w:t>
      </w:r>
      <w:r w:rsidR="00F2327C">
        <w:t>ernments on their expenditure for both child care and preschool services</w:t>
      </w:r>
      <w:r>
        <w:t>.</w:t>
      </w:r>
      <w:r w:rsidR="00A7340E">
        <w:t xml:space="preserve"> D</w:t>
      </w:r>
      <w:r w:rsidR="004225A8">
        <w:t>iffering collection methods</w:t>
      </w:r>
      <w:r>
        <w:t xml:space="preserve"> and changes </w:t>
      </w:r>
      <w:r w:rsidR="004225A8">
        <w:t>to policies</w:t>
      </w:r>
      <w:r>
        <w:t xml:space="preserve"> make it difficult to compare expenditure across jurisdictions and over time. </w:t>
      </w:r>
      <w:r w:rsidR="00B926F2" w:rsidRPr="00CE541D">
        <w:t xml:space="preserve">Nationally in </w:t>
      </w:r>
      <w:r w:rsidR="00580100">
        <w:rPr>
          <w:shd w:val="clear" w:color="auto" w:fill="FFFFFF" w:themeFill="background1"/>
        </w:rPr>
        <w:t>2012</w:t>
      </w:r>
      <w:r w:rsidR="00172534">
        <w:rPr>
          <w:shd w:val="clear" w:color="auto" w:fill="FFFFFF" w:themeFill="background1"/>
        </w:rPr>
        <w:noBreakHyphen/>
      </w:r>
      <w:r w:rsidR="00580100">
        <w:rPr>
          <w:shd w:val="clear" w:color="auto" w:fill="FFFFFF" w:themeFill="background1"/>
        </w:rPr>
        <w:t>13</w:t>
      </w:r>
      <w:r w:rsidR="00B926F2" w:rsidRPr="00CE541D">
        <w:t xml:space="preserve">, </w:t>
      </w:r>
      <w:r w:rsidR="001D28A8" w:rsidRPr="00D4121C">
        <w:t xml:space="preserve">State and Territory government </w:t>
      </w:r>
      <w:r w:rsidR="00947274" w:rsidRPr="00D4121C">
        <w:t xml:space="preserve">recurrent </w:t>
      </w:r>
      <w:r w:rsidR="001D28A8" w:rsidRPr="00D4121C">
        <w:t xml:space="preserve">expenditure </w:t>
      </w:r>
      <w:r w:rsidR="00B926F2" w:rsidRPr="00D4121C">
        <w:t xml:space="preserve">was </w:t>
      </w:r>
      <w:r w:rsidR="00160C35" w:rsidRPr="00493DF4">
        <w:t>$</w:t>
      </w:r>
      <w:r w:rsidR="002D4980" w:rsidRPr="00493DF4">
        <w:t>326</w:t>
      </w:r>
      <w:r w:rsidR="002E1318" w:rsidRPr="00D4121C">
        <w:t xml:space="preserve"> </w:t>
      </w:r>
      <w:r w:rsidR="00160C35" w:rsidRPr="00D4121C">
        <w:t xml:space="preserve">per child </w:t>
      </w:r>
      <w:r w:rsidR="00B419C8" w:rsidRPr="00D4121C">
        <w:t>(</w:t>
      </w:r>
      <w:r w:rsidR="00111029" w:rsidRPr="00D4121C">
        <w:t>figure</w:t>
      </w:r>
      <w:r w:rsidR="00172534">
        <w:t> </w:t>
      </w:r>
      <w:r w:rsidR="00E811ED">
        <w:t>3.16</w:t>
      </w:r>
      <w:r w:rsidR="00B419C8" w:rsidRPr="00D4121C">
        <w:t>)</w:t>
      </w:r>
      <w:r w:rsidR="00580100" w:rsidRPr="00D4121C">
        <w:t xml:space="preserve">, </w:t>
      </w:r>
      <w:r w:rsidR="00D4121C" w:rsidRPr="00D4121C">
        <w:t>increasing from $221</w:t>
      </w:r>
      <w:r w:rsidR="00580100" w:rsidRPr="00D4121C">
        <w:t xml:space="preserve"> in 2008</w:t>
      </w:r>
      <w:r w:rsidR="00172534">
        <w:noBreakHyphen/>
      </w:r>
      <w:r w:rsidR="00580100" w:rsidRPr="00D4121C">
        <w:t>09</w:t>
      </w:r>
      <w:r w:rsidR="00160C35" w:rsidRPr="00D4121C">
        <w:t>.</w:t>
      </w:r>
    </w:p>
    <w:p w:rsidR="00BF3412" w:rsidRPr="001B45F7" w:rsidRDefault="00BF3412" w:rsidP="00B36F4D">
      <w:pPr>
        <w:pStyle w:val="FigureTitle"/>
        <w:shd w:val="clear" w:color="auto" w:fill="FFFFFF" w:themeFill="background1"/>
        <w:rPr>
          <w:rStyle w:val="NoteLabel"/>
          <w:position w:val="0"/>
          <w:sz w:val="24"/>
          <w:u w:val="dotted"/>
        </w:rPr>
      </w:pPr>
      <w:r w:rsidRPr="006F5877">
        <w:rPr>
          <w:b w:val="0"/>
        </w:rPr>
        <w:lastRenderedPageBreak/>
        <w:t xml:space="preserve">Figure </w:t>
      </w:r>
      <w:bookmarkStart w:id="34" w:name="OLE_LINK37"/>
      <w:r w:rsidR="00923A1C" w:rsidRPr="006F5877">
        <w:rPr>
          <w:b w:val="0"/>
        </w:rPr>
        <w:t>3.</w:t>
      </w:r>
      <w:bookmarkEnd w:id="34"/>
      <w:r w:rsidR="00E811ED">
        <w:rPr>
          <w:b w:val="0"/>
        </w:rPr>
        <w:t>16</w:t>
      </w:r>
      <w:r w:rsidRPr="006F5877">
        <w:tab/>
        <w:t xml:space="preserve">State and Territory </w:t>
      </w:r>
      <w:r w:rsidRPr="006C2D97">
        <w:t xml:space="preserve">government real </w:t>
      </w:r>
      <w:r w:rsidR="003046A4" w:rsidRPr="006C2D97">
        <w:t xml:space="preserve">recurrent </w:t>
      </w:r>
      <w:r w:rsidRPr="006C2D97">
        <w:t>expenditure</w:t>
      </w:r>
      <w:r w:rsidRPr="006F5877">
        <w:t xml:space="preserve"> on </w:t>
      </w:r>
      <w:r w:rsidR="00530D25" w:rsidRPr="00B36F4D">
        <w:rPr>
          <w:shd w:val="clear" w:color="auto" w:fill="FFFFFF" w:themeFill="background1"/>
        </w:rPr>
        <w:t>early childhood education and care</w:t>
      </w:r>
      <w:r w:rsidR="00530D25" w:rsidRPr="00BD3184">
        <w:rPr>
          <w:shd w:val="clear" w:color="auto" w:fill="FFFFFF" w:themeFill="background1"/>
        </w:rPr>
        <w:t xml:space="preserve"> </w:t>
      </w:r>
      <w:r w:rsidRPr="006F5877">
        <w:t>per child aged 0–12</w:t>
      </w:r>
      <w:r w:rsidR="00B12C45" w:rsidRPr="006F5877">
        <w:t xml:space="preserve"> years</w:t>
      </w:r>
      <w:r w:rsidRPr="006F5877">
        <w:t xml:space="preserve"> </w:t>
      </w:r>
      <w:r w:rsidR="006D023C" w:rsidRPr="006F5877">
        <w:t xml:space="preserve">in the community </w:t>
      </w:r>
      <w:r w:rsidRPr="006F5877">
        <w:t>(</w:t>
      </w:r>
      <w:r w:rsidR="00EB1219" w:rsidRPr="006F5877">
        <w:t>20</w:t>
      </w:r>
      <w:r w:rsidR="00EB5372" w:rsidRPr="006F5877">
        <w:t>1</w:t>
      </w:r>
      <w:r w:rsidR="00580100">
        <w:t>2</w:t>
      </w:r>
      <w:r w:rsidR="00172534">
        <w:noBreakHyphen/>
      </w:r>
      <w:r w:rsidR="00EB1219" w:rsidRPr="006F5877">
        <w:t>1</w:t>
      </w:r>
      <w:r w:rsidR="00580100">
        <w:t>3</w:t>
      </w:r>
      <w:r w:rsidRPr="006F5877">
        <w:t xml:space="preserve"> dollars)</w:t>
      </w:r>
      <w:r w:rsidR="00250644">
        <w:rPr>
          <w:rStyle w:val="NoteLabel"/>
          <w:b/>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F3412" w:rsidRPr="00CE541D" w:rsidTr="005222C3">
        <w:tc>
          <w:tcPr>
            <w:tcW w:w="8777" w:type="dxa"/>
          </w:tcPr>
          <w:p w:rsidR="00BF3412" w:rsidRPr="00CE541D" w:rsidRDefault="00964663" w:rsidP="00C3586E">
            <w:pPr>
              <w:pStyle w:val="Figure"/>
            </w:pPr>
            <w:r>
              <w:rPr>
                <w:noProof/>
              </w:rPr>
              <w:drawing>
                <wp:inline distT="0" distB="0" distL="0" distR="0" wp14:anchorId="3C500DB3" wp14:editId="662A67F6">
                  <wp:extent cx="5401310" cy="2689860"/>
                  <wp:effectExtent l="0" t="0" r="8890" b="0"/>
                  <wp:docPr id="16" name="Picture 16" descr="Figure 3.16 State and Territory government real recurrent expenditure on early childhood education and care per child aged 0-12 years in the community (2012-13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01310" cy="2689860"/>
                          </a:xfrm>
                          <a:prstGeom prst="rect">
                            <a:avLst/>
                          </a:prstGeom>
                          <a:noFill/>
                          <a:ln>
                            <a:noFill/>
                          </a:ln>
                        </pic:spPr>
                      </pic:pic>
                    </a:graphicData>
                  </a:graphic>
                </wp:inline>
              </w:drawing>
            </w:r>
          </w:p>
        </w:tc>
      </w:tr>
    </w:tbl>
    <w:p w:rsidR="00BF3412" w:rsidRPr="00CE541D" w:rsidRDefault="00BF3412" w:rsidP="00C3586E">
      <w:pPr>
        <w:pStyle w:val="Note"/>
      </w:pPr>
      <w:proofErr w:type="spellStart"/>
      <w:r w:rsidRPr="00CE541D">
        <w:rPr>
          <w:rStyle w:val="NoteLabel"/>
        </w:rPr>
        <w:t>a</w:t>
      </w:r>
      <w:proofErr w:type="spellEnd"/>
      <w:r w:rsidRPr="00CE541D">
        <w:t xml:space="preserve"> Includes </w:t>
      </w:r>
      <w:r w:rsidR="003046A4">
        <w:t xml:space="preserve">State and Territory recurrent </w:t>
      </w:r>
      <w:r w:rsidRPr="00CE541D">
        <w:t>expenditure on child care and preschool services</w:t>
      </w:r>
      <w:r w:rsidR="0068030A">
        <w:t>.</w:t>
      </w:r>
      <w:r w:rsidR="00250644" w:rsidRPr="00250644">
        <w:rPr>
          <w:rStyle w:val="NoteLabel"/>
        </w:rPr>
        <w:t xml:space="preserve"> </w:t>
      </w:r>
      <w:r w:rsidR="00250644">
        <w:rPr>
          <w:rStyle w:val="NoteLabel"/>
        </w:rPr>
        <w:t>b</w:t>
      </w:r>
      <w:r w:rsidR="00250644">
        <w:t xml:space="preserve"> Estimated resident population as at 31 December in each year, based on the 2011 Census of Population and Housing. </w:t>
      </w:r>
      <w:r w:rsidR="0068030A">
        <w:br/>
      </w:r>
      <w:r w:rsidR="00513807">
        <w:rPr>
          <w:rStyle w:val="NoteLabel"/>
        </w:rPr>
        <w:t>c</w:t>
      </w:r>
      <w:r w:rsidR="00250644">
        <w:t xml:space="preserve"> </w:t>
      </w:r>
      <w:r w:rsidR="00250644" w:rsidRPr="00250644">
        <w:t>Time series financial data are adjusted to 2012</w:t>
      </w:r>
      <w:r w:rsidR="00172534">
        <w:noBreakHyphen/>
      </w:r>
      <w:r w:rsidR="00250644" w:rsidRPr="00250644">
        <w:t>13 dollars using the General Government Final Consumption Expenditure (</w:t>
      </w:r>
      <w:proofErr w:type="spellStart"/>
      <w:r w:rsidR="00250644" w:rsidRPr="00250644">
        <w:t>GGFCE</w:t>
      </w:r>
      <w:proofErr w:type="spellEnd"/>
      <w:r w:rsidR="00250644" w:rsidRPr="00250644">
        <w:t>) chain price deflator (2012</w:t>
      </w:r>
      <w:r w:rsidR="00172534">
        <w:noBreakHyphen/>
      </w:r>
      <w:r w:rsidR="00250644" w:rsidRPr="00250644">
        <w:t>13 = 100) (table</w:t>
      </w:r>
      <w:r w:rsidR="00172534">
        <w:t> </w:t>
      </w:r>
      <w:proofErr w:type="spellStart"/>
      <w:r w:rsidR="00250644" w:rsidRPr="00250644">
        <w:t>2A.53</w:t>
      </w:r>
      <w:proofErr w:type="spellEnd"/>
      <w:r w:rsidR="00250644" w:rsidRPr="00250644">
        <w:t xml:space="preserve">). The </w:t>
      </w:r>
      <w:proofErr w:type="spellStart"/>
      <w:r w:rsidR="00250644" w:rsidRPr="00250644">
        <w:t>GGFCE</w:t>
      </w:r>
      <w:proofErr w:type="spellEnd"/>
      <w:r w:rsidR="00250644" w:rsidRPr="00250644">
        <w:t xml:space="preserve"> replaces the Gross Domestic Product implicit price deflator used in previous editions. See </w:t>
      </w:r>
      <w:r w:rsidR="00917355">
        <w:t>c</w:t>
      </w:r>
      <w:r w:rsidR="00250644" w:rsidRPr="00250644">
        <w:t>hap</w:t>
      </w:r>
      <w:r w:rsidR="00250644">
        <w:t>ter</w:t>
      </w:r>
      <w:r w:rsidR="00172534">
        <w:t> </w:t>
      </w:r>
      <w:r w:rsidR="00250644">
        <w:t>2 (section</w:t>
      </w:r>
      <w:r w:rsidR="00172534">
        <w:t> </w:t>
      </w:r>
      <w:r w:rsidR="00250644">
        <w:t>2.5) for details</w:t>
      </w:r>
      <w:r w:rsidR="00250644" w:rsidRPr="00CE541D">
        <w:t>.</w:t>
      </w:r>
    </w:p>
    <w:p w:rsidR="00BF3412" w:rsidRDefault="00BF3412" w:rsidP="00C3586E">
      <w:pPr>
        <w:pStyle w:val="Source"/>
      </w:pPr>
      <w:r w:rsidRPr="00CE541D">
        <w:rPr>
          <w:i/>
        </w:rPr>
        <w:t>Source</w:t>
      </w:r>
      <w:r w:rsidRPr="00CE541D">
        <w:t xml:space="preserve">: State and Territory governments (unpublished); </w:t>
      </w:r>
      <w:r w:rsidR="00A07DD6" w:rsidRPr="00CE541D">
        <w:t xml:space="preserve">ABS (unpublished) </w:t>
      </w:r>
      <w:r w:rsidR="00A07DD6" w:rsidRPr="00CE541D">
        <w:rPr>
          <w:i/>
        </w:rPr>
        <w:t>Australian Demographic Statistics</w:t>
      </w:r>
      <w:r w:rsidR="00B12C45" w:rsidRPr="00CE541D">
        <w:t>, Cat. no. 3101.0;</w:t>
      </w:r>
      <w:r w:rsidR="006B02CA" w:rsidRPr="00CE541D">
        <w:t xml:space="preserve"> </w:t>
      </w:r>
      <w:r w:rsidRPr="00CE541D">
        <w:t>table</w:t>
      </w:r>
      <w:r w:rsidR="00172534">
        <w:t> </w:t>
      </w:r>
      <w:proofErr w:type="spellStart"/>
      <w:r w:rsidR="002568C1" w:rsidRPr="00CE541D">
        <w:t>3</w:t>
      </w:r>
      <w:r w:rsidRPr="00CE541D">
        <w:t>A.</w:t>
      </w:r>
      <w:r w:rsidR="00835895">
        <w:t>51</w:t>
      </w:r>
      <w:proofErr w:type="spellEnd"/>
      <w:r w:rsidRPr="00CE541D">
        <w:t>.</w:t>
      </w:r>
    </w:p>
    <w:p w:rsidR="0092632D" w:rsidRPr="00466FD9" w:rsidRDefault="0092632D" w:rsidP="00C3586E">
      <w:pPr>
        <w:pStyle w:val="BodyText"/>
      </w:pPr>
      <w:r w:rsidRPr="00466FD9">
        <w:t>Additional time serie</w:t>
      </w:r>
      <w:r>
        <w:t xml:space="preserve">s data </w:t>
      </w:r>
      <w:r w:rsidRPr="002F10CE">
        <w:t>from 200</w:t>
      </w:r>
      <w:r w:rsidR="002A226D" w:rsidRPr="002F10CE">
        <w:t>3</w:t>
      </w:r>
      <w:r w:rsidR="00172534">
        <w:noBreakHyphen/>
      </w:r>
      <w:r w:rsidRPr="002F10CE">
        <w:t>0</w:t>
      </w:r>
      <w:r w:rsidR="002A226D" w:rsidRPr="002F10CE">
        <w:t>4</w:t>
      </w:r>
      <w:r w:rsidRPr="002F10CE">
        <w:t xml:space="preserve"> </w:t>
      </w:r>
      <w:r>
        <w:t>are presented for State and Territory government real expendi</w:t>
      </w:r>
      <w:r w:rsidR="00E7683A">
        <w:t xml:space="preserve">ture on </w:t>
      </w:r>
      <w:r w:rsidR="00530D25">
        <w:t>early childhood education and care</w:t>
      </w:r>
      <w:r w:rsidR="00530D25" w:rsidRPr="006C2D97">
        <w:t xml:space="preserve"> </w:t>
      </w:r>
      <w:r w:rsidR="00F27C91">
        <w:t>in table</w:t>
      </w:r>
      <w:r w:rsidR="00172534">
        <w:t> </w:t>
      </w:r>
      <w:proofErr w:type="spellStart"/>
      <w:r w:rsidR="00F27C91">
        <w:t>3A.</w:t>
      </w:r>
      <w:r w:rsidR="00835895">
        <w:t>51</w:t>
      </w:r>
      <w:proofErr w:type="spellEnd"/>
      <w:r w:rsidR="00681ADB" w:rsidRPr="002F10CE">
        <w:t>.</w:t>
      </w:r>
    </w:p>
    <w:p w:rsidR="00C111BA" w:rsidRPr="00121AB8" w:rsidRDefault="002568C1" w:rsidP="00171F72">
      <w:pPr>
        <w:pStyle w:val="BodyText"/>
      </w:pPr>
      <w:r w:rsidRPr="002A619D">
        <w:t>Figure</w:t>
      </w:r>
      <w:r w:rsidR="00172534">
        <w:t> </w:t>
      </w:r>
      <w:r w:rsidR="00E811ED">
        <w:t>3.17</w:t>
      </w:r>
      <w:r w:rsidR="006223A0" w:rsidRPr="002A619D">
        <w:t xml:space="preserve"> </w:t>
      </w:r>
      <w:r w:rsidRPr="002A619D">
        <w:t xml:space="preserve">shows </w:t>
      </w:r>
      <w:r w:rsidRPr="002568C1">
        <w:t xml:space="preserve">the </w:t>
      </w:r>
      <w:r w:rsidRPr="006C2D97">
        <w:t xml:space="preserve">combined </w:t>
      </w:r>
      <w:r w:rsidR="003B0303" w:rsidRPr="006C2D97">
        <w:t xml:space="preserve">recurrent </w:t>
      </w:r>
      <w:r w:rsidRPr="006C2D97">
        <w:t>expenditure from both the Australian Government and the State and Territory governments per child</w:t>
      </w:r>
      <w:r w:rsidR="00B110C7" w:rsidRPr="006C2D97">
        <w:t xml:space="preserve"> in the community</w:t>
      </w:r>
      <w:r w:rsidRPr="006C2D97">
        <w:t xml:space="preserve"> aged</w:t>
      </w:r>
      <w:r w:rsidR="00516B82" w:rsidRPr="006C2D97">
        <w:t xml:space="preserve"> </w:t>
      </w:r>
      <w:r w:rsidRPr="006C2D97">
        <w:t>0–12</w:t>
      </w:r>
      <w:r w:rsidR="00516B82" w:rsidRPr="006C2D97">
        <w:t xml:space="preserve"> </w:t>
      </w:r>
      <w:r w:rsidRPr="006C2D97">
        <w:t xml:space="preserve">years over the period </w:t>
      </w:r>
      <w:r w:rsidR="00413A9B" w:rsidRPr="006C2D97">
        <w:t>200</w:t>
      </w:r>
      <w:r w:rsidR="00347129">
        <w:t>8</w:t>
      </w:r>
      <w:r w:rsidR="00172534">
        <w:noBreakHyphen/>
      </w:r>
      <w:r w:rsidR="00413A9B" w:rsidRPr="006C2D97">
        <w:t>0</w:t>
      </w:r>
      <w:r w:rsidR="00347129">
        <w:t>9</w:t>
      </w:r>
      <w:r w:rsidRPr="006C2D97">
        <w:t xml:space="preserve"> to </w:t>
      </w:r>
      <w:r w:rsidR="00681ADB" w:rsidRPr="006C2D97">
        <w:t>201</w:t>
      </w:r>
      <w:r w:rsidR="00347129">
        <w:t>2</w:t>
      </w:r>
      <w:r w:rsidR="00172534">
        <w:noBreakHyphen/>
      </w:r>
      <w:r w:rsidR="00EB1219" w:rsidRPr="006C2D97">
        <w:t>1</w:t>
      </w:r>
      <w:r w:rsidR="00347129">
        <w:t>3</w:t>
      </w:r>
      <w:r w:rsidRPr="006C2D97">
        <w:t>.</w:t>
      </w:r>
      <w:r w:rsidR="00C111BA" w:rsidRPr="006C2D97">
        <w:t xml:space="preserve"> </w:t>
      </w:r>
      <w:r w:rsidR="00732620" w:rsidRPr="006C2D97">
        <w:t>Nationally</w:t>
      </w:r>
      <w:r w:rsidR="0068030A">
        <w:t>,</w:t>
      </w:r>
      <w:r w:rsidR="00732620" w:rsidRPr="006C2D97">
        <w:t xml:space="preserve"> </w:t>
      </w:r>
      <w:r w:rsidR="00681ADB" w:rsidRPr="006C2D97">
        <w:t xml:space="preserve">the combined </w:t>
      </w:r>
      <w:r w:rsidR="003B0303" w:rsidRPr="006C2D97">
        <w:t xml:space="preserve">recurrent </w:t>
      </w:r>
      <w:r w:rsidR="00681ADB" w:rsidRPr="006C2D97">
        <w:t>expenditure wa</w:t>
      </w:r>
      <w:r w:rsidR="00681ADB" w:rsidRPr="00121AB8">
        <w:t xml:space="preserve">s </w:t>
      </w:r>
      <w:r w:rsidR="00681ADB" w:rsidRPr="00493DF4">
        <w:t>$1</w:t>
      </w:r>
      <w:r w:rsidR="00847D66" w:rsidRPr="00493DF4">
        <w:t>752</w:t>
      </w:r>
      <w:r w:rsidR="00732620" w:rsidRPr="001B4EA2">
        <w:t xml:space="preserve"> in </w:t>
      </w:r>
      <w:r w:rsidR="00347129" w:rsidRPr="001B4EA2">
        <w:t>2012</w:t>
      </w:r>
      <w:r w:rsidR="00172534">
        <w:noBreakHyphen/>
      </w:r>
      <w:r w:rsidR="00347129" w:rsidRPr="001B4EA2">
        <w:t>13</w:t>
      </w:r>
      <w:r w:rsidR="00DB0CC6" w:rsidRPr="001B4EA2">
        <w:t xml:space="preserve">, </w:t>
      </w:r>
      <w:r w:rsidR="00847D66">
        <w:t xml:space="preserve">an increase of </w:t>
      </w:r>
      <w:r w:rsidR="00847D66" w:rsidRPr="00493DF4">
        <w:t>$362</w:t>
      </w:r>
      <w:r w:rsidR="00DB0CC6" w:rsidRPr="00493DF4">
        <w:t xml:space="preserve"> </w:t>
      </w:r>
      <w:r w:rsidR="00DB0CC6" w:rsidRPr="001B4EA2">
        <w:t xml:space="preserve">since </w:t>
      </w:r>
      <w:r w:rsidR="00347129">
        <w:t>2008</w:t>
      </w:r>
      <w:r w:rsidR="00172534">
        <w:noBreakHyphen/>
      </w:r>
      <w:r w:rsidR="00347129">
        <w:t>09</w:t>
      </w:r>
      <w:r w:rsidR="00732620" w:rsidRPr="00121AB8">
        <w:t>.</w:t>
      </w:r>
    </w:p>
    <w:p w:rsidR="002568C1" w:rsidRPr="001B45F7" w:rsidRDefault="002568C1" w:rsidP="00B36F4D">
      <w:pPr>
        <w:pStyle w:val="FigureTitle"/>
        <w:shd w:val="clear" w:color="auto" w:fill="FFFFFF" w:themeFill="background1"/>
        <w:rPr>
          <w:b w:val="0"/>
          <w:u w:val="dotted"/>
        </w:rPr>
      </w:pPr>
      <w:r w:rsidRPr="004C4206">
        <w:rPr>
          <w:b w:val="0"/>
        </w:rPr>
        <w:lastRenderedPageBreak/>
        <w:t xml:space="preserve">Figure </w:t>
      </w:r>
      <w:bookmarkStart w:id="35" w:name="OLE_LINK39"/>
      <w:r w:rsidR="00923A1C" w:rsidRPr="004C4206">
        <w:rPr>
          <w:b w:val="0"/>
        </w:rPr>
        <w:t>3.</w:t>
      </w:r>
      <w:bookmarkEnd w:id="35"/>
      <w:r w:rsidR="00E811ED">
        <w:rPr>
          <w:b w:val="0"/>
        </w:rPr>
        <w:t>17</w:t>
      </w:r>
      <w:r w:rsidRPr="004C4206">
        <w:tab/>
        <w:t xml:space="preserve">Total government </w:t>
      </w:r>
      <w:r w:rsidRPr="006C2D97">
        <w:t xml:space="preserve">real </w:t>
      </w:r>
      <w:r w:rsidR="003B0303" w:rsidRPr="006C2D97">
        <w:t xml:space="preserve">recurrent </w:t>
      </w:r>
      <w:r w:rsidRPr="006C2D97">
        <w:t>expenditure</w:t>
      </w:r>
      <w:r w:rsidRPr="004C4206">
        <w:t xml:space="preserve"> on </w:t>
      </w:r>
      <w:r w:rsidR="00530D25">
        <w:t>early childhood education and care</w:t>
      </w:r>
      <w:r w:rsidRPr="004C4206">
        <w:t xml:space="preserve"> per child aged 0–12 </w:t>
      </w:r>
      <w:r w:rsidR="002C75D4" w:rsidRPr="004C4206">
        <w:t>years</w:t>
      </w:r>
      <w:r w:rsidR="00FD5B87" w:rsidRPr="00FD5B87">
        <w:t xml:space="preserve"> </w:t>
      </w:r>
      <w:r w:rsidR="00FD5B87" w:rsidRPr="004C4206">
        <w:t>in the community</w:t>
      </w:r>
      <w:r w:rsidR="002C75D4" w:rsidRPr="004C4206">
        <w:t xml:space="preserve"> </w:t>
      </w:r>
      <w:r w:rsidRPr="004C4206">
        <w:t>(20</w:t>
      </w:r>
      <w:r w:rsidR="00EB5372" w:rsidRPr="004C4206">
        <w:t>1</w:t>
      </w:r>
      <w:r w:rsidR="00347129">
        <w:t>2</w:t>
      </w:r>
      <w:r w:rsidR="00172534">
        <w:noBreakHyphen/>
      </w:r>
      <w:r w:rsidR="00EB1219" w:rsidRPr="004C4206">
        <w:t>1</w:t>
      </w:r>
      <w:r w:rsidR="00347129">
        <w:t>3</w:t>
      </w:r>
      <w:r w:rsidRPr="004C4206">
        <w:t xml:space="preserve"> dollars)</w:t>
      </w:r>
      <w:r w:rsidRPr="004C4206">
        <w:rPr>
          <w:rStyle w:val="NoteLabel"/>
          <w:b/>
        </w:rPr>
        <w:t>a, b</w:t>
      </w:r>
      <w:r w:rsidR="00844DC1">
        <w:rPr>
          <w:rStyle w:val="NoteLabel"/>
          <w:b/>
        </w:rPr>
        <w:t>, c,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568C1" w:rsidRPr="00CE541D" w:rsidTr="001B45F7">
        <w:trPr>
          <w:trHeight w:val="4252"/>
        </w:trPr>
        <w:tc>
          <w:tcPr>
            <w:tcW w:w="8777" w:type="dxa"/>
          </w:tcPr>
          <w:p w:rsidR="002568C1" w:rsidRPr="00CE541D" w:rsidRDefault="00964663" w:rsidP="00C3586E">
            <w:pPr>
              <w:pStyle w:val="Figure"/>
            </w:pPr>
            <w:r>
              <w:rPr>
                <w:noProof/>
              </w:rPr>
              <w:drawing>
                <wp:inline distT="0" distB="0" distL="0" distR="0" wp14:anchorId="03E343B4" wp14:editId="40A9031E">
                  <wp:extent cx="5401310" cy="2689860"/>
                  <wp:effectExtent l="0" t="0" r="8890" b="0"/>
                  <wp:docPr id="17" name="Picture 17" descr="Figure 3.17 Total government real recurrent expenditure on early childhood education and care per child aged 0-12 years in the community (2012-13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01310" cy="2689860"/>
                          </a:xfrm>
                          <a:prstGeom prst="rect">
                            <a:avLst/>
                          </a:prstGeom>
                          <a:noFill/>
                          <a:ln>
                            <a:noFill/>
                          </a:ln>
                        </pic:spPr>
                      </pic:pic>
                    </a:graphicData>
                  </a:graphic>
                </wp:inline>
              </w:drawing>
            </w:r>
          </w:p>
        </w:tc>
      </w:tr>
    </w:tbl>
    <w:p w:rsidR="002568C1" w:rsidRPr="00CE541D" w:rsidRDefault="0059365E" w:rsidP="00C3586E">
      <w:pPr>
        <w:pStyle w:val="Note"/>
      </w:pPr>
      <w:proofErr w:type="spellStart"/>
      <w:r>
        <w:rPr>
          <w:rStyle w:val="NoteLabel"/>
        </w:rPr>
        <w:t>a</w:t>
      </w:r>
      <w:proofErr w:type="spellEnd"/>
      <w:r>
        <w:t> I</w:t>
      </w:r>
      <w:r w:rsidR="002568C1" w:rsidRPr="00CE541D">
        <w:t xml:space="preserve">ncludes </w:t>
      </w:r>
      <w:r w:rsidR="003B0303">
        <w:t xml:space="preserve">recurrent </w:t>
      </w:r>
      <w:r w:rsidR="002568C1" w:rsidRPr="00CE541D">
        <w:t xml:space="preserve">expenditure on child care and preschool services from both Australian Government (for child care services only) and State and Territory </w:t>
      </w:r>
      <w:r w:rsidR="003E6B9A" w:rsidRPr="00CE541D">
        <w:t>g</w:t>
      </w:r>
      <w:r w:rsidR="002568C1" w:rsidRPr="00CE541D">
        <w:t>overnments (for child care services and preschool services).</w:t>
      </w:r>
      <w:r w:rsidR="006C2D97" w:rsidRPr="003A0FE4">
        <w:rPr>
          <w:rStyle w:val="NoteLabel"/>
          <w:b w:val="0"/>
        </w:rPr>
        <w:t xml:space="preserve"> </w:t>
      </w:r>
      <w:r w:rsidR="00844DC1">
        <w:rPr>
          <w:rStyle w:val="NoteLabel"/>
        </w:rPr>
        <w:t>b</w:t>
      </w:r>
      <w:r w:rsidR="002568C1" w:rsidRPr="00CE541D">
        <w:rPr>
          <w:rStyle w:val="NoteLabel"/>
        </w:rPr>
        <w:t> </w:t>
      </w:r>
      <w:r w:rsidR="002568C1" w:rsidRPr="00CE541D">
        <w:t>See notes to figure</w:t>
      </w:r>
      <w:r w:rsidR="00DE46BC" w:rsidRPr="00CE541D">
        <w:t>s</w:t>
      </w:r>
      <w:r w:rsidR="00172534">
        <w:t> </w:t>
      </w:r>
      <w:r w:rsidR="00835895">
        <w:t>3.15</w:t>
      </w:r>
      <w:r w:rsidR="00A725D7" w:rsidRPr="00CE541D">
        <w:t xml:space="preserve"> </w:t>
      </w:r>
      <w:r w:rsidR="00DE46BC" w:rsidRPr="00CE541D">
        <w:t>and</w:t>
      </w:r>
      <w:r w:rsidR="002568C1" w:rsidRPr="00CE541D">
        <w:t xml:space="preserve"> </w:t>
      </w:r>
      <w:r w:rsidR="00835895">
        <w:t>3.16</w:t>
      </w:r>
      <w:r w:rsidR="005B2303" w:rsidRPr="00CE541D">
        <w:t xml:space="preserve"> </w:t>
      </w:r>
      <w:r w:rsidR="002568C1" w:rsidRPr="00CE541D">
        <w:t>for further detail on</w:t>
      </w:r>
      <w:r w:rsidR="00DE46BC" w:rsidRPr="00CE541D">
        <w:t xml:space="preserve"> the Australian Government’s and</w:t>
      </w:r>
      <w:r w:rsidR="002568C1" w:rsidRPr="00CE541D">
        <w:t xml:space="preserve"> State and Territory governments’ </w:t>
      </w:r>
      <w:r w:rsidR="003B0303">
        <w:t xml:space="preserve">recurrent </w:t>
      </w:r>
      <w:r w:rsidR="002568C1" w:rsidRPr="00CE541D">
        <w:t>expenditure data.</w:t>
      </w:r>
      <w:r w:rsidR="00844DC1" w:rsidRPr="00844DC1">
        <w:rPr>
          <w:rStyle w:val="NoteLabel"/>
        </w:rPr>
        <w:t xml:space="preserve"> </w:t>
      </w:r>
      <w:r w:rsidR="00844DC1">
        <w:rPr>
          <w:rStyle w:val="NoteLabel"/>
        </w:rPr>
        <w:t>c</w:t>
      </w:r>
      <w:r w:rsidR="00844DC1">
        <w:t xml:space="preserve"> Estimated resident population as at 31 December in each year, based on the 2011 Census of Population and Housing. </w:t>
      </w:r>
      <w:r w:rsidR="00844DC1">
        <w:rPr>
          <w:rStyle w:val="NoteLabel"/>
        </w:rPr>
        <w:t>d</w:t>
      </w:r>
      <w:r w:rsidR="00844DC1">
        <w:t xml:space="preserve"> </w:t>
      </w:r>
      <w:r w:rsidR="00844DC1" w:rsidRPr="00250644">
        <w:t>Time series financial data are adjusted to 2012</w:t>
      </w:r>
      <w:r w:rsidR="00172534">
        <w:noBreakHyphen/>
      </w:r>
      <w:r w:rsidR="00844DC1" w:rsidRPr="00250644">
        <w:t>13 dollars using the General Government Final Consumption Expenditure (</w:t>
      </w:r>
      <w:proofErr w:type="spellStart"/>
      <w:r w:rsidR="00844DC1" w:rsidRPr="00250644">
        <w:t>GGFCE</w:t>
      </w:r>
      <w:proofErr w:type="spellEnd"/>
      <w:r w:rsidR="00844DC1" w:rsidRPr="00250644">
        <w:t xml:space="preserve">) chain price deflator </w:t>
      </w:r>
      <w:r w:rsidR="00844DC1">
        <w:br/>
      </w:r>
      <w:r w:rsidR="00844DC1" w:rsidRPr="00250644">
        <w:t>(2012</w:t>
      </w:r>
      <w:r w:rsidR="00172534">
        <w:noBreakHyphen/>
      </w:r>
      <w:r w:rsidR="00844DC1" w:rsidRPr="00250644">
        <w:t>13 = 100) (table</w:t>
      </w:r>
      <w:r w:rsidR="00172534">
        <w:t> </w:t>
      </w:r>
      <w:proofErr w:type="spellStart"/>
      <w:r w:rsidR="00844DC1" w:rsidRPr="00250644">
        <w:t>2A.53</w:t>
      </w:r>
      <w:proofErr w:type="spellEnd"/>
      <w:r w:rsidR="00844DC1" w:rsidRPr="00250644">
        <w:t xml:space="preserve">). The </w:t>
      </w:r>
      <w:proofErr w:type="spellStart"/>
      <w:r w:rsidR="00844DC1" w:rsidRPr="00250644">
        <w:t>GGFCE</w:t>
      </w:r>
      <w:proofErr w:type="spellEnd"/>
      <w:r w:rsidR="00844DC1" w:rsidRPr="00250644">
        <w:t xml:space="preserve"> replaces the Gross Domestic Product implicit price deflator used in previous editions. See </w:t>
      </w:r>
      <w:r w:rsidR="00917355">
        <w:t>c</w:t>
      </w:r>
      <w:r w:rsidR="00844DC1" w:rsidRPr="00250644">
        <w:t>hap</w:t>
      </w:r>
      <w:r w:rsidR="00844DC1">
        <w:t>ter</w:t>
      </w:r>
      <w:r w:rsidR="00172534">
        <w:t> </w:t>
      </w:r>
      <w:r w:rsidR="00844DC1">
        <w:t>2 (section</w:t>
      </w:r>
      <w:r w:rsidR="00172534">
        <w:t> </w:t>
      </w:r>
      <w:r w:rsidR="00844DC1">
        <w:t>2.5) for details</w:t>
      </w:r>
      <w:r w:rsidR="00844DC1" w:rsidRPr="00CE541D">
        <w:t>.</w:t>
      </w:r>
    </w:p>
    <w:p w:rsidR="002568C1" w:rsidRDefault="002568C1" w:rsidP="00C3586E">
      <w:pPr>
        <w:pStyle w:val="Source"/>
      </w:pPr>
      <w:r w:rsidRPr="00CE541D">
        <w:rPr>
          <w:i/>
        </w:rPr>
        <w:t>Source</w:t>
      </w:r>
      <w:r w:rsidRPr="00CE541D">
        <w:t xml:space="preserve">: </w:t>
      </w:r>
      <w:r w:rsidR="002F10CE">
        <w:t>Department of Education</w:t>
      </w:r>
      <w:r w:rsidR="000B177C" w:rsidRPr="00CE541D">
        <w:t xml:space="preserve"> </w:t>
      </w:r>
      <w:r w:rsidRPr="00CE541D">
        <w:t>(unpublished); State and Territory governments (unpublished);</w:t>
      </w:r>
      <w:r w:rsidR="000B177C" w:rsidRPr="00CE541D">
        <w:t xml:space="preserve"> ABS (unpublished) </w:t>
      </w:r>
      <w:r w:rsidR="000B177C" w:rsidRPr="00CE541D">
        <w:rPr>
          <w:i/>
        </w:rPr>
        <w:t>A</w:t>
      </w:r>
      <w:r w:rsidR="006874BE">
        <w:rPr>
          <w:i/>
        </w:rPr>
        <w:t xml:space="preserve">ustralian Demographic </w:t>
      </w:r>
      <w:r w:rsidR="00740DB3">
        <w:rPr>
          <w:i/>
        </w:rPr>
        <w:t>Statistics</w:t>
      </w:r>
      <w:r w:rsidR="005B2303" w:rsidRPr="00CE541D">
        <w:t>, Cat. no. 3101.0</w:t>
      </w:r>
      <w:r w:rsidR="000B177C" w:rsidRPr="00CE541D">
        <w:t>;</w:t>
      </w:r>
      <w:r w:rsidR="006B02CA" w:rsidRPr="00CE541D">
        <w:t xml:space="preserve"> </w:t>
      </w:r>
      <w:r w:rsidR="00ED1189">
        <w:t>tables</w:t>
      </w:r>
      <w:r w:rsidR="00172534">
        <w:t> </w:t>
      </w:r>
      <w:proofErr w:type="spellStart"/>
      <w:r w:rsidRPr="00CE541D">
        <w:t>3A.</w:t>
      </w:r>
      <w:r w:rsidR="00152E62">
        <w:t>5</w:t>
      </w:r>
      <w:r w:rsidR="00835895">
        <w:t>0</w:t>
      </w:r>
      <w:proofErr w:type="spellEnd"/>
      <w:r w:rsidR="00A725D7" w:rsidRPr="00CE541D">
        <w:t xml:space="preserve"> and</w:t>
      </w:r>
      <w:r w:rsidR="00CE60B6" w:rsidRPr="00CE541D">
        <w:t xml:space="preserve"> </w:t>
      </w:r>
      <w:proofErr w:type="spellStart"/>
      <w:r w:rsidRPr="00CE541D">
        <w:t>3A.</w:t>
      </w:r>
      <w:r w:rsidR="00835895">
        <w:t>51</w:t>
      </w:r>
      <w:proofErr w:type="spellEnd"/>
      <w:r w:rsidRPr="00CE541D">
        <w:t>.</w:t>
      </w:r>
    </w:p>
    <w:p w:rsidR="00DA5E19" w:rsidRPr="006C2D97" w:rsidRDefault="00DA5E19" w:rsidP="00ED1189">
      <w:pPr>
        <w:pStyle w:val="Heading5"/>
      </w:pPr>
      <w:r w:rsidRPr="00BF3412">
        <w:t xml:space="preserve">Inputs per output unit — </w:t>
      </w:r>
      <w:r w:rsidR="00F852C9">
        <w:t xml:space="preserve">Australian </w:t>
      </w:r>
      <w:r w:rsidR="00DB0CC6">
        <w:t>G</w:t>
      </w:r>
      <w:r w:rsidR="00F852C9" w:rsidRPr="006C2D97">
        <w:t>overnment</w:t>
      </w:r>
      <w:r w:rsidRPr="006C2D97">
        <w:t xml:space="preserve"> </w:t>
      </w:r>
      <w:r w:rsidR="003B0303" w:rsidRPr="006C2D97">
        <w:t xml:space="preserve">recurrent </w:t>
      </w:r>
      <w:r w:rsidRPr="006C2D97">
        <w:t>expenditure</w:t>
      </w:r>
      <w:r w:rsidR="00FE69EA" w:rsidRPr="006C2D97">
        <w:t xml:space="preserve"> per child attending</w:t>
      </w:r>
      <w:r w:rsidR="007864B3" w:rsidRPr="006C2D97">
        <w:t xml:space="preserve"> </w:t>
      </w:r>
      <w:r w:rsidR="00E324F1">
        <w:t>approved child care</w:t>
      </w:r>
    </w:p>
    <w:p w:rsidR="00DB0CC6" w:rsidRPr="006874BE" w:rsidRDefault="000C6D17" w:rsidP="00DB0CC6">
      <w:pPr>
        <w:pStyle w:val="BodyText"/>
      </w:pPr>
      <w:r w:rsidRPr="000C6D17">
        <w:t xml:space="preserve">‘Australian </w:t>
      </w:r>
      <w:r w:rsidRPr="006C2D97">
        <w:t xml:space="preserve">Government </w:t>
      </w:r>
      <w:r w:rsidR="003B0303" w:rsidRPr="006C2D97">
        <w:t xml:space="preserve">recurrent </w:t>
      </w:r>
      <w:r w:rsidRPr="006C2D97">
        <w:t>expenditure per child attending</w:t>
      </w:r>
      <w:r w:rsidR="007864B3" w:rsidRPr="006C2D97">
        <w:t xml:space="preserve"> </w:t>
      </w:r>
      <w:r w:rsidR="00E324F1">
        <w:t>approved child care</w:t>
      </w:r>
      <w:r w:rsidR="00FE69EA" w:rsidRPr="006C2D97">
        <w:t>’</w:t>
      </w:r>
      <w:r w:rsidRPr="006C2D97">
        <w:t xml:space="preserve"> is an indicator of governments’ objective</w:t>
      </w:r>
      <w:r w:rsidRPr="000C6D17">
        <w:t xml:space="preserve"> to maximise the availability and quality of services through the efficient use of taxpayer resources </w:t>
      </w:r>
      <w:r w:rsidR="00BA524F">
        <w:t>(box</w:t>
      </w:r>
      <w:r w:rsidR="00172534">
        <w:t> </w:t>
      </w:r>
      <w:r w:rsidR="00BA524F">
        <w:t>3.21</w:t>
      </w:r>
      <w:r w:rsidR="00DA5E19" w:rsidRPr="00BF3412">
        <w: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369F9" w:rsidRPr="00092F26" w:rsidTr="00797622">
        <w:tc>
          <w:tcPr>
            <w:tcW w:w="8771" w:type="dxa"/>
            <w:tcBorders>
              <w:top w:val="nil"/>
              <w:left w:val="nil"/>
              <w:bottom w:val="nil"/>
              <w:right w:val="nil"/>
            </w:tcBorders>
          </w:tcPr>
          <w:p w:rsidR="004369F9" w:rsidRPr="00092F26" w:rsidRDefault="004369F9" w:rsidP="00797622">
            <w:pPr>
              <w:rPr>
                <w:b/>
                <w:color w:val="FF0000"/>
                <w:sz w:val="14"/>
              </w:rPr>
            </w:pPr>
          </w:p>
        </w:tc>
      </w:tr>
    </w:tbl>
    <w:p w:rsidR="00DB0CC6" w:rsidRDefault="00DB0CC6" w:rsidP="00ED1189">
      <w:pPr>
        <w:pStyle w:val="BodyText"/>
      </w:pPr>
    </w:p>
    <w:p w:rsidR="00DA5E19" w:rsidRDefault="00DA5E19" w:rsidP="00C3586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A5E19" w:rsidTr="007B5867">
        <w:tc>
          <w:tcPr>
            <w:tcW w:w="8771" w:type="dxa"/>
            <w:tcBorders>
              <w:top w:val="single" w:sz="6" w:space="0" w:color="auto"/>
              <w:bottom w:val="nil"/>
            </w:tcBorders>
          </w:tcPr>
          <w:p w:rsidR="00DA5E19" w:rsidRPr="00BF3412" w:rsidRDefault="00DA5E19" w:rsidP="00D6543A">
            <w:pPr>
              <w:pStyle w:val="BoxTitle"/>
            </w:pPr>
            <w:r>
              <w:rPr>
                <w:b w:val="0"/>
              </w:rPr>
              <w:t xml:space="preserve">Box </w:t>
            </w:r>
            <w:bookmarkStart w:id="36" w:name="OLE_LINK57"/>
            <w:r w:rsidR="00923A1C">
              <w:rPr>
                <w:b w:val="0"/>
              </w:rPr>
              <w:t>3.</w:t>
            </w:r>
            <w:bookmarkEnd w:id="36"/>
            <w:r w:rsidR="00D6543A">
              <w:rPr>
                <w:b w:val="0"/>
              </w:rPr>
              <w:t>21</w:t>
            </w:r>
            <w:r>
              <w:tab/>
              <w:t xml:space="preserve">Australian </w:t>
            </w:r>
            <w:r w:rsidRPr="006C2D97">
              <w:t xml:space="preserve">Government </w:t>
            </w:r>
            <w:r w:rsidR="003B0303" w:rsidRPr="006C2D97">
              <w:t xml:space="preserve">recurrent </w:t>
            </w:r>
            <w:r w:rsidRPr="006C2D97">
              <w:t xml:space="preserve">expenditure per child attending approved </w:t>
            </w:r>
            <w:r w:rsidR="00E324F1">
              <w:t>child care</w:t>
            </w:r>
          </w:p>
        </w:tc>
      </w:tr>
      <w:tr w:rsidR="00DA5E19" w:rsidTr="007B5867">
        <w:trPr>
          <w:cantSplit/>
        </w:trPr>
        <w:tc>
          <w:tcPr>
            <w:tcW w:w="8771" w:type="dxa"/>
            <w:tcBorders>
              <w:top w:val="nil"/>
              <w:left w:val="single" w:sz="6" w:space="0" w:color="auto"/>
              <w:bottom w:val="nil"/>
              <w:right w:val="single" w:sz="6" w:space="0" w:color="auto"/>
            </w:tcBorders>
          </w:tcPr>
          <w:p w:rsidR="00DB0CC6" w:rsidRPr="006C2D97" w:rsidRDefault="00DA5E19" w:rsidP="00DB0CC6">
            <w:pPr>
              <w:pStyle w:val="Box"/>
            </w:pPr>
            <w:r>
              <w:t xml:space="preserve">‘Australian </w:t>
            </w:r>
            <w:r w:rsidRPr="006C2D97">
              <w:t xml:space="preserve">Government </w:t>
            </w:r>
            <w:r w:rsidR="003B0303" w:rsidRPr="008B42D1">
              <w:t>recurrent</w:t>
            </w:r>
            <w:r w:rsidR="003B0303" w:rsidRPr="006C2D97">
              <w:t xml:space="preserve"> </w:t>
            </w:r>
            <w:r w:rsidRPr="006C2D97">
              <w:t xml:space="preserve">expenditure per child attending approved </w:t>
            </w:r>
            <w:r w:rsidR="00E324F1">
              <w:t>child care</w:t>
            </w:r>
            <w:r w:rsidRPr="006C2D97">
              <w:t xml:space="preserve">’ is defined as Australian Government </w:t>
            </w:r>
            <w:r w:rsidR="003B0303" w:rsidRPr="008B42D1">
              <w:t>recurrent</w:t>
            </w:r>
            <w:r w:rsidR="003B0303" w:rsidRPr="006C2D97">
              <w:t xml:space="preserve"> </w:t>
            </w:r>
            <w:r w:rsidRPr="006C2D97">
              <w:t>expenditure per child aged</w:t>
            </w:r>
            <w:r w:rsidR="000C6D17" w:rsidRPr="006C2D97">
              <w:t xml:space="preserve"> </w:t>
            </w:r>
            <w:r w:rsidR="00B461DE">
              <w:br/>
            </w:r>
            <w:r w:rsidRPr="006C2D97">
              <w:t>0</w:t>
            </w:r>
            <w:r w:rsidR="00B461DE">
              <w:t>–</w:t>
            </w:r>
            <w:r w:rsidRPr="006C2D97">
              <w:t>12</w:t>
            </w:r>
            <w:r w:rsidR="000C6D17" w:rsidRPr="006C2D97">
              <w:t> </w:t>
            </w:r>
            <w:r w:rsidRPr="006C2D97">
              <w:t xml:space="preserve">years attending Australian Government approved child care services in Australia. </w:t>
            </w:r>
          </w:p>
          <w:p w:rsidR="00C37D16" w:rsidRPr="006C2D97" w:rsidRDefault="00C37D16" w:rsidP="006C2D97">
            <w:pPr>
              <w:pStyle w:val="Box"/>
            </w:pPr>
            <w:r w:rsidRPr="006C2D97">
              <w:t xml:space="preserve">All efficiency data </w:t>
            </w:r>
            <w:r w:rsidR="002311C5">
              <w:t>should</w:t>
            </w:r>
            <w:r w:rsidRPr="006C2D97">
              <w:t xml:space="preserve"> be interpreted with care. Changes in expenditure per child could represent changes in government funding policy. While high or increasing unit costs </w:t>
            </w:r>
            <w:r w:rsidR="00922771" w:rsidRPr="006C2D97">
              <w:t>can</w:t>
            </w:r>
            <w:r w:rsidRPr="006C2D97">
              <w:t xml:space="preserve"> reflect deteriorating efficiency, they </w:t>
            </w:r>
            <w:r w:rsidR="00922771" w:rsidRPr="006C2D97">
              <w:t>can</w:t>
            </w:r>
            <w:r w:rsidRPr="006C2D97">
              <w:t xml:space="preserve"> also reflect increases in the quality or quantity of service provided. Similarly, low or declining expenditure per child </w:t>
            </w:r>
            <w:r w:rsidR="00922771" w:rsidRPr="006C2D97">
              <w:t>can</w:t>
            </w:r>
            <w:r w:rsidRPr="006C2D97">
              <w:t xml:space="preserve"> reflect improving efficiency or lower quality or quantity. Provided the level and quality of,</w:t>
            </w:r>
            <w:r w:rsidR="006874BE">
              <w:t xml:space="preserve"> and access to, services remain</w:t>
            </w:r>
            <w:r w:rsidRPr="006C2D97">
              <w:t xml:space="preserve"> unchanged, lower </w:t>
            </w:r>
            <w:r w:rsidR="003B0303" w:rsidRPr="008B42D1">
              <w:t>recurrent</w:t>
            </w:r>
            <w:r w:rsidR="003B0303" w:rsidRPr="006C2D97">
              <w:t xml:space="preserve"> </w:t>
            </w:r>
            <w:r w:rsidRPr="006C2D97">
              <w:t>expenditure per child can indicate greater efficiency of government expenditure.</w:t>
            </w:r>
          </w:p>
          <w:p w:rsidR="002C2F48" w:rsidRDefault="001738FE" w:rsidP="00ED1189">
            <w:pPr>
              <w:pStyle w:val="Box"/>
            </w:pPr>
            <w:r>
              <w:t>Data reported fo</w:t>
            </w:r>
            <w:r w:rsidR="00EB300F">
              <w:t>r this indicator</w:t>
            </w:r>
            <w:r w:rsidR="00767647">
              <w:t xml:space="preserve"> are:</w:t>
            </w:r>
          </w:p>
          <w:p w:rsidR="00767647" w:rsidRDefault="00767647" w:rsidP="00751B02">
            <w:pPr>
              <w:pStyle w:val="BoxListBullet"/>
            </w:pPr>
            <w:r>
              <w:t>c</w:t>
            </w:r>
            <w:r w:rsidRPr="00DA5769">
              <w:t xml:space="preserve">omparable </w:t>
            </w:r>
            <w:r>
              <w:t>(subject to caveats) across jurisdictions and over time</w:t>
            </w:r>
          </w:p>
          <w:p w:rsidR="00767647" w:rsidRDefault="00767647" w:rsidP="00751B02">
            <w:pPr>
              <w:pStyle w:val="BoxListBullet"/>
            </w:pPr>
            <w:r>
              <w:t>c</w:t>
            </w:r>
            <w:r w:rsidRPr="00DA5769">
              <w:t xml:space="preserve">omplete </w:t>
            </w:r>
            <w:r w:rsidR="003907A5">
              <w:t xml:space="preserve">(subject to caveats) </w:t>
            </w:r>
            <w:r w:rsidRPr="00DA5769">
              <w:t>for</w:t>
            </w:r>
            <w:r>
              <w:t xml:space="preserve"> the current repor</w:t>
            </w:r>
            <w:r w:rsidR="003907A5">
              <w:t>ting period</w:t>
            </w:r>
            <w:r>
              <w:t>. All required 2013 data are available for all jur</w:t>
            </w:r>
            <w:r w:rsidR="004A020D">
              <w:t>isdictions</w:t>
            </w:r>
            <w:r>
              <w:t xml:space="preserve">. </w:t>
            </w:r>
          </w:p>
          <w:p w:rsidR="00664BD6" w:rsidRDefault="00EB300F" w:rsidP="00ED1189">
            <w:pPr>
              <w:pStyle w:val="Box"/>
            </w:pPr>
            <w:r>
              <w:rPr>
                <w:rFonts w:cs="Arial"/>
                <w:szCs w:val="26"/>
              </w:rPr>
              <w:t>D</w:t>
            </w:r>
            <w:r w:rsidR="00767647" w:rsidRPr="00767647">
              <w:rPr>
                <w:rFonts w:cs="Arial"/>
                <w:szCs w:val="26"/>
              </w:rPr>
              <w:t>ata quality</w:t>
            </w:r>
            <w:r>
              <w:rPr>
                <w:rFonts w:cs="Arial"/>
                <w:szCs w:val="26"/>
              </w:rPr>
              <w:t xml:space="preserve"> information</w:t>
            </w:r>
            <w:r w:rsidR="00767647" w:rsidRPr="00767647">
              <w:rPr>
                <w:rFonts w:cs="Arial"/>
                <w:szCs w:val="26"/>
              </w:rPr>
              <w:t xml:space="preserve"> </w:t>
            </w:r>
            <w:r w:rsidR="00530D25" w:rsidRPr="00767647">
              <w:rPr>
                <w:rFonts w:cs="Arial"/>
                <w:szCs w:val="26"/>
              </w:rPr>
              <w:t xml:space="preserve">for this indicator is at </w:t>
            </w:r>
            <w:proofErr w:type="spellStart"/>
            <w:r w:rsidR="00530D25" w:rsidRPr="00767647">
              <w:rPr>
                <w:rFonts w:cs="Arial"/>
                <w:szCs w:val="26"/>
              </w:rPr>
              <w:t>www.pc.gov.au</w:t>
            </w:r>
            <w:proofErr w:type="spellEnd"/>
            <w:r w:rsidR="00530D25" w:rsidRPr="00767647">
              <w:rPr>
                <w:rFonts w:cs="Arial"/>
                <w:szCs w:val="26"/>
              </w:rPr>
              <w:t>/</w:t>
            </w:r>
            <w:proofErr w:type="spellStart"/>
            <w:r w:rsidR="00530D25" w:rsidRPr="00767647">
              <w:rPr>
                <w:rFonts w:cs="Arial"/>
                <w:szCs w:val="26"/>
              </w:rPr>
              <w:t>gsp</w:t>
            </w:r>
            <w:proofErr w:type="spellEnd"/>
            <w:r w:rsidR="00530D25" w:rsidRPr="00767647">
              <w:rPr>
                <w:rFonts w:cs="Arial"/>
                <w:szCs w:val="26"/>
              </w:rPr>
              <w:t>/reports/</w:t>
            </w:r>
            <w:proofErr w:type="spellStart"/>
            <w:r w:rsidR="00530D25" w:rsidRPr="00767647">
              <w:rPr>
                <w:rFonts w:cs="Arial"/>
                <w:szCs w:val="26"/>
              </w:rPr>
              <w:t>rogs</w:t>
            </w:r>
            <w:proofErr w:type="spellEnd"/>
            <w:r w:rsidR="00767647" w:rsidRPr="00767647">
              <w:rPr>
                <w:rFonts w:cs="Arial"/>
                <w:szCs w:val="26"/>
              </w:rPr>
              <w:t>/2014</w:t>
            </w:r>
            <w:r w:rsidR="00530D25" w:rsidRPr="00767647">
              <w:t>.</w:t>
            </w:r>
          </w:p>
        </w:tc>
      </w:tr>
      <w:tr w:rsidR="00DA5E19" w:rsidTr="007B5867">
        <w:trPr>
          <w:cantSplit/>
        </w:trPr>
        <w:tc>
          <w:tcPr>
            <w:tcW w:w="8771" w:type="dxa"/>
            <w:tcBorders>
              <w:top w:val="nil"/>
              <w:left w:val="single" w:sz="6" w:space="0" w:color="auto"/>
              <w:bottom w:val="single" w:sz="6" w:space="0" w:color="auto"/>
              <w:right w:val="single" w:sz="6" w:space="0" w:color="auto"/>
            </w:tcBorders>
          </w:tcPr>
          <w:p w:rsidR="00DA5E19" w:rsidRDefault="00DA5E19" w:rsidP="00C3586E">
            <w:pPr>
              <w:pStyle w:val="Box"/>
              <w:spacing w:before="0" w:line="120" w:lineRule="exact"/>
            </w:pPr>
          </w:p>
        </w:tc>
      </w:tr>
      <w:tr w:rsidR="00DA5E19" w:rsidTr="007B5867">
        <w:tc>
          <w:tcPr>
            <w:tcW w:w="8771" w:type="dxa"/>
            <w:tcBorders>
              <w:top w:val="nil"/>
              <w:left w:val="nil"/>
              <w:bottom w:val="nil"/>
              <w:right w:val="nil"/>
            </w:tcBorders>
          </w:tcPr>
          <w:p w:rsidR="00DA5E19" w:rsidRDefault="00DA5E19" w:rsidP="00C3586E">
            <w:pPr>
              <w:pStyle w:val="Box"/>
              <w:keepNext w:val="0"/>
              <w:spacing w:before="60" w:after="60" w:line="80" w:lineRule="exact"/>
              <w:rPr>
                <w:b/>
                <w:color w:val="FF00FF"/>
                <w:sz w:val="14"/>
              </w:rPr>
            </w:pPr>
          </w:p>
        </w:tc>
      </w:tr>
    </w:tbl>
    <w:p w:rsidR="002E5E86" w:rsidRPr="006C2D97" w:rsidRDefault="00DA5E19" w:rsidP="00C3586E">
      <w:pPr>
        <w:pStyle w:val="BodyText"/>
      </w:pPr>
      <w:r w:rsidRPr="00332AE6">
        <w:t>Figure</w:t>
      </w:r>
      <w:r w:rsidR="00172534">
        <w:t> </w:t>
      </w:r>
      <w:r w:rsidR="00E811ED">
        <w:t>3.18</w:t>
      </w:r>
      <w:r w:rsidR="00D57602" w:rsidRPr="00332AE6">
        <w:t xml:space="preserve"> </w:t>
      </w:r>
      <w:r w:rsidRPr="00332AE6">
        <w:t xml:space="preserve">shows </w:t>
      </w:r>
      <w:r w:rsidR="0030219C">
        <w:t xml:space="preserve">Australian </w:t>
      </w:r>
      <w:r w:rsidR="0030219C" w:rsidRPr="006C2D97">
        <w:t xml:space="preserve">Government </w:t>
      </w:r>
      <w:r w:rsidR="003B0303" w:rsidRPr="006C2D97">
        <w:t xml:space="preserve">recurrent </w:t>
      </w:r>
      <w:r w:rsidRPr="006C2D97">
        <w:t>expenditure on each child aged 0</w:t>
      </w:r>
      <w:r w:rsidR="00516B82" w:rsidRPr="006C2D97">
        <w:t>–</w:t>
      </w:r>
      <w:r w:rsidRPr="006C2D97">
        <w:t xml:space="preserve">12 </w:t>
      </w:r>
      <w:r w:rsidR="00516B82" w:rsidRPr="006C2D97">
        <w:t xml:space="preserve">years </w:t>
      </w:r>
      <w:r w:rsidRPr="006C2D97">
        <w:t>attending Australian Government approved child care services</w:t>
      </w:r>
      <w:r w:rsidR="00B919A9" w:rsidRPr="006C2D97">
        <w:t xml:space="preserve">. </w:t>
      </w:r>
      <w:r w:rsidR="00647808" w:rsidRPr="006C2D97">
        <w:t>Nationally in 20</w:t>
      </w:r>
      <w:r w:rsidR="00EB1219" w:rsidRPr="006C2D97">
        <w:t>1</w:t>
      </w:r>
      <w:r w:rsidR="00347129">
        <w:t>3</w:t>
      </w:r>
      <w:r w:rsidR="00647808" w:rsidRPr="006C2D97">
        <w:t xml:space="preserve">, </w:t>
      </w:r>
      <w:r w:rsidR="00B919A9" w:rsidRPr="006C2D97">
        <w:t xml:space="preserve">Australian Government </w:t>
      </w:r>
      <w:r w:rsidR="003B0303" w:rsidRPr="006C2D97">
        <w:t xml:space="preserve">recurrent </w:t>
      </w:r>
      <w:r w:rsidR="00B919A9" w:rsidRPr="006C2D97">
        <w:t xml:space="preserve">expenditure per child attending approved child care services </w:t>
      </w:r>
      <w:r w:rsidR="00647808" w:rsidRPr="006874BE">
        <w:t xml:space="preserve">was </w:t>
      </w:r>
      <w:r w:rsidRPr="006874BE">
        <w:t>$</w:t>
      </w:r>
      <w:r w:rsidR="006874BE" w:rsidRPr="006874BE">
        <w:t>5194</w:t>
      </w:r>
      <w:r w:rsidR="0030219C" w:rsidRPr="006874BE">
        <w:t>.</w:t>
      </w:r>
    </w:p>
    <w:p w:rsidR="007B5867" w:rsidRPr="001B45F7" w:rsidRDefault="002E5E86" w:rsidP="003B5E34">
      <w:pPr>
        <w:pStyle w:val="FigureTitle"/>
        <w:rPr>
          <w:b w:val="0"/>
          <w:u w:val="dotted"/>
        </w:rPr>
      </w:pPr>
      <w:r>
        <w:rPr>
          <w:b w:val="0"/>
        </w:rPr>
        <w:br w:type="page"/>
      </w:r>
      <w:r w:rsidR="007B5867" w:rsidRPr="004C4206">
        <w:rPr>
          <w:b w:val="0"/>
        </w:rPr>
        <w:lastRenderedPageBreak/>
        <w:t xml:space="preserve">Figure </w:t>
      </w:r>
      <w:bookmarkStart w:id="37" w:name="OLE_LINK60"/>
      <w:r w:rsidR="00923A1C" w:rsidRPr="004C4206">
        <w:rPr>
          <w:b w:val="0"/>
        </w:rPr>
        <w:t>3.</w:t>
      </w:r>
      <w:bookmarkEnd w:id="37"/>
      <w:r w:rsidR="00E811ED">
        <w:rPr>
          <w:b w:val="0"/>
        </w:rPr>
        <w:t>18</w:t>
      </w:r>
      <w:r w:rsidR="007B5867" w:rsidRPr="004C4206">
        <w:tab/>
        <w:t xml:space="preserve">Australian </w:t>
      </w:r>
      <w:r w:rsidR="007B5867" w:rsidRPr="006C2D97">
        <w:t xml:space="preserve">Government </w:t>
      </w:r>
      <w:r w:rsidR="003B0303" w:rsidRPr="006C2D97">
        <w:t xml:space="preserve">recurrent </w:t>
      </w:r>
      <w:r w:rsidR="007B5867" w:rsidRPr="006C2D97">
        <w:t xml:space="preserve">expenditure per child aged </w:t>
      </w:r>
      <w:r w:rsidR="00844DC1">
        <w:br/>
      </w:r>
      <w:r w:rsidR="007B5867" w:rsidRPr="006C2D97">
        <w:t>0</w:t>
      </w:r>
      <w:r w:rsidR="00844DC1">
        <w:t>–</w:t>
      </w:r>
      <w:r w:rsidR="007B5867" w:rsidRPr="006C2D97">
        <w:t xml:space="preserve">12 </w:t>
      </w:r>
      <w:r w:rsidR="005B2303" w:rsidRPr="006C2D97">
        <w:t xml:space="preserve">years </w:t>
      </w:r>
      <w:r w:rsidR="007B5867" w:rsidRPr="006C2D97">
        <w:t>attending Australian Government</w:t>
      </w:r>
      <w:r w:rsidR="007B5867" w:rsidRPr="004C4206">
        <w:t xml:space="preserve"> approved child ca</w:t>
      </w:r>
      <w:r w:rsidR="00682FF9" w:rsidRPr="004C4206">
        <w:t>re services</w:t>
      </w:r>
      <w:r w:rsidR="00DF0616" w:rsidRPr="004C4206">
        <w:t xml:space="preserve">, </w:t>
      </w:r>
      <w:r w:rsidR="00DF1B1A" w:rsidRPr="004C4206">
        <w:t xml:space="preserve">March quarter </w:t>
      </w:r>
      <w:r w:rsidR="00E7683A" w:rsidRPr="004C4206">
        <w:t>20</w:t>
      </w:r>
      <w:r w:rsidR="008E7553" w:rsidRPr="004C4206">
        <w:t>1</w:t>
      </w:r>
      <w:r w:rsidR="00347129">
        <w:t>3</w:t>
      </w:r>
      <w:r w:rsidR="008A51A7" w:rsidRPr="004C4206">
        <w:rPr>
          <w:rStyle w:val="NoteLabel"/>
          <w:b/>
        </w:rPr>
        <w:t>a</w:t>
      </w:r>
      <w:r w:rsidR="00277D0A" w:rsidRPr="004C4206">
        <w:rPr>
          <w:rStyle w:val="NoteLabel"/>
          <w:b/>
        </w:rPr>
        <w:t>,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B5867" w:rsidRPr="000213E0" w:rsidTr="001B45F7">
        <w:trPr>
          <w:trHeight w:val="4252"/>
        </w:trPr>
        <w:tc>
          <w:tcPr>
            <w:tcW w:w="8777" w:type="dxa"/>
          </w:tcPr>
          <w:p w:rsidR="007B5867" w:rsidRPr="000213E0" w:rsidRDefault="00964663" w:rsidP="00C3586E">
            <w:pPr>
              <w:pStyle w:val="Figure"/>
            </w:pPr>
            <w:r>
              <w:rPr>
                <w:noProof/>
              </w:rPr>
              <w:drawing>
                <wp:inline distT="0" distB="0" distL="0" distR="0" wp14:anchorId="2EE96E9D" wp14:editId="4C455945">
                  <wp:extent cx="5401310" cy="2689860"/>
                  <wp:effectExtent l="0" t="0" r="8890" b="0"/>
                  <wp:docPr id="20" name="Picture 20" descr="Figure 3.18 Australian Government recurrent expenditure per child aged 0-12 years attending Australian Government approved child care services, March quarter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01310" cy="2689860"/>
                          </a:xfrm>
                          <a:prstGeom prst="rect">
                            <a:avLst/>
                          </a:prstGeom>
                          <a:noFill/>
                          <a:ln>
                            <a:noFill/>
                          </a:ln>
                        </pic:spPr>
                      </pic:pic>
                    </a:graphicData>
                  </a:graphic>
                </wp:inline>
              </w:drawing>
            </w:r>
          </w:p>
        </w:tc>
      </w:tr>
    </w:tbl>
    <w:p w:rsidR="009D6113" w:rsidRPr="006C2D97" w:rsidRDefault="003B0303" w:rsidP="00C3586E">
      <w:pPr>
        <w:pStyle w:val="Note"/>
      </w:pPr>
      <w:proofErr w:type="spellStart"/>
      <w:r w:rsidRPr="006C2D97">
        <w:rPr>
          <w:rStyle w:val="NoteLabel"/>
        </w:rPr>
        <w:t>a</w:t>
      </w:r>
      <w:proofErr w:type="spellEnd"/>
      <w:r w:rsidRPr="006C2D97">
        <w:rPr>
          <w:rStyle w:val="NoteLabel"/>
        </w:rPr>
        <w:t xml:space="preserve"> </w:t>
      </w:r>
      <w:r w:rsidR="008A51A7" w:rsidRPr="006C2D97">
        <w:t xml:space="preserve">Includes </w:t>
      </w:r>
      <w:r w:rsidRPr="006C2D97">
        <w:t xml:space="preserve">recurrent </w:t>
      </w:r>
      <w:r w:rsidR="008A51A7" w:rsidRPr="006C2D97">
        <w:t>expenditure for</w:t>
      </w:r>
      <w:r w:rsidR="00B461DE">
        <w:t xml:space="preserve"> some children aged over</w:t>
      </w:r>
      <w:r w:rsidR="008A51A7" w:rsidRPr="006C2D97">
        <w:t xml:space="preserve"> 12 years, including Indigenous children and children with special needs.</w:t>
      </w:r>
      <w:r w:rsidR="006C2D97" w:rsidRPr="006C2D97">
        <w:t xml:space="preserve"> </w:t>
      </w:r>
      <w:r w:rsidR="00530D25" w:rsidRPr="00530D25">
        <w:rPr>
          <w:rStyle w:val="NoteLabel"/>
        </w:rPr>
        <w:t>b</w:t>
      </w:r>
      <w:r w:rsidR="00530D25">
        <w:t> </w:t>
      </w:r>
      <w:r w:rsidR="008E7553" w:rsidRPr="006C2D97">
        <w:t xml:space="preserve">Children can use more than one type of care. </w:t>
      </w:r>
      <w:r w:rsidR="0030219C" w:rsidRPr="006C2D97">
        <w:t>C</w:t>
      </w:r>
      <w:r w:rsidR="008E7553" w:rsidRPr="006C2D97">
        <w:t>hildren are counted once for each type of care they use.</w:t>
      </w:r>
      <w:r w:rsidR="00343E44" w:rsidRPr="006C2D97">
        <w:rPr>
          <w:rFonts w:cs="Arial"/>
          <w:sz w:val="20"/>
        </w:rPr>
        <w:t xml:space="preserve"> </w:t>
      </w:r>
      <w:r w:rsidR="002F10CE">
        <w:rPr>
          <w:rStyle w:val="NoteLabel"/>
        </w:rPr>
        <w:t>c</w:t>
      </w:r>
      <w:r w:rsidR="00343E44" w:rsidRPr="006C2D97">
        <w:rPr>
          <w:rStyle w:val="NoteLabel"/>
        </w:rPr>
        <w:t xml:space="preserve"> </w:t>
      </w:r>
      <w:r w:rsidR="008E7553" w:rsidRPr="006C2D97">
        <w:t>Attendance d</w:t>
      </w:r>
      <w:r w:rsidR="0030219C" w:rsidRPr="006C2D97">
        <w:t>ata relate to March quarter 201</w:t>
      </w:r>
      <w:r w:rsidR="00347129">
        <w:t>3</w:t>
      </w:r>
      <w:r w:rsidR="00170BF9" w:rsidRPr="006C2D97">
        <w:t>.</w:t>
      </w:r>
    </w:p>
    <w:p w:rsidR="00DA5E19" w:rsidRPr="00DA5E19" w:rsidRDefault="007B5867" w:rsidP="00C3586E">
      <w:pPr>
        <w:pStyle w:val="Source"/>
        <w:keepNext/>
      </w:pPr>
      <w:r w:rsidRPr="006C2D97">
        <w:rPr>
          <w:i/>
        </w:rPr>
        <w:t>Source</w:t>
      </w:r>
      <w:r w:rsidRPr="006C2D97">
        <w:t xml:space="preserve">: </w:t>
      </w:r>
      <w:r w:rsidR="002F10CE">
        <w:t>Department of Education</w:t>
      </w:r>
      <w:r w:rsidR="008A51A7" w:rsidRPr="006C2D97">
        <w:t xml:space="preserve"> </w:t>
      </w:r>
      <w:r w:rsidRPr="006C2D97">
        <w:t>(unpublished); table</w:t>
      </w:r>
      <w:r w:rsidR="00172534">
        <w:t> </w:t>
      </w:r>
      <w:proofErr w:type="spellStart"/>
      <w:r w:rsidRPr="006C2D97">
        <w:t>3A.</w:t>
      </w:r>
      <w:r w:rsidR="00835895">
        <w:t>52</w:t>
      </w:r>
      <w:proofErr w:type="spellEnd"/>
      <w:r w:rsidRPr="006C2D97">
        <w:t>.</w:t>
      </w:r>
    </w:p>
    <w:p w:rsidR="002568C1" w:rsidRDefault="009E6AD8" w:rsidP="00C3586E">
      <w:pPr>
        <w:pStyle w:val="Heading3"/>
      </w:pPr>
      <w:r w:rsidRPr="009E6AD8">
        <w:t>Outcomes</w:t>
      </w:r>
    </w:p>
    <w:p w:rsidR="00E41CEC" w:rsidRPr="008B42D1" w:rsidRDefault="003612AD" w:rsidP="00C3586E">
      <w:pPr>
        <w:pStyle w:val="BodyText"/>
      </w:pPr>
      <w:r w:rsidRPr="003612AD">
        <w:t>Outcomes are the impact of services on the status of an individual or group (while outputs are the services delivered) (see chapter</w:t>
      </w:r>
      <w:r w:rsidR="00172534">
        <w:t> </w:t>
      </w:r>
      <w:r w:rsidRPr="003612AD">
        <w:t>1, section</w:t>
      </w:r>
      <w:r w:rsidR="00172534">
        <w:t> </w:t>
      </w:r>
      <w:r w:rsidRPr="008B42D1">
        <w:t>1.5).</w:t>
      </w:r>
    </w:p>
    <w:p w:rsidR="002568C1" w:rsidRDefault="007721E5" w:rsidP="00CE255E">
      <w:pPr>
        <w:pStyle w:val="Heading5"/>
      </w:pPr>
      <w:r>
        <w:t>Family work</w:t>
      </w:r>
      <w:r w:rsidR="00172534">
        <w:noBreakHyphen/>
      </w:r>
      <w:r w:rsidR="00B25FC2">
        <w:t>related needs</w:t>
      </w:r>
    </w:p>
    <w:p w:rsidR="009E6AD8" w:rsidRDefault="000C6D17" w:rsidP="00C3586E">
      <w:pPr>
        <w:pStyle w:val="BodyText"/>
      </w:pPr>
      <w:r w:rsidRPr="000C6D17">
        <w:t>‘</w:t>
      </w:r>
      <w:r w:rsidR="00B25FC2">
        <w:t>F</w:t>
      </w:r>
      <w:r w:rsidR="005572A8">
        <w:t xml:space="preserve">amily </w:t>
      </w:r>
      <w:r w:rsidR="00B25FC2">
        <w:t>work</w:t>
      </w:r>
      <w:r w:rsidR="00172534">
        <w:noBreakHyphen/>
      </w:r>
      <w:r w:rsidR="00B25FC2">
        <w:t xml:space="preserve">related </w:t>
      </w:r>
      <w:r w:rsidRPr="000C6D17">
        <w:t xml:space="preserve">needs’ is an indicator of governments’ objective for </w:t>
      </w:r>
      <w:r w:rsidR="00E1515B" w:rsidRPr="00990A6E">
        <w:t xml:space="preserve">child </w:t>
      </w:r>
      <w:r w:rsidR="00440AA3">
        <w:t>care</w:t>
      </w:r>
      <w:r w:rsidR="00440AA3" w:rsidRPr="000C6D17">
        <w:t xml:space="preserve"> </w:t>
      </w:r>
      <w:r w:rsidRPr="000C6D17">
        <w:t>to provide support for families in caring for their children, to allow the</w:t>
      </w:r>
      <w:r w:rsidR="00D91A3B">
        <w:t xml:space="preserve"> needs of the family to be met </w:t>
      </w:r>
      <w:r w:rsidR="009E6AD8" w:rsidRPr="009E6AD8">
        <w:t>(box</w:t>
      </w:r>
      <w:r w:rsidR="00172534">
        <w:t> </w:t>
      </w:r>
      <w:r w:rsidR="00BA524F">
        <w:t>3.22</w:t>
      </w:r>
      <w:r w:rsidR="009E6AD8" w:rsidRPr="009E6AD8">
        <w:t>).</w:t>
      </w:r>
    </w:p>
    <w:p w:rsidR="009E6AD8" w:rsidRDefault="009E6AD8" w:rsidP="00C3586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E6AD8">
        <w:tc>
          <w:tcPr>
            <w:tcW w:w="8771" w:type="dxa"/>
            <w:tcBorders>
              <w:top w:val="single" w:sz="6" w:space="0" w:color="auto"/>
              <w:bottom w:val="nil"/>
            </w:tcBorders>
          </w:tcPr>
          <w:p w:rsidR="009E6AD8" w:rsidRDefault="009E6AD8" w:rsidP="00CA7E5E">
            <w:pPr>
              <w:pStyle w:val="BoxTitle"/>
            </w:pPr>
            <w:r>
              <w:rPr>
                <w:b w:val="0"/>
              </w:rPr>
              <w:t xml:space="preserve">Box </w:t>
            </w:r>
            <w:bookmarkStart w:id="38" w:name="OLE_LINK40"/>
            <w:r w:rsidR="00923A1C">
              <w:rPr>
                <w:b w:val="0"/>
              </w:rPr>
              <w:t>3.</w:t>
            </w:r>
            <w:bookmarkEnd w:id="38"/>
            <w:r w:rsidR="00CA7E5E">
              <w:rPr>
                <w:b w:val="0"/>
              </w:rPr>
              <w:t>22</w:t>
            </w:r>
            <w:r>
              <w:tab/>
            </w:r>
            <w:r w:rsidR="007721E5">
              <w:t>Family work</w:t>
            </w:r>
            <w:r w:rsidR="00172534">
              <w:noBreakHyphen/>
            </w:r>
            <w:r w:rsidR="00B25FC2">
              <w:t>related needs</w:t>
            </w:r>
          </w:p>
        </w:tc>
      </w:tr>
      <w:tr w:rsidR="009E6AD8">
        <w:trPr>
          <w:cantSplit/>
        </w:trPr>
        <w:tc>
          <w:tcPr>
            <w:tcW w:w="8771" w:type="dxa"/>
            <w:tcBorders>
              <w:top w:val="nil"/>
              <w:left w:val="single" w:sz="6" w:space="0" w:color="auto"/>
              <w:bottom w:val="nil"/>
              <w:right w:val="single" w:sz="6" w:space="0" w:color="auto"/>
            </w:tcBorders>
          </w:tcPr>
          <w:p w:rsidR="002805F7" w:rsidRPr="000433ED" w:rsidRDefault="005572A8" w:rsidP="00C3586E">
            <w:pPr>
              <w:pStyle w:val="Box"/>
            </w:pPr>
            <w:r>
              <w:t>‘</w:t>
            </w:r>
            <w:r w:rsidR="00B251BE">
              <w:t>Family work</w:t>
            </w:r>
            <w:r w:rsidR="00B251BE">
              <w:noBreakHyphen/>
            </w:r>
            <w:r w:rsidR="00B25FC2">
              <w:t>related needs</w:t>
            </w:r>
            <w:r>
              <w:t>’</w:t>
            </w:r>
            <w:r w:rsidR="00811641">
              <w:t xml:space="preserve"> is</w:t>
            </w:r>
            <w:r w:rsidR="00E57306">
              <w:t xml:space="preserve"> defined as the proportion </w:t>
            </w:r>
            <w:r w:rsidR="00F2327C">
              <w:t xml:space="preserve">of </w:t>
            </w:r>
            <w:r w:rsidR="00E57306">
              <w:t>children aged 0</w:t>
            </w:r>
            <w:r w:rsidR="00E57306">
              <w:rPr>
                <w:rFonts w:cs="Arial"/>
              </w:rPr>
              <w:t>–</w:t>
            </w:r>
            <w:r w:rsidR="00E57306">
              <w:t xml:space="preserve">12 years in families </w:t>
            </w:r>
            <w:r w:rsidR="00D8196E">
              <w:t xml:space="preserve">participating in the </w:t>
            </w:r>
            <w:r w:rsidR="00C579AB">
              <w:t xml:space="preserve">labour </w:t>
            </w:r>
            <w:r w:rsidR="00D8196E">
              <w:t xml:space="preserve">force </w:t>
            </w:r>
            <w:r w:rsidR="00E57306">
              <w:t xml:space="preserve">for whom formal </w:t>
            </w:r>
            <w:r w:rsidR="001F4BED" w:rsidRPr="00990A6E">
              <w:t xml:space="preserve">child </w:t>
            </w:r>
            <w:r w:rsidR="00E57306">
              <w:t xml:space="preserve">care, or additional hours of formal </w:t>
            </w:r>
            <w:r w:rsidR="00CB23AD">
              <w:t xml:space="preserve">child </w:t>
            </w:r>
            <w:r w:rsidR="00E57306">
              <w:t>care, w</w:t>
            </w:r>
            <w:r w:rsidR="00811641">
              <w:t>as</w:t>
            </w:r>
            <w:r w:rsidR="00E57306">
              <w:t xml:space="preserve"> required</w:t>
            </w:r>
            <w:r w:rsidR="00AA5DE9">
              <w:t xml:space="preserve"> </w:t>
            </w:r>
            <w:r w:rsidR="00E57306">
              <w:t>for work</w:t>
            </w:r>
            <w:r w:rsidR="00172534">
              <w:noBreakHyphen/>
            </w:r>
            <w:r w:rsidR="00E57306">
              <w:t xml:space="preserve">related </w:t>
            </w:r>
            <w:r w:rsidR="00E57306" w:rsidRPr="000433ED">
              <w:t>reasons</w:t>
            </w:r>
            <w:r w:rsidR="00E57306" w:rsidRPr="00F253C0">
              <w:t>.</w:t>
            </w:r>
            <w:r w:rsidR="00AE11EF">
              <w:t xml:space="preserve"> </w:t>
            </w:r>
          </w:p>
          <w:p w:rsidR="00D8196E" w:rsidRDefault="00D8196E" w:rsidP="00C3586E">
            <w:pPr>
              <w:pStyle w:val="Box"/>
            </w:pPr>
            <w:r w:rsidRPr="000433ED">
              <w:t xml:space="preserve">Families participating in the </w:t>
            </w:r>
            <w:r w:rsidR="00C579AB" w:rsidRPr="000433ED">
              <w:t xml:space="preserve">labour </w:t>
            </w:r>
            <w:r w:rsidRPr="000433ED">
              <w:t xml:space="preserve">force include single parent families where the lone parent is </w:t>
            </w:r>
            <w:r w:rsidR="00C579AB" w:rsidRPr="000433ED">
              <w:t>employed or unemployed</w:t>
            </w:r>
            <w:r w:rsidRPr="000433ED">
              <w:t>, and couple families where both parents</w:t>
            </w:r>
            <w:r w:rsidRPr="00D051BA">
              <w:t xml:space="preserve"> are employed</w:t>
            </w:r>
            <w:r w:rsidR="00C579AB">
              <w:t xml:space="preserve"> or </w:t>
            </w:r>
            <w:r w:rsidRPr="00D051BA">
              <w:t>unemployed.</w:t>
            </w:r>
          </w:p>
          <w:p w:rsidR="002805F7" w:rsidRDefault="002805F7" w:rsidP="00C3586E">
            <w:pPr>
              <w:pStyle w:val="Box"/>
            </w:pPr>
            <w:r>
              <w:t xml:space="preserve">A lower </w:t>
            </w:r>
            <w:r w:rsidR="009D6113">
              <w:t xml:space="preserve">or decreasing </w:t>
            </w:r>
            <w:r>
              <w:t xml:space="preserve">proportion indicates </w:t>
            </w:r>
            <w:r w:rsidR="008A3CE2">
              <w:t xml:space="preserve">more </w:t>
            </w:r>
            <w:r w:rsidR="00A3154D">
              <w:t>families</w:t>
            </w:r>
            <w:r w:rsidR="002311C5">
              <w:t>’</w:t>
            </w:r>
            <w:r w:rsidR="00A3154D">
              <w:t xml:space="preserve"> work</w:t>
            </w:r>
            <w:r w:rsidR="00B251BE">
              <w:noBreakHyphen/>
            </w:r>
            <w:r w:rsidR="00A3154D">
              <w:t>related needs for formal</w:t>
            </w:r>
            <w:r w:rsidR="001F4BED">
              <w:t xml:space="preserve"> </w:t>
            </w:r>
            <w:r w:rsidR="001F4BED" w:rsidRPr="00990A6E">
              <w:t>child</w:t>
            </w:r>
            <w:r w:rsidR="00A3154D" w:rsidRPr="00990A6E">
              <w:t xml:space="preserve"> </w:t>
            </w:r>
            <w:r w:rsidR="00A3154D">
              <w:t xml:space="preserve">care, </w:t>
            </w:r>
            <w:r>
              <w:t xml:space="preserve">or additional hours of formal care, </w:t>
            </w:r>
            <w:r w:rsidR="00A3154D">
              <w:t>are being met</w:t>
            </w:r>
            <w:r w:rsidR="00F70A6D">
              <w:t>.</w:t>
            </w:r>
          </w:p>
          <w:p w:rsidR="004934D4" w:rsidRDefault="004934D4" w:rsidP="00C3586E">
            <w:pPr>
              <w:pStyle w:val="Box"/>
            </w:pPr>
            <w:r>
              <w:t xml:space="preserve">This measure addresses the </w:t>
            </w:r>
            <w:r w:rsidR="002311C5">
              <w:t xml:space="preserve">impact of </w:t>
            </w:r>
            <w:r w:rsidR="00E1515B" w:rsidRPr="00990A6E">
              <w:t>child</w:t>
            </w:r>
            <w:r w:rsidR="00E1515B">
              <w:t xml:space="preserve"> </w:t>
            </w:r>
            <w:r w:rsidR="002311C5">
              <w:t xml:space="preserve">care services on </w:t>
            </w:r>
            <w:r>
              <w:t>families</w:t>
            </w:r>
            <w:r w:rsidR="002311C5">
              <w:t>’ ability</w:t>
            </w:r>
            <w:r>
              <w:t xml:space="preserve"> </w:t>
            </w:r>
            <w:r w:rsidRPr="000C6D17">
              <w:t>to participate in the labour force</w:t>
            </w:r>
            <w:r w:rsidR="002311C5">
              <w:t>.</w:t>
            </w:r>
            <w:r w:rsidR="000E106B">
              <w:t xml:space="preserve"> </w:t>
            </w:r>
            <w:r>
              <w:t xml:space="preserve">Development is underway </w:t>
            </w:r>
            <w:r w:rsidR="002311C5">
              <w:t>in</w:t>
            </w:r>
            <w:r>
              <w:t xml:space="preserve">to measures </w:t>
            </w:r>
            <w:r w:rsidR="00842868">
              <w:t>of</w:t>
            </w:r>
            <w:r w:rsidR="006D023C">
              <w:t xml:space="preserve"> </w:t>
            </w:r>
            <w:r w:rsidR="002311C5">
              <w:t>the impact of early childhood education and care on other family needs</w:t>
            </w:r>
            <w:r>
              <w:t>.</w:t>
            </w:r>
          </w:p>
          <w:p w:rsidR="00C054C2" w:rsidRDefault="004934D4" w:rsidP="00C3586E">
            <w:pPr>
              <w:pStyle w:val="Box"/>
            </w:pPr>
            <w:r>
              <w:t>Data reported fo</w:t>
            </w:r>
            <w:r w:rsidR="00767647">
              <w:t xml:space="preserve">r this </w:t>
            </w:r>
            <w:r w:rsidR="00EB300F">
              <w:t>indicator</w:t>
            </w:r>
            <w:r w:rsidR="00E53376">
              <w:t xml:space="preserve"> </w:t>
            </w:r>
            <w:r w:rsidR="00767647">
              <w:t>are:</w:t>
            </w:r>
          </w:p>
          <w:p w:rsidR="00767647" w:rsidRDefault="00767647" w:rsidP="00751B02">
            <w:pPr>
              <w:pStyle w:val="BoxListBullet"/>
            </w:pPr>
            <w:r>
              <w:t>c</w:t>
            </w:r>
            <w:r w:rsidRPr="00DA5769">
              <w:t xml:space="preserve">omparable </w:t>
            </w:r>
            <w:r>
              <w:t>(subject to caveats) across jurisdictions and over time</w:t>
            </w:r>
          </w:p>
          <w:p w:rsidR="00767647" w:rsidRDefault="00767647" w:rsidP="00751B02">
            <w:pPr>
              <w:pStyle w:val="BoxListBullet"/>
            </w:pPr>
            <w:r>
              <w:t>c</w:t>
            </w:r>
            <w:r w:rsidRPr="00DA5769">
              <w:t xml:space="preserve">omplete </w:t>
            </w:r>
            <w:r w:rsidR="003907A5">
              <w:t xml:space="preserve">(subject to caveats) </w:t>
            </w:r>
            <w:r w:rsidRPr="00DA5769">
              <w:t>for</w:t>
            </w:r>
            <w:r w:rsidRPr="00FF6F88">
              <w:t xml:space="preserve"> </w:t>
            </w:r>
            <w:r>
              <w:t>the current repor</w:t>
            </w:r>
            <w:r w:rsidR="003907A5">
              <w:t>ting period</w:t>
            </w:r>
            <w:r>
              <w:t>. All required 2011 data are available for all jur</w:t>
            </w:r>
            <w:r w:rsidR="004A020D">
              <w:t>isdictions</w:t>
            </w:r>
            <w:r>
              <w:t>.</w:t>
            </w:r>
          </w:p>
          <w:p w:rsidR="00664BD6" w:rsidRDefault="00EB300F" w:rsidP="00440AA3">
            <w:pPr>
              <w:pStyle w:val="Box"/>
            </w:pPr>
            <w:r>
              <w:rPr>
                <w:rFonts w:cs="Arial"/>
                <w:szCs w:val="26"/>
              </w:rPr>
              <w:t>D</w:t>
            </w:r>
            <w:r w:rsidR="00767647" w:rsidRPr="00767647">
              <w:rPr>
                <w:rFonts w:cs="Arial"/>
                <w:szCs w:val="26"/>
              </w:rPr>
              <w:t xml:space="preserve">ata quality </w:t>
            </w:r>
            <w:r>
              <w:rPr>
                <w:rFonts w:cs="Arial"/>
                <w:szCs w:val="26"/>
              </w:rPr>
              <w:t xml:space="preserve">information </w:t>
            </w:r>
            <w:r w:rsidR="000B7594" w:rsidRPr="00767647">
              <w:rPr>
                <w:rFonts w:cs="Arial"/>
                <w:szCs w:val="26"/>
              </w:rPr>
              <w:t xml:space="preserve">for this indicator is at </w:t>
            </w:r>
            <w:proofErr w:type="spellStart"/>
            <w:r w:rsidR="000B7594" w:rsidRPr="00767647">
              <w:rPr>
                <w:rFonts w:cs="Arial"/>
                <w:szCs w:val="26"/>
              </w:rPr>
              <w:t>www.pc.gov.au</w:t>
            </w:r>
            <w:proofErr w:type="spellEnd"/>
            <w:r w:rsidR="000B7594" w:rsidRPr="00767647">
              <w:rPr>
                <w:rFonts w:cs="Arial"/>
                <w:szCs w:val="26"/>
              </w:rPr>
              <w:t>/</w:t>
            </w:r>
            <w:proofErr w:type="spellStart"/>
            <w:r w:rsidR="000B7594" w:rsidRPr="00767647">
              <w:rPr>
                <w:rFonts w:cs="Arial"/>
                <w:szCs w:val="26"/>
              </w:rPr>
              <w:t>gsp</w:t>
            </w:r>
            <w:proofErr w:type="spellEnd"/>
            <w:r w:rsidR="000B7594" w:rsidRPr="00767647">
              <w:rPr>
                <w:rFonts w:cs="Arial"/>
                <w:szCs w:val="26"/>
              </w:rPr>
              <w:t>/reports/</w:t>
            </w:r>
            <w:proofErr w:type="spellStart"/>
            <w:r w:rsidR="000B7594" w:rsidRPr="00767647">
              <w:rPr>
                <w:rFonts w:cs="Arial"/>
                <w:szCs w:val="26"/>
              </w:rPr>
              <w:t>rogs</w:t>
            </w:r>
            <w:proofErr w:type="spellEnd"/>
            <w:r w:rsidR="000B7594" w:rsidRPr="00767647">
              <w:rPr>
                <w:rFonts w:cs="Arial"/>
                <w:szCs w:val="26"/>
              </w:rPr>
              <w:t>/201</w:t>
            </w:r>
            <w:r w:rsidR="00767647" w:rsidRPr="00767647">
              <w:rPr>
                <w:rFonts w:cs="Arial"/>
                <w:szCs w:val="26"/>
              </w:rPr>
              <w:t>4</w:t>
            </w:r>
            <w:r w:rsidR="006D023C" w:rsidRPr="00767647">
              <w:rPr>
                <w:rFonts w:cs="Arial"/>
                <w:szCs w:val="26"/>
              </w:rPr>
              <w:t>.</w:t>
            </w:r>
          </w:p>
        </w:tc>
      </w:tr>
      <w:tr w:rsidR="009E6AD8">
        <w:trPr>
          <w:cantSplit/>
        </w:trPr>
        <w:tc>
          <w:tcPr>
            <w:tcW w:w="8771" w:type="dxa"/>
            <w:tcBorders>
              <w:top w:val="nil"/>
              <w:left w:val="single" w:sz="6" w:space="0" w:color="auto"/>
              <w:bottom w:val="single" w:sz="6" w:space="0" w:color="auto"/>
              <w:right w:val="single" w:sz="6" w:space="0" w:color="auto"/>
            </w:tcBorders>
          </w:tcPr>
          <w:p w:rsidR="009E6AD8" w:rsidRDefault="009E6AD8" w:rsidP="00C3586E">
            <w:pPr>
              <w:pStyle w:val="Box"/>
              <w:spacing w:before="0" w:line="120" w:lineRule="exact"/>
            </w:pPr>
          </w:p>
        </w:tc>
      </w:tr>
      <w:tr w:rsidR="009E6AD8">
        <w:tc>
          <w:tcPr>
            <w:tcW w:w="8771" w:type="dxa"/>
            <w:tcBorders>
              <w:top w:val="nil"/>
              <w:left w:val="nil"/>
              <w:bottom w:val="nil"/>
              <w:right w:val="nil"/>
            </w:tcBorders>
          </w:tcPr>
          <w:p w:rsidR="009E6AD8" w:rsidRDefault="009E6AD8" w:rsidP="00C3586E">
            <w:pPr>
              <w:pStyle w:val="Box"/>
              <w:keepNext w:val="0"/>
              <w:spacing w:before="60" w:after="60" w:line="80" w:lineRule="exact"/>
              <w:rPr>
                <w:b/>
                <w:color w:val="FF00FF"/>
                <w:sz w:val="14"/>
              </w:rPr>
            </w:pPr>
          </w:p>
        </w:tc>
      </w:tr>
    </w:tbl>
    <w:p w:rsidR="00F0128E" w:rsidRPr="00F0128E" w:rsidRDefault="004934D4" w:rsidP="00F0128E">
      <w:pPr>
        <w:pStyle w:val="BodyText"/>
      </w:pPr>
      <w:r>
        <w:t xml:space="preserve">Data for this indicator were obtained from the ABS </w:t>
      </w:r>
      <w:r w:rsidRPr="004934D4">
        <w:rPr>
          <w:i/>
        </w:rPr>
        <w:t>20</w:t>
      </w:r>
      <w:r w:rsidR="00440AA3">
        <w:rPr>
          <w:i/>
        </w:rPr>
        <w:t>11</w:t>
      </w:r>
      <w:r w:rsidRPr="004934D4">
        <w:rPr>
          <w:i/>
        </w:rPr>
        <w:t xml:space="preserve"> Childhood Education and Care Survey</w:t>
      </w:r>
      <w:r w:rsidR="00797622">
        <w:rPr>
          <w:i/>
        </w:rPr>
        <w:t xml:space="preserve"> </w:t>
      </w:r>
      <w:r w:rsidR="00797622" w:rsidRPr="00A55704">
        <w:t>(</w:t>
      </w:r>
      <w:proofErr w:type="spellStart"/>
      <w:r w:rsidR="00797622" w:rsidRPr="00A55704">
        <w:t>CEaCS</w:t>
      </w:r>
      <w:proofErr w:type="spellEnd"/>
      <w:r w:rsidR="00797622" w:rsidRPr="00A55704">
        <w:t>)</w:t>
      </w:r>
      <w:r w:rsidR="00ED1189" w:rsidRPr="00A55704">
        <w:t>.</w:t>
      </w:r>
      <w:r>
        <w:t xml:space="preserve"> Box</w:t>
      </w:r>
      <w:r w:rsidR="00172534">
        <w:t> </w:t>
      </w:r>
      <w:r w:rsidR="00797622">
        <w:t>3.23</w:t>
      </w:r>
      <w:r w:rsidR="00833180">
        <w:t xml:space="preserve"> </w:t>
      </w:r>
      <w:r>
        <w:t xml:space="preserve">includes further information about the </w:t>
      </w:r>
      <w:r w:rsidRPr="00835895">
        <w:t>20</w:t>
      </w:r>
      <w:r w:rsidR="00440AA3" w:rsidRPr="00835895">
        <w:t>11</w:t>
      </w:r>
      <w:r w:rsidR="00A9209B">
        <w:rPr>
          <w:i/>
        </w:rPr>
        <w:t xml:space="preserve"> </w:t>
      </w:r>
      <w:proofErr w:type="spellStart"/>
      <w:r w:rsidR="00A9209B">
        <w:t>CEaCS</w:t>
      </w:r>
      <w:proofErr w:type="spellEnd"/>
      <w:r>
        <w:t>.</w:t>
      </w:r>
      <w:r w:rsidR="009D6113">
        <w:t xml:space="preserve"> </w:t>
      </w:r>
    </w:p>
    <w:p w:rsidR="00797622" w:rsidRPr="00092F26" w:rsidRDefault="00797622" w:rsidP="00797622">
      <w:pPr>
        <w:pStyle w:val="BoxSpace"/>
        <w:rPr>
          <w:color w:val="FF000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97622" w:rsidRPr="00092F26" w:rsidTr="00797622">
        <w:tc>
          <w:tcPr>
            <w:tcW w:w="8771" w:type="dxa"/>
            <w:tcBorders>
              <w:top w:val="single" w:sz="6" w:space="0" w:color="auto"/>
              <w:bottom w:val="nil"/>
            </w:tcBorders>
          </w:tcPr>
          <w:p w:rsidR="00797622" w:rsidRPr="00F42144" w:rsidRDefault="00797622" w:rsidP="00BA524F">
            <w:pPr>
              <w:pStyle w:val="BoxTitle"/>
            </w:pPr>
            <w:r w:rsidRPr="00F42144">
              <w:rPr>
                <w:b w:val="0"/>
              </w:rPr>
              <w:t xml:space="preserve">Box </w:t>
            </w:r>
            <w:bookmarkStart w:id="39" w:name="OLE_LINK9"/>
            <w:r w:rsidRPr="00F42144">
              <w:rPr>
                <w:b w:val="0"/>
              </w:rPr>
              <w:t>3.</w:t>
            </w:r>
            <w:bookmarkEnd w:id="39"/>
            <w:r w:rsidR="00BA524F">
              <w:rPr>
                <w:b w:val="0"/>
              </w:rPr>
              <w:t>23</w:t>
            </w:r>
            <w:r w:rsidRPr="00F42144">
              <w:tab/>
              <w:t xml:space="preserve">ABS Childhood Education and Care Survey </w:t>
            </w:r>
          </w:p>
        </w:tc>
      </w:tr>
      <w:tr w:rsidR="00797622" w:rsidRPr="00092F26" w:rsidTr="00797622">
        <w:trPr>
          <w:cantSplit/>
        </w:trPr>
        <w:tc>
          <w:tcPr>
            <w:tcW w:w="8771" w:type="dxa"/>
            <w:tcBorders>
              <w:top w:val="nil"/>
              <w:left w:val="single" w:sz="6" w:space="0" w:color="auto"/>
              <w:bottom w:val="nil"/>
              <w:right w:val="single" w:sz="6" w:space="0" w:color="auto"/>
            </w:tcBorders>
          </w:tcPr>
          <w:p w:rsidR="00797622" w:rsidRPr="00F42144" w:rsidRDefault="00797622" w:rsidP="00797622">
            <w:pPr>
              <w:pStyle w:val="Box"/>
            </w:pPr>
            <w:r w:rsidRPr="00F42144">
              <w:t xml:space="preserve">The </w:t>
            </w:r>
            <w:r w:rsidR="00CA7E5E" w:rsidRPr="00CA7E5E">
              <w:rPr>
                <w:i/>
              </w:rPr>
              <w:t>Childhood Education and Care Survey</w:t>
            </w:r>
            <w:r w:rsidR="00CA7E5E">
              <w:t xml:space="preserve"> (</w:t>
            </w:r>
            <w:proofErr w:type="spellStart"/>
            <w:r w:rsidRPr="00F42144">
              <w:t>CEaCS</w:t>
            </w:r>
            <w:proofErr w:type="spellEnd"/>
            <w:r w:rsidR="00CA7E5E">
              <w:t>)</w:t>
            </w:r>
            <w:r w:rsidRPr="00F42144">
              <w:t xml:space="preserve"> was conducted for the first time in June 2008, integrating the ABS Child Care Survey (last conducted in 2005) with a new topic on Early Years Learning, and was conducted again in 2011. </w:t>
            </w:r>
            <w:r w:rsidRPr="00990A6E">
              <w:t xml:space="preserve">In 2011, the </w:t>
            </w:r>
            <w:proofErr w:type="spellStart"/>
            <w:r w:rsidRPr="00990A6E">
              <w:t>CEaCS</w:t>
            </w:r>
            <w:proofErr w:type="spellEnd"/>
            <w:r w:rsidRPr="00990A6E">
              <w:t xml:space="preserve"> collected information on children aged 0–12 years living in a sample of private dwellings. </w:t>
            </w:r>
          </w:p>
          <w:p w:rsidR="00797622" w:rsidRPr="00F42144" w:rsidRDefault="00797622" w:rsidP="00797622">
            <w:pPr>
              <w:pStyle w:val="Box"/>
            </w:pPr>
            <w:r w:rsidRPr="00F42144">
              <w:t xml:space="preserve">The </w:t>
            </w:r>
            <w:proofErr w:type="spellStart"/>
            <w:r w:rsidRPr="00F42144">
              <w:t>CEaCS</w:t>
            </w:r>
            <w:proofErr w:type="spellEnd"/>
            <w:r w:rsidRPr="00F42144">
              <w:t xml:space="preserve"> collected information on families’ requirements for formal </w:t>
            </w:r>
            <w:r w:rsidR="00CB23AD">
              <w:t xml:space="preserve">child </w:t>
            </w:r>
            <w:r w:rsidR="00B461DE">
              <w:t>care</w:t>
            </w:r>
            <w:r w:rsidR="000735E1">
              <w:t xml:space="preserve"> or</w:t>
            </w:r>
            <w:r w:rsidR="00CB23AD">
              <w:t xml:space="preserve"> preschool</w:t>
            </w:r>
            <w:r w:rsidR="000735E1">
              <w:t xml:space="preserve"> services</w:t>
            </w:r>
            <w:r w:rsidRPr="00F42144">
              <w:t xml:space="preserve"> (or additional formal </w:t>
            </w:r>
            <w:r w:rsidR="000735E1">
              <w:t>child care or</w:t>
            </w:r>
            <w:r w:rsidR="00CB23AD">
              <w:t xml:space="preserve"> preschool</w:t>
            </w:r>
            <w:r w:rsidR="000735E1">
              <w:t xml:space="preserve"> services</w:t>
            </w:r>
            <w:r w:rsidR="005E790E">
              <w:t xml:space="preserve">) for their children </w:t>
            </w:r>
            <w:r w:rsidRPr="00F42144">
              <w:t xml:space="preserve">(rather than the steps taken to obtain formal </w:t>
            </w:r>
            <w:r w:rsidR="000735E1">
              <w:t xml:space="preserve">child </w:t>
            </w:r>
            <w:r w:rsidRPr="00F42144">
              <w:t>care</w:t>
            </w:r>
            <w:r w:rsidR="000735E1">
              <w:t xml:space="preserve"> or preschool services</w:t>
            </w:r>
            <w:r w:rsidR="005E790E">
              <w:t>)</w:t>
            </w:r>
            <w:r w:rsidRPr="00F42144">
              <w:t xml:space="preserve"> and whether the families would have used formal </w:t>
            </w:r>
            <w:r w:rsidR="00CB23AD">
              <w:t xml:space="preserve">child </w:t>
            </w:r>
            <w:r w:rsidRPr="00F42144">
              <w:t>care</w:t>
            </w:r>
            <w:r w:rsidR="00CB23AD">
              <w:t xml:space="preserve"> or preschool</w:t>
            </w:r>
            <w:r w:rsidRPr="00F42144">
              <w:t xml:space="preserve"> </w:t>
            </w:r>
            <w:r w:rsidR="000735E1">
              <w:t>services if they</w:t>
            </w:r>
            <w:r w:rsidRPr="00F42144">
              <w:t xml:space="preserve"> became available.</w:t>
            </w:r>
          </w:p>
          <w:p w:rsidR="00797622" w:rsidRPr="00F42144" w:rsidRDefault="00797622" w:rsidP="00797622">
            <w:pPr>
              <w:pStyle w:val="Box"/>
            </w:pPr>
            <w:r w:rsidRPr="00F42144">
              <w:t>Estimates from the surveys are subject to sampling variability. Estimates for the smaller jurisdictions are based on small sample sizes and are s</w:t>
            </w:r>
            <w:r w:rsidR="000735E1">
              <w:t>ubject to higher sampling error,</w:t>
            </w:r>
            <w:r w:rsidRPr="00F42144">
              <w:t xml:space="preserve"> in particular data for Tasmania, the ACT and the NT. Aggregated survey data also need to be interpreted with care, because oversupply and undersupply of child care places can be specific to particular areas, including small and remote communities.</w:t>
            </w:r>
          </w:p>
          <w:p w:rsidR="00797622" w:rsidRPr="00F42144" w:rsidRDefault="00797622" w:rsidP="00797622">
            <w:pPr>
              <w:pStyle w:val="Box"/>
            </w:pPr>
            <w:r w:rsidRPr="00F42144">
              <w:t xml:space="preserve">In addition, the </w:t>
            </w:r>
            <w:proofErr w:type="spellStart"/>
            <w:r w:rsidRPr="00F42144">
              <w:t>CEaCS</w:t>
            </w:r>
            <w:proofErr w:type="spellEnd"/>
            <w:r w:rsidRPr="00F42144">
              <w:t xml:space="preserve"> is a household survey, with parents responding to questions on use of services. Some children attend a preschool program within a child care setting, for example in a long day care service, where the costs would generally be higher than in preschool. It is expected that the parent would report the service model as a long day care centre, rather than preschool, but the parent might report the service model as preschool.</w:t>
            </w:r>
          </w:p>
        </w:tc>
      </w:tr>
      <w:tr w:rsidR="00797622" w:rsidRPr="00092F26" w:rsidTr="00797622">
        <w:trPr>
          <w:cantSplit/>
        </w:trPr>
        <w:tc>
          <w:tcPr>
            <w:tcW w:w="8771" w:type="dxa"/>
            <w:tcBorders>
              <w:top w:val="nil"/>
              <w:left w:val="single" w:sz="6" w:space="0" w:color="auto"/>
              <w:bottom w:val="single" w:sz="6" w:space="0" w:color="auto"/>
              <w:right w:val="single" w:sz="6" w:space="0" w:color="auto"/>
            </w:tcBorders>
          </w:tcPr>
          <w:p w:rsidR="00797622" w:rsidRPr="00F42144" w:rsidRDefault="00797622" w:rsidP="00797622">
            <w:pPr>
              <w:pStyle w:val="BoxSource"/>
            </w:pPr>
            <w:r w:rsidRPr="00F42144">
              <w:rPr>
                <w:i/>
              </w:rPr>
              <w:t>Source</w:t>
            </w:r>
            <w:r w:rsidR="00CA7E5E">
              <w:t>: ABS (2012</w:t>
            </w:r>
            <w:r w:rsidRPr="00F42144">
              <w:t>).</w:t>
            </w:r>
          </w:p>
        </w:tc>
      </w:tr>
    </w:tbl>
    <w:p w:rsidR="00797622" w:rsidRDefault="00F0128E" w:rsidP="00C3586E">
      <w:pPr>
        <w:pStyle w:val="BodyText"/>
      </w:pPr>
      <w:r w:rsidRPr="004C59A0">
        <w:t>Nationally, 2.8 per cent of child</w:t>
      </w:r>
      <w:r w:rsidR="00A21575" w:rsidRPr="004C59A0">
        <w:t>ren aged 0–12 years from</w:t>
      </w:r>
      <w:r w:rsidRPr="004C59A0">
        <w:t xml:space="preserve"> families </w:t>
      </w:r>
      <w:r w:rsidR="000B105C" w:rsidRPr="004C59A0">
        <w:t xml:space="preserve">participating in the labour force </w:t>
      </w:r>
      <w:r w:rsidRPr="004C59A0">
        <w:t xml:space="preserve">required formal </w:t>
      </w:r>
      <w:r w:rsidR="001F4BED" w:rsidRPr="00990A6E">
        <w:t xml:space="preserve">child </w:t>
      </w:r>
      <w:r w:rsidRPr="004C59A0">
        <w:t xml:space="preserve">care, or additional formal </w:t>
      </w:r>
      <w:r w:rsidR="001F4BED" w:rsidRPr="00990A6E">
        <w:t xml:space="preserve">child </w:t>
      </w:r>
      <w:r w:rsidRPr="004C59A0">
        <w:t>care for work</w:t>
      </w:r>
      <w:r w:rsidR="00B251BE">
        <w:noBreakHyphen/>
      </w:r>
      <w:r w:rsidR="00B12C95">
        <w:t xml:space="preserve">related reasons in 2011 </w:t>
      </w:r>
      <w:r w:rsidR="00B12C95" w:rsidRPr="00990A6E">
        <w:t>(table</w:t>
      </w:r>
      <w:r w:rsidR="00172534">
        <w:t> </w:t>
      </w:r>
      <w:proofErr w:type="spellStart"/>
      <w:r w:rsidR="00B12C95" w:rsidRPr="00990A6E">
        <w:t>3A</w:t>
      </w:r>
      <w:r w:rsidRPr="00990A6E">
        <w:t>.</w:t>
      </w:r>
      <w:r w:rsidR="003C6BFC" w:rsidRPr="00990A6E">
        <w:t>53</w:t>
      </w:r>
      <w:proofErr w:type="spellEnd"/>
      <w:r w:rsidR="00B12C95" w:rsidRPr="00990A6E">
        <w:t>).</w:t>
      </w:r>
    </w:p>
    <w:p w:rsidR="009E6AD8" w:rsidRDefault="00832D7E" w:rsidP="00CE255E">
      <w:pPr>
        <w:pStyle w:val="Heading5"/>
      </w:pPr>
      <w:r>
        <w:t xml:space="preserve">Demand for formal </w:t>
      </w:r>
      <w:r w:rsidR="009E6AD8" w:rsidRPr="009E6AD8">
        <w:t>care</w:t>
      </w:r>
    </w:p>
    <w:p w:rsidR="009E6AD8" w:rsidRDefault="00400EEB" w:rsidP="00C3586E">
      <w:pPr>
        <w:pStyle w:val="BodyText"/>
      </w:pPr>
      <w:r w:rsidRPr="006210DA">
        <w:rPr>
          <w:b/>
        </w:rPr>
        <w:t>‘</w:t>
      </w:r>
      <w:r w:rsidRPr="006210DA">
        <w:t xml:space="preserve">Demand for </w:t>
      </w:r>
      <w:r w:rsidR="006210DA">
        <w:t xml:space="preserve">formal </w:t>
      </w:r>
      <w:r w:rsidRPr="006210DA">
        <w:t>care’ is an indicator</w:t>
      </w:r>
      <w:r w:rsidRPr="00400EEB">
        <w:t xml:space="preserve"> of governments’ objective to ensure </w:t>
      </w:r>
      <w:r w:rsidR="000C1336">
        <w:t xml:space="preserve">that </w:t>
      </w:r>
      <w:r w:rsidR="00956CDE">
        <w:t>early childhood education and care</w:t>
      </w:r>
      <w:r w:rsidRPr="00400EEB">
        <w:t xml:space="preserve"> services meet the requirements of all Australian families. Expressed need for </w:t>
      </w:r>
      <w:r w:rsidR="00123482">
        <w:t xml:space="preserve">formal </w:t>
      </w:r>
      <w:r w:rsidR="006A616B">
        <w:t xml:space="preserve">child </w:t>
      </w:r>
      <w:r w:rsidR="00123482">
        <w:t>care</w:t>
      </w:r>
      <w:r w:rsidR="006A616B">
        <w:t xml:space="preserve"> or preschool services </w:t>
      </w:r>
      <w:r w:rsidR="00123482">
        <w:t xml:space="preserve">or </w:t>
      </w:r>
      <w:r w:rsidR="0094743F">
        <w:t>additional</w:t>
      </w:r>
      <w:r w:rsidRPr="00400EEB">
        <w:t xml:space="preserve"> </w:t>
      </w:r>
      <w:r w:rsidR="006210DA">
        <w:t xml:space="preserve">formal </w:t>
      </w:r>
      <w:r w:rsidR="006A616B">
        <w:t xml:space="preserve">child </w:t>
      </w:r>
      <w:r w:rsidRPr="00400EEB">
        <w:t>care</w:t>
      </w:r>
      <w:r w:rsidR="006A616B">
        <w:t xml:space="preserve"> or preschool services</w:t>
      </w:r>
      <w:r w:rsidRPr="00400EEB">
        <w:t xml:space="preserve"> indicates the extent to which </w:t>
      </w:r>
      <w:r w:rsidR="00981445">
        <w:t>early childhood education and care</w:t>
      </w:r>
      <w:r w:rsidRPr="00400EEB">
        <w:t xml:space="preserve"> services are not meeting demand by families </w:t>
      </w:r>
      <w:r w:rsidR="009E6AD8" w:rsidRPr="009E6AD8">
        <w:t>(box</w:t>
      </w:r>
      <w:r w:rsidR="00172534">
        <w:t> </w:t>
      </w:r>
      <w:r w:rsidR="00923A1C">
        <w:t>3.24</w:t>
      </w:r>
      <w:r w:rsidR="009E6AD8" w:rsidRPr="009E6AD8">
        <w:t>).</w:t>
      </w:r>
    </w:p>
    <w:p w:rsidR="009E6AD8" w:rsidRDefault="009E6AD8" w:rsidP="00C3586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E6AD8" w:rsidTr="009E1EFB">
        <w:tc>
          <w:tcPr>
            <w:tcW w:w="8771" w:type="dxa"/>
            <w:tcBorders>
              <w:top w:val="single" w:sz="6" w:space="0" w:color="auto"/>
              <w:bottom w:val="nil"/>
            </w:tcBorders>
          </w:tcPr>
          <w:p w:rsidR="009E6AD8" w:rsidRPr="009E6AD8" w:rsidRDefault="009E6AD8" w:rsidP="00BA524F">
            <w:pPr>
              <w:pStyle w:val="BoxTitle"/>
            </w:pPr>
            <w:r>
              <w:rPr>
                <w:b w:val="0"/>
              </w:rPr>
              <w:t xml:space="preserve">Box </w:t>
            </w:r>
            <w:bookmarkStart w:id="40" w:name="OLE_LINK42"/>
            <w:r w:rsidR="00923A1C">
              <w:rPr>
                <w:b w:val="0"/>
              </w:rPr>
              <w:t>3.</w:t>
            </w:r>
            <w:bookmarkEnd w:id="40"/>
            <w:r w:rsidR="00BA524F">
              <w:rPr>
                <w:b w:val="0"/>
              </w:rPr>
              <w:t>24</w:t>
            </w:r>
            <w:r>
              <w:tab/>
            </w:r>
            <w:r w:rsidR="00893826">
              <w:t xml:space="preserve">Demand for </w:t>
            </w:r>
            <w:r w:rsidR="007D2B45">
              <w:t xml:space="preserve">formal </w:t>
            </w:r>
            <w:r w:rsidRPr="009E6AD8">
              <w:t>care</w:t>
            </w:r>
          </w:p>
        </w:tc>
      </w:tr>
      <w:tr w:rsidR="009E6AD8" w:rsidTr="009E1EFB">
        <w:trPr>
          <w:cantSplit/>
        </w:trPr>
        <w:tc>
          <w:tcPr>
            <w:tcW w:w="8771" w:type="dxa"/>
            <w:tcBorders>
              <w:top w:val="nil"/>
              <w:left w:val="single" w:sz="6" w:space="0" w:color="auto"/>
              <w:bottom w:val="nil"/>
              <w:right w:val="single" w:sz="4" w:space="0" w:color="auto"/>
            </w:tcBorders>
          </w:tcPr>
          <w:p w:rsidR="009E6AD8" w:rsidRPr="004C59A0" w:rsidRDefault="009E6AD8" w:rsidP="00B36F4D">
            <w:pPr>
              <w:pStyle w:val="Box"/>
              <w:shd w:val="clear" w:color="auto" w:fill="FFFFFF" w:themeFill="background1"/>
            </w:pPr>
            <w:r w:rsidRPr="004C59A0">
              <w:t xml:space="preserve">‘Demand for </w:t>
            </w:r>
            <w:r w:rsidR="007D2B45" w:rsidRPr="004C59A0">
              <w:t xml:space="preserve">formal </w:t>
            </w:r>
            <w:r w:rsidRPr="004C59A0">
              <w:t xml:space="preserve">care’ is defined as the proportion of children aged </w:t>
            </w:r>
            <w:r w:rsidR="00726AA9" w:rsidRPr="004C59A0">
              <w:t>0</w:t>
            </w:r>
            <w:r w:rsidR="00726AA9" w:rsidRPr="004C59A0">
              <w:rPr>
                <w:rFonts w:cs="Arial"/>
              </w:rPr>
              <w:t>–</w:t>
            </w:r>
            <w:r w:rsidRPr="004C59A0">
              <w:t>12 years for whom</w:t>
            </w:r>
            <w:r w:rsidR="00123482" w:rsidRPr="004C59A0">
              <w:t xml:space="preserve"> formal </w:t>
            </w:r>
            <w:r w:rsidR="001128B6" w:rsidRPr="004C59A0">
              <w:t xml:space="preserve">child </w:t>
            </w:r>
            <w:r w:rsidR="00123482" w:rsidRPr="004C59A0">
              <w:t>care</w:t>
            </w:r>
            <w:r w:rsidR="001128B6" w:rsidRPr="004C59A0">
              <w:t xml:space="preserve"> or preschool</w:t>
            </w:r>
            <w:r w:rsidR="006A616B" w:rsidRPr="004C59A0">
              <w:t xml:space="preserve"> services</w:t>
            </w:r>
            <w:r w:rsidR="00123482" w:rsidRPr="004C59A0">
              <w:t xml:space="preserve"> or </w:t>
            </w:r>
            <w:r w:rsidRPr="004C59A0">
              <w:t>ad</w:t>
            </w:r>
            <w:r w:rsidR="00842868" w:rsidRPr="004C59A0">
              <w:t xml:space="preserve">ditional </w:t>
            </w:r>
            <w:r w:rsidR="00FC7D3F" w:rsidRPr="004C59A0">
              <w:t xml:space="preserve">formal </w:t>
            </w:r>
            <w:r w:rsidR="001128B6" w:rsidRPr="004C59A0">
              <w:t xml:space="preserve">child </w:t>
            </w:r>
            <w:r w:rsidR="00FC7D3F" w:rsidRPr="004C59A0">
              <w:t xml:space="preserve">care </w:t>
            </w:r>
            <w:r w:rsidR="001128B6" w:rsidRPr="004C59A0">
              <w:t xml:space="preserve">or preschool </w:t>
            </w:r>
            <w:r w:rsidR="00842868" w:rsidRPr="004C59A0">
              <w:t xml:space="preserve">services </w:t>
            </w:r>
            <w:r w:rsidR="006A616B" w:rsidRPr="004C59A0">
              <w:t>were</w:t>
            </w:r>
            <w:r w:rsidR="00AA12FE" w:rsidRPr="004C59A0">
              <w:t xml:space="preserve"> </w:t>
            </w:r>
            <w:r w:rsidR="00842868" w:rsidRPr="004C59A0">
              <w:t>required.</w:t>
            </w:r>
            <w:r w:rsidR="007D2B45" w:rsidRPr="004C59A0">
              <w:t xml:space="preserve"> </w:t>
            </w:r>
          </w:p>
          <w:p w:rsidR="00A7340E" w:rsidRDefault="009E6AD8" w:rsidP="00C3586E">
            <w:pPr>
              <w:pStyle w:val="Box"/>
            </w:pPr>
            <w:r>
              <w:t>A low</w:t>
            </w:r>
            <w:r w:rsidR="00A0511F">
              <w:t xml:space="preserve"> or decreasing</w:t>
            </w:r>
            <w:r>
              <w:t xml:space="preserve"> proportion of children for whom additional services</w:t>
            </w:r>
            <w:r w:rsidR="00AA5DE9">
              <w:t xml:space="preserve"> </w:t>
            </w:r>
            <w:r w:rsidR="00FC7D3F">
              <w:t>are</w:t>
            </w:r>
            <w:r>
              <w:t xml:space="preserve"> required indicates demand by families is being met to a greater extent.</w:t>
            </w:r>
            <w:r w:rsidR="00895D0D">
              <w:t xml:space="preserve"> </w:t>
            </w:r>
          </w:p>
          <w:p w:rsidR="00A520D2" w:rsidRDefault="00A520D2" w:rsidP="00C3586E">
            <w:pPr>
              <w:pStyle w:val="Box"/>
            </w:pPr>
            <w:r>
              <w:t>Data reported fo</w:t>
            </w:r>
            <w:r w:rsidR="00EB300F">
              <w:t>r this indicator</w:t>
            </w:r>
            <w:r w:rsidR="00B2291F">
              <w:t xml:space="preserve"> are:</w:t>
            </w:r>
          </w:p>
          <w:p w:rsidR="00B2291F" w:rsidRPr="00DA5769" w:rsidRDefault="00767647" w:rsidP="00751B02">
            <w:pPr>
              <w:pStyle w:val="BoxListBullet"/>
            </w:pPr>
            <w:r>
              <w:t>c</w:t>
            </w:r>
            <w:r w:rsidR="00B2291F" w:rsidRPr="00DA5769">
              <w:t xml:space="preserve">omparable </w:t>
            </w:r>
            <w:r w:rsidR="00B2291F">
              <w:t>(subject to caveats) across jurisdictions and over</w:t>
            </w:r>
            <w:r w:rsidR="007970A4">
              <w:t xml:space="preserve"> time</w:t>
            </w:r>
          </w:p>
          <w:p w:rsidR="00B2291F" w:rsidRDefault="00767647" w:rsidP="00751B02">
            <w:pPr>
              <w:pStyle w:val="BoxListBullet"/>
            </w:pPr>
            <w:r>
              <w:t>c</w:t>
            </w:r>
            <w:r w:rsidR="00B2291F" w:rsidRPr="00DA5769">
              <w:t xml:space="preserve">omplete </w:t>
            </w:r>
            <w:r w:rsidR="003907A5">
              <w:t xml:space="preserve">(subject to caveats) </w:t>
            </w:r>
            <w:r w:rsidR="00B2291F" w:rsidRPr="00DA5769">
              <w:t>for</w:t>
            </w:r>
            <w:r w:rsidR="00B2291F" w:rsidRPr="008E2083">
              <w:t xml:space="preserve"> </w:t>
            </w:r>
            <w:r w:rsidR="00B2291F">
              <w:t xml:space="preserve">the </w:t>
            </w:r>
            <w:r w:rsidR="003907A5">
              <w:t>current reporting period</w:t>
            </w:r>
            <w:r>
              <w:t>. All required 2011</w:t>
            </w:r>
            <w:r w:rsidR="00B2291F">
              <w:t xml:space="preserve"> data are available for all jur</w:t>
            </w:r>
            <w:r w:rsidR="004A020D">
              <w:t>isdictions</w:t>
            </w:r>
            <w:r w:rsidR="00B2291F">
              <w:t>.</w:t>
            </w:r>
          </w:p>
          <w:p w:rsidR="00664BD6" w:rsidRDefault="00EB300F" w:rsidP="00B2291F">
            <w:pPr>
              <w:pStyle w:val="Box"/>
            </w:pPr>
            <w:r>
              <w:rPr>
                <w:rFonts w:cs="Arial"/>
                <w:szCs w:val="26"/>
              </w:rPr>
              <w:t>D</w:t>
            </w:r>
            <w:r w:rsidR="00B2291F" w:rsidRPr="00B2291F">
              <w:rPr>
                <w:rFonts w:cs="Arial"/>
                <w:szCs w:val="26"/>
              </w:rPr>
              <w:t xml:space="preserve">ata quality </w:t>
            </w:r>
            <w:r>
              <w:rPr>
                <w:rFonts w:cs="Arial"/>
                <w:szCs w:val="26"/>
              </w:rPr>
              <w:t xml:space="preserve">information </w:t>
            </w:r>
            <w:r w:rsidR="00B2291F" w:rsidRPr="00B2291F">
              <w:rPr>
                <w:rFonts w:cs="Arial"/>
                <w:szCs w:val="26"/>
              </w:rPr>
              <w:t>for this i</w:t>
            </w:r>
            <w:r w:rsidR="000B7594" w:rsidRPr="00B2291F">
              <w:rPr>
                <w:rFonts w:cs="Arial"/>
                <w:szCs w:val="26"/>
              </w:rPr>
              <w:t xml:space="preserve">ndicator is at </w:t>
            </w:r>
            <w:proofErr w:type="spellStart"/>
            <w:r w:rsidR="000B7594" w:rsidRPr="00B2291F">
              <w:rPr>
                <w:rFonts w:cs="Arial"/>
                <w:szCs w:val="26"/>
              </w:rPr>
              <w:t>www</w:t>
            </w:r>
            <w:r w:rsidR="00721F36" w:rsidRPr="00B2291F">
              <w:rPr>
                <w:rFonts w:cs="Arial"/>
                <w:szCs w:val="26"/>
              </w:rPr>
              <w:t>.pc.gov.au</w:t>
            </w:r>
            <w:proofErr w:type="spellEnd"/>
            <w:r w:rsidR="00721F36" w:rsidRPr="00B2291F">
              <w:rPr>
                <w:rFonts w:cs="Arial"/>
                <w:szCs w:val="26"/>
              </w:rPr>
              <w:t>/</w:t>
            </w:r>
            <w:proofErr w:type="spellStart"/>
            <w:r w:rsidR="00721F36" w:rsidRPr="00B2291F">
              <w:rPr>
                <w:rFonts w:cs="Arial"/>
                <w:szCs w:val="26"/>
              </w:rPr>
              <w:t>gsp</w:t>
            </w:r>
            <w:proofErr w:type="spellEnd"/>
            <w:r w:rsidR="00721F36" w:rsidRPr="00B2291F">
              <w:rPr>
                <w:rFonts w:cs="Arial"/>
                <w:szCs w:val="26"/>
              </w:rPr>
              <w:t>/reports/</w:t>
            </w:r>
            <w:proofErr w:type="spellStart"/>
            <w:r w:rsidR="00721F36" w:rsidRPr="00B2291F">
              <w:rPr>
                <w:rFonts w:cs="Arial"/>
                <w:szCs w:val="26"/>
              </w:rPr>
              <w:t>rogs</w:t>
            </w:r>
            <w:proofErr w:type="spellEnd"/>
            <w:r w:rsidR="00721F36" w:rsidRPr="00B2291F">
              <w:rPr>
                <w:rFonts w:cs="Arial"/>
                <w:szCs w:val="26"/>
              </w:rPr>
              <w:t>/201</w:t>
            </w:r>
            <w:r w:rsidR="00B2291F" w:rsidRPr="00B2291F">
              <w:rPr>
                <w:rFonts w:cs="Arial"/>
                <w:szCs w:val="26"/>
              </w:rPr>
              <w:t>4</w:t>
            </w:r>
            <w:r w:rsidR="006D023C" w:rsidRPr="00B2291F">
              <w:rPr>
                <w:rFonts w:cs="Arial"/>
                <w:szCs w:val="26"/>
              </w:rPr>
              <w:t>.</w:t>
            </w:r>
          </w:p>
        </w:tc>
      </w:tr>
      <w:tr w:rsidR="009E6AD8">
        <w:trPr>
          <w:cantSplit/>
        </w:trPr>
        <w:tc>
          <w:tcPr>
            <w:tcW w:w="8771" w:type="dxa"/>
            <w:tcBorders>
              <w:top w:val="nil"/>
              <w:left w:val="single" w:sz="6" w:space="0" w:color="auto"/>
              <w:bottom w:val="single" w:sz="6" w:space="0" w:color="auto"/>
              <w:right w:val="single" w:sz="6" w:space="0" w:color="auto"/>
            </w:tcBorders>
          </w:tcPr>
          <w:p w:rsidR="009E6AD8" w:rsidRDefault="009E6AD8" w:rsidP="00C3586E">
            <w:pPr>
              <w:pStyle w:val="Box"/>
              <w:spacing w:before="0" w:line="120" w:lineRule="exact"/>
            </w:pPr>
          </w:p>
        </w:tc>
      </w:tr>
      <w:tr w:rsidR="009E6AD8">
        <w:tc>
          <w:tcPr>
            <w:tcW w:w="8771" w:type="dxa"/>
            <w:tcBorders>
              <w:top w:val="nil"/>
              <w:left w:val="nil"/>
              <w:bottom w:val="nil"/>
              <w:right w:val="nil"/>
            </w:tcBorders>
          </w:tcPr>
          <w:p w:rsidR="009E6AD8" w:rsidRDefault="009E6AD8" w:rsidP="00C3586E">
            <w:pPr>
              <w:pStyle w:val="Box"/>
              <w:keepNext w:val="0"/>
              <w:spacing w:before="60" w:after="60" w:line="80" w:lineRule="exact"/>
              <w:rPr>
                <w:b/>
                <w:color w:val="FF00FF"/>
                <w:sz w:val="14"/>
              </w:rPr>
            </w:pPr>
          </w:p>
        </w:tc>
      </w:tr>
    </w:tbl>
    <w:p w:rsidR="00E73B8B" w:rsidRDefault="00E73B8B" w:rsidP="00C3586E">
      <w:pPr>
        <w:pStyle w:val="BodyText"/>
      </w:pPr>
      <w:r>
        <w:t>The 20</w:t>
      </w:r>
      <w:r w:rsidR="00726CDC">
        <w:t>11</w:t>
      </w:r>
      <w:r>
        <w:t xml:space="preserve"> </w:t>
      </w:r>
      <w:proofErr w:type="spellStart"/>
      <w:r w:rsidR="00A7340E">
        <w:t>C</w:t>
      </w:r>
      <w:r w:rsidR="00651F6D">
        <w:t>Ea</w:t>
      </w:r>
      <w:r w:rsidR="00A7340E">
        <w:t>CS</w:t>
      </w:r>
      <w:proofErr w:type="spellEnd"/>
      <w:r w:rsidR="00A7340E">
        <w:t xml:space="preserve"> </w:t>
      </w:r>
      <w:r>
        <w:t xml:space="preserve">collected data on whether </w:t>
      </w:r>
      <w:r w:rsidR="001128B6">
        <w:t xml:space="preserve">any or additional </w:t>
      </w:r>
      <w:r w:rsidR="00123482">
        <w:t xml:space="preserve">formal </w:t>
      </w:r>
      <w:r w:rsidR="001128B6">
        <w:t xml:space="preserve">child </w:t>
      </w:r>
      <w:r w:rsidR="00123482">
        <w:t xml:space="preserve">care or </w:t>
      </w:r>
      <w:r w:rsidR="001128B6">
        <w:t xml:space="preserve">preschool </w:t>
      </w:r>
      <w:r w:rsidR="006A616B">
        <w:t xml:space="preserve">services </w:t>
      </w:r>
      <w:r w:rsidR="00BC19CA">
        <w:t>w</w:t>
      </w:r>
      <w:r w:rsidR="006A616B">
        <w:t>ere</w:t>
      </w:r>
      <w:r w:rsidR="00BC19CA">
        <w:t xml:space="preserve"> </w:t>
      </w:r>
      <w:r>
        <w:t xml:space="preserve">required currently, or in the </w:t>
      </w:r>
      <w:r w:rsidR="00440AA3">
        <w:t>next 12 months</w:t>
      </w:r>
      <w:r>
        <w:t xml:space="preserve">. </w:t>
      </w:r>
      <w:r w:rsidR="00726AA9" w:rsidRPr="00726AA9">
        <w:t>Nationally</w:t>
      </w:r>
      <w:r w:rsidR="003A0D9E">
        <w:t xml:space="preserve"> in 20</w:t>
      </w:r>
      <w:r w:rsidR="00726CDC">
        <w:t>11</w:t>
      </w:r>
      <w:r w:rsidR="00726AA9" w:rsidRPr="00726AA9">
        <w:t xml:space="preserve">, </w:t>
      </w:r>
      <w:r w:rsidR="00123482">
        <w:t xml:space="preserve">formal </w:t>
      </w:r>
      <w:r w:rsidR="001128B6">
        <w:t xml:space="preserve">child </w:t>
      </w:r>
      <w:r w:rsidR="00123482">
        <w:t xml:space="preserve">care </w:t>
      </w:r>
      <w:r w:rsidR="001128B6">
        <w:t xml:space="preserve">or preschool </w:t>
      </w:r>
      <w:r w:rsidR="00123482">
        <w:t xml:space="preserve">or </w:t>
      </w:r>
      <w:r w:rsidR="00726AA9" w:rsidRPr="00726AA9">
        <w:t xml:space="preserve">additional </w:t>
      </w:r>
      <w:r w:rsidR="001128B6">
        <w:t xml:space="preserve">formal </w:t>
      </w:r>
      <w:r w:rsidR="00726AA9" w:rsidRPr="00726AA9">
        <w:t>child care or preschool services were required</w:t>
      </w:r>
      <w:r w:rsidR="00732620" w:rsidRPr="00440AA3">
        <w:t xml:space="preserve"> </w:t>
      </w:r>
      <w:r w:rsidR="007D2B45" w:rsidRPr="00440AA3">
        <w:t xml:space="preserve">for </w:t>
      </w:r>
      <w:r w:rsidR="00726CDC" w:rsidRPr="00440AA3">
        <w:t>16.4</w:t>
      </w:r>
      <w:r w:rsidR="003A0D9E" w:rsidRPr="00440AA3">
        <w:t> </w:t>
      </w:r>
      <w:r w:rsidR="00726AA9" w:rsidRPr="00440AA3">
        <w:t>per</w:t>
      </w:r>
      <w:r w:rsidR="003A0D9E" w:rsidRPr="00440AA3">
        <w:t> </w:t>
      </w:r>
      <w:r w:rsidR="00726AA9" w:rsidRPr="00440AA3">
        <w:t>cent</w:t>
      </w:r>
      <w:r w:rsidR="00123482" w:rsidRPr="00440AA3">
        <w:t xml:space="preserve"> </w:t>
      </w:r>
      <w:r w:rsidR="00726AA9" w:rsidRPr="00440AA3">
        <w:t>of children aged 0</w:t>
      </w:r>
      <w:r w:rsidR="00726AA9" w:rsidRPr="00440AA3">
        <w:rPr>
          <w:rFonts w:cs="Arial"/>
        </w:rPr>
        <w:t>–</w:t>
      </w:r>
      <w:r w:rsidR="00726AA9" w:rsidRPr="00440AA3">
        <w:t>12 years</w:t>
      </w:r>
      <w:r w:rsidR="00AA5DE9" w:rsidRPr="00440AA3">
        <w:t xml:space="preserve"> </w:t>
      </w:r>
      <w:r w:rsidRPr="00440AA3">
        <w:t>(fig</w:t>
      </w:r>
      <w:r>
        <w:t>ure</w:t>
      </w:r>
      <w:r w:rsidR="00172534">
        <w:t> </w:t>
      </w:r>
      <w:r w:rsidR="00B12C95">
        <w:t>3.19</w:t>
      </w:r>
      <w:r w:rsidRPr="007970A4">
        <w:t>).</w:t>
      </w:r>
      <w:r w:rsidR="003A0D9E">
        <w:t xml:space="preserve"> </w:t>
      </w:r>
      <w:r w:rsidR="00BC19CA">
        <w:t>In 20</w:t>
      </w:r>
      <w:r w:rsidR="00726CDC">
        <w:t>11</w:t>
      </w:r>
      <w:r w:rsidR="00BC19CA">
        <w:t xml:space="preserve">, </w:t>
      </w:r>
      <w:r w:rsidR="00123482">
        <w:t xml:space="preserve">formal </w:t>
      </w:r>
      <w:r w:rsidR="001128B6">
        <w:t xml:space="preserve">child </w:t>
      </w:r>
      <w:r w:rsidR="00123482">
        <w:t>care</w:t>
      </w:r>
      <w:r w:rsidR="001128B6">
        <w:t xml:space="preserve"> or </w:t>
      </w:r>
      <w:r w:rsidR="00BC19CA">
        <w:t>a</w:t>
      </w:r>
      <w:r w:rsidR="00BC19CA" w:rsidRPr="00726AA9">
        <w:t xml:space="preserve">dditional </w:t>
      </w:r>
      <w:r w:rsidR="001128B6">
        <w:t xml:space="preserve">formal child care </w:t>
      </w:r>
      <w:r w:rsidR="00BC19CA" w:rsidRPr="00726AA9">
        <w:t xml:space="preserve">services were required for approximately </w:t>
      </w:r>
      <w:r w:rsidR="00754E0A">
        <w:t>614</w:t>
      </w:r>
      <w:r w:rsidR="00CC43FD">
        <w:t> </w:t>
      </w:r>
      <w:r w:rsidR="00754E0A">
        <w:t>900</w:t>
      </w:r>
      <w:r w:rsidR="003A0D9E">
        <w:t xml:space="preserve"> children </w:t>
      </w:r>
      <w:r w:rsidR="00BC19CA">
        <w:t xml:space="preserve">aged 0–12 years, </w:t>
      </w:r>
      <w:r w:rsidR="003A0D9E">
        <w:t xml:space="preserve">and </w:t>
      </w:r>
      <w:r w:rsidR="001128B6">
        <w:t xml:space="preserve">any or </w:t>
      </w:r>
      <w:r w:rsidR="003A0D9E">
        <w:t xml:space="preserve">additional preschool </w:t>
      </w:r>
      <w:r w:rsidR="00BC19CA">
        <w:t xml:space="preserve">services were required for </w:t>
      </w:r>
      <w:r w:rsidR="00754E0A">
        <w:t>401</w:t>
      </w:r>
      <w:r w:rsidR="00151FB0">
        <w:t> </w:t>
      </w:r>
      <w:r w:rsidR="00754E0A">
        <w:t>700</w:t>
      </w:r>
      <w:r w:rsidR="002311C5">
        <w:t> </w:t>
      </w:r>
      <w:r w:rsidR="00BC19CA">
        <w:t xml:space="preserve">children </w:t>
      </w:r>
      <w:r w:rsidR="003A0D9E">
        <w:t>(table</w:t>
      </w:r>
      <w:r w:rsidR="00172534">
        <w:t> </w:t>
      </w:r>
      <w:proofErr w:type="spellStart"/>
      <w:r w:rsidR="003A0D9E">
        <w:t>3A.</w:t>
      </w:r>
      <w:r w:rsidR="003C6BFC">
        <w:t>54</w:t>
      </w:r>
      <w:proofErr w:type="spellEnd"/>
      <w:r w:rsidR="003A0D9E">
        <w:t>).</w:t>
      </w:r>
    </w:p>
    <w:p w:rsidR="00E73B8B" w:rsidRDefault="00E73B8B" w:rsidP="00C3586E">
      <w:pPr>
        <w:pStyle w:val="BodyText"/>
      </w:pPr>
      <w:r>
        <w:t xml:space="preserve">Data </w:t>
      </w:r>
      <w:r w:rsidR="00E3107B">
        <w:t xml:space="preserve">on demand for </w:t>
      </w:r>
      <w:r w:rsidR="003A0D9E">
        <w:t xml:space="preserve">formal </w:t>
      </w:r>
      <w:r w:rsidR="00BC19CA">
        <w:t xml:space="preserve">child </w:t>
      </w:r>
      <w:r w:rsidR="003A0D9E">
        <w:t xml:space="preserve">care </w:t>
      </w:r>
      <w:r w:rsidR="0038696F">
        <w:t xml:space="preserve">or preschool </w:t>
      </w:r>
      <w:r>
        <w:t xml:space="preserve">from the </w:t>
      </w:r>
      <w:r w:rsidR="0038696F">
        <w:t>2008</w:t>
      </w:r>
      <w:r w:rsidR="00A42E75">
        <w:t xml:space="preserve"> and 2011</w:t>
      </w:r>
      <w:r w:rsidR="0038696F">
        <w:t xml:space="preserve"> </w:t>
      </w:r>
      <w:proofErr w:type="spellStart"/>
      <w:r w:rsidR="00FD5B87">
        <w:t>CEaCS</w:t>
      </w:r>
      <w:proofErr w:type="spellEnd"/>
      <w:r w:rsidR="00FD5B87">
        <w:t xml:space="preserve"> </w:t>
      </w:r>
      <w:r>
        <w:t>are presented in tables</w:t>
      </w:r>
      <w:r w:rsidR="00172534">
        <w:t> </w:t>
      </w:r>
      <w:proofErr w:type="spellStart"/>
      <w:r>
        <w:t>3A.</w:t>
      </w:r>
      <w:r w:rsidR="003C6BFC">
        <w:t>53</w:t>
      </w:r>
      <w:proofErr w:type="spellEnd"/>
      <w:r>
        <w:t xml:space="preserve"> and </w:t>
      </w:r>
      <w:proofErr w:type="spellStart"/>
      <w:r>
        <w:t>3A.</w:t>
      </w:r>
      <w:r w:rsidR="003C6BFC">
        <w:t>54</w:t>
      </w:r>
      <w:proofErr w:type="spellEnd"/>
      <w:r>
        <w:t xml:space="preserve">. </w:t>
      </w:r>
      <w:r w:rsidR="00E24C0F">
        <w:t xml:space="preserve">The </w:t>
      </w:r>
      <w:r w:rsidR="00F253C0">
        <w:t xml:space="preserve">two surveys differ, as the </w:t>
      </w:r>
      <w:r w:rsidR="00E24C0F">
        <w:t xml:space="preserve">2008 </w:t>
      </w:r>
      <w:r w:rsidR="0038696F">
        <w:t xml:space="preserve">survey </w:t>
      </w:r>
      <w:r w:rsidR="00E24C0F">
        <w:t xml:space="preserve">collected data on additional formal </w:t>
      </w:r>
      <w:r w:rsidR="002629F6">
        <w:t xml:space="preserve">child </w:t>
      </w:r>
      <w:r w:rsidR="00E24C0F">
        <w:t xml:space="preserve">care or preschool service currently required, while the 2011 data are for additional formal </w:t>
      </w:r>
      <w:r w:rsidR="002629F6">
        <w:t xml:space="preserve">child </w:t>
      </w:r>
      <w:r w:rsidR="00E24C0F">
        <w:t xml:space="preserve">care or preschool services required currently or in the next 12 months. The collection method for additional care requirements also changed between 2008 and 2011. For these reasons, the 2008 </w:t>
      </w:r>
      <w:r w:rsidR="00F253C0">
        <w:t xml:space="preserve">survey </w:t>
      </w:r>
      <w:r w:rsidR="00E24C0F">
        <w:t xml:space="preserve">data are not comparable with data from </w:t>
      </w:r>
      <w:r w:rsidR="00F253C0">
        <w:t xml:space="preserve">the </w:t>
      </w:r>
      <w:r w:rsidR="00E24C0F">
        <w:t>2011</w:t>
      </w:r>
      <w:r w:rsidR="00F253C0">
        <w:t xml:space="preserve"> survey</w:t>
      </w:r>
      <w:r w:rsidR="00E24C0F">
        <w:t>.</w:t>
      </w:r>
    </w:p>
    <w:p w:rsidR="00523268" w:rsidRPr="008B42D1" w:rsidRDefault="00523268" w:rsidP="00C3586E">
      <w:pPr>
        <w:pStyle w:val="FigureTitle"/>
        <w:rPr>
          <w:rStyle w:val="NoteLabel"/>
        </w:rPr>
      </w:pPr>
      <w:r>
        <w:rPr>
          <w:b w:val="0"/>
        </w:rPr>
        <w:lastRenderedPageBreak/>
        <w:t xml:space="preserve">Figure </w:t>
      </w:r>
      <w:bookmarkStart w:id="41" w:name="OLE_LINK47"/>
      <w:r w:rsidR="00923A1C">
        <w:rPr>
          <w:b w:val="0"/>
        </w:rPr>
        <w:t>3.</w:t>
      </w:r>
      <w:bookmarkEnd w:id="41"/>
      <w:r w:rsidR="00B12C95">
        <w:rPr>
          <w:b w:val="0"/>
        </w:rPr>
        <w:t>19</w:t>
      </w:r>
      <w:r>
        <w:tab/>
      </w:r>
      <w:r w:rsidRPr="005241E1">
        <w:t>Pr</w:t>
      </w:r>
      <w:r w:rsidR="00505DAE">
        <w:t>oportion of children aged 0–</w:t>
      </w:r>
      <w:r w:rsidRPr="005241E1">
        <w:t xml:space="preserve">12 years </w:t>
      </w:r>
      <w:r w:rsidR="00811641" w:rsidRPr="000433ED">
        <w:t xml:space="preserve">who required </w:t>
      </w:r>
      <w:r w:rsidR="00505DAE">
        <w:t xml:space="preserve">any or </w:t>
      </w:r>
      <w:r w:rsidRPr="000433ED">
        <w:t>additional fo</w:t>
      </w:r>
      <w:r w:rsidRPr="005241E1">
        <w:t xml:space="preserve">rmal child care </w:t>
      </w:r>
      <w:r w:rsidR="00363617">
        <w:t>or preschool</w:t>
      </w:r>
      <w:r w:rsidRPr="005241E1">
        <w:t>, 20</w:t>
      </w:r>
      <w:r w:rsidR="00AE69DE">
        <w:t>11</w:t>
      </w:r>
      <w:r w:rsidR="00D71F29" w:rsidRPr="00D71F29">
        <w:rPr>
          <w:rStyle w:val="NoteLabel"/>
          <w:b/>
        </w:rPr>
        <w:t>a</w:t>
      </w:r>
      <w:r w:rsidR="00A7340E">
        <w:rPr>
          <w:rStyle w:val="NoteLabel"/>
          <w:b/>
        </w:rPr>
        <w:t>, b</w:t>
      </w:r>
      <w:r w:rsidR="000D7F5F">
        <w:rPr>
          <w:rStyle w:val="NoteLabel"/>
          <w:b/>
        </w:rPr>
        <w:t>, c</w:t>
      </w:r>
      <w:r w:rsidR="008A3F67">
        <w:rPr>
          <w:rStyle w:val="NoteLabel"/>
          <w:b/>
        </w:rPr>
        <w:t>, d</w:t>
      </w:r>
      <w:r w:rsidR="003B5E34">
        <w:rPr>
          <w:rStyle w:val="NoteLabel"/>
          <w:b/>
        </w:rPr>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23268">
        <w:tc>
          <w:tcPr>
            <w:tcW w:w="8777" w:type="dxa"/>
          </w:tcPr>
          <w:p w:rsidR="00523268" w:rsidRDefault="00964663" w:rsidP="00C3586E">
            <w:pPr>
              <w:pStyle w:val="Figure"/>
            </w:pPr>
            <w:r>
              <w:rPr>
                <w:noProof/>
              </w:rPr>
              <w:drawing>
                <wp:inline distT="0" distB="0" distL="0" distR="0" wp14:anchorId="1B7E9CE9" wp14:editId="63565F40">
                  <wp:extent cx="5380355" cy="2689860"/>
                  <wp:effectExtent l="0" t="0" r="0" b="0"/>
                  <wp:docPr id="21" name="Picture 21" descr="Figure 3.19 Proportion of children aged 0-12 years who required any or additional formal child care or preschool, 2011&#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80355" cy="2689860"/>
                          </a:xfrm>
                          <a:prstGeom prst="rect">
                            <a:avLst/>
                          </a:prstGeom>
                          <a:noFill/>
                          <a:ln>
                            <a:noFill/>
                          </a:ln>
                        </pic:spPr>
                      </pic:pic>
                    </a:graphicData>
                  </a:graphic>
                </wp:inline>
              </w:drawing>
            </w:r>
          </w:p>
        </w:tc>
      </w:tr>
    </w:tbl>
    <w:p w:rsidR="00D71F29" w:rsidRPr="008A3F67" w:rsidRDefault="00D71F29" w:rsidP="008A3F67">
      <w:pPr>
        <w:pStyle w:val="Note"/>
      </w:pPr>
      <w:r w:rsidRPr="002311C5">
        <w:rPr>
          <w:rStyle w:val="NoteLabel"/>
        </w:rPr>
        <w:t>a</w:t>
      </w:r>
      <w:r w:rsidRPr="002311C5">
        <w:t xml:space="preserve"> </w:t>
      </w:r>
      <w:r w:rsidR="007B4145" w:rsidRPr="00990A6E">
        <w:t xml:space="preserve">As data for this indicator are from a survey, the </w:t>
      </w:r>
      <w:r w:rsidR="007B4145" w:rsidRPr="00990A6E">
        <w:rPr>
          <w:i/>
        </w:rPr>
        <w:t>2011 Childhood Education and Care Survey (</w:t>
      </w:r>
      <w:proofErr w:type="spellStart"/>
      <w:r w:rsidR="007B4145" w:rsidRPr="00990A6E">
        <w:rPr>
          <w:i/>
        </w:rPr>
        <w:t>CEaCS</w:t>
      </w:r>
      <w:proofErr w:type="spellEnd"/>
      <w:r w:rsidR="007B4145" w:rsidRPr="00990A6E">
        <w:rPr>
          <w:i/>
        </w:rPr>
        <w:t xml:space="preserve">), </w:t>
      </w:r>
      <w:r w:rsidR="007B4145" w:rsidRPr="00990A6E">
        <w:t xml:space="preserve">they are subject to error. </w:t>
      </w:r>
      <w:r w:rsidRPr="00990A6E">
        <w:t>Error bars represent the 95 per cent confidence interval associated with each point estimate.</w:t>
      </w:r>
      <w:r w:rsidR="00A7340E" w:rsidRPr="00990A6E">
        <w:t xml:space="preserve"> </w:t>
      </w:r>
      <w:r w:rsidR="00A7340E" w:rsidRPr="00990A6E">
        <w:rPr>
          <w:rStyle w:val="NoteLabel"/>
        </w:rPr>
        <w:t>b</w:t>
      </w:r>
      <w:r w:rsidR="007B4145" w:rsidRPr="00990A6E">
        <w:t xml:space="preserve"> Data for this indicator are </w:t>
      </w:r>
      <w:r w:rsidR="00B55FC0" w:rsidRPr="00990A6E">
        <w:t xml:space="preserve">not intended for use as a </w:t>
      </w:r>
      <w:r w:rsidR="006B43DC" w:rsidRPr="00990A6E">
        <w:t>measure of unmet demand (box</w:t>
      </w:r>
      <w:r w:rsidR="00172534">
        <w:t> </w:t>
      </w:r>
      <w:r w:rsidR="006B43DC" w:rsidRPr="00990A6E">
        <w:t>3.2</w:t>
      </w:r>
      <w:r w:rsidR="00B55FC0" w:rsidRPr="00990A6E">
        <w:t>3).</w:t>
      </w:r>
      <w:r w:rsidR="000D7F5F" w:rsidRPr="00990A6E">
        <w:t xml:space="preserve"> </w:t>
      </w:r>
      <w:r w:rsidR="00773686" w:rsidRPr="00990A6E">
        <w:br/>
      </w:r>
      <w:r w:rsidR="000D7F5F" w:rsidRPr="00990A6E">
        <w:rPr>
          <w:rStyle w:val="NoteLabel"/>
        </w:rPr>
        <w:t>c</w:t>
      </w:r>
      <w:r w:rsidR="00505DAE" w:rsidRPr="00990A6E">
        <w:t xml:space="preserve"> </w:t>
      </w:r>
      <w:r w:rsidR="00AD0355" w:rsidRPr="00990A6E">
        <w:t>In</w:t>
      </w:r>
      <w:r w:rsidR="00B46854" w:rsidRPr="00990A6E">
        <w:t xml:space="preserve">cludes both current and future requirements for any or additional </w:t>
      </w:r>
      <w:r w:rsidR="00AD0355" w:rsidRPr="00990A6E">
        <w:t>formal child care or</w:t>
      </w:r>
      <w:r w:rsidR="00AD0355" w:rsidRPr="00350B35">
        <w:t xml:space="preserve"> preschool </w:t>
      </w:r>
      <w:r w:rsidR="000D7F5F" w:rsidRPr="002311C5">
        <w:t xml:space="preserve">for: children who do not currently use any child care or preschool; children who need additional child care or preschool services; or children who require a different type of service other than the child care or preschool service currently being used. </w:t>
      </w:r>
      <w:r w:rsidR="008A3F67" w:rsidRPr="00C7239C">
        <w:rPr>
          <w:rStyle w:val="NoteLabel"/>
        </w:rPr>
        <w:t>d </w:t>
      </w:r>
      <w:r w:rsidR="00B461DE">
        <w:t xml:space="preserve">The 2011 </w:t>
      </w:r>
      <w:proofErr w:type="spellStart"/>
      <w:r w:rsidR="00B461DE">
        <w:t>CEaCS</w:t>
      </w:r>
      <w:proofErr w:type="spellEnd"/>
      <w:r w:rsidR="00B461DE">
        <w:t xml:space="preserve"> excluded people</w:t>
      </w:r>
      <w:r w:rsidR="008A3F67" w:rsidRPr="00C7239C">
        <w:t xml:space="preserve"> living in very remote parts o</w:t>
      </w:r>
      <w:r w:rsidR="006B43DC">
        <w:t>f Australia. In the NT</w:t>
      </w:r>
      <w:r w:rsidR="008A3F67" w:rsidRPr="00C7239C">
        <w:t xml:space="preserve"> this accounts for approximately 23 per cent of the population.</w:t>
      </w:r>
    </w:p>
    <w:p w:rsidR="00523268" w:rsidRDefault="00523268" w:rsidP="00C3586E">
      <w:pPr>
        <w:pStyle w:val="Source"/>
      </w:pPr>
      <w:r w:rsidRPr="002311C5">
        <w:rPr>
          <w:i/>
        </w:rPr>
        <w:t>Source</w:t>
      </w:r>
      <w:r w:rsidRPr="002311C5">
        <w:t xml:space="preserve">: </w:t>
      </w:r>
      <w:r w:rsidR="00C90270" w:rsidRPr="002311C5">
        <w:t>ABS (unpublished)</w:t>
      </w:r>
      <w:r w:rsidR="00546D59" w:rsidRPr="002311C5">
        <w:t xml:space="preserve"> </w:t>
      </w:r>
      <w:r w:rsidR="00C90270" w:rsidRPr="002311C5">
        <w:rPr>
          <w:i/>
        </w:rPr>
        <w:t>Chil</w:t>
      </w:r>
      <w:r w:rsidR="006B43DC">
        <w:rPr>
          <w:i/>
        </w:rPr>
        <w:t xml:space="preserve">dhood Education and Care, Australia, June </w:t>
      </w:r>
      <w:r w:rsidR="00C90270" w:rsidRPr="002311C5">
        <w:rPr>
          <w:i/>
        </w:rPr>
        <w:t>20</w:t>
      </w:r>
      <w:r w:rsidR="00440AA3" w:rsidRPr="002311C5">
        <w:rPr>
          <w:i/>
        </w:rPr>
        <w:t>11</w:t>
      </w:r>
      <w:r w:rsidR="004B4C20" w:rsidRPr="002311C5">
        <w:t>, Cat. no. 4402.0</w:t>
      </w:r>
      <w:r w:rsidR="00CD0F7C" w:rsidRPr="002311C5">
        <w:t>; table</w:t>
      </w:r>
      <w:r w:rsidR="00172534">
        <w:t> </w:t>
      </w:r>
      <w:proofErr w:type="spellStart"/>
      <w:r w:rsidR="00CD0F7C" w:rsidRPr="002311C5">
        <w:t>3A.</w:t>
      </w:r>
      <w:r w:rsidR="003C6BFC">
        <w:t>54</w:t>
      </w:r>
      <w:proofErr w:type="spellEnd"/>
      <w:r w:rsidR="00CD0F7C" w:rsidRPr="002311C5">
        <w:t>.</w:t>
      </w:r>
    </w:p>
    <w:p w:rsidR="00ED1189" w:rsidRPr="0097041F" w:rsidRDefault="00505DAE" w:rsidP="009C7505">
      <w:pPr>
        <w:pStyle w:val="BodyText"/>
        <w:rPr>
          <w:rStyle w:val="BodyTextChar"/>
        </w:rPr>
      </w:pPr>
      <w:r>
        <w:rPr>
          <w:rStyle w:val="BodyTextChar"/>
        </w:rPr>
        <w:t xml:space="preserve">Reasons for needing any or </w:t>
      </w:r>
      <w:r w:rsidR="00ED1189" w:rsidRPr="009C7505">
        <w:rPr>
          <w:rStyle w:val="BodyTextChar"/>
        </w:rPr>
        <w:t xml:space="preserve">additional formal child care or preschool in 2008 </w:t>
      </w:r>
      <w:r w:rsidR="00440AA3">
        <w:rPr>
          <w:rStyle w:val="BodyTextChar"/>
        </w:rPr>
        <w:t xml:space="preserve">and 2011 </w:t>
      </w:r>
      <w:r w:rsidR="00ED1189" w:rsidRPr="009C7505">
        <w:rPr>
          <w:rStyle w:val="BodyTextChar"/>
        </w:rPr>
        <w:t xml:space="preserve">are </w:t>
      </w:r>
      <w:r w:rsidR="003C6BFC">
        <w:rPr>
          <w:rStyle w:val="BodyTextChar"/>
        </w:rPr>
        <w:t>included in table</w:t>
      </w:r>
      <w:r w:rsidR="00172534">
        <w:rPr>
          <w:rStyle w:val="BodyTextChar"/>
        </w:rPr>
        <w:t> </w:t>
      </w:r>
      <w:proofErr w:type="spellStart"/>
      <w:r w:rsidR="003C6BFC">
        <w:rPr>
          <w:rStyle w:val="BodyTextChar"/>
        </w:rPr>
        <w:t>3A.55</w:t>
      </w:r>
      <w:proofErr w:type="spellEnd"/>
      <w:r w:rsidR="00ED1189" w:rsidRPr="009C7505">
        <w:rPr>
          <w:rStyle w:val="BodyTextChar"/>
        </w:rPr>
        <w:t xml:space="preserve"> and barriers to access identified by respon</w:t>
      </w:r>
      <w:r w:rsidR="00465F7B">
        <w:rPr>
          <w:rStyle w:val="BodyTextChar"/>
        </w:rPr>
        <w:t>d</w:t>
      </w:r>
      <w:r w:rsidR="003C6BFC">
        <w:rPr>
          <w:rStyle w:val="BodyTextChar"/>
        </w:rPr>
        <w:t>ents are included in table</w:t>
      </w:r>
      <w:r w:rsidR="00172534">
        <w:rPr>
          <w:rStyle w:val="BodyTextChar"/>
        </w:rPr>
        <w:t> </w:t>
      </w:r>
      <w:proofErr w:type="spellStart"/>
      <w:r w:rsidR="003C6BFC">
        <w:rPr>
          <w:rStyle w:val="BodyTextChar"/>
        </w:rPr>
        <w:t>3A.56</w:t>
      </w:r>
      <w:proofErr w:type="spellEnd"/>
      <w:r w:rsidR="00ED1189" w:rsidRPr="009C7505">
        <w:rPr>
          <w:rStyle w:val="BodyTextChar"/>
        </w:rPr>
        <w:t>.</w:t>
      </w:r>
    </w:p>
    <w:p w:rsidR="0081190F" w:rsidRDefault="001439DD" w:rsidP="00CE255E">
      <w:pPr>
        <w:pStyle w:val="Heading5"/>
      </w:pPr>
      <w:r>
        <w:t>Out</w:t>
      </w:r>
      <w:r w:rsidR="00172534">
        <w:noBreakHyphen/>
      </w:r>
      <w:r>
        <w:t>of</w:t>
      </w:r>
      <w:r w:rsidR="00172534">
        <w:noBreakHyphen/>
      </w:r>
      <w:r>
        <w:t>pocket cost</w:t>
      </w:r>
      <w:r w:rsidR="00A55187">
        <w:t>s</w:t>
      </w:r>
      <w:r>
        <w:t xml:space="preserve"> of child care</w:t>
      </w:r>
    </w:p>
    <w:p w:rsidR="0081190F" w:rsidRDefault="001439DD" w:rsidP="00ED1189">
      <w:pPr>
        <w:pStyle w:val="BodyText"/>
      </w:pPr>
      <w:r>
        <w:t>‘</w:t>
      </w:r>
      <w:r w:rsidRPr="0097041F">
        <w:t>Out</w:t>
      </w:r>
      <w:r w:rsidR="00172534">
        <w:noBreakHyphen/>
      </w:r>
      <w:r w:rsidRPr="0097041F">
        <w:t>of</w:t>
      </w:r>
      <w:r w:rsidR="00172534">
        <w:noBreakHyphen/>
      </w:r>
      <w:r w:rsidRPr="0097041F">
        <w:t>pocket cost</w:t>
      </w:r>
      <w:r w:rsidR="00A55187">
        <w:t>s</w:t>
      </w:r>
      <w:r w:rsidRPr="0097041F">
        <w:t xml:space="preserve"> of child care</w:t>
      </w:r>
      <w:r w:rsidR="00400EEB" w:rsidRPr="0097041F">
        <w:t>’ is an indicator of governments’ objective that all Australian families</w:t>
      </w:r>
      <w:r w:rsidR="00400EEB" w:rsidRPr="00400EEB">
        <w:t xml:space="preserve"> have equitable access to </w:t>
      </w:r>
      <w:r w:rsidR="00440AA3">
        <w:t xml:space="preserve">early childhood education and care </w:t>
      </w:r>
      <w:r w:rsidR="00394CE2">
        <w:t>irrespective</w:t>
      </w:r>
      <w:r w:rsidR="00400EEB" w:rsidRPr="00400EEB">
        <w:t xml:space="preserve"> of their financial circumstances </w:t>
      </w:r>
      <w:r w:rsidR="0081190F" w:rsidRPr="0081190F">
        <w:t>(box</w:t>
      </w:r>
      <w:r w:rsidR="00172534">
        <w:t> </w:t>
      </w:r>
      <w:r w:rsidR="00923A1C">
        <w:t>3.25</w:t>
      </w:r>
      <w:r w:rsidR="0081190F" w:rsidRPr="0081190F">
        <w:t>).</w:t>
      </w:r>
    </w:p>
    <w:p w:rsidR="0081190F" w:rsidRDefault="0081190F" w:rsidP="00C3586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1190F">
        <w:tc>
          <w:tcPr>
            <w:tcW w:w="8771" w:type="dxa"/>
            <w:tcBorders>
              <w:top w:val="single" w:sz="6" w:space="0" w:color="auto"/>
              <w:bottom w:val="nil"/>
            </w:tcBorders>
          </w:tcPr>
          <w:p w:rsidR="0081190F" w:rsidRPr="00704343" w:rsidRDefault="0081190F" w:rsidP="00BA524F">
            <w:pPr>
              <w:pStyle w:val="BoxTitle"/>
              <w:rPr>
                <w:rStyle w:val="DraftingNote"/>
                <w:color w:val="auto"/>
              </w:rPr>
            </w:pPr>
            <w:r w:rsidRPr="00704343">
              <w:rPr>
                <w:b w:val="0"/>
              </w:rPr>
              <w:t xml:space="preserve">Box </w:t>
            </w:r>
            <w:bookmarkStart w:id="42" w:name="OLE_LINK46"/>
            <w:r w:rsidR="00923A1C" w:rsidRPr="00704343">
              <w:rPr>
                <w:b w:val="0"/>
              </w:rPr>
              <w:t>3.</w:t>
            </w:r>
            <w:bookmarkEnd w:id="42"/>
            <w:r w:rsidR="00BA524F">
              <w:rPr>
                <w:b w:val="0"/>
              </w:rPr>
              <w:t>25</w:t>
            </w:r>
            <w:r w:rsidRPr="00704343">
              <w:tab/>
            </w:r>
            <w:r w:rsidR="001439DD" w:rsidRPr="00704343">
              <w:t>Out</w:t>
            </w:r>
            <w:r w:rsidR="00172534">
              <w:noBreakHyphen/>
            </w:r>
            <w:r w:rsidR="001439DD" w:rsidRPr="00704343">
              <w:t>of</w:t>
            </w:r>
            <w:r w:rsidR="00172534">
              <w:noBreakHyphen/>
            </w:r>
            <w:r w:rsidR="001439DD" w:rsidRPr="00704343">
              <w:t>pocket cost</w:t>
            </w:r>
            <w:r w:rsidR="00A55187">
              <w:t>s</w:t>
            </w:r>
            <w:r w:rsidR="002C520E" w:rsidRPr="00704343">
              <w:t xml:space="preserve"> of child care</w:t>
            </w:r>
          </w:p>
        </w:tc>
      </w:tr>
      <w:tr w:rsidR="0081190F">
        <w:trPr>
          <w:cantSplit/>
        </w:trPr>
        <w:tc>
          <w:tcPr>
            <w:tcW w:w="8771" w:type="dxa"/>
            <w:tcBorders>
              <w:top w:val="nil"/>
              <w:left w:val="single" w:sz="6" w:space="0" w:color="auto"/>
              <w:bottom w:val="nil"/>
              <w:right w:val="single" w:sz="6" w:space="0" w:color="auto"/>
            </w:tcBorders>
          </w:tcPr>
          <w:p w:rsidR="0081190F" w:rsidRPr="00704343" w:rsidRDefault="001439DD" w:rsidP="00ED1189">
            <w:pPr>
              <w:pStyle w:val="Box"/>
            </w:pPr>
            <w:r w:rsidRPr="00704343">
              <w:t>‘Out</w:t>
            </w:r>
            <w:r w:rsidR="00172534">
              <w:noBreakHyphen/>
            </w:r>
            <w:r w:rsidRPr="00704343">
              <w:t>of</w:t>
            </w:r>
            <w:r w:rsidR="00172534">
              <w:noBreakHyphen/>
            </w:r>
            <w:r w:rsidRPr="00704343">
              <w:t>pocket cost</w:t>
            </w:r>
            <w:r w:rsidR="00A55187">
              <w:t>s</w:t>
            </w:r>
            <w:r w:rsidR="002C520E" w:rsidRPr="00704343">
              <w:t xml:space="preserve"> of child care</w:t>
            </w:r>
            <w:r w:rsidR="0081190F" w:rsidRPr="00704343">
              <w:t>’ is defined as the proportion of weekly disposable income that families spend on child care services before and after the payment of child car</w:t>
            </w:r>
            <w:r w:rsidR="00DB57CA">
              <w:t xml:space="preserve">e subsidies, </w:t>
            </w:r>
            <w:r w:rsidR="0081190F" w:rsidRPr="00704343">
              <w:t xml:space="preserve">for families with a 60:40 income split and gross annual income </w:t>
            </w:r>
            <w:r w:rsidR="00DC7AAB" w:rsidRPr="00704343">
              <w:t>of $35 </w:t>
            </w:r>
            <w:r w:rsidR="0081190F" w:rsidRPr="00704343">
              <w:t>000, $</w:t>
            </w:r>
            <w:r w:rsidR="00A27EDB" w:rsidRPr="00704343">
              <w:t>5</w:t>
            </w:r>
            <w:r w:rsidR="0081190F" w:rsidRPr="00704343">
              <w:t>5</w:t>
            </w:r>
            <w:r w:rsidR="00DC7AAB" w:rsidRPr="00704343">
              <w:t> </w:t>
            </w:r>
            <w:r w:rsidR="0081190F" w:rsidRPr="00704343">
              <w:t>000, $</w:t>
            </w:r>
            <w:r w:rsidR="00A27EDB" w:rsidRPr="00704343">
              <w:t>7</w:t>
            </w:r>
            <w:r w:rsidR="0081190F" w:rsidRPr="00704343">
              <w:t>5</w:t>
            </w:r>
            <w:r w:rsidR="00DC7AAB" w:rsidRPr="00704343">
              <w:t> </w:t>
            </w:r>
            <w:r w:rsidR="0081190F" w:rsidRPr="00704343">
              <w:t>000</w:t>
            </w:r>
            <w:r w:rsidR="00A27EDB" w:rsidRPr="00704343">
              <w:t>,</w:t>
            </w:r>
            <w:r w:rsidR="0081190F" w:rsidRPr="00704343">
              <w:t xml:space="preserve"> $</w:t>
            </w:r>
            <w:r w:rsidR="00A27EDB" w:rsidRPr="00704343">
              <w:t>9</w:t>
            </w:r>
            <w:r w:rsidR="0081190F" w:rsidRPr="00704343">
              <w:t>5</w:t>
            </w:r>
            <w:r w:rsidR="00DC7AAB" w:rsidRPr="00704343">
              <w:t> </w:t>
            </w:r>
            <w:r w:rsidR="0081190F" w:rsidRPr="00704343">
              <w:t>000</w:t>
            </w:r>
            <w:r w:rsidR="00DC7AAB" w:rsidRPr="00704343">
              <w:t xml:space="preserve">, $115 000 </w:t>
            </w:r>
            <w:r w:rsidR="0092632D" w:rsidRPr="00704343">
              <w:t xml:space="preserve">and </w:t>
            </w:r>
            <w:r w:rsidR="00DC7AAB" w:rsidRPr="00704343">
              <w:t>$135 </w:t>
            </w:r>
            <w:r w:rsidR="00A27EDB" w:rsidRPr="00704343">
              <w:t>000</w:t>
            </w:r>
            <w:r w:rsidR="0081190F" w:rsidRPr="00704343">
              <w:t>. Families are assumed to have either one or two children who attend full time care (equal to 50</w:t>
            </w:r>
            <w:r w:rsidR="00E55D67" w:rsidRPr="00704343">
              <w:t> </w:t>
            </w:r>
            <w:r w:rsidR="0081190F" w:rsidRPr="00704343">
              <w:t>hours per child per week) in centre</w:t>
            </w:r>
            <w:r w:rsidR="00172534">
              <w:noBreakHyphen/>
            </w:r>
            <w:r w:rsidR="0081190F" w:rsidRPr="00704343">
              <w:t>based long day care and family day care.</w:t>
            </w:r>
          </w:p>
          <w:p w:rsidR="0081190F" w:rsidRPr="00704343" w:rsidRDefault="001439DD" w:rsidP="00ED1189">
            <w:pPr>
              <w:pStyle w:val="Box"/>
            </w:pPr>
            <w:r w:rsidRPr="00704343">
              <w:t>Lower out</w:t>
            </w:r>
            <w:r w:rsidR="00172534">
              <w:noBreakHyphen/>
            </w:r>
            <w:r w:rsidRPr="00704343">
              <w:t>of</w:t>
            </w:r>
            <w:r w:rsidR="00172534">
              <w:noBreakHyphen/>
            </w:r>
            <w:r w:rsidRPr="00704343">
              <w:t>pocket cost</w:t>
            </w:r>
            <w:r w:rsidR="0081190F" w:rsidRPr="00704343">
              <w:t xml:space="preserve"> for child care as a proportion of weekly disposable income (after child care subsidies) represents more affordable child care. Similar percentages across income groups suggest a more equitable outcome.</w:t>
            </w:r>
          </w:p>
          <w:p w:rsidR="0081190F" w:rsidRPr="00704343" w:rsidRDefault="0081190F" w:rsidP="00ED1189">
            <w:pPr>
              <w:pStyle w:val="Box"/>
            </w:pPr>
            <w:r w:rsidRPr="00704343">
              <w:t xml:space="preserve">Care needs to be exercised when interpreting results, because a variety of factors </w:t>
            </w:r>
            <w:r w:rsidR="00F2327C" w:rsidRPr="00704343">
              <w:t>(</w:t>
            </w:r>
            <w:r w:rsidR="0007188C" w:rsidRPr="00704343">
              <w:t>including</w:t>
            </w:r>
            <w:r w:rsidR="00332AE6" w:rsidRPr="00704343">
              <w:t xml:space="preserve"> for example</w:t>
            </w:r>
            <w:r w:rsidR="0007188C" w:rsidRPr="00704343">
              <w:t xml:space="preserve"> </w:t>
            </w:r>
            <w:r w:rsidR="00F2327C" w:rsidRPr="00704343">
              <w:t>rates, rental</w:t>
            </w:r>
            <w:r w:rsidR="0007188C" w:rsidRPr="00704343">
              <w:t xml:space="preserve"> costs</w:t>
            </w:r>
            <w:r w:rsidR="002311C5" w:rsidRPr="00704343">
              <w:t xml:space="preserve"> and</w:t>
            </w:r>
            <w:r w:rsidR="00F2327C" w:rsidRPr="00704343">
              <w:t xml:space="preserve"> localised costs of living</w:t>
            </w:r>
            <w:r w:rsidR="0007188C" w:rsidRPr="00704343">
              <w:t>)</w:t>
            </w:r>
            <w:r w:rsidR="00F2327C" w:rsidRPr="00704343">
              <w:t xml:space="preserve"> </w:t>
            </w:r>
            <w:r w:rsidR="00922771" w:rsidRPr="00704343">
              <w:t>can</w:t>
            </w:r>
            <w:r w:rsidR="00F2327C" w:rsidRPr="00704343">
              <w:t xml:space="preserve"> influence child care costs</w:t>
            </w:r>
            <w:r w:rsidRPr="00704343">
              <w:t>.</w:t>
            </w:r>
          </w:p>
          <w:p w:rsidR="002C2F48" w:rsidRDefault="00EB300F" w:rsidP="00ED1189">
            <w:pPr>
              <w:pStyle w:val="Box"/>
            </w:pPr>
            <w:r>
              <w:t>Data reported for this indicator</w:t>
            </w:r>
            <w:r w:rsidR="007970A4">
              <w:t xml:space="preserve"> are:</w:t>
            </w:r>
          </w:p>
          <w:p w:rsidR="007970A4" w:rsidRDefault="00767647" w:rsidP="00751B02">
            <w:pPr>
              <w:pStyle w:val="BoxListBullet"/>
            </w:pPr>
            <w:r>
              <w:t>c</w:t>
            </w:r>
            <w:r w:rsidR="007970A4" w:rsidRPr="00DA5769">
              <w:t xml:space="preserve">omparable </w:t>
            </w:r>
            <w:r w:rsidR="007970A4">
              <w:t>(subject to caveats) across jurisdictions and over time</w:t>
            </w:r>
          </w:p>
          <w:p w:rsidR="007970A4" w:rsidRPr="00704343" w:rsidRDefault="00767647" w:rsidP="00751B02">
            <w:pPr>
              <w:pStyle w:val="BoxListBullet"/>
            </w:pPr>
            <w:r>
              <w:t>c</w:t>
            </w:r>
            <w:r w:rsidR="007970A4" w:rsidRPr="00DA5769">
              <w:t xml:space="preserve">omplete </w:t>
            </w:r>
            <w:r w:rsidR="003907A5">
              <w:t xml:space="preserve">(subject to caveats) </w:t>
            </w:r>
            <w:r w:rsidR="007970A4" w:rsidRPr="00DA5769">
              <w:t>for</w:t>
            </w:r>
            <w:r w:rsidR="007970A4">
              <w:t xml:space="preserve"> the current repor</w:t>
            </w:r>
            <w:r w:rsidR="003907A5">
              <w:t>ting period</w:t>
            </w:r>
            <w:r w:rsidR="007970A4">
              <w:t xml:space="preserve">. All required 2013 data are available for all jurisdictions. </w:t>
            </w:r>
          </w:p>
          <w:p w:rsidR="00A27EDB" w:rsidRPr="00704343" w:rsidRDefault="00EB300F" w:rsidP="00ED1189">
            <w:pPr>
              <w:pStyle w:val="Box"/>
            </w:pPr>
            <w:r>
              <w:rPr>
                <w:rFonts w:cs="Arial"/>
                <w:szCs w:val="26"/>
              </w:rPr>
              <w:t>D</w:t>
            </w:r>
            <w:r w:rsidR="007970A4" w:rsidRPr="007970A4">
              <w:rPr>
                <w:rFonts w:cs="Arial"/>
                <w:szCs w:val="26"/>
              </w:rPr>
              <w:t>ata quality</w:t>
            </w:r>
            <w:r>
              <w:rPr>
                <w:rFonts w:cs="Arial"/>
                <w:szCs w:val="26"/>
              </w:rPr>
              <w:t xml:space="preserve"> information</w:t>
            </w:r>
            <w:r w:rsidR="007970A4" w:rsidRPr="007970A4">
              <w:rPr>
                <w:rFonts w:cs="Arial"/>
                <w:szCs w:val="26"/>
              </w:rPr>
              <w:t xml:space="preserve"> </w:t>
            </w:r>
            <w:r w:rsidR="00440AA3" w:rsidRPr="007970A4">
              <w:rPr>
                <w:rFonts w:cs="Arial"/>
                <w:szCs w:val="26"/>
              </w:rPr>
              <w:t xml:space="preserve">for this indicator is at </w:t>
            </w:r>
            <w:proofErr w:type="spellStart"/>
            <w:r w:rsidR="00440AA3" w:rsidRPr="007970A4">
              <w:rPr>
                <w:rFonts w:cs="Arial"/>
                <w:szCs w:val="26"/>
              </w:rPr>
              <w:t>www</w:t>
            </w:r>
            <w:r w:rsidR="007970A4" w:rsidRPr="007970A4">
              <w:rPr>
                <w:rFonts w:cs="Arial"/>
                <w:szCs w:val="26"/>
              </w:rPr>
              <w:t>.pc.gov.au</w:t>
            </w:r>
            <w:proofErr w:type="spellEnd"/>
            <w:r w:rsidR="007970A4" w:rsidRPr="007970A4">
              <w:rPr>
                <w:rFonts w:cs="Arial"/>
                <w:szCs w:val="26"/>
              </w:rPr>
              <w:t>/</w:t>
            </w:r>
            <w:proofErr w:type="spellStart"/>
            <w:r w:rsidR="007970A4" w:rsidRPr="007970A4">
              <w:rPr>
                <w:rFonts w:cs="Arial"/>
                <w:szCs w:val="26"/>
              </w:rPr>
              <w:t>gsp</w:t>
            </w:r>
            <w:proofErr w:type="spellEnd"/>
            <w:r w:rsidR="007970A4" w:rsidRPr="007970A4">
              <w:rPr>
                <w:rFonts w:cs="Arial"/>
                <w:szCs w:val="26"/>
              </w:rPr>
              <w:t>/reports/</w:t>
            </w:r>
            <w:proofErr w:type="spellStart"/>
            <w:r w:rsidR="007970A4" w:rsidRPr="007970A4">
              <w:rPr>
                <w:rFonts w:cs="Arial"/>
                <w:szCs w:val="26"/>
              </w:rPr>
              <w:t>rogs</w:t>
            </w:r>
            <w:proofErr w:type="spellEnd"/>
            <w:r w:rsidR="007970A4" w:rsidRPr="007970A4">
              <w:rPr>
                <w:rFonts w:cs="Arial"/>
                <w:szCs w:val="26"/>
              </w:rPr>
              <w:t>/2014</w:t>
            </w:r>
            <w:r w:rsidR="00440AA3" w:rsidRPr="007970A4">
              <w:rPr>
                <w:rFonts w:cs="Arial"/>
                <w:szCs w:val="26"/>
              </w:rPr>
              <w:t>.</w:t>
            </w:r>
          </w:p>
        </w:tc>
      </w:tr>
      <w:tr w:rsidR="0081190F">
        <w:trPr>
          <w:cantSplit/>
        </w:trPr>
        <w:tc>
          <w:tcPr>
            <w:tcW w:w="8771" w:type="dxa"/>
            <w:tcBorders>
              <w:top w:val="nil"/>
              <w:left w:val="single" w:sz="6" w:space="0" w:color="auto"/>
              <w:bottom w:val="single" w:sz="6" w:space="0" w:color="auto"/>
              <w:right w:val="single" w:sz="6" w:space="0" w:color="auto"/>
            </w:tcBorders>
          </w:tcPr>
          <w:p w:rsidR="0081190F" w:rsidRDefault="0081190F" w:rsidP="00C3586E">
            <w:pPr>
              <w:pStyle w:val="Box"/>
              <w:spacing w:before="0" w:line="120" w:lineRule="exact"/>
            </w:pPr>
          </w:p>
        </w:tc>
      </w:tr>
    </w:tbl>
    <w:p w:rsidR="00CF3BA1" w:rsidRDefault="005E0669" w:rsidP="00ED1189">
      <w:pPr>
        <w:pStyle w:val="BodyText"/>
      </w:pPr>
      <w:r>
        <w:t>Nationally, o</w:t>
      </w:r>
      <w:r w:rsidR="001439DD">
        <w:t>ut</w:t>
      </w:r>
      <w:r w:rsidR="00172534">
        <w:noBreakHyphen/>
      </w:r>
      <w:r w:rsidR="001439DD">
        <w:t>of</w:t>
      </w:r>
      <w:r w:rsidR="00172534">
        <w:noBreakHyphen/>
      </w:r>
      <w:r w:rsidR="001439DD">
        <w:t>pocket costs of child care</w:t>
      </w:r>
      <w:r w:rsidR="00CF3BA1" w:rsidRPr="00CF3BA1">
        <w:t xml:space="preserve"> as a proportion of weekly family income </w:t>
      </w:r>
      <w:r w:rsidRPr="00CF3BA1">
        <w:t xml:space="preserve">after subsidies </w:t>
      </w:r>
      <w:r w:rsidR="00CF3BA1" w:rsidRPr="006C2D97">
        <w:t xml:space="preserve">in </w:t>
      </w:r>
      <w:r w:rsidR="002F2AED">
        <w:t>2013</w:t>
      </w:r>
      <w:r w:rsidR="00CF3BA1" w:rsidRPr="006C2D97">
        <w:t xml:space="preserve"> </w:t>
      </w:r>
      <w:r w:rsidRPr="00F42144">
        <w:t xml:space="preserve">showed less variation across </w:t>
      </w:r>
      <w:r w:rsidR="00CF3BA1" w:rsidRPr="00F42144">
        <w:t xml:space="preserve">income bands </w:t>
      </w:r>
      <w:r w:rsidRPr="00F42144">
        <w:t xml:space="preserve">than before subsidies </w:t>
      </w:r>
      <w:r w:rsidR="00CF3BA1" w:rsidRPr="00F42144">
        <w:t xml:space="preserve">were taken into account </w:t>
      </w:r>
      <w:r w:rsidR="00CF3BA1" w:rsidRPr="00CF3BA1">
        <w:t>(figure</w:t>
      </w:r>
      <w:r w:rsidR="00CA0248">
        <w:t> </w:t>
      </w:r>
      <w:r w:rsidR="002241B3">
        <w:t>3.20</w:t>
      </w:r>
      <w:r w:rsidR="00CF3BA1" w:rsidRPr="00CF3BA1">
        <w:t>).</w:t>
      </w:r>
    </w:p>
    <w:p w:rsidR="00CF3BA1" w:rsidRPr="002F2AED" w:rsidRDefault="00CF3BA1" w:rsidP="00C3586E">
      <w:pPr>
        <w:pStyle w:val="FigureTitle"/>
        <w:rPr>
          <w:b w:val="0"/>
          <w:color w:val="00B050"/>
        </w:rPr>
      </w:pPr>
      <w:r>
        <w:rPr>
          <w:b w:val="0"/>
        </w:rPr>
        <w:lastRenderedPageBreak/>
        <w:t xml:space="preserve">Figure </w:t>
      </w:r>
      <w:bookmarkStart w:id="43" w:name="OLE_LINK49"/>
      <w:r w:rsidR="00923A1C">
        <w:rPr>
          <w:b w:val="0"/>
        </w:rPr>
        <w:t>3.</w:t>
      </w:r>
      <w:bookmarkEnd w:id="43"/>
      <w:r w:rsidR="002241B3">
        <w:rPr>
          <w:b w:val="0"/>
        </w:rPr>
        <w:t>20</w:t>
      </w:r>
      <w:r>
        <w:tab/>
      </w:r>
      <w:r w:rsidRPr="000859DE">
        <w:t>Out</w:t>
      </w:r>
      <w:r w:rsidR="00172534">
        <w:noBreakHyphen/>
      </w:r>
      <w:r w:rsidRPr="000859DE">
        <w:t>of</w:t>
      </w:r>
      <w:r w:rsidR="00172534">
        <w:noBreakHyphen/>
      </w:r>
      <w:r w:rsidRPr="000859DE">
        <w:t>pocket costs of child care for families with children in full time centre</w:t>
      </w:r>
      <w:r w:rsidR="00172534">
        <w:noBreakHyphen/>
      </w:r>
      <w:r w:rsidRPr="000859DE">
        <w:t>based long day care, as a proportion of weekly disposable income, by</w:t>
      </w:r>
      <w:r w:rsidR="00EB1219">
        <w:t xml:space="preserve"> gross annual family income, 201</w:t>
      </w:r>
      <w:r w:rsidR="00A9209B">
        <w:t>3</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F3BA1">
        <w:tc>
          <w:tcPr>
            <w:tcW w:w="8777" w:type="dxa"/>
          </w:tcPr>
          <w:p w:rsidR="00CF3BA1" w:rsidRDefault="00DF792F" w:rsidP="00C3586E">
            <w:pPr>
              <w:pStyle w:val="Figure"/>
            </w:pPr>
            <w:r>
              <w:rPr>
                <w:noProof/>
              </w:rPr>
              <w:drawing>
                <wp:inline distT="0" distB="0" distL="0" distR="0" wp14:anchorId="0390F478" wp14:editId="6AFF4761">
                  <wp:extent cx="5337810" cy="2743200"/>
                  <wp:effectExtent l="0" t="0" r="0" b="0"/>
                  <wp:docPr id="22" name="Picture 22" descr="Figure 3.20 Out-of-pocket costs of child care for families with children in full time centre-based long day care, as a proportion of weekly disposable income, by gross annual family income,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37810" cy="2743200"/>
                          </a:xfrm>
                          <a:prstGeom prst="rect">
                            <a:avLst/>
                          </a:prstGeom>
                          <a:noFill/>
                          <a:ln>
                            <a:noFill/>
                          </a:ln>
                        </pic:spPr>
                      </pic:pic>
                    </a:graphicData>
                  </a:graphic>
                </wp:inline>
              </w:drawing>
            </w:r>
          </w:p>
        </w:tc>
      </w:tr>
    </w:tbl>
    <w:p w:rsidR="00CF3BA1" w:rsidRDefault="00CF3BA1" w:rsidP="00C3586E">
      <w:pPr>
        <w:pStyle w:val="Source"/>
        <w:keepNext/>
      </w:pPr>
      <w:r>
        <w:rPr>
          <w:i/>
        </w:rPr>
        <w:t>Source</w:t>
      </w:r>
      <w:r w:rsidRPr="00167F06">
        <w:t xml:space="preserve">: </w:t>
      </w:r>
      <w:r w:rsidR="007A68DA">
        <w:t>Department of Education</w:t>
      </w:r>
      <w:r w:rsidR="001E5FA5">
        <w:t xml:space="preserve"> (unpublished); table</w:t>
      </w:r>
      <w:r w:rsidR="00172534">
        <w:t> </w:t>
      </w:r>
      <w:proofErr w:type="spellStart"/>
      <w:r w:rsidR="001E5FA5">
        <w:t>3A.</w:t>
      </w:r>
      <w:r w:rsidR="003C6BFC">
        <w:t>57</w:t>
      </w:r>
      <w:proofErr w:type="spellEnd"/>
      <w:r w:rsidR="001E5FA5">
        <w:t>.</w:t>
      </w:r>
    </w:p>
    <w:p w:rsidR="00066933" w:rsidRDefault="00DD7D79" w:rsidP="00171F72">
      <w:pPr>
        <w:pStyle w:val="BodyText"/>
      </w:pPr>
      <w:r>
        <w:t xml:space="preserve">Nationally, </w:t>
      </w:r>
      <w:r w:rsidR="0007188C">
        <w:t>for centre</w:t>
      </w:r>
      <w:r w:rsidR="00172534">
        <w:noBreakHyphen/>
      </w:r>
      <w:r w:rsidR="0007188C">
        <w:t xml:space="preserve">based long day care, </w:t>
      </w:r>
      <w:r>
        <w:t>the out</w:t>
      </w:r>
      <w:r w:rsidR="00172534">
        <w:noBreakHyphen/>
      </w:r>
      <w:r>
        <w:t>of</w:t>
      </w:r>
      <w:r w:rsidR="00172534">
        <w:noBreakHyphen/>
      </w:r>
      <w:r>
        <w:t xml:space="preserve">pocket costs (after subsidies) for families with one child </w:t>
      </w:r>
      <w:r w:rsidRPr="0086464D">
        <w:t>w</w:t>
      </w:r>
      <w:r w:rsidR="002311C5" w:rsidRPr="0086464D">
        <w:t>ere</w:t>
      </w:r>
      <w:r w:rsidRPr="0086464D">
        <w:t xml:space="preserve"> </w:t>
      </w:r>
      <w:r w:rsidR="00066933" w:rsidRPr="0086464D">
        <w:t xml:space="preserve">between </w:t>
      </w:r>
      <w:r w:rsidR="0086464D" w:rsidRPr="0086464D">
        <w:t>8.4</w:t>
      </w:r>
      <w:r w:rsidR="00066933" w:rsidRPr="0086464D">
        <w:t xml:space="preserve"> per cent and </w:t>
      </w:r>
      <w:r w:rsidR="0086464D" w:rsidRPr="0086464D">
        <w:t>9.7</w:t>
      </w:r>
      <w:r w:rsidR="00754E0A" w:rsidRPr="0086464D">
        <w:t xml:space="preserve"> </w:t>
      </w:r>
      <w:r w:rsidR="00732620" w:rsidRPr="0086464D">
        <w:t>per</w:t>
      </w:r>
      <w:r w:rsidR="00754E0A" w:rsidRPr="0086464D">
        <w:t xml:space="preserve"> </w:t>
      </w:r>
      <w:r w:rsidR="00066933" w:rsidRPr="0086464D">
        <w:t>cent of weekly disposable income</w:t>
      </w:r>
      <w:r w:rsidRPr="0086464D">
        <w:t xml:space="preserve">, and </w:t>
      </w:r>
      <w:r w:rsidR="00066933" w:rsidRPr="0086464D">
        <w:t>be</w:t>
      </w:r>
      <w:r w:rsidR="00EB1219" w:rsidRPr="0086464D">
        <w:t xml:space="preserve">tween </w:t>
      </w:r>
      <w:r w:rsidR="00DC7AAB" w:rsidRPr="0086464D">
        <w:t>1</w:t>
      </w:r>
      <w:r w:rsidR="0086464D" w:rsidRPr="0086464D">
        <w:t>3</w:t>
      </w:r>
      <w:r w:rsidR="00DC7AAB" w:rsidRPr="0086464D">
        <w:t>.</w:t>
      </w:r>
      <w:r w:rsidR="0086464D" w:rsidRPr="0086464D">
        <w:t>9</w:t>
      </w:r>
      <w:r w:rsidR="00EB1219" w:rsidRPr="0086464D">
        <w:t xml:space="preserve"> per cent and </w:t>
      </w:r>
      <w:r w:rsidR="003F5A83" w:rsidRPr="0086464D">
        <w:t>1</w:t>
      </w:r>
      <w:r w:rsidR="00411A83" w:rsidRPr="0086464D">
        <w:t>7</w:t>
      </w:r>
      <w:r w:rsidR="0086464D" w:rsidRPr="0086464D">
        <w:t>.3</w:t>
      </w:r>
      <w:r w:rsidR="00E7683A" w:rsidRPr="0086464D">
        <w:t xml:space="preserve"> per</w:t>
      </w:r>
      <w:r w:rsidR="00754E0A" w:rsidRPr="0086464D">
        <w:t xml:space="preserve"> </w:t>
      </w:r>
      <w:r w:rsidR="00066933" w:rsidRPr="0086464D">
        <w:t xml:space="preserve">cent of weekly disposable income </w:t>
      </w:r>
      <w:r w:rsidRPr="0086464D">
        <w:t>for families with two children (figure</w:t>
      </w:r>
      <w:r w:rsidR="00066933" w:rsidRPr="0086464D">
        <w:t> </w:t>
      </w:r>
      <w:r w:rsidR="002241B3">
        <w:t>3.21</w:t>
      </w:r>
      <w:r w:rsidRPr="0086464D">
        <w:t>).</w:t>
      </w:r>
    </w:p>
    <w:p w:rsidR="009D5B23" w:rsidRPr="00AC57F0" w:rsidRDefault="009D5B23" w:rsidP="00C3586E">
      <w:pPr>
        <w:pStyle w:val="FigureTitle"/>
        <w:rPr>
          <w:b w:val="0"/>
          <w:color w:val="00B050"/>
        </w:rPr>
      </w:pPr>
      <w:r w:rsidRPr="002768CB">
        <w:rPr>
          <w:b w:val="0"/>
        </w:rPr>
        <w:lastRenderedPageBreak/>
        <w:t xml:space="preserve">Figure </w:t>
      </w:r>
      <w:bookmarkStart w:id="44" w:name="OLE_LINK53"/>
      <w:r w:rsidR="00923A1C" w:rsidRPr="002768CB">
        <w:rPr>
          <w:b w:val="0"/>
        </w:rPr>
        <w:t>3.</w:t>
      </w:r>
      <w:bookmarkEnd w:id="44"/>
      <w:r w:rsidR="002241B3">
        <w:rPr>
          <w:b w:val="0"/>
        </w:rPr>
        <w:t>21</w:t>
      </w:r>
      <w:r w:rsidRPr="002768CB">
        <w:tab/>
        <w:t>Out</w:t>
      </w:r>
      <w:r w:rsidR="00172534">
        <w:noBreakHyphen/>
      </w:r>
      <w:r w:rsidRPr="002768CB">
        <w:t>of</w:t>
      </w:r>
      <w:r w:rsidR="00172534">
        <w:noBreakHyphen/>
      </w:r>
      <w:r w:rsidRPr="002768CB">
        <w:t>pocket costs for centre</w:t>
      </w:r>
      <w:r w:rsidR="00172534">
        <w:noBreakHyphen/>
      </w:r>
      <w:r w:rsidRPr="002768CB">
        <w:t>based long day care (after subsidies), as a proportion of weekly disposable income, by gross annual famil</w:t>
      </w:r>
      <w:r w:rsidR="00EB1219" w:rsidRPr="002768CB">
        <w:t xml:space="preserve">y </w:t>
      </w:r>
      <w:r w:rsidR="00EB1219" w:rsidRPr="009C7505">
        <w:t>income, 201</w:t>
      </w:r>
      <w:r w:rsidR="005307A1">
        <w:t>3</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9D5B23" w:rsidTr="00694A51">
        <w:tc>
          <w:tcPr>
            <w:tcW w:w="8777" w:type="dxa"/>
          </w:tcPr>
          <w:p w:rsidR="0012367B" w:rsidRDefault="00DA0195" w:rsidP="00C3586E">
            <w:pPr>
              <w:pStyle w:val="Figure"/>
            </w:pPr>
            <w:r>
              <w:rPr>
                <w:noProof/>
              </w:rPr>
              <w:drawing>
                <wp:inline distT="0" distB="0" distL="0" distR="0" wp14:anchorId="5E623F62" wp14:editId="7A26890F">
                  <wp:extent cx="5295900" cy="401109"/>
                  <wp:effectExtent l="0" t="0" r="0" b="0"/>
                  <wp:docPr id="19" name="Chart 19" descr="Figure 3.21 Out-of-pocket costs for centre-based long day care (after subsidies), as a proportion of weekly disposable income, by gross annual family income, 2013&#10;&#10;This image is a chart to figure 3.21&#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9D5B23" w:rsidRDefault="00632A78" w:rsidP="00C3586E">
            <w:pPr>
              <w:pStyle w:val="Figure"/>
            </w:pPr>
            <w:r>
              <w:rPr>
                <w:noProof/>
              </w:rPr>
              <w:drawing>
                <wp:inline distT="0" distB="0" distL="0" distR="0" wp14:anchorId="33650B52" wp14:editId="467020D4">
                  <wp:extent cx="5358765" cy="2732405"/>
                  <wp:effectExtent l="0" t="0" r="0" b="0"/>
                  <wp:docPr id="23" name="Picture 23" descr="Figure 3.21 Out-of-pocket costs for centre-based long day care (after subsidies), as a proportion of weekly disposable income, by gross annual family income, 2013&#10;&#10;(a) Families with one chil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58765" cy="2732405"/>
                          </a:xfrm>
                          <a:prstGeom prst="rect">
                            <a:avLst/>
                          </a:prstGeom>
                          <a:noFill/>
                          <a:ln>
                            <a:noFill/>
                          </a:ln>
                        </pic:spPr>
                      </pic:pic>
                    </a:graphicData>
                  </a:graphic>
                </wp:inline>
              </w:drawing>
            </w:r>
          </w:p>
          <w:p w:rsidR="00B0064B" w:rsidRDefault="00632A78" w:rsidP="00C3586E">
            <w:pPr>
              <w:pStyle w:val="Figure"/>
            </w:pPr>
            <w:r>
              <w:rPr>
                <w:noProof/>
              </w:rPr>
              <w:drawing>
                <wp:inline distT="0" distB="0" distL="0" distR="0" wp14:anchorId="56A84F43" wp14:editId="11F5ACE9">
                  <wp:extent cx="5337810" cy="2732405"/>
                  <wp:effectExtent l="0" t="0" r="0" b="0"/>
                  <wp:docPr id="24" name="Picture 24" descr="Figure 3.21 Out-of-pocket costs for centre based long day care (after subsidies), as a proportion of weekly disposable income, by gross annual family income, 2013&#10;&#10;(b) Families with two childre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37810" cy="2732405"/>
                          </a:xfrm>
                          <a:prstGeom prst="rect">
                            <a:avLst/>
                          </a:prstGeom>
                          <a:noFill/>
                          <a:ln>
                            <a:noFill/>
                          </a:ln>
                        </pic:spPr>
                      </pic:pic>
                    </a:graphicData>
                  </a:graphic>
                </wp:inline>
              </w:drawing>
            </w:r>
          </w:p>
        </w:tc>
      </w:tr>
    </w:tbl>
    <w:p w:rsidR="009D5B23" w:rsidRDefault="00CA0248" w:rsidP="00C3586E">
      <w:pPr>
        <w:pStyle w:val="Source"/>
      </w:pPr>
      <w:r>
        <w:rPr>
          <w:i/>
        </w:rPr>
        <w:t>S</w:t>
      </w:r>
      <w:r w:rsidR="009D5B23">
        <w:rPr>
          <w:i/>
        </w:rPr>
        <w:t>ource</w:t>
      </w:r>
      <w:r w:rsidR="009D5B23" w:rsidRPr="00167F06">
        <w:t xml:space="preserve">: </w:t>
      </w:r>
      <w:r w:rsidR="007A68DA">
        <w:t xml:space="preserve">Department of Education </w:t>
      </w:r>
      <w:r w:rsidR="003C6BFC">
        <w:t>(unpublished); table</w:t>
      </w:r>
      <w:r w:rsidR="00172534">
        <w:t> </w:t>
      </w:r>
      <w:proofErr w:type="spellStart"/>
      <w:r w:rsidR="003C6BFC">
        <w:t>3A.57</w:t>
      </w:r>
      <w:proofErr w:type="spellEnd"/>
      <w:r w:rsidR="005E2B6B">
        <w:t>.</w:t>
      </w:r>
    </w:p>
    <w:p w:rsidR="00066933" w:rsidRPr="00347129" w:rsidRDefault="00066933" w:rsidP="00171F72">
      <w:pPr>
        <w:pStyle w:val="BodyText"/>
        <w:rPr>
          <w:color w:val="FF0000"/>
        </w:rPr>
      </w:pPr>
      <w:r>
        <w:t>Nationally,</w:t>
      </w:r>
      <w:r w:rsidR="0007188C">
        <w:t xml:space="preserve"> for family day care, </w:t>
      </w:r>
      <w:r>
        <w:t>the out</w:t>
      </w:r>
      <w:r w:rsidR="00172534">
        <w:noBreakHyphen/>
      </w:r>
      <w:r>
        <w:t>of</w:t>
      </w:r>
      <w:r w:rsidR="00172534">
        <w:noBreakHyphen/>
      </w:r>
      <w:r>
        <w:t>pocket costs (after subsidies) for families with one child</w:t>
      </w:r>
      <w:r w:rsidR="00DC7AAB">
        <w:t xml:space="preserve"> </w:t>
      </w:r>
      <w:r w:rsidR="00DC7AAB" w:rsidRPr="0086464D">
        <w:t>w</w:t>
      </w:r>
      <w:r w:rsidR="002311C5" w:rsidRPr="0086464D">
        <w:t>ere</w:t>
      </w:r>
      <w:r w:rsidR="00DC7AAB" w:rsidRPr="0086464D">
        <w:t xml:space="preserve"> between </w:t>
      </w:r>
      <w:r w:rsidR="0086464D" w:rsidRPr="0086464D">
        <w:t>8.1</w:t>
      </w:r>
      <w:r w:rsidRPr="0086464D">
        <w:t xml:space="preserve"> per cent and </w:t>
      </w:r>
      <w:r w:rsidR="0086464D" w:rsidRPr="0086464D">
        <w:t>9.2</w:t>
      </w:r>
      <w:r w:rsidRPr="0086464D">
        <w:t xml:space="preserve"> per cent of weekly disposable income, and between </w:t>
      </w:r>
      <w:r w:rsidR="0086464D" w:rsidRPr="0086464D">
        <w:t>13.3</w:t>
      </w:r>
      <w:r w:rsidRPr="0086464D">
        <w:t xml:space="preserve"> per cent and </w:t>
      </w:r>
      <w:r w:rsidR="0086464D" w:rsidRPr="0086464D">
        <w:t>16.4</w:t>
      </w:r>
      <w:r w:rsidRPr="0086464D">
        <w:t xml:space="preserve"> per cent of weekly disposable income for families with two children (figure</w:t>
      </w:r>
      <w:r w:rsidR="00172534">
        <w:t> </w:t>
      </w:r>
      <w:r w:rsidR="002241B3">
        <w:t>3.22</w:t>
      </w:r>
      <w:r w:rsidRPr="0086464D">
        <w:t>).</w:t>
      </w:r>
    </w:p>
    <w:p w:rsidR="009D5B23" w:rsidRPr="00AC57F0" w:rsidRDefault="009D5B23" w:rsidP="00AC57F0">
      <w:pPr>
        <w:pStyle w:val="FigureTitle"/>
        <w:rPr>
          <w:b w:val="0"/>
          <w:color w:val="00B050"/>
        </w:rPr>
      </w:pPr>
      <w:r w:rsidRPr="002768CB">
        <w:rPr>
          <w:b w:val="0"/>
        </w:rPr>
        <w:lastRenderedPageBreak/>
        <w:t xml:space="preserve">Figure </w:t>
      </w:r>
      <w:bookmarkStart w:id="45" w:name="OLE_LINK58"/>
      <w:r w:rsidR="00923A1C" w:rsidRPr="002768CB">
        <w:rPr>
          <w:b w:val="0"/>
        </w:rPr>
        <w:t>3.</w:t>
      </w:r>
      <w:bookmarkEnd w:id="45"/>
      <w:r w:rsidR="002241B3">
        <w:rPr>
          <w:b w:val="0"/>
        </w:rPr>
        <w:t>22</w:t>
      </w:r>
      <w:r w:rsidRPr="002768CB">
        <w:tab/>
      </w:r>
      <w:r w:rsidR="0068006D" w:rsidRPr="002768CB">
        <w:t>Out</w:t>
      </w:r>
      <w:r w:rsidR="00172534">
        <w:noBreakHyphen/>
      </w:r>
      <w:r w:rsidR="0068006D" w:rsidRPr="002768CB">
        <w:t>of</w:t>
      </w:r>
      <w:r w:rsidR="00172534">
        <w:noBreakHyphen/>
      </w:r>
      <w:r w:rsidR="0068006D" w:rsidRPr="002768CB">
        <w:t>pocket costs for family day care (after subsidies), as a proportion of weekly disposable income, by</w:t>
      </w:r>
      <w:r w:rsidR="00FB104D" w:rsidRPr="002768CB">
        <w:t xml:space="preserve"> gross annual family </w:t>
      </w:r>
      <w:r w:rsidR="00FB104D" w:rsidRPr="009C7505">
        <w:t xml:space="preserve">income, </w:t>
      </w:r>
      <w:r w:rsidR="00FB104D" w:rsidRPr="00510660">
        <w:t>201</w:t>
      </w:r>
      <w:r w:rsidR="00AC57F0">
        <w:t>3</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9D5B23" w:rsidTr="00DA0195">
        <w:tc>
          <w:tcPr>
            <w:tcW w:w="8777" w:type="dxa"/>
          </w:tcPr>
          <w:p w:rsidR="0085673A" w:rsidRPr="0012367B" w:rsidRDefault="00DA0195" w:rsidP="00C3586E">
            <w:pPr>
              <w:pStyle w:val="BodyText"/>
              <w:jc w:val="center"/>
              <w:rPr>
                <w:b/>
              </w:rPr>
            </w:pPr>
            <w:r>
              <w:rPr>
                <w:noProof/>
              </w:rPr>
              <w:drawing>
                <wp:inline distT="0" distB="0" distL="0" distR="0" wp14:anchorId="18F72BE2" wp14:editId="5D5B2A48">
                  <wp:extent cx="5295900" cy="401109"/>
                  <wp:effectExtent l="0" t="0" r="0" b="0"/>
                  <wp:docPr id="18" name="Chart 18" descr="Figure 3.22 Out-of-pocket costs for family day care (after subsidies), as a proportion of weekly disposable income, by gross annual family income, 2013&#10;&#10;This image is a chart to figure 3.22&#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85673A" w:rsidRDefault="00632A78" w:rsidP="00C3586E">
            <w:pPr>
              <w:pStyle w:val="Figure"/>
            </w:pPr>
            <w:r>
              <w:rPr>
                <w:noProof/>
              </w:rPr>
              <w:drawing>
                <wp:inline distT="0" distB="0" distL="0" distR="0" wp14:anchorId="0D71FA4E" wp14:editId="689C3642">
                  <wp:extent cx="5358765" cy="2732405"/>
                  <wp:effectExtent l="0" t="0" r="0" b="0"/>
                  <wp:docPr id="25" name="Picture 25" descr="Figure 3.22 Out-of-pocket costs for family day care (after subsidies), as a proportion of weekly disposable income, by gross annual family income, 2013&#10;&#10;(a) Families with one chil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58765" cy="2732405"/>
                          </a:xfrm>
                          <a:prstGeom prst="rect">
                            <a:avLst/>
                          </a:prstGeom>
                          <a:noFill/>
                          <a:ln>
                            <a:noFill/>
                          </a:ln>
                        </pic:spPr>
                      </pic:pic>
                    </a:graphicData>
                  </a:graphic>
                </wp:inline>
              </w:drawing>
            </w:r>
          </w:p>
          <w:p w:rsidR="00531CF0" w:rsidRDefault="00632A78" w:rsidP="00C3586E">
            <w:pPr>
              <w:pStyle w:val="Figure"/>
            </w:pPr>
            <w:r>
              <w:rPr>
                <w:noProof/>
              </w:rPr>
              <w:drawing>
                <wp:inline distT="0" distB="0" distL="0" distR="0" wp14:anchorId="4BDA7D75" wp14:editId="180BD888">
                  <wp:extent cx="5347970" cy="2743200"/>
                  <wp:effectExtent l="0" t="0" r="5080" b="0"/>
                  <wp:docPr id="26" name="Picture 26" descr="Figure 3.22 Out-of-pocket costs for family day care (after subsidies), as a proportion of weekly disposable income, by gross annual family income, 2013&#10;&#10;(a) Families with two childre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47970" cy="2743200"/>
                          </a:xfrm>
                          <a:prstGeom prst="rect">
                            <a:avLst/>
                          </a:prstGeom>
                          <a:noFill/>
                          <a:ln>
                            <a:noFill/>
                          </a:ln>
                        </pic:spPr>
                      </pic:pic>
                    </a:graphicData>
                  </a:graphic>
                </wp:inline>
              </w:drawing>
            </w:r>
          </w:p>
        </w:tc>
      </w:tr>
    </w:tbl>
    <w:p w:rsidR="009D5B23" w:rsidRDefault="00CA0248" w:rsidP="00C3586E">
      <w:pPr>
        <w:pStyle w:val="Source"/>
      </w:pPr>
      <w:r>
        <w:rPr>
          <w:i/>
        </w:rPr>
        <w:t>S</w:t>
      </w:r>
      <w:r w:rsidR="009D5B23">
        <w:rPr>
          <w:i/>
        </w:rPr>
        <w:t>ource</w:t>
      </w:r>
      <w:r w:rsidR="009D5B23" w:rsidRPr="00167F06">
        <w:t xml:space="preserve">: </w:t>
      </w:r>
      <w:r w:rsidR="007A68DA">
        <w:t xml:space="preserve">Department of Education </w:t>
      </w:r>
      <w:r w:rsidR="004A29BA">
        <w:t>(unpublished); table</w:t>
      </w:r>
      <w:r w:rsidR="00172534">
        <w:t> </w:t>
      </w:r>
      <w:proofErr w:type="spellStart"/>
      <w:r w:rsidR="004A29BA">
        <w:t>3A.</w:t>
      </w:r>
      <w:r w:rsidR="003C6BFC">
        <w:t>58</w:t>
      </w:r>
      <w:proofErr w:type="spellEnd"/>
      <w:r w:rsidR="004A29BA">
        <w:t>.</w:t>
      </w:r>
    </w:p>
    <w:p w:rsidR="000B542E" w:rsidRDefault="000B542E" w:rsidP="00CE255E">
      <w:pPr>
        <w:pStyle w:val="Heading5"/>
      </w:pPr>
      <w:r>
        <w:t>Children’s needs</w:t>
      </w:r>
    </w:p>
    <w:p w:rsidR="002C4245" w:rsidRDefault="00A277C3" w:rsidP="00C3586E">
      <w:pPr>
        <w:pStyle w:val="BodyText"/>
      </w:pPr>
      <w:r w:rsidRPr="00A277C3">
        <w:t xml:space="preserve">‘Children’s needs’ is an indicator of governments’ objective to provide </w:t>
      </w:r>
      <w:r w:rsidR="00440AA3">
        <w:t xml:space="preserve">early childhood education and care </w:t>
      </w:r>
      <w:r w:rsidRPr="00A277C3">
        <w:t>that meet</w:t>
      </w:r>
      <w:r w:rsidR="00440AA3">
        <w:t>s</w:t>
      </w:r>
      <w:r w:rsidRPr="00A277C3">
        <w:t xml:space="preserve"> the care, education</w:t>
      </w:r>
      <w:r w:rsidR="0021264F">
        <w:t>al</w:t>
      </w:r>
      <w:r w:rsidRPr="00A277C3">
        <w:t xml:space="preserve"> and development</w:t>
      </w:r>
      <w:r w:rsidR="0021264F">
        <w:t>al</w:t>
      </w:r>
      <w:r w:rsidRPr="00A277C3">
        <w:t xml:space="preserve"> needs of children, in a safe and nurturing environment </w:t>
      </w:r>
      <w:r w:rsidR="000B542E" w:rsidRPr="000B542E">
        <w:t>(box</w:t>
      </w:r>
      <w:r w:rsidR="00172534">
        <w:t> </w:t>
      </w:r>
      <w:r w:rsidR="00923A1C">
        <w:t>3.26</w:t>
      </w:r>
      <w:r w:rsidR="000B542E" w:rsidRPr="000B542E">
        <w:t>).</w:t>
      </w:r>
      <w:r w:rsidR="00AA1034">
        <w:t xml:space="preserve"> </w:t>
      </w:r>
    </w:p>
    <w:p w:rsidR="000B542E" w:rsidRDefault="000B542E" w:rsidP="00C3586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B542E">
        <w:tc>
          <w:tcPr>
            <w:tcW w:w="8771" w:type="dxa"/>
            <w:tcBorders>
              <w:top w:val="single" w:sz="6" w:space="0" w:color="auto"/>
              <w:bottom w:val="nil"/>
            </w:tcBorders>
          </w:tcPr>
          <w:p w:rsidR="000B542E" w:rsidRPr="000B542E" w:rsidRDefault="000B542E" w:rsidP="00BA524F">
            <w:pPr>
              <w:pStyle w:val="BoxTitle"/>
            </w:pPr>
            <w:r>
              <w:rPr>
                <w:b w:val="0"/>
              </w:rPr>
              <w:t xml:space="preserve">Box </w:t>
            </w:r>
            <w:bookmarkStart w:id="46" w:name="OLE_LINK56"/>
            <w:r w:rsidR="00923A1C">
              <w:rPr>
                <w:b w:val="0"/>
              </w:rPr>
              <w:t>3.</w:t>
            </w:r>
            <w:bookmarkEnd w:id="46"/>
            <w:r w:rsidR="00BA524F">
              <w:rPr>
                <w:b w:val="0"/>
              </w:rPr>
              <w:t>26</w:t>
            </w:r>
            <w:r>
              <w:tab/>
            </w:r>
            <w:r w:rsidRPr="000B542E">
              <w:t>Children’s needs</w:t>
            </w:r>
          </w:p>
        </w:tc>
      </w:tr>
      <w:tr w:rsidR="000B542E">
        <w:trPr>
          <w:cantSplit/>
        </w:trPr>
        <w:tc>
          <w:tcPr>
            <w:tcW w:w="8771" w:type="dxa"/>
            <w:tcBorders>
              <w:top w:val="nil"/>
              <w:left w:val="single" w:sz="6" w:space="0" w:color="auto"/>
              <w:bottom w:val="nil"/>
              <w:right w:val="single" w:sz="6" w:space="0" w:color="auto"/>
            </w:tcBorders>
          </w:tcPr>
          <w:p w:rsidR="00F75EDB" w:rsidRDefault="00F75EDB" w:rsidP="00C3586E">
            <w:pPr>
              <w:pStyle w:val="Box"/>
            </w:pPr>
            <w:r>
              <w:t>‘Children’s needs’</w:t>
            </w:r>
            <w:r w:rsidR="00767647">
              <w:t xml:space="preserve"> has been identified for development and reporting in future. Data are not available for the 2014 Report.</w:t>
            </w:r>
          </w:p>
          <w:p w:rsidR="00F75EDB" w:rsidRDefault="00F75EDB" w:rsidP="00C3586E">
            <w:pPr>
              <w:pStyle w:val="Box"/>
            </w:pPr>
            <w:r>
              <w:t>Development work is focused on outcomes measures for children’s needs in the areas of:</w:t>
            </w:r>
          </w:p>
          <w:p w:rsidR="00F75EDB" w:rsidRDefault="00F75EDB" w:rsidP="00751B02">
            <w:pPr>
              <w:pStyle w:val="BoxListBullet"/>
            </w:pPr>
            <w:r>
              <w:t>learning and development</w:t>
            </w:r>
          </w:p>
          <w:p w:rsidR="00F75EDB" w:rsidRDefault="00F75EDB" w:rsidP="00751B02">
            <w:pPr>
              <w:pStyle w:val="BoxListBullet"/>
            </w:pPr>
            <w:r>
              <w:t>health and safety</w:t>
            </w:r>
          </w:p>
          <w:p w:rsidR="000B542E" w:rsidRDefault="00F75EDB" w:rsidP="00751B02">
            <w:pPr>
              <w:pStyle w:val="BoxListBullet"/>
            </w:pPr>
            <w:r>
              <w:t>social and emotional wellbeing.</w:t>
            </w:r>
          </w:p>
        </w:tc>
      </w:tr>
      <w:tr w:rsidR="000B542E">
        <w:trPr>
          <w:cantSplit/>
        </w:trPr>
        <w:tc>
          <w:tcPr>
            <w:tcW w:w="8771" w:type="dxa"/>
            <w:tcBorders>
              <w:top w:val="nil"/>
              <w:left w:val="single" w:sz="6" w:space="0" w:color="auto"/>
              <w:bottom w:val="single" w:sz="6" w:space="0" w:color="auto"/>
              <w:right w:val="single" w:sz="6" w:space="0" w:color="auto"/>
            </w:tcBorders>
          </w:tcPr>
          <w:p w:rsidR="000B542E" w:rsidRDefault="000B542E" w:rsidP="00C3586E">
            <w:pPr>
              <w:pStyle w:val="Box"/>
              <w:spacing w:before="0" w:line="120" w:lineRule="exact"/>
            </w:pPr>
          </w:p>
        </w:tc>
      </w:tr>
      <w:tr w:rsidR="000B542E">
        <w:tc>
          <w:tcPr>
            <w:tcW w:w="8771" w:type="dxa"/>
            <w:tcBorders>
              <w:top w:val="nil"/>
              <w:left w:val="nil"/>
              <w:bottom w:val="nil"/>
              <w:right w:val="nil"/>
            </w:tcBorders>
          </w:tcPr>
          <w:p w:rsidR="000B542E" w:rsidRDefault="000B542E" w:rsidP="00C3586E">
            <w:pPr>
              <w:pStyle w:val="Box"/>
              <w:keepNext w:val="0"/>
              <w:spacing w:before="60" w:after="60" w:line="80" w:lineRule="exact"/>
              <w:rPr>
                <w:b/>
                <w:color w:val="FF00FF"/>
                <w:sz w:val="14"/>
              </w:rPr>
            </w:pPr>
          </w:p>
        </w:tc>
      </w:tr>
    </w:tbl>
    <w:p w:rsidR="00EF2CE2" w:rsidRDefault="00F75EDB" w:rsidP="00C3586E">
      <w:pPr>
        <w:pStyle w:val="BodyText"/>
      </w:pPr>
      <w:r w:rsidRPr="00F75EDB">
        <w:t xml:space="preserve">Development is underway </w:t>
      </w:r>
      <w:r w:rsidR="002311C5">
        <w:t>into</w:t>
      </w:r>
      <w:r w:rsidRPr="00F75EDB">
        <w:t xml:space="preserve"> a broad set of measures for children’s needs using data from the Longitudinal Study of Australian Children</w:t>
      </w:r>
      <w:r w:rsidR="000F37B1">
        <w:t xml:space="preserve"> (</w:t>
      </w:r>
      <w:proofErr w:type="spellStart"/>
      <w:r w:rsidR="000F37B1">
        <w:t>LSAC</w:t>
      </w:r>
      <w:proofErr w:type="spellEnd"/>
      <w:r w:rsidR="000F37B1">
        <w:t>)</w:t>
      </w:r>
      <w:r w:rsidR="00EF2CE2">
        <w:t xml:space="preserve"> </w:t>
      </w:r>
      <w:r w:rsidRPr="00F75EDB">
        <w:t>(</w:t>
      </w:r>
      <w:r w:rsidR="0044573C">
        <w:t>box</w:t>
      </w:r>
      <w:r w:rsidR="00E37C38">
        <w:t> </w:t>
      </w:r>
      <w:r w:rsidR="00923A1C">
        <w:t>3.27</w:t>
      </w:r>
      <w:r w:rsidRPr="00F75EDB">
        <w:t>)</w:t>
      </w:r>
      <w:r w:rsidR="00EF2CE2">
        <w:t xml:space="preserve"> and/or the </w:t>
      </w:r>
      <w:r w:rsidR="00EF2CE2" w:rsidRPr="000A1F1C">
        <w:t>Austr</w:t>
      </w:r>
      <w:r w:rsidR="00EF2CE2">
        <w:t>alian Early Development Index</w:t>
      </w:r>
      <w:r w:rsidR="000F37B1">
        <w:t xml:space="preserve"> (</w:t>
      </w:r>
      <w:proofErr w:type="spellStart"/>
      <w:r w:rsidR="000F37B1">
        <w:t>AEDI</w:t>
      </w:r>
      <w:proofErr w:type="spellEnd"/>
      <w:r w:rsidR="000F37B1">
        <w:t>)</w:t>
      </w:r>
      <w:r w:rsidR="00E37C38">
        <w:t xml:space="preserve"> </w:t>
      </w:r>
      <w:r w:rsidR="00EF2CE2">
        <w:t>(box</w:t>
      </w:r>
      <w:r w:rsidR="00172534">
        <w:t> </w:t>
      </w:r>
      <w:r w:rsidR="00923A1C">
        <w:t>3.28</w:t>
      </w:r>
      <w:r w:rsidR="00EF2CE2">
        <w:t>).</w:t>
      </w:r>
    </w:p>
    <w:p w:rsidR="00C76B62" w:rsidRDefault="00C76B62" w:rsidP="00C3586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76B62">
        <w:tc>
          <w:tcPr>
            <w:tcW w:w="8771" w:type="dxa"/>
            <w:tcBorders>
              <w:top w:val="single" w:sz="6" w:space="0" w:color="auto"/>
              <w:bottom w:val="nil"/>
            </w:tcBorders>
          </w:tcPr>
          <w:p w:rsidR="00C76B62" w:rsidRDefault="00C76B62" w:rsidP="00BA524F">
            <w:pPr>
              <w:pStyle w:val="BoxTitle"/>
            </w:pPr>
            <w:r>
              <w:rPr>
                <w:b w:val="0"/>
              </w:rPr>
              <w:t xml:space="preserve">Box </w:t>
            </w:r>
            <w:bookmarkStart w:id="47" w:name="OLE_LINK69"/>
            <w:r w:rsidR="00923A1C">
              <w:rPr>
                <w:b w:val="0"/>
              </w:rPr>
              <w:t>3.</w:t>
            </w:r>
            <w:bookmarkEnd w:id="47"/>
            <w:r w:rsidR="00BA524F">
              <w:rPr>
                <w:b w:val="0"/>
              </w:rPr>
              <w:t>27</w:t>
            </w:r>
            <w:r>
              <w:tab/>
            </w:r>
            <w:r w:rsidRPr="00F75EDB">
              <w:t>Longitudinal Study of Australian Children</w:t>
            </w:r>
          </w:p>
        </w:tc>
      </w:tr>
      <w:tr w:rsidR="00C76B62">
        <w:trPr>
          <w:cantSplit/>
        </w:trPr>
        <w:tc>
          <w:tcPr>
            <w:tcW w:w="8771" w:type="dxa"/>
            <w:tcBorders>
              <w:top w:val="nil"/>
              <w:left w:val="single" w:sz="6" w:space="0" w:color="auto"/>
              <w:bottom w:val="nil"/>
              <w:right w:val="single" w:sz="6" w:space="0" w:color="auto"/>
            </w:tcBorders>
          </w:tcPr>
          <w:p w:rsidR="00C76B62" w:rsidRDefault="00C76B62" w:rsidP="00C3586E">
            <w:pPr>
              <w:pStyle w:val="Box"/>
            </w:pPr>
            <w:r>
              <w:t>The Longitudinal Study of Australian Children (</w:t>
            </w:r>
            <w:proofErr w:type="spellStart"/>
            <w:r>
              <w:t>LSAC</w:t>
            </w:r>
            <w:proofErr w:type="spellEnd"/>
            <w:r>
              <w:t>) is a longitudinal study on a</w:t>
            </w:r>
            <w:r w:rsidR="00DB57CA">
              <w:t xml:space="preserve"> discrete cohort of children</w:t>
            </w:r>
            <w:r>
              <w:t xml:space="preserve"> that aims to examine the impact of Australia’s unique social, economic and cultural environment on children growing up in Australia today (</w:t>
            </w:r>
            <w:proofErr w:type="spellStart"/>
            <w:r>
              <w:t>AIFS</w:t>
            </w:r>
            <w:proofErr w:type="spellEnd"/>
            <w:r w:rsidR="00581811">
              <w:t> </w:t>
            </w:r>
            <w:proofErr w:type="spellStart"/>
            <w:r>
              <w:t>2005a</w:t>
            </w:r>
            <w:proofErr w:type="spellEnd"/>
            <w:r>
              <w:t>).</w:t>
            </w:r>
          </w:p>
          <w:p w:rsidR="00C76B62" w:rsidRDefault="00C76B62" w:rsidP="00C3586E">
            <w:pPr>
              <w:pStyle w:val="Box"/>
            </w:pPr>
            <w:r>
              <w:t xml:space="preserve">The </w:t>
            </w:r>
            <w:proofErr w:type="spellStart"/>
            <w:r>
              <w:t>LSAC</w:t>
            </w:r>
            <w:proofErr w:type="spellEnd"/>
            <w:r>
              <w:t xml:space="preserve"> was initiated and is funded by </w:t>
            </w:r>
            <w:r w:rsidR="006874BE">
              <w:t>the Department of</w:t>
            </w:r>
            <w:r w:rsidR="00E20A5A">
              <w:t xml:space="preserve"> Social Services</w:t>
            </w:r>
            <w:r>
              <w:t xml:space="preserve">, with the </w:t>
            </w:r>
            <w:r w:rsidR="00581811">
              <w:t>Australian Institute of Family Studies (</w:t>
            </w:r>
            <w:proofErr w:type="spellStart"/>
            <w:r>
              <w:t>AIFS</w:t>
            </w:r>
            <w:proofErr w:type="spellEnd"/>
            <w:r w:rsidR="00581811">
              <w:t>)</w:t>
            </w:r>
            <w:r>
              <w:t xml:space="preserve"> having responsibility for the design and management of the study.</w:t>
            </w:r>
          </w:p>
          <w:p w:rsidR="00C76B62" w:rsidRPr="00446999" w:rsidRDefault="00C76B62" w:rsidP="00C3586E">
            <w:pPr>
              <w:pStyle w:val="Box"/>
            </w:pPr>
            <w:r>
              <w:t xml:space="preserve">The sampling unit for the </w:t>
            </w:r>
            <w:proofErr w:type="spellStart"/>
            <w:r>
              <w:t>LSAC</w:t>
            </w:r>
            <w:proofErr w:type="spellEnd"/>
            <w:r>
              <w:t xml:space="preserve"> is the child. During 2004, the study recruited a sample of 5107 infants (children aged 0</w:t>
            </w:r>
            <w:r w:rsidR="002311C5">
              <w:t>–</w:t>
            </w:r>
            <w:r>
              <w:t>1 year at the time) and 4983 children (children aged 4</w:t>
            </w:r>
            <w:r w:rsidR="002311C5">
              <w:t>–</w:t>
            </w:r>
            <w:r>
              <w:t>5 years at the time)</w:t>
            </w:r>
            <w:r w:rsidR="00D01E28">
              <w:t xml:space="preserve"> (see </w:t>
            </w:r>
            <w:proofErr w:type="spellStart"/>
            <w:r w:rsidR="00D01E28">
              <w:t>AIFS</w:t>
            </w:r>
            <w:proofErr w:type="spellEnd"/>
            <w:r w:rsidR="00D01E28">
              <w:t xml:space="preserve"> </w:t>
            </w:r>
            <w:proofErr w:type="spellStart"/>
            <w:r w:rsidR="00D01E28">
              <w:t>2005a</w:t>
            </w:r>
            <w:proofErr w:type="spellEnd"/>
            <w:r w:rsidR="00D01E28">
              <w:t xml:space="preserve"> for more details).</w:t>
            </w:r>
          </w:p>
          <w:p w:rsidR="00C76B62" w:rsidRPr="00446999" w:rsidRDefault="00C76B62" w:rsidP="00C3586E">
            <w:pPr>
              <w:pStyle w:val="BoxHeading2"/>
            </w:pPr>
            <w:proofErr w:type="spellStart"/>
            <w:r w:rsidRPr="00446999">
              <w:t>LSAC</w:t>
            </w:r>
            <w:proofErr w:type="spellEnd"/>
            <w:r w:rsidRPr="00446999">
              <w:t xml:space="preserve"> and outcomes for children</w:t>
            </w:r>
          </w:p>
          <w:p w:rsidR="00C76B62" w:rsidRDefault="00C76B62" w:rsidP="00C3586E">
            <w:pPr>
              <w:pStyle w:val="Box"/>
            </w:pPr>
            <w:r>
              <w:t xml:space="preserve">The </w:t>
            </w:r>
            <w:proofErr w:type="spellStart"/>
            <w:r>
              <w:t>LSAC</w:t>
            </w:r>
            <w:proofErr w:type="spellEnd"/>
            <w:r>
              <w:t xml:space="preserve"> Outcome Index, attached to each infant and child in the </w:t>
            </w:r>
            <w:r w:rsidR="00446999">
              <w:t>s</w:t>
            </w:r>
            <w:r>
              <w:t>tudy, is a composite measure that indicates how children are dev</w:t>
            </w:r>
            <w:r w:rsidR="00446999">
              <w:t>eloping across p</w:t>
            </w:r>
            <w:r>
              <w:t xml:space="preserve">hysical, </w:t>
            </w:r>
            <w:r w:rsidR="00446999">
              <w:t>s</w:t>
            </w:r>
            <w:r>
              <w:t>ocial/</w:t>
            </w:r>
            <w:r w:rsidR="00446999">
              <w:t>e</w:t>
            </w:r>
            <w:r>
              <w:t xml:space="preserve">motional and </w:t>
            </w:r>
            <w:r w:rsidR="00446999">
              <w:t>l</w:t>
            </w:r>
            <w:r>
              <w:t>earning domains of competence.</w:t>
            </w:r>
            <w:r w:rsidR="0092632D">
              <w:t xml:space="preserve"> It</w:t>
            </w:r>
            <w:r>
              <w:t xml:space="preserve"> provides a means of summarising the development of children across multiple domains and</w:t>
            </w:r>
            <w:r w:rsidR="002311C5">
              <w:t>,</w:t>
            </w:r>
            <w:r>
              <w:t xml:space="preserve"> wherever possible</w:t>
            </w:r>
            <w:r w:rsidR="002311C5">
              <w:t>,</w:t>
            </w:r>
            <w:r>
              <w:t xml:space="preserve"> incorporates both positive and negative outcomes (see </w:t>
            </w:r>
            <w:proofErr w:type="spellStart"/>
            <w:r>
              <w:t>AIFS</w:t>
            </w:r>
            <w:proofErr w:type="spellEnd"/>
            <w:r>
              <w:t xml:space="preserve"> </w:t>
            </w:r>
            <w:proofErr w:type="spellStart"/>
            <w:r>
              <w:t>2005b</w:t>
            </w:r>
            <w:proofErr w:type="spellEnd"/>
            <w:r>
              <w:t xml:space="preserve"> for more details).</w:t>
            </w:r>
          </w:p>
          <w:p w:rsidR="00C76B62" w:rsidRDefault="00C76B62" w:rsidP="00C3586E">
            <w:pPr>
              <w:pStyle w:val="Box"/>
            </w:pPr>
            <w:r>
              <w:t xml:space="preserve">The </w:t>
            </w:r>
            <w:proofErr w:type="spellStart"/>
            <w:r>
              <w:t>LSAC</w:t>
            </w:r>
            <w:proofErr w:type="spellEnd"/>
            <w:r>
              <w:t xml:space="preserve"> Outcome Index is currently being investigated as a possible measure of the developmental outcomes of infants/children in child care/preschool, </w:t>
            </w:r>
            <w:r w:rsidR="00356FD3">
              <w:t>compared with</w:t>
            </w:r>
            <w:r>
              <w:t xml:space="preserve"> those infants/children who are not in child care/preschool.</w:t>
            </w:r>
          </w:p>
        </w:tc>
      </w:tr>
      <w:tr w:rsidR="00C76B62">
        <w:trPr>
          <w:cantSplit/>
        </w:trPr>
        <w:tc>
          <w:tcPr>
            <w:tcW w:w="8771" w:type="dxa"/>
            <w:tcBorders>
              <w:top w:val="nil"/>
              <w:left w:val="single" w:sz="6" w:space="0" w:color="auto"/>
              <w:bottom w:val="single" w:sz="6" w:space="0" w:color="auto"/>
              <w:right w:val="single" w:sz="6" w:space="0" w:color="auto"/>
            </w:tcBorders>
          </w:tcPr>
          <w:p w:rsidR="00C76B62" w:rsidRDefault="00C76B62" w:rsidP="00C3586E">
            <w:pPr>
              <w:pStyle w:val="Box"/>
              <w:spacing w:before="0" w:line="120" w:lineRule="exact"/>
            </w:pPr>
          </w:p>
        </w:tc>
      </w:tr>
      <w:tr w:rsidR="00C76B62">
        <w:tc>
          <w:tcPr>
            <w:tcW w:w="8771" w:type="dxa"/>
            <w:tcBorders>
              <w:top w:val="nil"/>
              <w:left w:val="nil"/>
              <w:bottom w:val="nil"/>
              <w:right w:val="nil"/>
            </w:tcBorders>
          </w:tcPr>
          <w:p w:rsidR="00C76B62" w:rsidRDefault="00C76B62" w:rsidP="00C3586E">
            <w:pPr>
              <w:pStyle w:val="Box"/>
              <w:keepNext w:val="0"/>
              <w:spacing w:before="60" w:after="60" w:line="80" w:lineRule="exact"/>
              <w:rPr>
                <w:b/>
                <w:color w:val="FF00FF"/>
                <w:sz w:val="14"/>
              </w:rPr>
            </w:pPr>
          </w:p>
        </w:tc>
      </w:tr>
    </w:tbl>
    <w:p w:rsidR="007C2186" w:rsidRDefault="007C2186" w:rsidP="00C3586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C2186" w:rsidTr="009E1EFB">
        <w:tc>
          <w:tcPr>
            <w:tcW w:w="8771" w:type="dxa"/>
            <w:tcBorders>
              <w:top w:val="single" w:sz="6" w:space="0" w:color="auto"/>
              <w:bottom w:val="nil"/>
            </w:tcBorders>
          </w:tcPr>
          <w:p w:rsidR="007C2186" w:rsidRDefault="007C2186" w:rsidP="00BA524F">
            <w:pPr>
              <w:pStyle w:val="BoxTitle"/>
            </w:pPr>
            <w:r>
              <w:rPr>
                <w:b w:val="0"/>
              </w:rPr>
              <w:t xml:space="preserve">Box </w:t>
            </w:r>
            <w:bookmarkStart w:id="48" w:name="OLE_LINK54"/>
            <w:r w:rsidR="00923A1C">
              <w:rPr>
                <w:b w:val="0"/>
              </w:rPr>
              <w:t>3.</w:t>
            </w:r>
            <w:bookmarkEnd w:id="48"/>
            <w:r w:rsidR="00BA524F">
              <w:rPr>
                <w:b w:val="0"/>
              </w:rPr>
              <w:t>28</w:t>
            </w:r>
            <w:r>
              <w:tab/>
            </w:r>
            <w:r w:rsidRPr="000A1F1C">
              <w:t>Australian Early Development Index</w:t>
            </w:r>
          </w:p>
        </w:tc>
      </w:tr>
      <w:tr w:rsidR="007C2186" w:rsidTr="00B52561">
        <w:trPr>
          <w:cantSplit/>
        </w:trPr>
        <w:tc>
          <w:tcPr>
            <w:tcW w:w="8771" w:type="dxa"/>
            <w:tcBorders>
              <w:top w:val="nil"/>
              <w:left w:val="single" w:sz="6" w:space="0" w:color="auto"/>
              <w:bottom w:val="nil"/>
              <w:right w:val="single" w:sz="4" w:space="0" w:color="auto"/>
            </w:tcBorders>
            <w:shd w:val="clear" w:color="auto" w:fill="FFFFFF" w:themeFill="background1"/>
          </w:tcPr>
          <w:p w:rsidR="00651F6D" w:rsidRPr="00546F8C" w:rsidRDefault="00651F6D" w:rsidP="00651F6D">
            <w:pPr>
              <w:pStyle w:val="Box"/>
            </w:pPr>
            <w:r w:rsidRPr="00546F8C">
              <w:t>The Australian Early Development Index (</w:t>
            </w:r>
            <w:proofErr w:type="spellStart"/>
            <w:r w:rsidRPr="00546F8C">
              <w:t>AEDI</w:t>
            </w:r>
            <w:proofErr w:type="spellEnd"/>
            <w:r w:rsidRPr="00546F8C">
              <w:t>) is a population based measure of how children have developed by the time they start school across five areas of early childhood develo</w:t>
            </w:r>
            <w:r w:rsidR="00BA524F">
              <w:t>pment: physical health and well</w:t>
            </w:r>
            <w:r w:rsidRPr="00546F8C">
              <w:t xml:space="preserve">being; social competence; emotional maturity; language and cognitive skills; and communication skills and general knowledge. </w:t>
            </w:r>
          </w:p>
          <w:p w:rsidR="00651F6D" w:rsidRPr="00546F8C" w:rsidRDefault="00651F6D" w:rsidP="00651F6D">
            <w:pPr>
              <w:pStyle w:val="Box"/>
            </w:pPr>
            <w:r w:rsidRPr="00546F8C">
              <w:t xml:space="preserve">The </w:t>
            </w:r>
            <w:proofErr w:type="spellStart"/>
            <w:r w:rsidRPr="00546F8C">
              <w:t>AEDI</w:t>
            </w:r>
            <w:proofErr w:type="spellEnd"/>
            <w:r w:rsidRPr="00546F8C">
              <w:t xml:space="preserve"> results provide a snapshot of how children in the local area have developed by the time they start school. They can help governments </w:t>
            </w:r>
            <w:r w:rsidR="00662FF3" w:rsidRPr="00546F8C">
              <w:t>and communities understand what is</w:t>
            </w:r>
            <w:r w:rsidRPr="00546F8C">
              <w:t xml:space="preserve"> working well and what needs to be improved or developed to better support children and their families. Together with other socio demographic and community information, the </w:t>
            </w:r>
            <w:proofErr w:type="spellStart"/>
            <w:r w:rsidRPr="00546F8C">
              <w:t>AEDI</w:t>
            </w:r>
            <w:proofErr w:type="spellEnd"/>
            <w:r w:rsidRPr="00546F8C">
              <w:t xml:space="preserve"> results are a powerful tool for influencing planning and policy around early childhood development. </w:t>
            </w:r>
          </w:p>
          <w:p w:rsidR="00651F6D" w:rsidRPr="00546F8C" w:rsidRDefault="00651F6D" w:rsidP="00651F6D">
            <w:pPr>
              <w:pStyle w:val="Box"/>
            </w:pPr>
            <w:r w:rsidRPr="00546F8C">
              <w:t xml:space="preserve">The </w:t>
            </w:r>
            <w:proofErr w:type="spellStart"/>
            <w:r w:rsidRPr="00546F8C">
              <w:t>AEDI</w:t>
            </w:r>
            <w:proofErr w:type="spellEnd"/>
            <w:r w:rsidRPr="00546F8C">
              <w:t xml:space="preserve"> has been endorsed by </w:t>
            </w:r>
            <w:proofErr w:type="spellStart"/>
            <w:r w:rsidRPr="00546F8C">
              <w:t>COAG</w:t>
            </w:r>
            <w:proofErr w:type="spellEnd"/>
            <w:r w:rsidRPr="00546F8C">
              <w:t xml:space="preserve"> as a national progress measure of early childhood development and all Australian governments have agreed to use the </w:t>
            </w:r>
            <w:proofErr w:type="spellStart"/>
            <w:r w:rsidRPr="00546F8C">
              <w:t>AEDI</w:t>
            </w:r>
            <w:proofErr w:type="spellEnd"/>
            <w:r w:rsidRPr="00546F8C">
              <w:t xml:space="preserve"> results to inform early development policy and investments. </w:t>
            </w:r>
          </w:p>
          <w:p w:rsidR="00C305C0" w:rsidRDefault="00651F6D" w:rsidP="00651F6D">
            <w:pPr>
              <w:pStyle w:val="Box"/>
            </w:pPr>
            <w:r w:rsidRPr="00546F8C">
              <w:t xml:space="preserve">The Australian Government and State and Territory </w:t>
            </w:r>
            <w:r w:rsidR="00662FF3" w:rsidRPr="00546F8C">
              <w:t>g</w:t>
            </w:r>
            <w:r w:rsidRPr="00546F8C">
              <w:t>overnments are working in partnership with The Royal Children’s Hospital Centre for Community Child Health in Melbourne, the Murdoch Children’s Research Institute and the Telethon Insti</w:t>
            </w:r>
            <w:r w:rsidR="00DB57CA">
              <w:t xml:space="preserve">tute for Child Health Research in </w:t>
            </w:r>
            <w:r w:rsidRPr="00546F8C">
              <w:t xml:space="preserve">Perth, to deliver the </w:t>
            </w:r>
            <w:proofErr w:type="spellStart"/>
            <w:r w:rsidRPr="00546F8C">
              <w:t>AEDI</w:t>
            </w:r>
            <w:proofErr w:type="spellEnd"/>
            <w:r w:rsidR="00B70173" w:rsidRPr="00546F8C">
              <w:t>. The Social Research Centre</w:t>
            </w:r>
            <w:r w:rsidRPr="00546F8C">
              <w:t xml:space="preserve"> manage</w:t>
            </w:r>
            <w:r w:rsidR="00B70173" w:rsidRPr="00546F8C">
              <w:t>d</w:t>
            </w:r>
            <w:r w:rsidRPr="00546F8C">
              <w:t xml:space="preserve"> the 2012 data collection. In 2011, the Australian Government made a commitment to collect these data every three years, representing an investment of $28</w:t>
            </w:r>
            <w:r w:rsidR="00662FF3" w:rsidRPr="00546F8C">
              <w:t> </w:t>
            </w:r>
            <w:r w:rsidRPr="00546F8C">
              <w:t xml:space="preserve">million per collection cycle. </w:t>
            </w:r>
          </w:p>
          <w:p w:rsidR="00651F6D" w:rsidRPr="00A3370E" w:rsidRDefault="00651F6D" w:rsidP="00651F6D">
            <w:pPr>
              <w:pStyle w:val="Box"/>
              <w:rPr>
                <w:b/>
                <w:color w:val="FF0000"/>
                <w:sz w:val="24"/>
                <w:u w:val="dotted"/>
              </w:rPr>
            </w:pPr>
            <w:r w:rsidRPr="00546F8C">
              <w:t xml:space="preserve">The first national collection of the </w:t>
            </w:r>
            <w:proofErr w:type="spellStart"/>
            <w:r w:rsidRPr="00546F8C">
              <w:t>AEDI</w:t>
            </w:r>
            <w:proofErr w:type="spellEnd"/>
            <w:r w:rsidRPr="00546F8C">
              <w:t xml:space="preserve"> took place between May and July 2009, with data collected on 97.5 per cent of the estimate</w:t>
            </w:r>
            <w:r w:rsidR="00751B02">
              <w:t xml:space="preserve">d five year </w:t>
            </w:r>
            <w:r w:rsidR="00662FF3" w:rsidRPr="00546F8C">
              <w:t xml:space="preserve">old population </w:t>
            </w:r>
            <w:r w:rsidR="00773686">
              <w:br/>
            </w:r>
            <w:r w:rsidR="00662FF3" w:rsidRPr="00546F8C">
              <w:t>(261</w:t>
            </w:r>
            <w:r w:rsidR="00172534">
              <w:t> </w:t>
            </w:r>
            <w:r w:rsidRPr="00546F8C">
              <w:t>203 children) in their first year of full time school. The 2012 data collection took place fr</w:t>
            </w:r>
            <w:r w:rsidR="00B133CA" w:rsidRPr="00546F8C">
              <w:t>om 1</w:t>
            </w:r>
            <w:r w:rsidR="00172534">
              <w:t> </w:t>
            </w:r>
            <w:r w:rsidR="00B133CA" w:rsidRPr="00546F8C">
              <w:t>May 2012 to 31</w:t>
            </w:r>
            <w:r w:rsidR="00172534">
              <w:t> </w:t>
            </w:r>
            <w:r w:rsidR="00B133CA" w:rsidRPr="00546F8C">
              <w:t xml:space="preserve">July 2012. </w:t>
            </w:r>
            <w:r w:rsidRPr="00546F8C">
              <w:t xml:space="preserve">Data </w:t>
            </w:r>
            <w:r w:rsidR="00B70173" w:rsidRPr="00546F8C">
              <w:t>were collected on 289</w:t>
            </w:r>
            <w:r w:rsidR="00172534">
              <w:t> </w:t>
            </w:r>
            <w:r w:rsidR="00B70173" w:rsidRPr="00546F8C">
              <w:t>973</w:t>
            </w:r>
            <w:r w:rsidRPr="00546F8C">
              <w:t xml:space="preserve"> children, covering almost 7500 schools and almost 16</w:t>
            </w:r>
            <w:r w:rsidR="00662FF3" w:rsidRPr="00546F8C">
              <w:t> </w:t>
            </w:r>
            <w:r w:rsidRPr="00546F8C">
              <w:t xml:space="preserve">500 teachers. </w:t>
            </w:r>
            <w:proofErr w:type="spellStart"/>
            <w:r w:rsidRPr="00546F8C">
              <w:t>AEDI</w:t>
            </w:r>
            <w:proofErr w:type="spellEnd"/>
            <w:r w:rsidRPr="00546F8C">
              <w:t xml:space="preserve"> </w:t>
            </w:r>
            <w:r w:rsidR="00B70173" w:rsidRPr="00546F8C">
              <w:t xml:space="preserve">2012 </w:t>
            </w:r>
            <w:r w:rsidRPr="00546F8C">
              <w:t xml:space="preserve">results </w:t>
            </w:r>
            <w:r w:rsidR="00546F8C" w:rsidRPr="00546F8C">
              <w:t xml:space="preserve">represent </w:t>
            </w:r>
            <w:r w:rsidRPr="00546F8C">
              <w:t>96</w:t>
            </w:r>
            <w:r w:rsidR="00C305C0">
              <w:t>.5</w:t>
            </w:r>
            <w:r w:rsidRPr="00546F8C">
              <w:t xml:space="preserve"> per cent of Australian children</w:t>
            </w:r>
            <w:r w:rsidR="00546F8C" w:rsidRPr="00546F8C">
              <w:t xml:space="preserve"> enrolled to begin school in 2012</w:t>
            </w:r>
            <w:r w:rsidRPr="00546F8C">
              <w:t xml:space="preserve">. </w:t>
            </w:r>
          </w:p>
          <w:p w:rsidR="00C305C0" w:rsidRPr="00546F8C" w:rsidRDefault="00C305C0" w:rsidP="00651F6D">
            <w:pPr>
              <w:pStyle w:val="Box"/>
            </w:pPr>
            <w:r>
              <w:t>The 2012 results showed that the majority of children were doing well against each of the five developmental domains. However, 22.0 per cent of children were developmentally vulnerable on one or more domains in 2012, compared with 23.6 per cent in 2009. Nationally, 10.8 per cent of children were developmentally vulnerable on two or more domains in 2012, compared with 11.8 per cent in 2009.</w:t>
            </w:r>
          </w:p>
          <w:p w:rsidR="00651F6D" w:rsidRPr="00546F8C" w:rsidRDefault="00B133CA" w:rsidP="00651F6D">
            <w:pPr>
              <w:pStyle w:val="Box"/>
            </w:pPr>
            <w:r w:rsidRPr="00546F8C">
              <w:t xml:space="preserve">The Child care, education and training </w:t>
            </w:r>
            <w:r w:rsidR="00651F6D" w:rsidRPr="00546F8C">
              <w:t xml:space="preserve">sector overview in this Report includes </w:t>
            </w:r>
            <w:proofErr w:type="spellStart"/>
            <w:r w:rsidR="00651F6D" w:rsidRPr="00546F8C">
              <w:t>AEDI</w:t>
            </w:r>
            <w:proofErr w:type="spellEnd"/>
            <w:r w:rsidR="00651F6D" w:rsidRPr="00546F8C">
              <w:t xml:space="preserve"> data on the proportion of children developmentally on track in at least four domain</w:t>
            </w:r>
            <w:r w:rsidR="00B70173" w:rsidRPr="00546F8C">
              <w:t>s as they entered school in 2012</w:t>
            </w:r>
            <w:r w:rsidR="00651F6D" w:rsidRPr="00546F8C">
              <w:t xml:space="preserve">. </w:t>
            </w:r>
          </w:p>
          <w:p w:rsidR="004F7AF7" w:rsidRPr="00546F8C" w:rsidRDefault="00651F6D" w:rsidP="00651F6D">
            <w:pPr>
              <w:pStyle w:val="Box"/>
            </w:pPr>
            <w:r w:rsidRPr="00546F8C">
              <w:t xml:space="preserve">Additional information on the </w:t>
            </w:r>
            <w:proofErr w:type="spellStart"/>
            <w:r w:rsidRPr="00546F8C">
              <w:t>AEDI</w:t>
            </w:r>
            <w:proofErr w:type="spellEnd"/>
            <w:r w:rsidRPr="00546F8C">
              <w:t xml:space="preserve">, including access to the </w:t>
            </w:r>
            <w:r w:rsidR="00B70173" w:rsidRPr="00546F8C">
              <w:t>2012</w:t>
            </w:r>
            <w:r w:rsidRPr="00546F8C">
              <w:t xml:space="preserve"> National Report, community maps and community profiles, are availa</w:t>
            </w:r>
            <w:r w:rsidR="004B03E7">
              <w:t xml:space="preserve">ble on the </w:t>
            </w:r>
            <w:proofErr w:type="spellStart"/>
            <w:r w:rsidR="004B03E7">
              <w:t>AEDI</w:t>
            </w:r>
            <w:proofErr w:type="spellEnd"/>
            <w:r w:rsidR="004B03E7">
              <w:t xml:space="preserve"> website </w:t>
            </w:r>
            <w:proofErr w:type="spellStart"/>
            <w:r w:rsidR="004B03E7">
              <w:t>www.rch</w:t>
            </w:r>
            <w:r w:rsidRPr="00546F8C">
              <w:t>.org.au</w:t>
            </w:r>
            <w:proofErr w:type="spellEnd"/>
            <w:r w:rsidR="004B03E7">
              <w:t>/</w:t>
            </w:r>
            <w:proofErr w:type="spellStart"/>
            <w:r w:rsidR="004B03E7">
              <w:t>aedi</w:t>
            </w:r>
            <w:proofErr w:type="spellEnd"/>
            <w:r w:rsidRPr="00546F8C">
              <w:t>.</w:t>
            </w:r>
          </w:p>
        </w:tc>
      </w:tr>
      <w:tr w:rsidR="007C2186">
        <w:trPr>
          <w:cantSplit/>
        </w:trPr>
        <w:tc>
          <w:tcPr>
            <w:tcW w:w="8771" w:type="dxa"/>
            <w:tcBorders>
              <w:top w:val="nil"/>
              <w:left w:val="single" w:sz="6" w:space="0" w:color="auto"/>
              <w:bottom w:val="nil"/>
              <w:right w:val="single" w:sz="6" w:space="0" w:color="auto"/>
            </w:tcBorders>
          </w:tcPr>
          <w:p w:rsidR="007C2186" w:rsidRPr="00546F8C" w:rsidRDefault="0074558C" w:rsidP="00710600">
            <w:pPr>
              <w:pStyle w:val="BoxSource"/>
            </w:pPr>
            <w:r w:rsidRPr="00546F8C">
              <w:t xml:space="preserve">Source: </w:t>
            </w:r>
            <w:r w:rsidR="007A68DA" w:rsidRPr="00546F8C">
              <w:t>Department of Education</w:t>
            </w:r>
            <w:r w:rsidR="00710600">
              <w:t>, Employment and Workplace Relations</w:t>
            </w:r>
            <w:r w:rsidR="00A928BB">
              <w:t xml:space="preserve"> (</w:t>
            </w:r>
            <w:proofErr w:type="spellStart"/>
            <w:r w:rsidR="00A928BB">
              <w:t>DEEWR</w:t>
            </w:r>
            <w:proofErr w:type="spellEnd"/>
            <w:r w:rsidR="00A928BB">
              <w:t>)</w:t>
            </w:r>
            <w:r w:rsidR="007A68DA" w:rsidRPr="00546F8C">
              <w:t xml:space="preserve"> </w:t>
            </w:r>
            <w:r w:rsidR="004F7AF7" w:rsidRPr="00546F8C">
              <w:t>(</w:t>
            </w:r>
            <w:r w:rsidR="00710600">
              <w:t xml:space="preserve">2013 and </w:t>
            </w:r>
            <w:r w:rsidR="004F7AF7" w:rsidRPr="00546F8C">
              <w:t>unpublished)</w:t>
            </w:r>
            <w:r w:rsidR="00740DB3">
              <w:t>.</w:t>
            </w:r>
          </w:p>
        </w:tc>
      </w:tr>
      <w:tr w:rsidR="007C2186">
        <w:trPr>
          <w:cantSplit/>
        </w:trPr>
        <w:tc>
          <w:tcPr>
            <w:tcW w:w="8771" w:type="dxa"/>
            <w:tcBorders>
              <w:top w:val="nil"/>
              <w:left w:val="single" w:sz="6" w:space="0" w:color="auto"/>
              <w:bottom w:val="single" w:sz="6" w:space="0" w:color="auto"/>
              <w:right w:val="single" w:sz="6" w:space="0" w:color="auto"/>
            </w:tcBorders>
          </w:tcPr>
          <w:p w:rsidR="007C2186" w:rsidRDefault="007C2186" w:rsidP="00C3586E">
            <w:pPr>
              <w:pStyle w:val="Box"/>
              <w:spacing w:before="0" w:line="120" w:lineRule="exact"/>
            </w:pPr>
          </w:p>
        </w:tc>
      </w:tr>
      <w:tr w:rsidR="007C2186">
        <w:tc>
          <w:tcPr>
            <w:tcW w:w="8771" w:type="dxa"/>
            <w:tcBorders>
              <w:top w:val="nil"/>
              <w:left w:val="nil"/>
              <w:bottom w:val="nil"/>
              <w:right w:val="nil"/>
            </w:tcBorders>
          </w:tcPr>
          <w:p w:rsidR="007C2186" w:rsidRDefault="007C2186" w:rsidP="00C3586E">
            <w:pPr>
              <w:pStyle w:val="Box"/>
              <w:keepNext w:val="0"/>
              <w:spacing w:before="60" w:after="60" w:line="80" w:lineRule="exact"/>
              <w:rPr>
                <w:b/>
                <w:color w:val="FF00FF"/>
                <w:sz w:val="14"/>
              </w:rPr>
            </w:pPr>
          </w:p>
        </w:tc>
      </w:tr>
    </w:tbl>
    <w:p w:rsidR="00AB10B9" w:rsidRDefault="00AB10B9" w:rsidP="00EA3A62">
      <w:pPr>
        <w:pStyle w:val="Heading5"/>
      </w:pPr>
      <w:r>
        <w:lastRenderedPageBreak/>
        <w:t>Cost</w:t>
      </w:r>
      <w:r w:rsidR="00172534">
        <w:noBreakHyphen/>
      </w:r>
      <w:r>
        <w:t>effectiveness</w:t>
      </w:r>
    </w:p>
    <w:p w:rsidR="00AB10B9" w:rsidRDefault="00AB10B9" w:rsidP="00C3586E">
      <w:pPr>
        <w:pStyle w:val="BodyText"/>
      </w:pPr>
      <w:r w:rsidRPr="000B542E">
        <w:t>‘Cost</w:t>
      </w:r>
      <w:r w:rsidR="00172534">
        <w:noBreakHyphen/>
      </w:r>
      <w:r w:rsidRPr="000B542E">
        <w:t xml:space="preserve">effectiveness’ is an indicator of </w:t>
      </w:r>
      <w:r w:rsidR="00440AA3">
        <w:t xml:space="preserve">early childhood education and care </w:t>
      </w:r>
      <w:r>
        <w:t>being provided in an effective and efficient manner</w:t>
      </w:r>
      <w:r w:rsidRPr="000B542E">
        <w:t xml:space="preserve"> (box</w:t>
      </w:r>
      <w:r>
        <w:t> </w:t>
      </w:r>
      <w:r w:rsidR="00C335FD">
        <w:t>3.29</w:t>
      </w:r>
      <w:r w:rsidRPr="000B542E">
        <w:t>).</w:t>
      </w:r>
    </w:p>
    <w:p w:rsidR="00AB10B9" w:rsidRDefault="00AB10B9" w:rsidP="00C3586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B10B9">
        <w:tc>
          <w:tcPr>
            <w:tcW w:w="8771" w:type="dxa"/>
            <w:tcBorders>
              <w:top w:val="single" w:sz="6" w:space="0" w:color="auto"/>
              <w:bottom w:val="nil"/>
            </w:tcBorders>
          </w:tcPr>
          <w:p w:rsidR="00AB10B9" w:rsidRDefault="00AB10B9" w:rsidP="00BA524F">
            <w:pPr>
              <w:pStyle w:val="BoxTitle"/>
            </w:pPr>
            <w:r>
              <w:rPr>
                <w:b w:val="0"/>
              </w:rPr>
              <w:t xml:space="preserve">Box </w:t>
            </w:r>
            <w:bookmarkStart w:id="49" w:name="OLE_LINK22"/>
            <w:r>
              <w:rPr>
                <w:b w:val="0"/>
              </w:rPr>
              <w:t>3.</w:t>
            </w:r>
            <w:bookmarkEnd w:id="49"/>
            <w:r w:rsidR="00BA524F">
              <w:rPr>
                <w:b w:val="0"/>
              </w:rPr>
              <w:t>29</w:t>
            </w:r>
            <w:r>
              <w:tab/>
              <w:t>Cost effectiveness</w:t>
            </w:r>
          </w:p>
        </w:tc>
      </w:tr>
      <w:tr w:rsidR="00AB10B9">
        <w:trPr>
          <w:cantSplit/>
        </w:trPr>
        <w:tc>
          <w:tcPr>
            <w:tcW w:w="8771" w:type="dxa"/>
            <w:tcBorders>
              <w:top w:val="nil"/>
              <w:left w:val="single" w:sz="6" w:space="0" w:color="auto"/>
              <w:bottom w:val="nil"/>
              <w:right w:val="single" w:sz="6" w:space="0" w:color="auto"/>
            </w:tcBorders>
          </w:tcPr>
          <w:p w:rsidR="00AB10B9" w:rsidRDefault="00AB10B9" w:rsidP="00C3586E">
            <w:pPr>
              <w:pStyle w:val="Box"/>
            </w:pPr>
            <w:r>
              <w:t xml:space="preserve">‘Cost effectiveness’ is an indicator of governments’ objective to provide </w:t>
            </w:r>
            <w:r w:rsidR="00440AA3">
              <w:t xml:space="preserve">early childhood education and care </w:t>
            </w:r>
            <w:r>
              <w:t xml:space="preserve">in an effective and efficient manner. </w:t>
            </w:r>
          </w:p>
          <w:p w:rsidR="00AB10B9" w:rsidRDefault="00AB10B9" w:rsidP="00440AA3">
            <w:pPr>
              <w:pStyle w:val="Box"/>
            </w:pPr>
            <w:r>
              <w:t>This indicator has been identified for development and reporting in future. Data</w:t>
            </w:r>
            <w:r w:rsidR="0065673A">
              <w:t xml:space="preserve"> are</w:t>
            </w:r>
            <w:r w:rsidR="00C335FD">
              <w:t xml:space="preserve"> not available for the 201</w:t>
            </w:r>
            <w:r w:rsidR="00DB57CA">
              <w:t>4</w:t>
            </w:r>
            <w:r>
              <w:t xml:space="preserve"> Report.</w:t>
            </w:r>
          </w:p>
        </w:tc>
      </w:tr>
      <w:tr w:rsidR="00AB10B9">
        <w:trPr>
          <w:cantSplit/>
        </w:trPr>
        <w:tc>
          <w:tcPr>
            <w:tcW w:w="8771" w:type="dxa"/>
            <w:tcBorders>
              <w:top w:val="nil"/>
              <w:left w:val="single" w:sz="6" w:space="0" w:color="auto"/>
              <w:bottom w:val="single" w:sz="6" w:space="0" w:color="auto"/>
              <w:right w:val="single" w:sz="6" w:space="0" w:color="auto"/>
            </w:tcBorders>
          </w:tcPr>
          <w:p w:rsidR="00AB10B9" w:rsidRDefault="00AB10B9" w:rsidP="00C3586E">
            <w:pPr>
              <w:pStyle w:val="Box"/>
              <w:spacing w:before="0" w:line="120" w:lineRule="exact"/>
            </w:pPr>
          </w:p>
        </w:tc>
      </w:tr>
      <w:tr w:rsidR="00AB10B9">
        <w:tc>
          <w:tcPr>
            <w:tcW w:w="8771" w:type="dxa"/>
            <w:tcBorders>
              <w:top w:val="nil"/>
              <w:left w:val="nil"/>
              <w:bottom w:val="nil"/>
              <w:right w:val="nil"/>
            </w:tcBorders>
          </w:tcPr>
          <w:p w:rsidR="00AB10B9" w:rsidRDefault="00AB10B9" w:rsidP="00C3586E">
            <w:pPr>
              <w:pStyle w:val="Box"/>
              <w:keepNext w:val="0"/>
              <w:spacing w:before="60" w:after="60" w:line="80" w:lineRule="exact"/>
              <w:rPr>
                <w:b/>
                <w:color w:val="FF00FF"/>
                <w:sz w:val="14"/>
              </w:rPr>
            </w:pPr>
          </w:p>
        </w:tc>
      </w:tr>
    </w:tbl>
    <w:p w:rsidR="00775BDF" w:rsidRDefault="00923A1C" w:rsidP="00C3586E">
      <w:pPr>
        <w:pStyle w:val="Heading2"/>
      </w:pPr>
      <w:bookmarkStart w:id="50" w:name="_Toc372900001"/>
      <w:r>
        <w:t>3.</w:t>
      </w:r>
      <w:r w:rsidR="002E4BE8">
        <w:rPr>
          <w:noProof/>
        </w:rPr>
        <w:t>4</w:t>
      </w:r>
      <w:r w:rsidR="00775BDF">
        <w:tab/>
      </w:r>
      <w:r w:rsidR="00775BDF" w:rsidRPr="000B542E">
        <w:t>Future directions in performance reporting</w:t>
      </w:r>
      <w:bookmarkEnd w:id="50"/>
    </w:p>
    <w:p w:rsidR="000B542E" w:rsidRDefault="000B542E" w:rsidP="008B42D1">
      <w:pPr>
        <w:pStyle w:val="BodyText"/>
      </w:pPr>
      <w:r w:rsidRPr="000B542E">
        <w:t>The Steering Committee is committed to improving the comparability, completeness and overall quality of reported data for all indicators included within the performance indicator framework.</w:t>
      </w:r>
    </w:p>
    <w:p w:rsidR="000B542E" w:rsidRDefault="000B542E" w:rsidP="00C3586E">
      <w:pPr>
        <w:pStyle w:val="Heading3"/>
      </w:pPr>
      <w:r w:rsidRPr="000B542E">
        <w:t>Improving reporting of existing indicators</w:t>
      </w:r>
    </w:p>
    <w:p w:rsidR="0037252E" w:rsidRDefault="000B542E" w:rsidP="00171F72">
      <w:pPr>
        <w:pStyle w:val="BodyText"/>
      </w:pPr>
      <w:r w:rsidRPr="000B542E">
        <w:t xml:space="preserve">Changes in the </w:t>
      </w:r>
      <w:r w:rsidR="00440AA3">
        <w:t xml:space="preserve">early childhood education and care </w:t>
      </w:r>
      <w:r w:rsidR="0092632D">
        <w:t xml:space="preserve">sector </w:t>
      </w:r>
      <w:r w:rsidRPr="000B542E">
        <w:t xml:space="preserve">have required jurisdictions to revise collection methods, and these revisions have </w:t>
      </w:r>
      <w:r w:rsidR="001105AB">
        <w:t>improved the reporting</w:t>
      </w:r>
      <w:r w:rsidR="00DB57CA">
        <w:t xml:space="preserve"> of existing indicators but </w:t>
      </w:r>
      <w:r w:rsidR="001105AB">
        <w:t xml:space="preserve">have </w:t>
      </w:r>
      <w:r w:rsidRPr="000B542E">
        <w:t xml:space="preserve">reduced the comparability of </w:t>
      </w:r>
      <w:r w:rsidR="008F66FA">
        <w:t>some time series</w:t>
      </w:r>
      <w:r w:rsidR="00EC3125">
        <w:t xml:space="preserve"> data</w:t>
      </w:r>
      <w:r w:rsidRPr="000B542E">
        <w:t>. Further work is planned to improve the consistency and comparability of performance information across jurisdictions</w:t>
      </w:r>
      <w:r w:rsidR="00C84041">
        <w:t>.</w:t>
      </w:r>
      <w:r w:rsidR="00186A79">
        <w:t xml:space="preserve"> Pos</w:t>
      </w:r>
      <w:r w:rsidR="00F06C8A">
        <w:t xml:space="preserve">sible improvements </w:t>
      </w:r>
      <w:r w:rsidR="00DB57CA">
        <w:t xml:space="preserve">in data quality </w:t>
      </w:r>
      <w:r w:rsidR="00F06C8A">
        <w:t xml:space="preserve">may occur from </w:t>
      </w:r>
      <w:r w:rsidR="00186A79">
        <w:t xml:space="preserve">future developments </w:t>
      </w:r>
      <w:r w:rsidR="00F06C8A">
        <w:t xml:space="preserve">in the National </w:t>
      </w:r>
      <w:proofErr w:type="spellStart"/>
      <w:r w:rsidR="00F06C8A">
        <w:t>ECEC</w:t>
      </w:r>
      <w:proofErr w:type="spellEnd"/>
      <w:r w:rsidR="00F06C8A">
        <w:t xml:space="preserve"> Collection and an increasing proportion of approved services assessed and rated against the </w:t>
      </w:r>
      <w:proofErr w:type="spellStart"/>
      <w:r w:rsidR="00F06C8A">
        <w:t>NQS</w:t>
      </w:r>
      <w:proofErr w:type="spellEnd"/>
      <w:r w:rsidR="00F06C8A">
        <w:t>.</w:t>
      </w:r>
    </w:p>
    <w:p w:rsidR="000B542E" w:rsidRPr="00C274FE" w:rsidRDefault="000B542E" w:rsidP="00C3586E">
      <w:pPr>
        <w:pStyle w:val="Heading3"/>
      </w:pPr>
      <w:r w:rsidRPr="00C274FE">
        <w:t>Future indicator development</w:t>
      </w:r>
    </w:p>
    <w:p w:rsidR="0037252E" w:rsidRPr="00D6543A" w:rsidRDefault="000B542E" w:rsidP="00D6543A">
      <w:pPr>
        <w:pStyle w:val="BodyText"/>
      </w:pPr>
      <w:r w:rsidRPr="003F5A83">
        <w:t xml:space="preserve">The </w:t>
      </w:r>
      <w:r w:rsidR="002311C5">
        <w:t>Steering Committee</w:t>
      </w:r>
      <w:r w:rsidRPr="003F5A83">
        <w:t xml:space="preserve"> will </w:t>
      </w:r>
      <w:r w:rsidRPr="00D17AA6">
        <w:t>continue to improve the appropriateness and completeness of the performance indicator framework. Future wo</w:t>
      </w:r>
      <w:r w:rsidR="00D6543A">
        <w:t>rk on indicators will focus on:</w:t>
      </w:r>
    </w:p>
    <w:p w:rsidR="003F5A83" w:rsidRPr="008B42D1" w:rsidRDefault="0037252E" w:rsidP="00471D41">
      <w:pPr>
        <w:pStyle w:val="ListBullet"/>
      </w:pPr>
      <w:r w:rsidRPr="00D6543A">
        <w:t>reporting</w:t>
      </w:r>
      <w:r w:rsidR="003F5A83" w:rsidRPr="00D6543A">
        <w:t xml:space="preserve"> on child care </w:t>
      </w:r>
      <w:r w:rsidR="00D17AA6" w:rsidRPr="00D6543A">
        <w:t>and pres</w:t>
      </w:r>
      <w:r w:rsidRPr="00D6543A">
        <w:t xml:space="preserve">chool service </w:t>
      </w:r>
      <w:r w:rsidRPr="008B42D1">
        <w:t>availability</w:t>
      </w:r>
    </w:p>
    <w:p w:rsidR="00A4238E" w:rsidRPr="008B42D1" w:rsidRDefault="00A4238E" w:rsidP="00471D41">
      <w:pPr>
        <w:pStyle w:val="ListBullet"/>
      </w:pPr>
      <w:r w:rsidRPr="008B42D1">
        <w:t xml:space="preserve">developing indicators to measure the extent to which </w:t>
      </w:r>
      <w:r w:rsidR="00981445" w:rsidRPr="00981445">
        <w:t>early childhood education and care</w:t>
      </w:r>
      <w:r w:rsidRPr="008B42D1">
        <w:t xml:space="preserve"> services meet children’s needs</w:t>
      </w:r>
    </w:p>
    <w:p w:rsidR="00D6543A" w:rsidRPr="008B42D1" w:rsidRDefault="00D6543A" w:rsidP="00471D41">
      <w:pPr>
        <w:pStyle w:val="ListBullet"/>
      </w:pPr>
      <w:r w:rsidRPr="008B42D1">
        <w:t xml:space="preserve">developing a cost effectiveness indicator. </w:t>
      </w:r>
    </w:p>
    <w:p w:rsidR="00294718" w:rsidRDefault="00294718" w:rsidP="00C3586E">
      <w:pPr>
        <w:pStyle w:val="Heading4"/>
      </w:pPr>
      <w:r>
        <w:lastRenderedPageBreak/>
        <w:t xml:space="preserve">Potential sources of </w:t>
      </w:r>
      <w:r w:rsidR="0007188C">
        <w:t>information</w:t>
      </w:r>
    </w:p>
    <w:p w:rsidR="00D17AA6" w:rsidRDefault="00D17AA6" w:rsidP="00171F72">
      <w:pPr>
        <w:pStyle w:val="BodyText"/>
      </w:pPr>
      <w:r>
        <w:t>Data developments in future reports may be influenced by:</w:t>
      </w:r>
    </w:p>
    <w:p w:rsidR="00C567E0" w:rsidRDefault="00413A28" w:rsidP="00171F72">
      <w:pPr>
        <w:pStyle w:val="ListBullet"/>
      </w:pPr>
      <w:r w:rsidRPr="00990A6E">
        <w:t xml:space="preserve">developments under </w:t>
      </w:r>
      <w:r w:rsidR="00C567E0" w:rsidRPr="00990A6E">
        <w:t xml:space="preserve">the </w:t>
      </w:r>
      <w:r w:rsidR="00C567E0" w:rsidRPr="00990A6E">
        <w:rPr>
          <w:i/>
        </w:rPr>
        <w:t xml:space="preserve">National </w:t>
      </w:r>
      <w:r w:rsidR="00F27AEC" w:rsidRPr="00990A6E">
        <w:rPr>
          <w:i/>
        </w:rPr>
        <w:t xml:space="preserve">Information Agreement on </w:t>
      </w:r>
      <w:r w:rsidR="00C567E0" w:rsidRPr="00990A6E">
        <w:rPr>
          <w:i/>
        </w:rPr>
        <w:t xml:space="preserve">Early Childhood Education and Care </w:t>
      </w:r>
      <w:r w:rsidR="00C84041" w:rsidRPr="00990A6E">
        <w:t xml:space="preserve">(NIA </w:t>
      </w:r>
      <w:proofErr w:type="spellStart"/>
      <w:r w:rsidR="00C84041" w:rsidRPr="00990A6E">
        <w:t>ECEC</w:t>
      </w:r>
      <w:proofErr w:type="spellEnd"/>
      <w:r w:rsidR="00C84041" w:rsidRPr="00990A6E">
        <w:t xml:space="preserve">) </w:t>
      </w:r>
      <w:r w:rsidR="00F12C6C" w:rsidRPr="00990A6E">
        <w:t>on 6</w:t>
      </w:r>
      <w:r w:rsidR="00172534">
        <w:t> </w:t>
      </w:r>
      <w:r w:rsidR="00F12C6C" w:rsidRPr="00990A6E">
        <w:t>November 2009</w:t>
      </w:r>
      <w:r w:rsidR="00C567E0" w:rsidRPr="00990A6E">
        <w:t>.</w:t>
      </w:r>
      <w:r w:rsidR="00C567E0" w:rsidRPr="00C567E0">
        <w:t xml:space="preserve"> The Agreement provides a framework for cooperation between the </w:t>
      </w:r>
      <w:r w:rsidR="00F12C6C">
        <w:t>Australian</w:t>
      </w:r>
      <w:r w:rsidR="00C567E0" w:rsidRPr="00C567E0">
        <w:t xml:space="preserve">, </w:t>
      </w:r>
      <w:r w:rsidR="00F12C6C">
        <w:t>S</w:t>
      </w:r>
      <w:r w:rsidR="00C567E0" w:rsidRPr="00C567E0">
        <w:t xml:space="preserve">tate and </w:t>
      </w:r>
      <w:r w:rsidR="00F12C6C">
        <w:t>T</w:t>
      </w:r>
      <w:r w:rsidR="00C567E0" w:rsidRPr="00C567E0">
        <w:t xml:space="preserve">erritory </w:t>
      </w:r>
      <w:r w:rsidR="00BF0A17">
        <w:t>g</w:t>
      </w:r>
      <w:r w:rsidR="00F12C6C">
        <w:t xml:space="preserve">overnments </w:t>
      </w:r>
      <w:r w:rsidR="00C567E0" w:rsidRPr="00C567E0">
        <w:t xml:space="preserve">and information agencies to develop the information base required for the </w:t>
      </w:r>
      <w:proofErr w:type="spellStart"/>
      <w:r w:rsidR="00C567E0" w:rsidRPr="00C567E0">
        <w:t>COAG</w:t>
      </w:r>
      <w:proofErr w:type="spellEnd"/>
      <w:r w:rsidR="00C567E0" w:rsidRPr="00C567E0">
        <w:t xml:space="preserve"> early childhood reform agenda</w:t>
      </w:r>
      <w:r w:rsidR="00C84041">
        <w:t>.</w:t>
      </w:r>
      <w:r w:rsidR="00C567E0" w:rsidRPr="00C567E0">
        <w:t xml:space="preserve"> </w:t>
      </w:r>
      <w:r w:rsidR="00F12C6C">
        <w:t>T</w:t>
      </w:r>
      <w:r w:rsidR="00F12C6C" w:rsidRPr="00C567E0">
        <w:t>he Agreement is an important step in national efforts to improve the quality and reliability of early ch</w:t>
      </w:r>
      <w:r w:rsidR="00DB57CA">
        <w:t>ildhood education and care data</w:t>
      </w:r>
    </w:p>
    <w:p w:rsidR="004C6B04" w:rsidRPr="00547D79" w:rsidRDefault="001B6ECF" w:rsidP="004C6B04">
      <w:pPr>
        <w:pStyle w:val="ListBullet"/>
        <w:rPr>
          <w:i/>
        </w:rPr>
      </w:pPr>
      <w:r w:rsidRPr="00BA524F">
        <w:rPr>
          <w:szCs w:val="26"/>
        </w:rPr>
        <w:t xml:space="preserve">developments under the </w:t>
      </w:r>
      <w:proofErr w:type="spellStart"/>
      <w:r w:rsidRPr="00BA524F">
        <w:rPr>
          <w:szCs w:val="26"/>
        </w:rPr>
        <w:t>COAG</w:t>
      </w:r>
      <w:proofErr w:type="spellEnd"/>
      <w:r w:rsidR="00332AE6" w:rsidRPr="00BA524F">
        <w:rPr>
          <w:szCs w:val="26"/>
        </w:rPr>
        <w:t xml:space="preserve"> agreed</w:t>
      </w:r>
      <w:r w:rsidRPr="00BA524F">
        <w:rPr>
          <w:szCs w:val="26"/>
        </w:rPr>
        <w:t xml:space="preserve"> </w:t>
      </w:r>
      <w:r w:rsidRPr="00547D79">
        <w:rPr>
          <w:i/>
          <w:szCs w:val="26"/>
        </w:rPr>
        <w:t>National Quality Agenda</w:t>
      </w:r>
      <w:r w:rsidR="00332AE6" w:rsidRPr="00547D79">
        <w:rPr>
          <w:i/>
          <w:szCs w:val="26"/>
        </w:rPr>
        <w:t xml:space="preserve"> </w:t>
      </w:r>
      <w:r w:rsidR="009B5769" w:rsidRPr="00547D79">
        <w:rPr>
          <w:i/>
          <w:szCs w:val="26"/>
        </w:rPr>
        <w:t>for Ear</w:t>
      </w:r>
      <w:r w:rsidR="002311C5" w:rsidRPr="00547D79">
        <w:rPr>
          <w:i/>
          <w:szCs w:val="26"/>
        </w:rPr>
        <w:t>ly Childhood Education and Care</w:t>
      </w:r>
    </w:p>
    <w:p w:rsidR="00294718" w:rsidRDefault="002311C5" w:rsidP="00171F72">
      <w:pPr>
        <w:pStyle w:val="ListBullet"/>
      </w:pPr>
      <w:r>
        <w:t>development of o</w:t>
      </w:r>
      <w:r w:rsidR="00B57746">
        <w:t xml:space="preserve">ngoing </w:t>
      </w:r>
      <w:r w:rsidR="004C6B04">
        <w:t xml:space="preserve">national data </w:t>
      </w:r>
      <w:r w:rsidR="00B57746">
        <w:t>collections</w:t>
      </w:r>
      <w:r w:rsidR="00DB57CA">
        <w:t>,</w:t>
      </w:r>
      <w:r w:rsidR="00B57746">
        <w:t xml:space="preserve"> </w:t>
      </w:r>
      <w:r w:rsidR="00DB57CA">
        <w:t>including</w:t>
      </w:r>
      <w:r w:rsidR="004C6B04">
        <w:t xml:space="preserve"> </w:t>
      </w:r>
      <w:r w:rsidR="00B57746">
        <w:t>t</w:t>
      </w:r>
      <w:r w:rsidR="00294718" w:rsidRPr="009B01B3">
        <w:t xml:space="preserve">he </w:t>
      </w:r>
      <w:proofErr w:type="spellStart"/>
      <w:r w:rsidR="00294718" w:rsidRPr="009B01B3">
        <w:t>LSAC</w:t>
      </w:r>
      <w:proofErr w:type="spellEnd"/>
      <w:r w:rsidR="00294718" w:rsidRPr="009B01B3">
        <w:t xml:space="preserve"> </w:t>
      </w:r>
      <w:r w:rsidR="00B57746">
        <w:t>(box </w:t>
      </w:r>
      <w:r w:rsidR="00923A1C">
        <w:t>3.27</w:t>
      </w:r>
      <w:r w:rsidR="00471D41">
        <w:t xml:space="preserve">) and the </w:t>
      </w:r>
      <w:proofErr w:type="spellStart"/>
      <w:r w:rsidR="00294718" w:rsidRPr="0063389C">
        <w:t>AEDI</w:t>
      </w:r>
      <w:proofErr w:type="spellEnd"/>
      <w:r w:rsidR="00294718" w:rsidRPr="0063389C">
        <w:t xml:space="preserve"> </w:t>
      </w:r>
      <w:r w:rsidR="00294718">
        <w:t>(box</w:t>
      </w:r>
      <w:r w:rsidR="00172534">
        <w:t> </w:t>
      </w:r>
      <w:r w:rsidR="00923A1C">
        <w:t>3.28</w:t>
      </w:r>
      <w:r w:rsidR="00294718">
        <w:t>)</w:t>
      </w:r>
      <w:r w:rsidR="00294718" w:rsidRPr="0063389C">
        <w:t>.</w:t>
      </w:r>
    </w:p>
    <w:p w:rsidR="00837A82" w:rsidRPr="00837A82" w:rsidRDefault="00923A1C" w:rsidP="00C3586E">
      <w:pPr>
        <w:pStyle w:val="Heading2"/>
      </w:pPr>
      <w:bookmarkStart w:id="51" w:name="_Toc372900002"/>
      <w:r>
        <w:t>3.</w:t>
      </w:r>
      <w:r w:rsidR="002E4BE8">
        <w:rPr>
          <w:noProof/>
        </w:rPr>
        <w:t>5</w:t>
      </w:r>
      <w:r w:rsidR="00837A82">
        <w:tab/>
      </w:r>
      <w:r w:rsidR="00837A82" w:rsidRPr="00837A82">
        <w:t>Jurisdictions’ comments</w:t>
      </w:r>
      <w:bookmarkEnd w:id="51"/>
    </w:p>
    <w:p w:rsidR="00356BAF" w:rsidRDefault="00837A82" w:rsidP="00C3586E">
      <w:pPr>
        <w:pStyle w:val="BodyText"/>
      </w:pPr>
      <w:r w:rsidRPr="00837A82">
        <w:t>This section provides comments from each jurisdiction on the se</w:t>
      </w:r>
      <w:r w:rsidR="00694845">
        <w:t>rvices covered in this chapter.</w:t>
      </w:r>
    </w:p>
    <w:p w:rsidR="00170BF9" w:rsidRPr="004A1AFD" w:rsidRDefault="00837A82" w:rsidP="00C3586E">
      <w:pPr>
        <w:pStyle w:val="BodyText"/>
        <w:spacing w:before="0" w:line="240" w:lineRule="auto"/>
        <w:rPr>
          <w:sz w:val="12"/>
          <w:szCs w:val="12"/>
        </w:rPr>
      </w:pPr>
      <w:r>
        <w:br w:type="page"/>
      </w:r>
      <w:bookmarkStart w:id="52" w:name="OLE_LINK72"/>
    </w:p>
    <w:tbl>
      <w:tblPr>
        <w:tblW w:w="10632" w:type="dxa"/>
        <w:tblInd w:w="-885" w:type="dxa"/>
        <w:tblLayout w:type="fixed"/>
        <w:tblLook w:val="01E0" w:firstRow="1" w:lastRow="1" w:firstColumn="1" w:lastColumn="1" w:noHBand="0" w:noVBand="0"/>
      </w:tblPr>
      <w:tblGrid>
        <w:gridCol w:w="992"/>
        <w:gridCol w:w="8789"/>
        <w:gridCol w:w="851"/>
      </w:tblGrid>
      <w:tr w:rsidR="00170BF9" w:rsidTr="00B52561">
        <w:tc>
          <w:tcPr>
            <w:tcW w:w="992" w:type="dxa"/>
            <w:vMerge w:val="restart"/>
            <w:shd w:val="clear" w:color="auto" w:fill="auto"/>
          </w:tcPr>
          <w:p w:rsidR="00170BF9" w:rsidRPr="007F26E7" w:rsidRDefault="00170BF9" w:rsidP="00C3586E">
            <w:pPr>
              <w:pStyle w:val="BodyText"/>
              <w:rPr>
                <w:b/>
                <w:sz w:val="132"/>
                <w:szCs w:val="132"/>
              </w:rPr>
            </w:pPr>
            <w:r w:rsidRPr="007F26E7">
              <w:rPr>
                <w:b/>
                <w:sz w:val="132"/>
                <w:szCs w:val="132"/>
              </w:rPr>
              <w:lastRenderedPageBreak/>
              <w:t>“</w:t>
            </w:r>
          </w:p>
        </w:tc>
        <w:tc>
          <w:tcPr>
            <w:tcW w:w="8789" w:type="dxa"/>
            <w:shd w:val="clear" w:color="auto" w:fill="auto"/>
          </w:tcPr>
          <w:p w:rsidR="00170BF9" w:rsidRPr="0065673A" w:rsidRDefault="00170BF9" w:rsidP="00C3586E">
            <w:pPr>
              <w:pStyle w:val="Jurisdictioncommentsheading"/>
              <w:rPr>
                <w:color w:val="FF0000"/>
              </w:rPr>
            </w:pPr>
            <w:r w:rsidRPr="00A3025A">
              <w:t>Australian Government comments</w:t>
            </w:r>
          </w:p>
        </w:tc>
        <w:tc>
          <w:tcPr>
            <w:tcW w:w="851" w:type="dxa"/>
            <w:vMerge w:val="restart"/>
            <w:shd w:val="clear" w:color="auto" w:fill="auto"/>
          </w:tcPr>
          <w:p w:rsidR="00170BF9" w:rsidRDefault="00170BF9" w:rsidP="00C3586E">
            <w:pPr>
              <w:pStyle w:val="BodyText"/>
            </w:pPr>
          </w:p>
          <w:p w:rsidR="00170BF9" w:rsidRDefault="00170BF9" w:rsidP="00C3586E">
            <w:pPr>
              <w:pStyle w:val="BodyText"/>
            </w:pPr>
          </w:p>
          <w:p w:rsidR="00170BF9" w:rsidRDefault="00170BF9" w:rsidP="00C3586E">
            <w:pPr>
              <w:pStyle w:val="BodyText"/>
            </w:pPr>
          </w:p>
          <w:p w:rsidR="00170BF9" w:rsidRDefault="00170BF9" w:rsidP="00C3586E">
            <w:pPr>
              <w:pStyle w:val="BodyText"/>
            </w:pPr>
          </w:p>
          <w:p w:rsidR="00170BF9" w:rsidRDefault="00170BF9" w:rsidP="00C3586E">
            <w:pPr>
              <w:pStyle w:val="BodyText"/>
            </w:pPr>
          </w:p>
          <w:p w:rsidR="00170BF9" w:rsidRDefault="00170BF9" w:rsidP="00C3586E">
            <w:pPr>
              <w:pStyle w:val="BodyText"/>
            </w:pPr>
          </w:p>
          <w:p w:rsidR="00170BF9" w:rsidRDefault="00170BF9" w:rsidP="00C3586E">
            <w:pPr>
              <w:pStyle w:val="BodyText"/>
            </w:pPr>
          </w:p>
          <w:p w:rsidR="00170BF9" w:rsidRDefault="00170BF9" w:rsidP="00C3586E">
            <w:pPr>
              <w:pStyle w:val="BodyText"/>
            </w:pPr>
          </w:p>
          <w:p w:rsidR="00170BF9" w:rsidRDefault="00170BF9" w:rsidP="00C3586E">
            <w:pPr>
              <w:pStyle w:val="BodyText"/>
            </w:pPr>
          </w:p>
          <w:p w:rsidR="00170BF9" w:rsidRDefault="00170BF9" w:rsidP="00C3586E">
            <w:pPr>
              <w:pStyle w:val="BodyText"/>
            </w:pPr>
          </w:p>
          <w:p w:rsidR="00170BF9" w:rsidRDefault="00170BF9" w:rsidP="00C3586E">
            <w:pPr>
              <w:pStyle w:val="BodyText"/>
            </w:pPr>
          </w:p>
          <w:p w:rsidR="00170BF9" w:rsidRDefault="00170BF9" w:rsidP="00C3586E">
            <w:pPr>
              <w:pStyle w:val="BodyText"/>
            </w:pPr>
          </w:p>
          <w:p w:rsidR="00170BF9" w:rsidRDefault="00170BF9" w:rsidP="00C3586E">
            <w:pPr>
              <w:pStyle w:val="BodyText"/>
            </w:pPr>
          </w:p>
          <w:p w:rsidR="00170BF9" w:rsidRDefault="00170BF9" w:rsidP="00C3586E">
            <w:pPr>
              <w:pStyle w:val="BodyText"/>
            </w:pPr>
          </w:p>
          <w:p w:rsidR="00170BF9" w:rsidRDefault="00170BF9" w:rsidP="00C3586E">
            <w:pPr>
              <w:pStyle w:val="BodyText"/>
            </w:pPr>
          </w:p>
          <w:p w:rsidR="00170BF9" w:rsidRDefault="00170BF9" w:rsidP="00C3586E">
            <w:pPr>
              <w:pStyle w:val="BodyText"/>
            </w:pPr>
          </w:p>
          <w:p w:rsidR="00170BF9" w:rsidRDefault="00170BF9" w:rsidP="00C3586E">
            <w:pPr>
              <w:pStyle w:val="BodyText"/>
            </w:pPr>
          </w:p>
          <w:p w:rsidR="00170BF9" w:rsidRDefault="00170BF9" w:rsidP="00C3586E">
            <w:pPr>
              <w:pStyle w:val="BodyText"/>
            </w:pPr>
          </w:p>
          <w:p w:rsidR="00170BF9" w:rsidRDefault="00170BF9" w:rsidP="00C3586E">
            <w:pPr>
              <w:pStyle w:val="BodyText"/>
            </w:pPr>
          </w:p>
          <w:p w:rsidR="005222C3" w:rsidRDefault="005222C3" w:rsidP="00C3586E">
            <w:pPr>
              <w:pStyle w:val="BodyText"/>
            </w:pPr>
          </w:p>
          <w:p w:rsidR="00170BF9" w:rsidRPr="007F26E7" w:rsidRDefault="00170BF9" w:rsidP="00C3586E">
            <w:pPr>
              <w:pStyle w:val="BodyText"/>
              <w:rPr>
                <w:b/>
                <w:sz w:val="132"/>
                <w:szCs w:val="132"/>
              </w:rPr>
            </w:pPr>
            <w:r w:rsidRPr="007F26E7">
              <w:rPr>
                <w:b/>
                <w:sz w:val="132"/>
                <w:szCs w:val="132"/>
              </w:rPr>
              <w:t>”</w:t>
            </w:r>
          </w:p>
        </w:tc>
      </w:tr>
      <w:tr w:rsidR="00170BF9" w:rsidTr="00B52561">
        <w:tc>
          <w:tcPr>
            <w:tcW w:w="992" w:type="dxa"/>
            <w:vMerge/>
            <w:shd w:val="clear" w:color="auto" w:fill="auto"/>
          </w:tcPr>
          <w:p w:rsidR="00170BF9" w:rsidRDefault="00170BF9" w:rsidP="00C3586E">
            <w:pPr>
              <w:pStyle w:val="BodyText"/>
            </w:pPr>
          </w:p>
        </w:tc>
        <w:tc>
          <w:tcPr>
            <w:tcW w:w="8789" w:type="dxa"/>
            <w:shd w:val="clear" w:color="auto" w:fill="auto"/>
          </w:tcPr>
          <w:p w:rsidR="00262EE5" w:rsidRPr="00D8476F" w:rsidRDefault="00262EE5" w:rsidP="00262EE5">
            <w:pPr>
              <w:pStyle w:val="Jurisdictioncommentsbodytext"/>
            </w:pPr>
            <w:r w:rsidRPr="00E20955">
              <w:t>The Australian Government is committed to creating a flexible, accessible and affordable quality child care and early learning system for the 21st century which meets the needs of both modern Austra</w:t>
            </w:r>
            <w:r>
              <w:t xml:space="preserve">lian families and the economy. </w:t>
            </w:r>
            <w:r w:rsidRPr="00D8476F">
              <w:t xml:space="preserve">Major initiatives include: </w:t>
            </w:r>
          </w:p>
          <w:p w:rsidR="00262EE5" w:rsidRDefault="00262EE5" w:rsidP="00262EE5">
            <w:pPr>
              <w:pStyle w:val="Jurisdictioncommentslistbullet"/>
            </w:pPr>
            <w:r>
              <w:t xml:space="preserve">the Government has tasked the Productivity Commission with an </w:t>
            </w:r>
            <w:r w:rsidR="00172534">
              <w:t>i</w:t>
            </w:r>
            <w:r>
              <w:t xml:space="preserve">nquiry into how the child care and early learning system can be made more flexible, affordable and accessible. The </w:t>
            </w:r>
            <w:r w:rsidR="00172534">
              <w:t>i</w:t>
            </w:r>
            <w:r>
              <w:t>nquiry will be broad ranging, focusing on parents’ work and study needs, the needs of rural, regional and remote families, shift workers, out of pocket costs and t</w:t>
            </w:r>
            <w:r w:rsidR="00632E47">
              <w:t>he needs of vulnerable children</w:t>
            </w:r>
          </w:p>
          <w:p w:rsidR="00262EE5" w:rsidRDefault="00262EE5" w:rsidP="00262EE5">
            <w:pPr>
              <w:pStyle w:val="Jurisdictioncommentslistbullet"/>
            </w:pPr>
            <w:r>
              <w:t xml:space="preserve">the Australian Government supports the </w:t>
            </w:r>
            <w:r w:rsidRPr="00547D79">
              <w:rPr>
                <w:i/>
              </w:rPr>
              <w:t>National Quality Framework</w:t>
            </w:r>
            <w:r>
              <w:t xml:space="preserve"> introduced on 1</w:t>
            </w:r>
            <w:r w:rsidR="00172534">
              <w:t> </w:t>
            </w:r>
            <w:r>
              <w:t xml:space="preserve">January 2012 in its goal of improving outcomes for children, delivering longer term social and emotional benefits. The Government’s focus is on removing unnecessary regulatory burden to ensure that services can spend less time doing paperwork </w:t>
            </w:r>
            <w:r w:rsidR="00632E47">
              <w:t>and more time with the children</w:t>
            </w:r>
          </w:p>
          <w:p w:rsidR="00262EE5" w:rsidRDefault="00262EE5" w:rsidP="00262EE5">
            <w:pPr>
              <w:pStyle w:val="Jurisdictioncommentslistbullet"/>
            </w:pPr>
            <w:r>
              <w:t xml:space="preserve">the Australian Government has committed to reinstating the $12.6 million funding for Occasional Care which is particularly needed in rural and regional areas. This restoration will be </w:t>
            </w:r>
            <w:r w:rsidR="00632E47">
              <w:t>fully in place from 1</w:t>
            </w:r>
            <w:r w:rsidR="00172534">
              <w:t> </w:t>
            </w:r>
            <w:r w:rsidR="00632E47">
              <w:t>July 2014</w:t>
            </w:r>
          </w:p>
          <w:p w:rsidR="00262EE5" w:rsidRDefault="00262EE5" w:rsidP="00944959">
            <w:pPr>
              <w:pStyle w:val="Jurisdictioncommentslistbullet"/>
            </w:pPr>
            <w:r>
              <w:t>o</w:t>
            </w:r>
            <w:r w:rsidRPr="00D8476F">
              <w:t>ver the four years to 201</w:t>
            </w:r>
            <w:r>
              <w:t>6</w:t>
            </w:r>
            <w:r w:rsidR="00172534">
              <w:noBreakHyphen/>
            </w:r>
            <w:r w:rsidRPr="00D8476F">
              <w:t>1</w:t>
            </w:r>
            <w:r>
              <w:t>7</w:t>
            </w:r>
            <w:r w:rsidRPr="00D8476F">
              <w:t xml:space="preserve">, the Government </w:t>
            </w:r>
            <w:r>
              <w:t>will</w:t>
            </w:r>
            <w:r w:rsidRPr="00D8476F">
              <w:t xml:space="preserve"> provid</w:t>
            </w:r>
            <w:r>
              <w:t>e</w:t>
            </w:r>
            <w:r w:rsidRPr="00D8476F">
              <w:t xml:space="preserve"> more than $</w:t>
            </w:r>
            <w:r w:rsidR="00944959">
              <w:t>28</w:t>
            </w:r>
            <w:r>
              <w:t> </w:t>
            </w:r>
            <w:r w:rsidRPr="00D8476F">
              <w:t xml:space="preserve">billion </w:t>
            </w:r>
            <w:r w:rsidR="00944959">
              <w:t>for child care and early learning including $12.3 billion in Child Care Benefit and $12.8 billion in Child Care Rebate to help more than 900 000 Australian families annually with the cost of child care</w:t>
            </w:r>
          </w:p>
          <w:p w:rsidR="00262EE5" w:rsidRPr="00ED4E1B" w:rsidRDefault="00262EE5" w:rsidP="00262EE5">
            <w:pPr>
              <w:pStyle w:val="Jurisdictioncommentslistbullet"/>
            </w:pPr>
            <w:r>
              <w:t xml:space="preserve">the 2013 National Early Childhood Education and Care Workforce Census (National </w:t>
            </w:r>
            <w:proofErr w:type="spellStart"/>
            <w:r>
              <w:t>ECEC</w:t>
            </w:r>
            <w:proofErr w:type="spellEnd"/>
            <w:r>
              <w:t xml:space="preserve"> Workforce Census) data collection was conducted between May and July 2013. </w:t>
            </w:r>
            <w:r w:rsidRPr="003C2D7B">
              <w:t xml:space="preserve">Information was collected from services about their workforce, service usage, and quantum of children in care and </w:t>
            </w:r>
            <w:r>
              <w:t xml:space="preserve">accessing </w:t>
            </w:r>
            <w:r w:rsidRPr="003C2D7B">
              <w:t>preschool programs</w:t>
            </w:r>
            <w:r>
              <w:t>. In addition,</w:t>
            </w:r>
            <w:r w:rsidRPr="003C2D7B">
              <w:t xml:space="preserve"> individual staff </w:t>
            </w:r>
            <w:r>
              <w:t xml:space="preserve">members were surveyed </w:t>
            </w:r>
            <w:r w:rsidRPr="003C2D7B">
              <w:t>about their role, qualifications, nature of employment, earnings and career intentions.</w:t>
            </w:r>
            <w:r>
              <w:t xml:space="preserve"> A report on the National </w:t>
            </w:r>
            <w:proofErr w:type="spellStart"/>
            <w:r>
              <w:t>ECEC</w:t>
            </w:r>
            <w:proofErr w:type="spellEnd"/>
            <w:r>
              <w:t xml:space="preserve"> Workforce </w:t>
            </w:r>
            <w:r w:rsidR="00632E47">
              <w:t>Census will be released in 2014</w:t>
            </w:r>
          </w:p>
          <w:p w:rsidR="00262EE5" w:rsidRPr="00CC1E2B" w:rsidRDefault="00262EE5" w:rsidP="00262EE5">
            <w:pPr>
              <w:pStyle w:val="Jurisdictioncommentslistbullet"/>
            </w:pPr>
            <w:r>
              <w:t>t</w:t>
            </w:r>
            <w:r w:rsidRPr="00CC1E2B">
              <w:t>he release of the results from the second national data collection for the Australian Early Development Index</w:t>
            </w:r>
            <w:r>
              <w:t xml:space="preserve"> (</w:t>
            </w:r>
            <w:proofErr w:type="spellStart"/>
            <w:r>
              <w:t>AEDI</w:t>
            </w:r>
            <w:proofErr w:type="spellEnd"/>
            <w:r>
              <w:t>)</w:t>
            </w:r>
            <w:r w:rsidRPr="00CC1E2B">
              <w:t xml:space="preserve">, which showed the majority of Australian children are doing well on each of the five </w:t>
            </w:r>
            <w:proofErr w:type="spellStart"/>
            <w:r w:rsidRPr="00CC1E2B">
              <w:t>AEDI</w:t>
            </w:r>
            <w:proofErr w:type="spellEnd"/>
            <w:r w:rsidRPr="00CC1E2B">
              <w:t xml:space="preserve"> developmental domains.</w:t>
            </w:r>
            <w:r>
              <w:t xml:space="preserve"> It also showed that between the first collection in 2009 and the 2012 collection the proportion of children developmentally vulnerable on one or more of the </w:t>
            </w:r>
            <w:proofErr w:type="spellStart"/>
            <w:r>
              <w:t>AEDI</w:t>
            </w:r>
            <w:proofErr w:type="spellEnd"/>
            <w:r>
              <w:t xml:space="preserve"> domains s</w:t>
            </w:r>
            <w:r w:rsidR="00632E47">
              <w:t>howed a significant improvement</w:t>
            </w:r>
          </w:p>
          <w:p w:rsidR="00A33258" w:rsidRPr="00262EE5" w:rsidRDefault="00262EE5" w:rsidP="00262EE5">
            <w:pPr>
              <w:pStyle w:val="Jurisdictioncommentslistbullet"/>
            </w:pPr>
            <w:r>
              <w:t xml:space="preserve">continuing the Home Interaction Program for Parents and Youngsters in </w:t>
            </w:r>
            <w:r w:rsidR="00C135DF">
              <w:br/>
            </w:r>
            <w:r>
              <w:t xml:space="preserve">50 existing communities across Australia and expanding into 25 new Indigenous </w:t>
            </w:r>
            <w:proofErr w:type="spellStart"/>
            <w:r>
              <w:t>focussed</w:t>
            </w:r>
            <w:proofErr w:type="spellEnd"/>
            <w:r>
              <w:t xml:space="preserve"> locations from early 2014.</w:t>
            </w:r>
            <w:r w:rsidR="00172534">
              <w:t xml:space="preserve"> </w:t>
            </w:r>
            <w:r>
              <w:t>Funding has been allocated for an additional 25 Indigenous focused sites from 2015.</w:t>
            </w:r>
          </w:p>
          <w:p w:rsidR="00CA03FA" w:rsidRPr="0065673A" w:rsidRDefault="00CA03FA" w:rsidP="007F26E7">
            <w:pPr>
              <w:pStyle w:val="Jurisdictioncommentslistbullet"/>
              <w:numPr>
                <w:ilvl w:val="0"/>
                <w:numId w:val="0"/>
              </w:numPr>
              <w:ind w:left="318"/>
              <w:rPr>
                <w:color w:val="FF0000"/>
                <w:szCs w:val="24"/>
              </w:rPr>
            </w:pPr>
          </w:p>
        </w:tc>
        <w:tc>
          <w:tcPr>
            <w:tcW w:w="851" w:type="dxa"/>
            <w:vMerge/>
            <w:tcBorders>
              <w:left w:val="nil"/>
            </w:tcBorders>
            <w:shd w:val="clear" w:color="auto" w:fill="auto"/>
          </w:tcPr>
          <w:p w:rsidR="00170BF9" w:rsidRDefault="00170BF9" w:rsidP="00C3586E">
            <w:pPr>
              <w:pStyle w:val="BodyText"/>
            </w:pPr>
          </w:p>
        </w:tc>
      </w:tr>
    </w:tbl>
    <w:p w:rsidR="00170BF9" w:rsidRPr="004A1AFD" w:rsidRDefault="00451B85" w:rsidP="00C3586E">
      <w:pPr>
        <w:pStyle w:val="BodyText"/>
        <w:spacing w:before="0" w:line="240" w:lineRule="auto"/>
        <w:rPr>
          <w:sz w:val="12"/>
          <w:szCs w:val="12"/>
        </w:rPr>
      </w:pPr>
      <w:r>
        <w:br w:type="page"/>
      </w:r>
    </w:p>
    <w:tbl>
      <w:tblPr>
        <w:tblW w:w="0" w:type="auto"/>
        <w:tblInd w:w="-885" w:type="dxa"/>
        <w:tblLayout w:type="fixed"/>
        <w:tblLook w:val="01E0" w:firstRow="1" w:lastRow="1" w:firstColumn="1" w:lastColumn="1" w:noHBand="0" w:noVBand="0"/>
      </w:tblPr>
      <w:tblGrid>
        <w:gridCol w:w="992"/>
        <w:gridCol w:w="8789"/>
        <w:gridCol w:w="851"/>
      </w:tblGrid>
      <w:tr w:rsidR="00170BF9" w:rsidRPr="0065673A" w:rsidTr="00A30F68">
        <w:tc>
          <w:tcPr>
            <w:tcW w:w="992" w:type="dxa"/>
            <w:vMerge w:val="restart"/>
            <w:shd w:val="clear" w:color="auto" w:fill="auto"/>
          </w:tcPr>
          <w:p w:rsidR="00170BF9" w:rsidRPr="00A3025A" w:rsidRDefault="00170BF9" w:rsidP="00C3586E">
            <w:pPr>
              <w:pStyle w:val="BodyText"/>
              <w:rPr>
                <w:b/>
                <w:sz w:val="132"/>
                <w:szCs w:val="132"/>
              </w:rPr>
            </w:pPr>
            <w:r w:rsidRPr="00A3025A">
              <w:rPr>
                <w:b/>
                <w:sz w:val="132"/>
                <w:szCs w:val="132"/>
              </w:rPr>
              <w:lastRenderedPageBreak/>
              <w:t>“</w:t>
            </w:r>
          </w:p>
        </w:tc>
        <w:tc>
          <w:tcPr>
            <w:tcW w:w="8789" w:type="dxa"/>
            <w:shd w:val="clear" w:color="auto" w:fill="auto"/>
          </w:tcPr>
          <w:p w:rsidR="00170BF9" w:rsidRPr="00A3025A" w:rsidRDefault="00170BF9" w:rsidP="00C3586E">
            <w:pPr>
              <w:pStyle w:val="Jurisdictioncommentsheading"/>
            </w:pPr>
            <w:r w:rsidRPr="00A3025A">
              <w:t>New South Wales Government comments</w:t>
            </w:r>
          </w:p>
        </w:tc>
        <w:tc>
          <w:tcPr>
            <w:tcW w:w="851" w:type="dxa"/>
            <w:vMerge w:val="restart"/>
            <w:shd w:val="clear" w:color="auto" w:fill="auto"/>
          </w:tcPr>
          <w:p w:rsidR="00170BF9" w:rsidRPr="00A3025A" w:rsidRDefault="00170BF9" w:rsidP="00C3586E">
            <w:pPr>
              <w:pStyle w:val="BodyText"/>
            </w:pPr>
          </w:p>
          <w:p w:rsidR="00170BF9" w:rsidRPr="00A3025A" w:rsidRDefault="00170BF9" w:rsidP="00C3586E">
            <w:pPr>
              <w:pStyle w:val="BodyText"/>
            </w:pPr>
          </w:p>
          <w:p w:rsidR="00170BF9" w:rsidRPr="00A3025A" w:rsidRDefault="00170BF9" w:rsidP="00C3586E">
            <w:pPr>
              <w:pStyle w:val="BodyText"/>
            </w:pPr>
          </w:p>
          <w:p w:rsidR="00170BF9" w:rsidRPr="00A3025A" w:rsidRDefault="00170BF9" w:rsidP="00C3586E">
            <w:pPr>
              <w:pStyle w:val="BodyText"/>
            </w:pPr>
          </w:p>
          <w:p w:rsidR="00170BF9" w:rsidRPr="00A3025A" w:rsidRDefault="00170BF9" w:rsidP="00C3586E">
            <w:pPr>
              <w:pStyle w:val="BodyText"/>
            </w:pPr>
          </w:p>
          <w:p w:rsidR="00170BF9" w:rsidRPr="00A3025A" w:rsidRDefault="00170BF9" w:rsidP="00C3586E">
            <w:pPr>
              <w:pStyle w:val="BodyText"/>
            </w:pPr>
          </w:p>
          <w:p w:rsidR="00170BF9" w:rsidRPr="00A3025A" w:rsidRDefault="00170BF9" w:rsidP="00C3586E">
            <w:pPr>
              <w:pStyle w:val="BodyText"/>
            </w:pPr>
          </w:p>
          <w:p w:rsidR="00170BF9" w:rsidRPr="00A3025A" w:rsidRDefault="00170BF9" w:rsidP="00C3586E">
            <w:pPr>
              <w:pStyle w:val="BodyText"/>
            </w:pPr>
          </w:p>
          <w:p w:rsidR="00170BF9" w:rsidRPr="00A3025A" w:rsidRDefault="00170BF9" w:rsidP="00C3586E">
            <w:pPr>
              <w:pStyle w:val="BodyText"/>
            </w:pPr>
          </w:p>
          <w:p w:rsidR="00170BF9" w:rsidRPr="00A3025A" w:rsidRDefault="00170BF9" w:rsidP="00C3586E">
            <w:pPr>
              <w:pStyle w:val="BodyText"/>
            </w:pPr>
          </w:p>
          <w:p w:rsidR="00170BF9" w:rsidRPr="00A3025A" w:rsidRDefault="00170BF9" w:rsidP="00C3586E">
            <w:pPr>
              <w:pStyle w:val="BodyText"/>
            </w:pPr>
          </w:p>
          <w:p w:rsidR="00170BF9" w:rsidRPr="00A3025A" w:rsidRDefault="00170BF9" w:rsidP="00C3586E">
            <w:pPr>
              <w:pStyle w:val="BodyText"/>
            </w:pPr>
          </w:p>
          <w:p w:rsidR="00170BF9" w:rsidRPr="00A3025A" w:rsidRDefault="00170BF9" w:rsidP="00C3586E">
            <w:pPr>
              <w:pStyle w:val="BodyText"/>
            </w:pPr>
          </w:p>
          <w:p w:rsidR="00170BF9" w:rsidRPr="00A3025A" w:rsidRDefault="00170BF9" w:rsidP="00C3586E">
            <w:pPr>
              <w:pStyle w:val="BodyText"/>
            </w:pPr>
          </w:p>
          <w:p w:rsidR="00170BF9" w:rsidRPr="00A3025A" w:rsidRDefault="00170BF9" w:rsidP="00C3586E">
            <w:pPr>
              <w:pStyle w:val="BodyText"/>
            </w:pPr>
          </w:p>
          <w:p w:rsidR="00170BF9" w:rsidRPr="00A3025A" w:rsidRDefault="00170BF9" w:rsidP="00C3586E">
            <w:pPr>
              <w:pStyle w:val="BodyText"/>
            </w:pPr>
          </w:p>
          <w:p w:rsidR="00170BF9" w:rsidRPr="00A3025A" w:rsidRDefault="00170BF9" w:rsidP="00C3586E">
            <w:pPr>
              <w:pStyle w:val="BodyText"/>
            </w:pPr>
          </w:p>
          <w:p w:rsidR="00170BF9" w:rsidRPr="00A3025A" w:rsidRDefault="00170BF9" w:rsidP="00C3586E">
            <w:pPr>
              <w:pStyle w:val="BodyText"/>
            </w:pPr>
          </w:p>
          <w:p w:rsidR="00170BF9" w:rsidRPr="00A3025A" w:rsidRDefault="00170BF9" w:rsidP="00C3586E">
            <w:pPr>
              <w:pStyle w:val="BodyText"/>
            </w:pPr>
          </w:p>
          <w:p w:rsidR="005222C3" w:rsidRPr="00A3025A" w:rsidRDefault="005222C3" w:rsidP="00C3586E">
            <w:pPr>
              <w:pStyle w:val="BodyText"/>
            </w:pPr>
          </w:p>
          <w:p w:rsidR="00170BF9" w:rsidRPr="00A3025A" w:rsidRDefault="00170BF9" w:rsidP="00C3586E">
            <w:pPr>
              <w:pStyle w:val="BodyText"/>
              <w:rPr>
                <w:b/>
                <w:sz w:val="132"/>
                <w:szCs w:val="132"/>
              </w:rPr>
            </w:pPr>
            <w:r w:rsidRPr="00A3025A">
              <w:rPr>
                <w:b/>
                <w:sz w:val="132"/>
                <w:szCs w:val="132"/>
              </w:rPr>
              <w:t>”</w:t>
            </w:r>
          </w:p>
        </w:tc>
      </w:tr>
      <w:tr w:rsidR="00170BF9" w:rsidRPr="0065673A" w:rsidTr="00A30F68">
        <w:tc>
          <w:tcPr>
            <w:tcW w:w="992" w:type="dxa"/>
            <w:vMerge/>
            <w:shd w:val="clear" w:color="auto" w:fill="auto"/>
          </w:tcPr>
          <w:p w:rsidR="00170BF9" w:rsidRPr="0065673A" w:rsidRDefault="00170BF9" w:rsidP="00C3586E">
            <w:pPr>
              <w:pStyle w:val="BodyText"/>
              <w:rPr>
                <w:color w:val="FF0000"/>
              </w:rPr>
            </w:pPr>
          </w:p>
        </w:tc>
        <w:tc>
          <w:tcPr>
            <w:tcW w:w="8789" w:type="dxa"/>
            <w:shd w:val="clear" w:color="auto" w:fill="auto"/>
          </w:tcPr>
          <w:p w:rsidR="00D86A61" w:rsidRDefault="00D86A61" w:rsidP="00D86A61">
            <w:pPr>
              <w:pStyle w:val="Jurisdictioncommentsbodytext"/>
            </w:pPr>
            <w:r>
              <w:t xml:space="preserve">The NSW Government recognises that early learning begins at birth and that the early years of a child’s life are crucial to a child’s development and learning. The NSW Government is committed to supporting a sector that provides quality early childhood education and care which is responsive to the needs of children and their families, whatever their circumstances may be. </w:t>
            </w:r>
            <w:r w:rsidRPr="00477BB0">
              <w:t>The Government’s State Plan goal is for all children to have access to a quality early childhood education program in the 12 months prior to formal schooling.</w:t>
            </w:r>
          </w:p>
          <w:p w:rsidR="00D86A61" w:rsidRDefault="00D86A61" w:rsidP="00D86A61">
            <w:pPr>
              <w:pStyle w:val="Jurisdictioncommentsbodytext"/>
            </w:pPr>
            <w:r>
              <w:t>In 2012</w:t>
            </w:r>
            <w:r w:rsidR="00172534">
              <w:noBreakHyphen/>
            </w:r>
            <w:r>
              <w:t xml:space="preserve">13, funding available through the </w:t>
            </w:r>
            <w:r w:rsidRPr="008360FE">
              <w:rPr>
                <w:i/>
              </w:rPr>
              <w:t xml:space="preserve">National Partnership </w:t>
            </w:r>
            <w:r w:rsidR="008360FE" w:rsidRPr="008360FE">
              <w:rPr>
                <w:i/>
              </w:rPr>
              <w:t xml:space="preserve">Agreement </w:t>
            </w:r>
            <w:r w:rsidRPr="008360FE">
              <w:rPr>
                <w:i/>
              </w:rPr>
              <w:t>on Early Childhood Education</w:t>
            </w:r>
            <w:r>
              <w:t xml:space="preserve"> enabled the NSW Government </w:t>
            </w:r>
            <w:r w:rsidRPr="00056F8B">
              <w:t>to maintain increased levels of renewable funding to community preschools and to assist them to further reduce fees for chi</w:t>
            </w:r>
            <w:r>
              <w:t>ld</w:t>
            </w:r>
            <w:r w:rsidRPr="00056F8B">
              <w:t>ren in their year before school through</w:t>
            </w:r>
            <w:r>
              <w:t xml:space="preserve"> additional one</w:t>
            </w:r>
            <w:r w:rsidR="00172534">
              <w:noBreakHyphen/>
            </w:r>
            <w:r>
              <w:t xml:space="preserve">off funding, further improving access to preschool programs. </w:t>
            </w:r>
          </w:p>
          <w:p w:rsidR="00D86A61" w:rsidRDefault="00D86A61" w:rsidP="00D86A61">
            <w:pPr>
              <w:pStyle w:val="Jurisdictioncommentsbodytext"/>
            </w:pPr>
            <w:r>
              <w:t xml:space="preserve">A number of initiatives funded through the </w:t>
            </w:r>
            <w:r w:rsidRPr="0009360E">
              <w:rPr>
                <w:i/>
              </w:rPr>
              <w:t>National Partnership</w:t>
            </w:r>
            <w:r>
              <w:t xml:space="preserve"> to increase the participation of children in quality early childhood education were also developed. These projects include:</w:t>
            </w:r>
          </w:p>
          <w:p w:rsidR="00D86A61" w:rsidRDefault="00D86A61" w:rsidP="00D86A61">
            <w:pPr>
              <w:pStyle w:val="Jurisdictioncommentslistbullet"/>
            </w:pPr>
            <w:r>
              <w:t>scholarships for qualified early childhood educators</w:t>
            </w:r>
            <w:r w:rsidR="00632E47">
              <w:t xml:space="preserve"> to upgrade their qualification</w:t>
            </w:r>
          </w:p>
          <w:p w:rsidR="00D86A61" w:rsidRDefault="00D86A61" w:rsidP="00D86A61">
            <w:pPr>
              <w:pStyle w:val="Jurisdictioncommentslistbullet"/>
            </w:pPr>
            <w:r>
              <w:t>the development of a transition to school statement to support children moving from early childhoo</w:t>
            </w:r>
            <w:r w:rsidR="00632E47">
              <w:t>d education settings to school</w:t>
            </w:r>
          </w:p>
          <w:p w:rsidR="00D86A61" w:rsidRDefault="00D86A61" w:rsidP="00D86A61">
            <w:pPr>
              <w:pStyle w:val="Jurisdictioncommentslistbullet"/>
            </w:pPr>
            <w:r>
              <w:t>trials of cluster management for community preschools focusing on consolidating administrative functions to imp</w:t>
            </w:r>
            <w:r w:rsidR="00632E47">
              <w:t>rove service sustainability</w:t>
            </w:r>
          </w:p>
          <w:p w:rsidR="00D86A61" w:rsidRDefault="00D86A61" w:rsidP="00D86A61">
            <w:pPr>
              <w:pStyle w:val="Jurisdictioncommentslistbullet"/>
            </w:pPr>
            <w:r>
              <w:t>targeted capital funding in rural and regional areas where children are missing out on preschool because of a lack of facilities.</w:t>
            </w:r>
          </w:p>
          <w:p w:rsidR="00D86A61" w:rsidRPr="008360FE" w:rsidRDefault="00D86A61" w:rsidP="00D86A61">
            <w:pPr>
              <w:pStyle w:val="Jurisdictioncommentsbodytext"/>
              <w:rPr>
                <w:i/>
              </w:rPr>
            </w:pPr>
            <w:r>
              <w:t xml:space="preserve">Significant progress continued to be made in 2013 to increase preschool participation for all children, and especially for those from Indigenous and disadvantaged backgrounds. This progress will be further enhanced through initiatives to be implemented as part of the new </w:t>
            </w:r>
            <w:r w:rsidRPr="008360FE">
              <w:rPr>
                <w:i/>
              </w:rPr>
              <w:t xml:space="preserve">National Partnership Agreement on Universal Access to Early Childhood Education. </w:t>
            </w:r>
          </w:p>
          <w:p w:rsidR="00D86A61" w:rsidRDefault="00D86A61" w:rsidP="00D86A61">
            <w:pPr>
              <w:pStyle w:val="Jurisdictioncommentsbodytext"/>
            </w:pPr>
            <w:r>
              <w:t xml:space="preserve">Assessment and rating visits under the </w:t>
            </w:r>
            <w:r w:rsidRPr="00547D79">
              <w:rPr>
                <w:i/>
              </w:rPr>
              <w:t>National Quality Framework</w:t>
            </w:r>
            <w:r>
              <w:t xml:space="preserve"> comme</w:t>
            </w:r>
            <w:r w:rsidR="00632E47">
              <w:t>nced in June 2012. A total of 1</w:t>
            </w:r>
            <w:r>
              <w:t>189 ass</w:t>
            </w:r>
            <w:r w:rsidR="00C135DF">
              <w:t>essments were conducted in 2012</w:t>
            </w:r>
            <w:r w:rsidR="00172534">
              <w:noBreakHyphen/>
            </w:r>
            <w:r>
              <w:t>13. The processes for conducting and reviewing assessments was evaluated and modified over the course of the year to streamline procedures and fine</w:t>
            </w:r>
            <w:r w:rsidR="00172534">
              <w:noBreakHyphen/>
            </w:r>
            <w:r>
              <w:t>tune reports.</w:t>
            </w:r>
          </w:p>
          <w:p w:rsidR="00D86A61" w:rsidRDefault="00D86A61" w:rsidP="00D86A61">
            <w:pPr>
              <w:pStyle w:val="Jurisdictioncommentsbodytext"/>
            </w:pPr>
            <w:r>
              <w:t>Due to the integrated nature of early childhood education and care in NSW, the structure of the Report continues to pose difficulties in accurately reporting NSW data, and when comparing the performance of NSW with that of other jurisdictions. The chapter continues to distinguish preschool services from child care services, whereas in NSW many children participate in preschool programs delivered in long day care settings.</w:t>
            </w:r>
          </w:p>
          <w:p w:rsidR="00170BF9" w:rsidRPr="00A3025A" w:rsidRDefault="00170BF9" w:rsidP="009E1EFB">
            <w:pPr>
              <w:pStyle w:val="Jurisdictioncommentsbodytext"/>
            </w:pPr>
          </w:p>
        </w:tc>
        <w:tc>
          <w:tcPr>
            <w:tcW w:w="851" w:type="dxa"/>
            <w:vMerge/>
            <w:tcBorders>
              <w:left w:val="nil"/>
            </w:tcBorders>
            <w:shd w:val="clear" w:color="auto" w:fill="auto"/>
          </w:tcPr>
          <w:p w:rsidR="00170BF9" w:rsidRPr="00A3025A" w:rsidRDefault="00170BF9" w:rsidP="00C3586E">
            <w:pPr>
              <w:pStyle w:val="BodyText"/>
            </w:pPr>
          </w:p>
        </w:tc>
      </w:tr>
    </w:tbl>
    <w:p w:rsidR="00B13981" w:rsidRPr="0065673A" w:rsidRDefault="00694969" w:rsidP="00C3586E">
      <w:pPr>
        <w:pStyle w:val="BodyText"/>
        <w:spacing w:before="0" w:line="240" w:lineRule="auto"/>
        <w:rPr>
          <w:color w:val="FF0000"/>
          <w:sz w:val="12"/>
          <w:szCs w:val="12"/>
        </w:rPr>
      </w:pPr>
      <w:r w:rsidRPr="0065673A">
        <w:rPr>
          <w:color w:val="FF0000"/>
        </w:rPr>
        <w:br w:type="page"/>
      </w:r>
    </w:p>
    <w:tbl>
      <w:tblPr>
        <w:tblW w:w="0" w:type="auto"/>
        <w:tblInd w:w="-885" w:type="dxa"/>
        <w:tblLayout w:type="fixed"/>
        <w:tblLook w:val="01E0" w:firstRow="1" w:lastRow="1" w:firstColumn="1" w:lastColumn="1" w:noHBand="0" w:noVBand="0"/>
      </w:tblPr>
      <w:tblGrid>
        <w:gridCol w:w="992"/>
        <w:gridCol w:w="8789"/>
        <w:gridCol w:w="851"/>
      </w:tblGrid>
      <w:tr w:rsidR="00B13981" w:rsidRPr="0065673A" w:rsidTr="00A30F68">
        <w:tc>
          <w:tcPr>
            <w:tcW w:w="992" w:type="dxa"/>
            <w:vMerge w:val="restart"/>
            <w:shd w:val="clear" w:color="auto" w:fill="auto"/>
          </w:tcPr>
          <w:p w:rsidR="00B13981" w:rsidRPr="00A3025A" w:rsidRDefault="00B13981" w:rsidP="00C3586E">
            <w:pPr>
              <w:pStyle w:val="BodyText"/>
              <w:rPr>
                <w:b/>
                <w:sz w:val="132"/>
                <w:szCs w:val="132"/>
              </w:rPr>
            </w:pPr>
            <w:r w:rsidRPr="00A3025A">
              <w:rPr>
                <w:b/>
                <w:sz w:val="132"/>
                <w:szCs w:val="132"/>
              </w:rPr>
              <w:lastRenderedPageBreak/>
              <w:t>“</w:t>
            </w:r>
          </w:p>
        </w:tc>
        <w:tc>
          <w:tcPr>
            <w:tcW w:w="8789" w:type="dxa"/>
            <w:shd w:val="clear" w:color="auto" w:fill="auto"/>
          </w:tcPr>
          <w:p w:rsidR="00B13981" w:rsidRPr="00A3025A" w:rsidRDefault="00B13981" w:rsidP="00C3586E">
            <w:pPr>
              <w:pStyle w:val="Jurisdictioncommentsheading"/>
            </w:pPr>
            <w:r w:rsidRPr="00A3025A">
              <w:t>Victorian Government comments</w:t>
            </w:r>
          </w:p>
        </w:tc>
        <w:tc>
          <w:tcPr>
            <w:tcW w:w="851" w:type="dxa"/>
            <w:vMerge w:val="restart"/>
            <w:shd w:val="clear" w:color="auto" w:fill="auto"/>
          </w:tcPr>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5D41BD" w:rsidRPr="00A3025A" w:rsidRDefault="005D41BD" w:rsidP="00C3586E">
            <w:pPr>
              <w:pStyle w:val="BodyText"/>
            </w:pPr>
          </w:p>
          <w:p w:rsidR="007B1417" w:rsidRPr="00A3025A" w:rsidRDefault="007B1417" w:rsidP="00C3586E">
            <w:pPr>
              <w:pStyle w:val="BodyText"/>
            </w:pPr>
          </w:p>
          <w:p w:rsidR="005D41BD" w:rsidRPr="00A3025A" w:rsidRDefault="005D41BD" w:rsidP="00C3586E">
            <w:pPr>
              <w:pStyle w:val="BodyText"/>
            </w:pPr>
          </w:p>
          <w:p w:rsidR="005222C3" w:rsidRPr="00A3025A" w:rsidRDefault="005222C3" w:rsidP="00C3586E">
            <w:pPr>
              <w:pStyle w:val="BodyText"/>
            </w:pPr>
          </w:p>
          <w:p w:rsidR="005222C3" w:rsidRPr="00A3025A" w:rsidRDefault="005222C3" w:rsidP="00C3586E">
            <w:pPr>
              <w:pStyle w:val="BodyText"/>
            </w:pPr>
          </w:p>
          <w:p w:rsidR="005222C3" w:rsidRPr="00A3025A" w:rsidRDefault="005222C3" w:rsidP="00C3586E">
            <w:pPr>
              <w:pStyle w:val="BodyText"/>
            </w:pPr>
          </w:p>
          <w:p w:rsidR="00B13981" w:rsidRPr="00A3025A" w:rsidRDefault="00B13981" w:rsidP="00C3586E">
            <w:pPr>
              <w:pStyle w:val="BodyText"/>
              <w:rPr>
                <w:b/>
                <w:sz w:val="132"/>
                <w:szCs w:val="132"/>
              </w:rPr>
            </w:pPr>
            <w:r w:rsidRPr="00A3025A">
              <w:rPr>
                <w:b/>
                <w:sz w:val="132"/>
                <w:szCs w:val="132"/>
              </w:rPr>
              <w:t>”</w:t>
            </w:r>
          </w:p>
        </w:tc>
      </w:tr>
      <w:tr w:rsidR="00B13981" w:rsidRPr="0065673A" w:rsidTr="00A30F68">
        <w:tc>
          <w:tcPr>
            <w:tcW w:w="992" w:type="dxa"/>
            <w:vMerge/>
            <w:shd w:val="clear" w:color="auto" w:fill="auto"/>
          </w:tcPr>
          <w:p w:rsidR="00B13981" w:rsidRPr="00A3025A" w:rsidRDefault="00B13981" w:rsidP="00C3586E">
            <w:pPr>
              <w:pStyle w:val="BodyText"/>
            </w:pPr>
          </w:p>
        </w:tc>
        <w:tc>
          <w:tcPr>
            <w:tcW w:w="8789" w:type="dxa"/>
            <w:shd w:val="clear" w:color="auto" w:fill="auto"/>
          </w:tcPr>
          <w:p w:rsidR="00262EE5" w:rsidRDefault="00262EE5" w:rsidP="00262EE5">
            <w:pPr>
              <w:pStyle w:val="Jurisdictioncommentsbodytext"/>
            </w:pPr>
            <w:r w:rsidRPr="00534C88">
              <w:t>In 2012</w:t>
            </w:r>
            <w:r w:rsidR="00172534">
              <w:noBreakHyphen/>
            </w:r>
            <w:r w:rsidRPr="00534C88">
              <w:t>13, the Department continued to increase access to quality early</w:t>
            </w:r>
            <w:r>
              <w:t xml:space="preserve"> </w:t>
            </w:r>
            <w:r w:rsidRPr="00534C88">
              <w:t xml:space="preserve">childhood </w:t>
            </w:r>
            <w:r>
              <w:t xml:space="preserve">education and care </w:t>
            </w:r>
            <w:r w:rsidRPr="00534C88">
              <w:t xml:space="preserve">services to support </w:t>
            </w:r>
            <w:r>
              <w:t xml:space="preserve">the early learning and development needs of </w:t>
            </w:r>
            <w:r w:rsidRPr="00534C88">
              <w:t xml:space="preserve">a growing population. </w:t>
            </w:r>
          </w:p>
          <w:p w:rsidR="00262EE5" w:rsidRPr="00534C88" w:rsidRDefault="00262EE5" w:rsidP="00262EE5">
            <w:pPr>
              <w:pStyle w:val="Jurisdictioncommentsbodytext"/>
            </w:pPr>
            <w:r w:rsidRPr="00534C88">
              <w:t>Victoria continue</w:t>
            </w:r>
            <w:r>
              <w:t>d</w:t>
            </w:r>
            <w:r w:rsidRPr="00534C88">
              <w:t xml:space="preserve"> to have the lowest percentage of </w:t>
            </w:r>
            <w:r>
              <w:t xml:space="preserve">developmentally </w:t>
            </w:r>
            <w:r w:rsidRPr="00534C88">
              <w:t>vulnerable children in Australia</w:t>
            </w:r>
            <w:r>
              <w:t>, with t</w:t>
            </w:r>
            <w:r w:rsidRPr="00534C88">
              <w:t>he 2012 Australian Early Development Index (</w:t>
            </w:r>
            <w:proofErr w:type="spellStart"/>
            <w:r w:rsidRPr="00534C88">
              <w:t>AEDI</w:t>
            </w:r>
            <w:proofErr w:type="spellEnd"/>
            <w:r w:rsidRPr="00534C88">
              <w:t>) report show</w:t>
            </w:r>
            <w:r>
              <w:t>ing</w:t>
            </w:r>
            <w:r w:rsidRPr="00534C88">
              <w:t xml:space="preserve"> the percentage of developmentally vulnerable 5 year olds in Victoria fell from 20.3 per cent in 2009 to 19.5 per cent in 2012.</w:t>
            </w:r>
            <w:r w:rsidR="00172534">
              <w:t xml:space="preserve"> </w:t>
            </w:r>
          </w:p>
          <w:p w:rsidR="00262EE5" w:rsidRPr="00C33459" w:rsidRDefault="00262EE5" w:rsidP="00262EE5">
            <w:pPr>
              <w:pStyle w:val="Jurisdictioncommentsbodytext"/>
            </w:pPr>
            <w:r w:rsidRPr="00213002">
              <w:t>In 2012, 99.1 per cent of children attended a preschool program in the year before school</w:t>
            </w:r>
            <w:r w:rsidRPr="00C33459">
              <w:rPr>
                <w:color w:val="4F81BD" w:themeColor="accent1"/>
              </w:rPr>
              <w:t xml:space="preserve"> </w:t>
            </w:r>
            <w:r w:rsidRPr="00C33459">
              <w:t>and substantial progress was made in achieving universal acces</w:t>
            </w:r>
            <w:r w:rsidR="00632E47">
              <w:t xml:space="preserve">s to 15 hours of kindergarten. </w:t>
            </w:r>
            <w:r w:rsidRPr="00C33459">
              <w:t xml:space="preserve">Victoria has taken a staged approach to implementing 15 hours to allow time for the planning, infrastructure, workforce and service models to be in place, with the great majority of services offering </w:t>
            </w:r>
            <w:r w:rsidR="00C135DF">
              <w:br/>
            </w:r>
            <w:r w:rsidRPr="00C33459">
              <w:t xml:space="preserve">15 hour programs in 2013. </w:t>
            </w:r>
          </w:p>
          <w:p w:rsidR="00262EE5" w:rsidRPr="00C33459" w:rsidRDefault="00262EE5" w:rsidP="00262EE5">
            <w:pPr>
              <w:pStyle w:val="Jurisdictioncommentsbodytext"/>
            </w:pPr>
            <w:r w:rsidRPr="00C33459">
              <w:t xml:space="preserve">In 2013 the Early Start Kindergarten grant, which provides three year old Aboriginal and Torres Strait Islander children and children known to Child Protection with access to a free kindergarten program, was increased to enable vulnerable children to attend kindergarten for up to 15 hours per week. </w:t>
            </w:r>
          </w:p>
          <w:p w:rsidR="00262EE5" w:rsidRPr="00C33459" w:rsidRDefault="00262EE5" w:rsidP="00262EE5">
            <w:pPr>
              <w:pStyle w:val="Jurisdictioncommentsbodytext"/>
            </w:pPr>
            <w:r w:rsidRPr="00C33459">
              <w:t>In recognition of the complex barriers faced by vulnerable families, the Government also funded the Access to Early Learning service model, which provides additional support to families facing complex issues that create barriers to their child’s engagement with early childhood education.</w:t>
            </w:r>
            <w:r w:rsidR="00172534">
              <w:t xml:space="preserve"> </w:t>
            </w:r>
          </w:p>
          <w:p w:rsidR="00262EE5" w:rsidRPr="00C33459" w:rsidRDefault="00262EE5" w:rsidP="00262EE5">
            <w:pPr>
              <w:pStyle w:val="Jurisdictioncommentsbodytext"/>
            </w:pPr>
            <w:r w:rsidRPr="00C33459">
              <w:t>Victoria has been successfully implementing the National Quality Framework, and by 30</w:t>
            </w:r>
            <w:r w:rsidR="00172534">
              <w:t> </w:t>
            </w:r>
            <w:r w:rsidRPr="00C33459">
              <w:t>June 2013, 762 services had been granted their final rating</w:t>
            </w:r>
            <w:r w:rsidR="007B10D9">
              <w:t xml:space="preserve"> (20 per</w:t>
            </w:r>
            <w:r w:rsidR="00CD2296">
              <w:t> </w:t>
            </w:r>
            <w:r w:rsidR="007B10D9">
              <w:t>cent of all services – just above the national average of 19 per cent)</w:t>
            </w:r>
            <w:r w:rsidRPr="00C33459">
              <w:t>.</w:t>
            </w:r>
            <w:r w:rsidR="00172534">
              <w:t xml:space="preserve"> </w:t>
            </w:r>
            <w:r w:rsidRPr="00C33459">
              <w:t>Approximately 23 per cent of rated services were rated as ‘Exceeding’ the National Quality Standard, 51 per cent as ‘Meeting’ and 26 per cent as ‘Working Towards’ the Standard.</w:t>
            </w:r>
            <w:r w:rsidR="00172534">
              <w:t xml:space="preserve"> </w:t>
            </w:r>
            <w:r w:rsidRPr="00C33459">
              <w:t>This compared to 44 per cent of services assessed as ‘Working Towards’ the Standard nationally.</w:t>
            </w:r>
          </w:p>
          <w:p w:rsidR="00262EE5" w:rsidRPr="00C33459" w:rsidRDefault="00262EE5" w:rsidP="007B10D9">
            <w:pPr>
              <w:pStyle w:val="Jurisdictioncommentsbodytext"/>
            </w:pPr>
            <w:r w:rsidRPr="00C33459">
              <w:t>Victoria continued to implement the Victorian Early Years Learning and Development Framework (</w:t>
            </w:r>
            <w:proofErr w:type="spellStart"/>
            <w:r w:rsidRPr="00C33459">
              <w:t>VEYLDF</w:t>
            </w:r>
            <w:proofErr w:type="spellEnd"/>
            <w:r w:rsidRPr="00C33459">
              <w:t>) to support early childhood practitioners to implement high</w:t>
            </w:r>
            <w:r w:rsidR="00172534">
              <w:noBreakHyphen/>
            </w:r>
            <w:r w:rsidRPr="00C33459">
              <w:t xml:space="preserve">quality pedagogy and practice that will improve outcomes for all Victorian children. To support the </w:t>
            </w:r>
            <w:proofErr w:type="spellStart"/>
            <w:r w:rsidRPr="00C33459">
              <w:t>VEYLDF’s</w:t>
            </w:r>
            <w:proofErr w:type="spellEnd"/>
            <w:r w:rsidRPr="00C33459">
              <w:t xml:space="preserve"> introduction, professional development opportunities were offered at low cost to early childhood professionals, with over 5000 attending training (also available online). Targeted early childhood education and care services also received intensive coaching, and networks were established to test assessment approaches and tools.</w:t>
            </w:r>
          </w:p>
          <w:p w:rsidR="00B13981" w:rsidRPr="00A3025A" w:rsidRDefault="00262EE5" w:rsidP="00262EE5">
            <w:pPr>
              <w:pStyle w:val="Jurisdictioncommentslistbullet"/>
              <w:numPr>
                <w:ilvl w:val="0"/>
                <w:numId w:val="0"/>
              </w:numPr>
            </w:pPr>
            <w:r w:rsidRPr="00213002">
              <w:t>Victoria allocated $42 million in grants through the Children’s Facilities Capital Program including $14.5 million to establish 11 integrated children’s centres, $10.5 million to establish 20 new early learning facilities and $17 million in renovation and refurbishment grants to extend or upgrade 64 centres across Victoria.</w:t>
            </w:r>
            <w:r w:rsidR="00172534">
              <w:t xml:space="preserve"> </w:t>
            </w:r>
          </w:p>
        </w:tc>
        <w:tc>
          <w:tcPr>
            <w:tcW w:w="851" w:type="dxa"/>
            <w:vMerge/>
            <w:tcBorders>
              <w:left w:val="nil"/>
            </w:tcBorders>
            <w:shd w:val="clear" w:color="auto" w:fill="auto"/>
          </w:tcPr>
          <w:p w:rsidR="00B13981" w:rsidRPr="0065673A" w:rsidRDefault="00B13981" w:rsidP="00C3586E">
            <w:pPr>
              <w:pStyle w:val="BodyText"/>
              <w:rPr>
                <w:color w:val="FF0000"/>
              </w:rPr>
            </w:pPr>
          </w:p>
        </w:tc>
      </w:tr>
    </w:tbl>
    <w:p w:rsidR="008C5469" w:rsidRPr="0065673A" w:rsidRDefault="00694969" w:rsidP="00C3586E">
      <w:pPr>
        <w:pStyle w:val="BodyText"/>
        <w:spacing w:before="0" w:line="240" w:lineRule="auto"/>
        <w:rPr>
          <w:color w:val="FF0000"/>
          <w:sz w:val="12"/>
          <w:szCs w:val="12"/>
        </w:rPr>
      </w:pPr>
      <w:r w:rsidRPr="0065673A">
        <w:rPr>
          <w:color w:val="FF0000"/>
        </w:rPr>
        <w:br w:type="page"/>
      </w:r>
    </w:p>
    <w:tbl>
      <w:tblPr>
        <w:tblW w:w="0" w:type="auto"/>
        <w:tblInd w:w="-885" w:type="dxa"/>
        <w:tblLayout w:type="fixed"/>
        <w:tblLook w:val="01E0" w:firstRow="1" w:lastRow="1" w:firstColumn="1" w:lastColumn="1" w:noHBand="0" w:noVBand="0"/>
      </w:tblPr>
      <w:tblGrid>
        <w:gridCol w:w="992"/>
        <w:gridCol w:w="8789"/>
        <w:gridCol w:w="851"/>
      </w:tblGrid>
      <w:tr w:rsidR="008C5469" w:rsidRPr="0065673A" w:rsidTr="00A30F68">
        <w:tc>
          <w:tcPr>
            <w:tcW w:w="992" w:type="dxa"/>
            <w:vMerge w:val="restart"/>
            <w:shd w:val="clear" w:color="auto" w:fill="auto"/>
          </w:tcPr>
          <w:p w:rsidR="008C5469" w:rsidRPr="00A3025A" w:rsidRDefault="008C5469" w:rsidP="00C3586E">
            <w:pPr>
              <w:pStyle w:val="BodyText"/>
              <w:rPr>
                <w:b/>
                <w:sz w:val="132"/>
                <w:szCs w:val="132"/>
              </w:rPr>
            </w:pPr>
            <w:r w:rsidRPr="00A3025A">
              <w:rPr>
                <w:b/>
                <w:sz w:val="132"/>
                <w:szCs w:val="132"/>
              </w:rPr>
              <w:lastRenderedPageBreak/>
              <w:t>“</w:t>
            </w:r>
          </w:p>
        </w:tc>
        <w:tc>
          <w:tcPr>
            <w:tcW w:w="8789" w:type="dxa"/>
            <w:shd w:val="clear" w:color="auto" w:fill="auto"/>
          </w:tcPr>
          <w:p w:rsidR="008C5469" w:rsidRPr="00A3025A" w:rsidRDefault="008C5469" w:rsidP="00C3586E">
            <w:pPr>
              <w:pStyle w:val="Jurisdictioncommentsheading"/>
            </w:pPr>
            <w:r w:rsidRPr="00A3025A">
              <w:t>Queensland Government comments</w:t>
            </w:r>
          </w:p>
        </w:tc>
        <w:tc>
          <w:tcPr>
            <w:tcW w:w="851" w:type="dxa"/>
            <w:vMerge w:val="restart"/>
            <w:shd w:val="clear" w:color="auto" w:fill="auto"/>
          </w:tcPr>
          <w:p w:rsidR="008C5469" w:rsidRPr="00A3025A" w:rsidRDefault="008C5469" w:rsidP="00C3586E">
            <w:pPr>
              <w:pStyle w:val="BodyText"/>
            </w:pPr>
          </w:p>
          <w:p w:rsidR="008C5469" w:rsidRPr="00A3025A" w:rsidRDefault="008C5469" w:rsidP="00C3586E">
            <w:pPr>
              <w:pStyle w:val="BodyText"/>
            </w:pPr>
          </w:p>
          <w:p w:rsidR="008C5469" w:rsidRPr="00A3025A" w:rsidRDefault="008C5469" w:rsidP="00C3586E">
            <w:pPr>
              <w:pStyle w:val="BodyText"/>
            </w:pPr>
          </w:p>
          <w:p w:rsidR="008C5469" w:rsidRPr="00A3025A" w:rsidRDefault="008C5469" w:rsidP="00C3586E">
            <w:pPr>
              <w:pStyle w:val="BodyText"/>
            </w:pPr>
          </w:p>
          <w:p w:rsidR="008C5469" w:rsidRPr="00A3025A" w:rsidRDefault="008C5469" w:rsidP="00C3586E">
            <w:pPr>
              <w:pStyle w:val="BodyText"/>
            </w:pPr>
          </w:p>
          <w:p w:rsidR="008C5469" w:rsidRPr="00A3025A" w:rsidRDefault="008C5469" w:rsidP="00C3586E">
            <w:pPr>
              <w:pStyle w:val="BodyText"/>
            </w:pPr>
          </w:p>
          <w:p w:rsidR="008C5469" w:rsidRPr="00A3025A" w:rsidRDefault="008C5469" w:rsidP="00C3586E">
            <w:pPr>
              <w:pStyle w:val="BodyText"/>
            </w:pPr>
          </w:p>
          <w:p w:rsidR="008C5469" w:rsidRPr="00A3025A" w:rsidRDefault="008C5469" w:rsidP="00C3586E">
            <w:pPr>
              <w:pStyle w:val="BodyText"/>
            </w:pPr>
          </w:p>
          <w:p w:rsidR="008C5469" w:rsidRPr="00A3025A" w:rsidRDefault="008C5469" w:rsidP="00C3586E">
            <w:pPr>
              <w:pStyle w:val="BodyText"/>
            </w:pPr>
          </w:p>
          <w:p w:rsidR="008C5469" w:rsidRPr="00A3025A" w:rsidRDefault="008C5469" w:rsidP="00C3586E">
            <w:pPr>
              <w:pStyle w:val="BodyText"/>
            </w:pPr>
          </w:p>
          <w:p w:rsidR="008C5469" w:rsidRPr="00A3025A" w:rsidRDefault="008C5469" w:rsidP="00C3586E">
            <w:pPr>
              <w:pStyle w:val="BodyText"/>
            </w:pPr>
          </w:p>
          <w:p w:rsidR="008C5469" w:rsidRPr="00A3025A" w:rsidRDefault="008C5469" w:rsidP="00C3586E">
            <w:pPr>
              <w:pStyle w:val="BodyText"/>
            </w:pPr>
          </w:p>
          <w:p w:rsidR="008C5469" w:rsidRPr="00A3025A" w:rsidRDefault="008C5469" w:rsidP="00C3586E">
            <w:pPr>
              <w:pStyle w:val="BodyText"/>
            </w:pPr>
          </w:p>
          <w:p w:rsidR="008C5469" w:rsidRPr="00A3025A" w:rsidRDefault="008C5469" w:rsidP="00C3586E">
            <w:pPr>
              <w:pStyle w:val="BodyText"/>
            </w:pPr>
          </w:p>
          <w:p w:rsidR="008C5469" w:rsidRPr="00A3025A" w:rsidRDefault="008C5469" w:rsidP="00C3586E">
            <w:pPr>
              <w:pStyle w:val="BodyText"/>
            </w:pPr>
          </w:p>
          <w:p w:rsidR="008C5469" w:rsidRPr="00A3025A" w:rsidRDefault="008C5469" w:rsidP="00C3586E">
            <w:pPr>
              <w:pStyle w:val="BodyText"/>
            </w:pPr>
          </w:p>
          <w:p w:rsidR="008C5469" w:rsidRPr="00A3025A" w:rsidRDefault="008C5469" w:rsidP="00C3586E">
            <w:pPr>
              <w:pStyle w:val="BodyText"/>
            </w:pPr>
          </w:p>
          <w:p w:rsidR="008C5469" w:rsidRPr="00A3025A" w:rsidRDefault="008C5469" w:rsidP="00C3586E">
            <w:pPr>
              <w:pStyle w:val="BodyText"/>
            </w:pPr>
          </w:p>
          <w:p w:rsidR="008C5469" w:rsidRPr="00A3025A" w:rsidRDefault="008C5469" w:rsidP="00C3586E">
            <w:pPr>
              <w:pStyle w:val="BodyText"/>
            </w:pPr>
          </w:p>
          <w:p w:rsidR="008C5469" w:rsidRPr="00A3025A" w:rsidRDefault="008C5469" w:rsidP="00C3586E">
            <w:pPr>
              <w:pStyle w:val="BodyText"/>
            </w:pPr>
          </w:p>
          <w:p w:rsidR="008C5469" w:rsidRPr="00A3025A" w:rsidRDefault="008C5469" w:rsidP="00C3586E">
            <w:pPr>
              <w:pStyle w:val="BodyText"/>
              <w:rPr>
                <w:b/>
                <w:sz w:val="132"/>
                <w:szCs w:val="132"/>
              </w:rPr>
            </w:pPr>
            <w:r w:rsidRPr="00A3025A">
              <w:rPr>
                <w:b/>
                <w:sz w:val="132"/>
                <w:szCs w:val="132"/>
              </w:rPr>
              <w:t>”</w:t>
            </w:r>
          </w:p>
        </w:tc>
      </w:tr>
      <w:tr w:rsidR="008C5469" w:rsidRPr="0065673A" w:rsidTr="00A30F68">
        <w:tc>
          <w:tcPr>
            <w:tcW w:w="992" w:type="dxa"/>
            <w:vMerge/>
            <w:shd w:val="clear" w:color="auto" w:fill="auto"/>
          </w:tcPr>
          <w:p w:rsidR="008C5469" w:rsidRPr="00A3025A" w:rsidRDefault="008C5469" w:rsidP="00C3586E">
            <w:pPr>
              <w:pStyle w:val="BodyText"/>
            </w:pPr>
          </w:p>
        </w:tc>
        <w:tc>
          <w:tcPr>
            <w:tcW w:w="8789" w:type="dxa"/>
            <w:shd w:val="clear" w:color="auto" w:fill="auto"/>
          </w:tcPr>
          <w:p w:rsidR="000C00C6" w:rsidRPr="00E45087" w:rsidRDefault="000C00C6" w:rsidP="000C00C6">
            <w:pPr>
              <w:pStyle w:val="Jurisdictioncommentsbodytext"/>
            </w:pPr>
            <w:r w:rsidRPr="00E45087">
              <w:t xml:space="preserve">The Department of Education, Training and Employment is </w:t>
            </w:r>
            <w:r>
              <w:t xml:space="preserve">committed to providing all Queensland children with the opportunity to access safe and quality early childhood education and care regardless of where they live or the economic or other circumstances of their families. </w:t>
            </w:r>
            <w:r w:rsidRPr="00E45087">
              <w:t>Initiatives progressed towards achieving these objectives include:</w:t>
            </w:r>
          </w:p>
          <w:p w:rsidR="000C00C6" w:rsidRPr="00E5762D" w:rsidRDefault="000C00C6" w:rsidP="00E5762D">
            <w:pPr>
              <w:pStyle w:val="Jurisdictioncommentslistbullet"/>
            </w:pPr>
            <w:r w:rsidRPr="00E5762D">
              <w:t xml:space="preserve">establishing extra kindergarten services in areas of need with a total of </w:t>
            </w:r>
            <w:r w:rsidR="00C135DF">
              <w:br/>
            </w:r>
            <w:r w:rsidRPr="00E5762D">
              <w:t>126 services established</w:t>
            </w:r>
            <w:r w:rsidR="00172534">
              <w:t xml:space="preserve"> </w:t>
            </w:r>
            <w:r w:rsidRPr="00E5762D">
              <w:t>on state and non</w:t>
            </w:r>
            <w:r w:rsidR="00172534">
              <w:noBreakHyphen/>
            </w:r>
            <w:r w:rsidRPr="00E5762D">
              <w:t xml:space="preserve">state schools since 2009 </w:t>
            </w:r>
          </w:p>
          <w:p w:rsidR="000C00C6" w:rsidRDefault="000C00C6" w:rsidP="000C00C6">
            <w:pPr>
              <w:pStyle w:val="Jurisdictioncommentslistbullet"/>
            </w:pPr>
            <w:r>
              <w:t>the commencement of e</w:t>
            </w:r>
            <w:r w:rsidR="00172534">
              <w:noBreakHyphen/>
            </w:r>
            <w:proofErr w:type="spellStart"/>
            <w:r>
              <w:t>kindy</w:t>
            </w:r>
            <w:proofErr w:type="spellEnd"/>
            <w:r>
              <w:t xml:space="preserve"> in Term 1, 2013 after the pilot program received positive feedback from families. As of Semester 2, 2013,</w:t>
            </w:r>
            <w:r w:rsidR="00172534">
              <w:t xml:space="preserve"> </w:t>
            </w:r>
            <w:r w:rsidR="00C135DF">
              <w:br/>
            </w:r>
            <w:r>
              <w:t>169 children were enrolled in e</w:t>
            </w:r>
            <w:r w:rsidR="00172534">
              <w:noBreakHyphen/>
            </w:r>
            <w:proofErr w:type="spellStart"/>
            <w:r>
              <w:t>kindy</w:t>
            </w:r>
            <w:proofErr w:type="spellEnd"/>
          </w:p>
          <w:p w:rsidR="000C00C6" w:rsidRDefault="000C00C6" w:rsidP="000C00C6">
            <w:pPr>
              <w:pStyle w:val="Jurisdictioncommentslistbullet"/>
            </w:pPr>
            <w:r>
              <w:t xml:space="preserve">continuing to provide access to integrated early childhood education, parenting and family support and child and maternal health services through funding of 25 child and family hubs, 4 early years centres operating across </w:t>
            </w:r>
            <w:r w:rsidR="00C135DF">
              <w:br/>
            </w:r>
            <w:r>
              <w:t>15 communities and 10 children and family centres</w:t>
            </w:r>
          </w:p>
          <w:p w:rsidR="000C00C6" w:rsidRDefault="000C00C6" w:rsidP="000C00C6">
            <w:pPr>
              <w:pStyle w:val="Jurisdictioncommentslistbullet"/>
            </w:pPr>
            <w:r>
              <w:t>developing and implementing an integrated early childhood development framework that presents a flexible model and aligns wit</w:t>
            </w:r>
            <w:r w:rsidR="00C135DF">
              <w:t xml:space="preserve">h the </w:t>
            </w:r>
            <w:r w:rsidR="00C135DF" w:rsidRPr="002B1F73">
              <w:rPr>
                <w:i/>
              </w:rPr>
              <w:t>National Quality Standard</w:t>
            </w:r>
            <w:r>
              <w:t xml:space="preserve"> to strengthen the approach to integrated service delivery</w:t>
            </w:r>
          </w:p>
          <w:p w:rsidR="000C00C6" w:rsidRDefault="000C00C6" w:rsidP="000C00C6">
            <w:pPr>
              <w:pStyle w:val="Jurisdictioncommentslistbullet"/>
            </w:pPr>
            <w:r>
              <w:t xml:space="preserve">implementing a suite of strategies to increase kindergarten access and participation of all children. Strategies include disability support funding, specialised equipment and transport grants, an Aboriginal and Torres Strait Islander cultural competence professional development program and </w:t>
            </w:r>
            <w:r w:rsidR="00C135DF">
              <w:br/>
            </w:r>
            <w:r>
              <w:t>pre</w:t>
            </w:r>
            <w:r w:rsidR="00172534">
              <w:noBreakHyphen/>
            </w:r>
            <w:r>
              <w:t>kindergarten grants to suppor</w:t>
            </w:r>
            <w:r w:rsidR="00F401C3">
              <w:t xml:space="preserve">t Aboriginal and Torres Strait </w:t>
            </w:r>
            <w:r>
              <w:t>Islander children and children from a culturally and linguistically diverse background to transition into kindergarten</w:t>
            </w:r>
          </w:p>
          <w:p w:rsidR="000C00C6" w:rsidRPr="005000AA" w:rsidRDefault="000C00C6" w:rsidP="000C00C6">
            <w:pPr>
              <w:pStyle w:val="Jurisdictioncommentslistbullet"/>
            </w:pPr>
            <w:r>
              <w:t>c</w:t>
            </w:r>
            <w:r w:rsidRPr="005000AA">
              <w:t xml:space="preserve">ontinuing </w:t>
            </w:r>
            <w:proofErr w:type="spellStart"/>
            <w:r w:rsidRPr="005000AA">
              <w:t>state</w:t>
            </w:r>
            <w:r w:rsidR="00172534">
              <w:noBreakHyphen/>
            </w:r>
            <w:r w:rsidRPr="005000AA">
              <w:t>wide</w:t>
            </w:r>
            <w:proofErr w:type="spellEnd"/>
            <w:r w:rsidRPr="005000AA">
              <w:t xml:space="preserve"> assessment and rating visits under the </w:t>
            </w:r>
            <w:r w:rsidRPr="00547D79">
              <w:rPr>
                <w:i/>
              </w:rPr>
              <w:t>National Quality Framework.</w:t>
            </w:r>
            <w:r>
              <w:t xml:space="preserve"> </w:t>
            </w:r>
            <w:r w:rsidRPr="005000AA">
              <w:t xml:space="preserve">Approximately 128 officers have successfully completed nationally consistent training in the </w:t>
            </w:r>
            <w:r w:rsidRPr="002B1F73">
              <w:rPr>
                <w:i/>
              </w:rPr>
              <w:t>National Quality Standard</w:t>
            </w:r>
            <w:r w:rsidRPr="005000AA">
              <w:t xml:space="preserve"> assessment and rating process</w:t>
            </w:r>
          </w:p>
          <w:p w:rsidR="000C00C6" w:rsidRPr="005000AA" w:rsidRDefault="000C00C6" w:rsidP="000C00C6">
            <w:pPr>
              <w:pStyle w:val="Jurisdictioncommentslistbullet"/>
            </w:pPr>
            <w:proofErr w:type="spellStart"/>
            <w:r>
              <w:t>s</w:t>
            </w:r>
            <w:r w:rsidRPr="005000AA">
              <w:t>tate</w:t>
            </w:r>
            <w:r w:rsidR="00172534">
              <w:noBreakHyphen/>
            </w:r>
            <w:r w:rsidRPr="005000AA">
              <w:t>wide</w:t>
            </w:r>
            <w:proofErr w:type="spellEnd"/>
            <w:r w:rsidRPr="005000AA">
              <w:t xml:space="preserve"> professional development offered to all early childhood officers in regulating the sector in accordance with the </w:t>
            </w:r>
            <w:r w:rsidRPr="002B1F73">
              <w:rPr>
                <w:i/>
              </w:rPr>
              <w:t>National Quality Framework</w:t>
            </w:r>
          </w:p>
          <w:p w:rsidR="000C00C6" w:rsidRPr="005000AA" w:rsidRDefault="000C00C6" w:rsidP="000C00C6">
            <w:pPr>
              <w:pStyle w:val="Jurisdictioncommentslistbullet"/>
            </w:pPr>
            <w:r>
              <w:t>c</w:t>
            </w:r>
            <w:r w:rsidRPr="005000AA">
              <w:t xml:space="preserve">ontinuing </w:t>
            </w:r>
            <w:proofErr w:type="spellStart"/>
            <w:r w:rsidRPr="005000AA">
              <w:t>state</w:t>
            </w:r>
            <w:r w:rsidR="00172534">
              <w:noBreakHyphen/>
            </w:r>
            <w:r w:rsidRPr="005000AA">
              <w:t>wide</w:t>
            </w:r>
            <w:proofErr w:type="spellEnd"/>
            <w:r w:rsidRPr="005000AA">
              <w:t xml:space="preserve"> sector awareness campaigns to support the implementation of the </w:t>
            </w:r>
            <w:r w:rsidRPr="002B1F73">
              <w:rPr>
                <w:i/>
              </w:rPr>
              <w:t>National Quality Framework</w:t>
            </w:r>
          </w:p>
          <w:p w:rsidR="000C00C6" w:rsidRDefault="000C00C6" w:rsidP="000C00C6">
            <w:pPr>
              <w:pStyle w:val="Jurisdictioncommentslistbullet"/>
            </w:pPr>
            <w:r>
              <w:t>e</w:t>
            </w:r>
            <w:r w:rsidRPr="005000AA">
              <w:t xml:space="preserve">nactment of the </w:t>
            </w:r>
            <w:r w:rsidRPr="005000AA">
              <w:rPr>
                <w:i/>
              </w:rPr>
              <w:t>Education</w:t>
            </w:r>
            <w:r w:rsidRPr="005000AA">
              <w:t xml:space="preserve"> </w:t>
            </w:r>
            <w:r w:rsidRPr="005000AA">
              <w:rPr>
                <w:i/>
              </w:rPr>
              <w:t>and Care Services</w:t>
            </w:r>
            <w:r w:rsidRPr="005000AA">
              <w:t xml:space="preserve"> </w:t>
            </w:r>
            <w:r w:rsidRPr="005000AA">
              <w:rPr>
                <w:i/>
              </w:rPr>
              <w:t>Act 2013</w:t>
            </w:r>
            <w:r w:rsidRPr="005000AA">
              <w:t xml:space="preserve"> to regulate early childhood education and care services that are not captured under the</w:t>
            </w:r>
            <w:r>
              <w:t xml:space="preserve"> </w:t>
            </w:r>
            <w:r w:rsidRPr="00547D79">
              <w:rPr>
                <w:i/>
              </w:rPr>
              <w:t>National Quality Framework</w:t>
            </w:r>
          </w:p>
          <w:p w:rsidR="000C00C6" w:rsidRDefault="000C00C6" w:rsidP="000C00C6">
            <w:pPr>
              <w:pStyle w:val="Jurisdictioncommentslistbullet"/>
            </w:pPr>
            <w:r>
              <w:t>increasing awareness and use of the Australian Early Development Index (</w:t>
            </w:r>
            <w:proofErr w:type="spellStart"/>
            <w:r>
              <w:t>AEDI</w:t>
            </w:r>
            <w:proofErr w:type="spellEnd"/>
            <w:r>
              <w:t xml:space="preserve">) through delivery of </w:t>
            </w:r>
            <w:proofErr w:type="spellStart"/>
            <w:r>
              <w:t>state</w:t>
            </w:r>
            <w:r w:rsidR="00172534">
              <w:noBreakHyphen/>
            </w:r>
            <w:r>
              <w:t>wide</w:t>
            </w:r>
            <w:proofErr w:type="spellEnd"/>
            <w:r>
              <w:t xml:space="preserve"> training sessions and the Queensland </w:t>
            </w:r>
            <w:proofErr w:type="spellStart"/>
            <w:r>
              <w:t>AEDI</w:t>
            </w:r>
            <w:proofErr w:type="spellEnd"/>
            <w:r>
              <w:t xml:space="preserve"> Community Action Grant program. </w:t>
            </w:r>
          </w:p>
          <w:p w:rsidR="008C5469" w:rsidRPr="00A3025A" w:rsidRDefault="008C5469" w:rsidP="0093285D">
            <w:pPr>
              <w:pStyle w:val="Jurisdictioncommentslistbullet"/>
              <w:numPr>
                <w:ilvl w:val="0"/>
                <w:numId w:val="0"/>
              </w:numPr>
              <w:ind w:left="318" w:hanging="318"/>
            </w:pPr>
          </w:p>
        </w:tc>
        <w:tc>
          <w:tcPr>
            <w:tcW w:w="851" w:type="dxa"/>
            <w:vMerge/>
            <w:tcBorders>
              <w:left w:val="nil"/>
            </w:tcBorders>
            <w:shd w:val="clear" w:color="auto" w:fill="auto"/>
          </w:tcPr>
          <w:p w:rsidR="008C5469" w:rsidRPr="00A3025A" w:rsidRDefault="008C5469" w:rsidP="00C3586E">
            <w:pPr>
              <w:pStyle w:val="BodyText"/>
            </w:pPr>
          </w:p>
        </w:tc>
      </w:tr>
    </w:tbl>
    <w:p w:rsidR="00694969" w:rsidRPr="0065673A" w:rsidRDefault="00694969" w:rsidP="00C3586E">
      <w:pPr>
        <w:pStyle w:val="BodyText"/>
        <w:spacing w:before="0" w:line="240" w:lineRule="auto"/>
        <w:rPr>
          <w:color w:val="FF0000"/>
          <w:sz w:val="12"/>
          <w:szCs w:val="12"/>
        </w:rPr>
      </w:pPr>
    </w:p>
    <w:p w:rsidR="00B13981" w:rsidRPr="0065673A" w:rsidRDefault="00B13981" w:rsidP="00C3586E">
      <w:pPr>
        <w:pStyle w:val="BodyText"/>
        <w:spacing w:before="0" w:line="240" w:lineRule="auto"/>
        <w:rPr>
          <w:b/>
          <w:vanish/>
          <w:color w:val="FF0000"/>
          <w:sz w:val="12"/>
          <w:szCs w:val="12"/>
        </w:rPr>
      </w:pPr>
    </w:p>
    <w:tbl>
      <w:tblPr>
        <w:tblW w:w="0" w:type="auto"/>
        <w:tblInd w:w="-885" w:type="dxa"/>
        <w:tblLayout w:type="fixed"/>
        <w:tblLook w:val="01E0" w:firstRow="1" w:lastRow="1" w:firstColumn="1" w:lastColumn="1" w:noHBand="0" w:noVBand="0"/>
      </w:tblPr>
      <w:tblGrid>
        <w:gridCol w:w="992"/>
        <w:gridCol w:w="8789"/>
        <w:gridCol w:w="851"/>
      </w:tblGrid>
      <w:tr w:rsidR="00B13981" w:rsidRPr="0065673A" w:rsidTr="00A30F68">
        <w:tc>
          <w:tcPr>
            <w:tcW w:w="992" w:type="dxa"/>
            <w:vMerge w:val="restart"/>
            <w:shd w:val="clear" w:color="auto" w:fill="auto"/>
          </w:tcPr>
          <w:p w:rsidR="00B13981" w:rsidRPr="00A3025A" w:rsidRDefault="00B13981" w:rsidP="00C3586E">
            <w:pPr>
              <w:pStyle w:val="BodyText"/>
              <w:rPr>
                <w:b/>
                <w:sz w:val="132"/>
                <w:szCs w:val="132"/>
              </w:rPr>
            </w:pPr>
            <w:r w:rsidRPr="00A3025A">
              <w:rPr>
                <w:b/>
                <w:sz w:val="132"/>
                <w:szCs w:val="132"/>
              </w:rPr>
              <w:lastRenderedPageBreak/>
              <w:t>“</w:t>
            </w:r>
          </w:p>
        </w:tc>
        <w:tc>
          <w:tcPr>
            <w:tcW w:w="8789" w:type="dxa"/>
            <w:shd w:val="clear" w:color="auto" w:fill="auto"/>
          </w:tcPr>
          <w:p w:rsidR="00B13981" w:rsidRPr="00A3025A" w:rsidRDefault="00B13981" w:rsidP="00C3586E">
            <w:pPr>
              <w:pStyle w:val="Jurisdictioncommentsheading"/>
            </w:pPr>
            <w:r w:rsidRPr="00A3025A">
              <w:t>Western Australia</w:t>
            </w:r>
            <w:r w:rsidR="00EC3125" w:rsidRPr="00A3025A">
              <w:t>n</w:t>
            </w:r>
            <w:r w:rsidRPr="00A3025A">
              <w:t xml:space="preserve"> Government comments</w:t>
            </w:r>
          </w:p>
        </w:tc>
        <w:tc>
          <w:tcPr>
            <w:tcW w:w="851" w:type="dxa"/>
            <w:vMerge w:val="restart"/>
            <w:shd w:val="clear" w:color="auto" w:fill="auto"/>
          </w:tcPr>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5D41BD" w:rsidRPr="00A3025A" w:rsidRDefault="005D41BD" w:rsidP="00C3586E">
            <w:pPr>
              <w:pStyle w:val="BodyText"/>
            </w:pPr>
          </w:p>
          <w:p w:rsidR="00CF16D9" w:rsidRPr="00A3025A" w:rsidRDefault="00CF16D9" w:rsidP="00C3586E">
            <w:pPr>
              <w:pStyle w:val="BodyText"/>
            </w:pPr>
          </w:p>
          <w:p w:rsidR="00B13981" w:rsidRPr="00A3025A" w:rsidRDefault="00B13981" w:rsidP="00C3586E">
            <w:pPr>
              <w:pStyle w:val="BodyText"/>
              <w:rPr>
                <w:b/>
                <w:sz w:val="132"/>
                <w:szCs w:val="132"/>
              </w:rPr>
            </w:pPr>
            <w:r w:rsidRPr="00A3025A">
              <w:rPr>
                <w:b/>
                <w:sz w:val="132"/>
                <w:szCs w:val="132"/>
              </w:rPr>
              <w:t>”</w:t>
            </w:r>
          </w:p>
        </w:tc>
      </w:tr>
      <w:tr w:rsidR="00B13981" w:rsidRPr="0065673A" w:rsidTr="00E5762D">
        <w:tc>
          <w:tcPr>
            <w:tcW w:w="992" w:type="dxa"/>
            <w:vMerge/>
            <w:shd w:val="clear" w:color="auto" w:fill="auto"/>
          </w:tcPr>
          <w:p w:rsidR="00B13981" w:rsidRPr="00A3025A" w:rsidRDefault="00B13981" w:rsidP="00C3586E">
            <w:pPr>
              <w:pStyle w:val="BodyText"/>
            </w:pPr>
          </w:p>
        </w:tc>
        <w:tc>
          <w:tcPr>
            <w:tcW w:w="8789" w:type="dxa"/>
            <w:shd w:val="clear" w:color="auto" w:fill="auto"/>
          </w:tcPr>
          <w:p w:rsidR="00262EE5" w:rsidRPr="00262EE5" w:rsidRDefault="00262EE5" w:rsidP="00262EE5">
            <w:pPr>
              <w:pStyle w:val="Jurisdictioncommentsbodytext"/>
            </w:pPr>
            <w:r w:rsidRPr="00262EE5">
              <w:t>Since the mid</w:t>
            </w:r>
            <w:r w:rsidR="00172534">
              <w:noBreakHyphen/>
            </w:r>
            <w:proofErr w:type="spellStart"/>
            <w:r w:rsidRPr="00262EE5">
              <w:t>90s</w:t>
            </w:r>
            <w:proofErr w:type="spellEnd"/>
            <w:r w:rsidRPr="00262EE5">
              <w:t xml:space="preserve">, four year old children in all urban, rural and remote </w:t>
            </w:r>
            <w:r w:rsidR="00632E47">
              <w:t xml:space="preserve">communities in </w:t>
            </w:r>
            <w:r w:rsidR="008360FE">
              <w:t>Western Australia (</w:t>
            </w:r>
            <w:r w:rsidR="00632E47">
              <w:t>WA</w:t>
            </w:r>
            <w:r w:rsidR="008360FE">
              <w:t>)</w:t>
            </w:r>
            <w:r w:rsidRPr="00262EE5">
              <w:t xml:space="preserve"> have had universal </w:t>
            </w:r>
            <w:r w:rsidR="00031FBF">
              <w:t>access to 11 hours per week of Kindergarten (</w:t>
            </w:r>
            <w:r w:rsidRPr="00262EE5">
              <w:t>pr</w:t>
            </w:r>
            <w:r w:rsidR="00031FBF">
              <w:t>eschool</w:t>
            </w:r>
            <w:r w:rsidR="00F401C3">
              <w:t xml:space="preserve">) at a school. </w:t>
            </w:r>
            <w:r w:rsidRPr="00262EE5">
              <w:t>Kindergarten hours have now increased to a</w:t>
            </w:r>
            <w:r w:rsidR="00F401C3">
              <w:t xml:space="preserve"> minimum of 15 hours per week. </w:t>
            </w:r>
            <w:r w:rsidRPr="00262EE5">
              <w:t>Kindergarten is not compulsory, however participatio</w:t>
            </w:r>
            <w:r w:rsidR="00031FBF">
              <w:t>n is normalised and in 2013, 99 per cent</w:t>
            </w:r>
            <w:r w:rsidRPr="00262EE5">
              <w:t xml:space="preserve"> of age</w:t>
            </w:r>
            <w:r w:rsidR="00172534">
              <w:noBreakHyphen/>
            </w:r>
            <w:r w:rsidRPr="00262EE5">
              <w:t>eligible children enro</w:t>
            </w:r>
            <w:r w:rsidR="00F401C3">
              <w:t xml:space="preserve">lled. </w:t>
            </w:r>
            <w:r w:rsidRPr="00262EE5">
              <w:t>Kindergarten is free of compulsory charges in publ</w:t>
            </w:r>
            <w:r w:rsidR="00031FBF">
              <w:t>ic schools and an average of 75 per cent</w:t>
            </w:r>
            <w:r w:rsidRPr="00262EE5">
              <w:t xml:space="preserve"> of the cost is borne by the State in </w:t>
            </w:r>
            <w:r w:rsidR="00031FBF">
              <w:br/>
            </w:r>
            <w:r w:rsidRPr="00262EE5">
              <w:t>non</w:t>
            </w:r>
            <w:r w:rsidR="00172534">
              <w:noBreakHyphen/>
            </w:r>
            <w:r w:rsidRPr="00262EE5">
              <w:t>government schools.</w:t>
            </w:r>
          </w:p>
          <w:p w:rsidR="00262EE5" w:rsidRPr="00262EE5" w:rsidRDefault="00262EE5" w:rsidP="00262EE5">
            <w:pPr>
              <w:pStyle w:val="Jurisdictioncommentsbodytext"/>
            </w:pPr>
            <w:r w:rsidRPr="00262EE5">
              <w:t xml:space="preserve">Implementation of the </w:t>
            </w:r>
            <w:r w:rsidRPr="002B1F73">
              <w:rPr>
                <w:i/>
              </w:rPr>
              <w:t>National Quality Standard</w:t>
            </w:r>
            <w:r w:rsidRPr="00262EE5">
              <w:t xml:space="preserve"> (</w:t>
            </w:r>
            <w:proofErr w:type="spellStart"/>
            <w:r w:rsidRPr="00262EE5">
              <w:t>NQS</w:t>
            </w:r>
            <w:proofErr w:type="spellEnd"/>
            <w:r w:rsidRPr="00262EE5">
              <w:t>) will improve program quality across the ea</w:t>
            </w:r>
            <w:r w:rsidR="00F401C3">
              <w:t xml:space="preserve">rly years of schooling. </w:t>
            </w:r>
            <w:r w:rsidRPr="00262EE5">
              <w:t xml:space="preserve">Scholarships were provided in 2013 to 600 Kindergarten education assistants to acquire a Certificate III and training on the </w:t>
            </w:r>
            <w:proofErr w:type="spellStart"/>
            <w:r w:rsidRPr="00262EE5">
              <w:t>NQS</w:t>
            </w:r>
            <w:proofErr w:type="spellEnd"/>
            <w:r w:rsidRPr="00262EE5">
              <w:t xml:space="preserve"> has been developed for teachers and all primary school principals.</w:t>
            </w:r>
          </w:p>
          <w:p w:rsidR="00262EE5" w:rsidRPr="00262EE5" w:rsidRDefault="00262EE5" w:rsidP="00262EE5">
            <w:pPr>
              <w:pStyle w:val="Jurisdictioncommentsbodytext"/>
            </w:pPr>
            <w:r w:rsidRPr="00262EE5">
              <w:t>In 2013 Pre</w:t>
            </w:r>
            <w:r w:rsidR="00172534">
              <w:noBreakHyphen/>
            </w:r>
            <w:r w:rsidRPr="00262EE5">
              <w:t xml:space="preserve">primary became compulsory for children who reached the age of </w:t>
            </w:r>
            <w:r w:rsidR="00F401C3">
              <w:br/>
              <w:t xml:space="preserve">5 years on or before 30 June. </w:t>
            </w:r>
            <w:r w:rsidRPr="00262EE5">
              <w:t xml:space="preserve">This is the first full time year of schooling and is the Foundation year of the </w:t>
            </w:r>
            <w:r w:rsidRPr="00262EE5">
              <w:rPr>
                <w:i/>
              </w:rPr>
              <w:t>Australian Curriculum</w:t>
            </w:r>
            <w:r w:rsidRPr="00262EE5">
              <w:t>.</w:t>
            </w:r>
          </w:p>
          <w:p w:rsidR="00262EE5" w:rsidRPr="00262EE5" w:rsidRDefault="00262EE5" w:rsidP="00262EE5">
            <w:pPr>
              <w:pStyle w:val="Jurisdictioncommentsbodytext"/>
            </w:pPr>
            <w:r w:rsidRPr="00262EE5">
              <w:t>There are three Early Learning and Care Centres and three Children and Family Centres operating on or</w:t>
            </w:r>
            <w:r w:rsidR="00F401C3">
              <w:t xml:space="preserve"> close to public school sites. </w:t>
            </w:r>
            <w:r w:rsidRPr="00262EE5">
              <w:t>Two more Children and Fam</w:t>
            </w:r>
            <w:r w:rsidR="00F401C3">
              <w:t xml:space="preserve">ily Centres will open in 2014. </w:t>
            </w:r>
            <w:r w:rsidRPr="00262EE5">
              <w:t>Ten State</w:t>
            </w:r>
            <w:r w:rsidR="00172534">
              <w:noBreakHyphen/>
            </w:r>
            <w:r w:rsidRPr="00262EE5">
              <w:t>funded Child and Parent Centres have been established on public school sites, with a further six sites commencing over the next four years</w:t>
            </w:r>
            <w:r w:rsidR="00F401C3">
              <w:t xml:space="preserve">. </w:t>
            </w:r>
            <w:r w:rsidRPr="00262EE5">
              <w:t>These centres improve access to a range of programs and services for families with young children from birth.</w:t>
            </w:r>
          </w:p>
          <w:p w:rsidR="00262EE5" w:rsidRPr="00262EE5" w:rsidRDefault="00262EE5" w:rsidP="00262EE5">
            <w:pPr>
              <w:pStyle w:val="Jurisdictioncommentsbodytext"/>
              <w:rPr>
                <w:rFonts w:ascii="ArialMT" w:hAnsi="ArialMT" w:cs="ArialMT"/>
              </w:rPr>
            </w:pPr>
            <w:r w:rsidRPr="00262EE5">
              <w:t>To assist communities in responding to the 2012 Australian Early Development Index (</w:t>
            </w:r>
            <w:proofErr w:type="spellStart"/>
            <w:r w:rsidRPr="00262EE5">
              <w:t>AEDI</w:t>
            </w:r>
            <w:proofErr w:type="spellEnd"/>
            <w:r w:rsidRPr="00262EE5">
              <w:t>) results which were released in March 2013</w:t>
            </w:r>
            <w:r>
              <w:t>, WA</w:t>
            </w:r>
            <w:r w:rsidRPr="00262EE5">
              <w:t xml:space="preserve"> implemen</w:t>
            </w:r>
            <w:r w:rsidR="00632E47">
              <w:t xml:space="preserve">ted a Local Champions Program. </w:t>
            </w:r>
            <w:r w:rsidRPr="00262EE5">
              <w:t xml:space="preserve">This program promotes collaborative </w:t>
            </w:r>
            <w:r w:rsidR="00031FBF">
              <w:br/>
            </w:r>
            <w:r w:rsidRPr="00262EE5">
              <w:t>community</w:t>
            </w:r>
            <w:r w:rsidR="00172534">
              <w:noBreakHyphen/>
            </w:r>
            <w:r w:rsidRPr="00262EE5">
              <w:t xml:space="preserve">driven initiatives in which the </w:t>
            </w:r>
            <w:proofErr w:type="spellStart"/>
            <w:r w:rsidRPr="00262EE5">
              <w:t>AEDI</w:t>
            </w:r>
            <w:proofErr w:type="spellEnd"/>
            <w:r w:rsidRPr="00262EE5">
              <w:t xml:space="preserve"> is used to inform local policy, planning and resource allocation to improve outcomes for children.</w:t>
            </w:r>
          </w:p>
          <w:p w:rsidR="00262EE5" w:rsidRPr="00262EE5" w:rsidRDefault="00262EE5" w:rsidP="00262EE5">
            <w:pPr>
              <w:pStyle w:val="Jurisdictioncommentsbodytext"/>
              <w:rPr>
                <w:rFonts w:cs="Arial"/>
              </w:rPr>
            </w:pPr>
            <w:r w:rsidRPr="00262EE5">
              <w:rPr>
                <w:rFonts w:cs="Arial"/>
              </w:rPr>
              <w:t xml:space="preserve">Following the commencement of the </w:t>
            </w:r>
            <w:r w:rsidRPr="00262EE5">
              <w:rPr>
                <w:rFonts w:cs="Arial"/>
                <w:i/>
              </w:rPr>
              <w:t>Education and Care Services National Law (WA) Act 2012</w:t>
            </w:r>
            <w:r w:rsidRPr="00262EE5">
              <w:rPr>
                <w:rFonts w:cs="Arial"/>
              </w:rPr>
              <w:t xml:space="preserve"> and its </w:t>
            </w:r>
            <w:r w:rsidRPr="00262EE5">
              <w:rPr>
                <w:rFonts w:cs="Arial"/>
                <w:i/>
              </w:rPr>
              <w:t xml:space="preserve">Regulations, </w:t>
            </w:r>
            <w:r w:rsidRPr="00262EE5">
              <w:rPr>
                <w:rFonts w:cs="Arial"/>
              </w:rPr>
              <w:t>issues requiring legislative amendments have been i</w:t>
            </w:r>
            <w:r w:rsidR="00632E47">
              <w:rPr>
                <w:rFonts w:cs="Arial"/>
              </w:rPr>
              <w:t xml:space="preserve">dentified across jurisdictions. </w:t>
            </w:r>
            <w:r w:rsidRPr="00262EE5">
              <w:rPr>
                <w:rFonts w:cs="Arial"/>
              </w:rPr>
              <w:t>Where ap</w:t>
            </w:r>
            <w:r>
              <w:rPr>
                <w:rFonts w:cs="Arial"/>
              </w:rPr>
              <w:t>plicable, corresponding WA</w:t>
            </w:r>
            <w:r w:rsidRPr="00262EE5">
              <w:rPr>
                <w:rFonts w:cs="Arial"/>
              </w:rPr>
              <w:t xml:space="preserve"> Regulations will be amended to reflect the National Regulations.</w:t>
            </w:r>
          </w:p>
          <w:p w:rsidR="00262EE5" w:rsidRPr="00262EE5" w:rsidRDefault="00262EE5" w:rsidP="00262EE5">
            <w:pPr>
              <w:pStyle w:val="Jurisdictioncommentsbodytext"/>
              <w:rPr>
                <w:rFonts w:cs="Arial"/>
              </w:rPr>
            </w:pPr>
            <w:r w:rsidRPr="00262EE5">
              <w:rPr>
                <w:rFonts w:cs="Arial"/>
              </w:rPr>
              <w:t xml:space="preserve">The 2013 Early Childhood Education and Care Workforce Review is reviewing progress towards meeting workforce and qualification requirements of the National Law, due </w:t>
            </w:r>
            <w:r w:rsidR="008360FE">
              <w:rPr>
                <w:rFonts w:cs="Arial"/>
              </w:rPr>
              <w:t>to commence on 1</w:t>
            </w:r>
            <w:r w:rsidR="00172534">
              <w:rPr>
                <w:rFonts w:cs="Arial"/>
              </w:rPr>
              <w:t> </w:t>
            </w:r>
            <w:r w:rsidR="008360FE">
              <w:rPr>
                <w:rFonts w:cs="Arial"/>
              </w:rPr>
              <w:t xml:space="preserve">January 2014. </w:t>
            </w:r>
            <w:r w:rsidRPr="00262EE5">
              <w:rPr>
                <w:rFonts w:cs="Arial"/>
              </w:rPr>
              <w:t>Consultations were</w:t>
            </w:r>
            <w:r>
              <w:rPr>
                <w:rFonts w:cs="Arial"/>
              </w:rPr>
              <w:t xml:space="preserve"> undertaken in WA</w:t>
            </w:r>
            <w:r w:rsidRPr="00262EE5">
              <w:rPr>
                <w:rFonts w:cs="Arial"/>
              </w:rPr>
              <w:t xml:space="preserve"> with key stakeholders and Phase one has been completed.</w:t>
            </w:r>
          </w:p>
          <w:p w:rsidR="00262EE5" w:rsidRPr="00262EE5" w:rsidRDefault="00262EE5" w:rsidP="00262EE5">
            <w:pPr>
              <w:pStyle w:val="Jurisdictioncommentsbodytext"/>
              <w:rPr>
                <w:rFonts w:cs="Arial"/>
              </w:rPr>
            </w:pPr>
            <w:r w:rsidRPr="00262EE5">
              <w:rPr>
                <w:rFonts w:cs="Arial"/>
              </w:rPr>
              <w:t xml:space="preserve">The 2014 Review of the </w:t>
            </w:r>
            <w:r w:rsidRPr="00F40AA7">
              <w:rPr>
                <w:rFonts w:cs="Arial"/>
                <w:i/>
              </w:rPr>
              <w:t>National Partnership Agreement on the National Quality Agenda</w:t>
            </w:r>
            <w:r w:rsidRPr="00262EE5">
              <w:rPr>
                <w:rFonts w:cs="Arial"/>
              </w:rPr>
              <w:t xml:space="preserve"> will review progress toward achieving its objectives and outcomes and the extent to which the </w:t>
            </w:r>
            <w:r w:rsidRPr="002B1F73">
              <w:rPr>
                <w:rFonts w:cs="Arial"/>
                <w:i/>
              </w:rPr>
              <w:t>National Quality Framework</w:t>
            </w:r>
            <w:r w:rsidRPr="00262EE5">
              <w:rPr>
                <w:rFonts w:cs="Arial"/>
              </w:rPr>
              <w:t xml:space="preserve"> has b</w:t>
            </w:r>
            <w:r>
              <w:rPr>
                <w:rFonts w:cs="Arial"/>
              </w:rPr>
              <w:t>een embedded. WA</w:t>
            </w:r>
            <w:r w:rsidRPr="00262EE5">
              <w:rPr>
                <w:rFonts w:cs="Arial"/>
              </w:rPr>
              <w:t xml:space="preserve"> will form part of the Review Working Group.</w:t>
            </w:r>
          </w:p>
          <w:p w:rsidR="00B13981" w:rsidRPr="00262EE5" w:rsidRDefault="00262EE5" w:rsidP="00262EE5">
            <w:pPr>
              <w:pStyle w:val="Jurisdictioncommentsbodytext"/>
              <w:rPr>
                <w:rFonts w:cs="Arial"/>
                <w:szCs w:val="22"/>
              </w:rPr>
            </w:pPr>
            <w:r w:rsidRPr="00262EE5">
              <w:rPr>
                <w:rFonts w:cs="Arial"/>
                <w:szCs w:val="22"/>
              </w:rPr>
              <w:t>Assessment and rating of education and care services co</w:t>
            </w:r>
            <w:r w:rsidR="00031FBF">
              <w:rPr>
                <w:rFonts w:cs="Arial"/>
                <w:szCs w:val="22"/>
              </w:rPr>
              <w:t xml:space="preserve">mmenced in </w:t>
            </w:r>
            <w:r w:rsidR="00632E47">
              <w:rPr>
                <w:rFonts w:cs="Arial"/>
                <w:szCs w:val="22"/>
              </w:rPr>
              <w:br/>
            </w:r>
            <w:r w:rsidR="00031FBF">
              <w:rPr>
                <w:rFonts w:cs="Arial"/>
                <w:szCs w:val="22"/>
              </w:rPr>
              <w:t>November 2012 and 10 per cent</w:t>
            </w:r>
            <w:r w:rsidRPr="00262EE5">
              <w:rPr>
                <w:rFonts w:cs="Arial"/>
                <w:szCs w:val="22"/>
              </w:rPr>
              <w:t xml:space="preserve"> of services have been rated, as at Sep</w:t>
            </w:r>
            <w:r w:rsidR="00F401C3">
              <w:rPr>
                <w:rFonts w:cs="Arial"/>
                <w:szCs w:val="22"/>
              </w:rPr>
              <w:t xml:space="preserve">tember 2013. </w:t>
            </w:r>
            <w:r>
              <w:rPr>
                <w:rFonts w:cs="Arial"/>
                <w:szCs w:val="22"/>
              </w:rPr>
              <w:t xml:space="preserve">WA </w:t>
            </w:r>
            <w:r w:rsidRPr="00262EE5">
              <w:rPr>
                <w:rFonts w:cs="Arial"/>
                <w:szCs w:val="22"/>
              </w:rPr>
              <w:t xml:space="preserve">continues to visit child care services that are out of scope of the </w:t>
            </w:r>
            <w:r w:rsidRPr="00262EE5">
              <w:rPr>
                <w:rFonts w:cs="Arial"/>
                <w:i/>
                <w:szCs w:val="22"/>
              </w:rPr>
              <w:t>National Law</w:t>
            </w:r>
            <w:r w:rsidRPr="00262EE5">
              <w:rPr>
                <w:rFonts w:cs="Arial"/>
                <w:szCs w:val="22"/>
              </w:rPr>
              <w:t xml:space="preserve"> and regulates them under the </w:t>
            </w:r>
            <w:r w:rsidRPr="00262EE5">
              <w:rPr>
                <w:rFonts w:cs="Arial"/>
                <w:i/>
                <w:szCs w:val="22"/>
              </w:rPr>
              <w:t>Child Care Services Act 2007</w:t>
            </w:r>
            <w:r>
              <w:rPr>
                <w:rFonts w:cs="Arial"/>
                <w:szCs w:val="22"/>
              </w:rPr>
              <w:t>.</w:t>
            </w:r>
          </w:p>
        </w:tc>
        <w:tc>
          <w:tcPr>
            <w:tcW w:w="851" w:type="dxa"/>
            <w:vMerge/>
            <w:tcBorders>
              <w:left w:val="nil"/>
            </w:tcBorders>
            <w:shd w:val="clear" w:color="auto" w:fill="auto"/>
          </w:tcPr>
          <w:p w:rsidR="00B13981" w:rsidRPr="00A3025A" w:rsidRDefault="00B13981" w:rsidP="00C3586E">
            <w:pPr>
              <w:pStyle w:val="BodyText"/>
            </w:pPr>
          </w:p>
        </w:tc>
      </w:tr>
    </w:tbl>
    <w:p w:rsidR="00B13981" w:rsidRPr="00031FBF" w:rsidRDefault="00B13981" w:rsidP="00C3586E">
      <w:pPr>
        <w:pStyle w:val="BodyText"/>
        <w:spacing w:before="0" w:line="240" w:lineRule="auto"/>
        <w:rPr>
          <w:color w:val="FF0000"/>
          <w:sz w:val="12"/>
          <w:szCs w:val="12"/>
        </w:rPr>
      </w:pPr>
    </w:p>
    <w:tbl>
      <w:tblPr>
        <w:tblW w:w="0" w:type="auto"/>
        <w:tblInd w:w="-885" w:type="dxa"/>
        <w:tblLayout w:type="fixed"/>
        <w:tblLook w:val="01E0" w:firstRow="1" w:lastRow="1" w:firstColumn="1" w:lastColumn="1" w:noHBand="0" w:noVBand="0"/>
      </w:tblPr>
      <w:tblGrid>
        <w:gridCol w:w="992"/>
        <w:gridCol w:w="8789"/>
        <w:gridCol w:w="851"/>
      </w:tblGrid>
      <w:tr w:rsidR="00B13981" w:rsidRPr="0065673A" w:rsidTr="00A30F68">
        <w:tc>
          <w:tcPr>
            <w:tcW w:w="992" w:type="dxa"/>
            <w:vMerge w:val="restart"/>
            <w:shd w:val="clear" w:color="auto" w:fill="auto"/>
          </w:tcPr>
          <w:p w:rsidR="00B13981" w:rsidRPr="00A3025A" w:rsidRDefault="00B13981" w:rsidP="00C3586E">
            <w:pPr>
              <w:pStyle w:val="BodyText"/>
              <w:rPr>
                <w:b/>
                <w:sz w:val="132"/>
                <w:szCs w:val="132"/>
              </w:rPr>
            </w:pPr>
            <w:r w:rsidRPr="00A3025A">
              <w:rPr>
                <w:b/>
                <w:sz w:val="132"/>
                <w:szCs w:val="132"/>
              </w:rPr>
              <w:t>“</w:t>
            </w:r>
          </w:p>
        </w:tc>
        <w:tc>
          <w:tcPr>
            <w:tcW w:w="8789" w:type="dxa"/>
            <w:shd w:val="clear" w:color="auto" w:fill="auto"/>
          </w:tcPr>
          <w:p w:rsidR="00B13981" w:rsidRPr="00A3025A" w:rsidRDefault="00B13981" w:rsidP="00C3586E">
            <w:pPr>
              <w:pStyle w:val="Jurisdictioncommentsheading"/>
            </w:pPr>
            <w:r w:rsidRPr="00A3025A">
              <w:t>South Australian Government comments</w:t>
            </w:r>
          </w:p>
        </w:tc>
        <w:tc>
          <w:tcPr>
            <w:tcW w:w="851" w:type="dxa"/>
            <w:vMerge w:val="restart"/>
            <w:shd w:val="clear" w:color="auto" w:fill="auto"/>
          </w:tcPr>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rPr>
                <w:b/>
                <w:sz w:val="132"/>
                <w:szCs w:val="132"/>
              </w:rPr>
            </w:pPr>
            <w:r w:rsidRPr="00A3025A">
              <w:rPr>
                <w:b/>
                <w:sz w:val="132"/>
                <w:szCs w:val="132"/>
              </w:rPr>
              <w:t>”</w:t>
            </w:r>
          </w:p>
        </w:tc>
      </w:tr>
      <w:tr w:rsidR="00B13981" w:rsidRPr="0065673A" w:rsidTr="00A30F68">
        <w:tc>
          <w:tcPr>
            <w:tcW w:w="992" w:type="dxa"/>
            <w:vMerge/>
            <w:shd w:val="clear" w:color="auto" w:fill="auto"/>
          </w:tcPr>
          <w:p w:rsidR="00B13981" w:rsidRPr="00A3025A" w:rsidRDefault="00B13981" w:rsidP="00C3586E">
            <w:pPr>
              <w:pStyle w:val="BodyText"/>
            </w:pPr>
          </w:p>
        </w:tc>
        <w:tc>
          <w:tcPr>
            <w:tcW w:w="8789" w:type="dxa"/>
            <w:shd w:val="clear" w:color="auto" w:fill="auto"/>
          </w:tcPr>
          <w:p w:rsidR="00262EE5" w:rsidRPr="006175EC" w:rsidRDefault="00262EE5" w:rsidP="00262EE5">
            <w:pPr>
              <w:pStyle w:val="Jurisdictioncommentsbodytext"/>
            </w:pPr>
            <w:r>
              <w:t xml:space="preserve">The </w:t>
            </w:r>
            <w:r w:rsidR="008360FE">
              <w:t>South Australian (</w:t>
            </w:r>
            <w:r>
              <w:t>SA</w:t>
            </w:r>
            <w:r w:rsidR="008360FE">
              <w:t>)</w:t>
            </w:r>
            <w:r>
              <w:t xml:space="preserve"> Government, through the Department of Education </w:t>
            </w:r>
            <w:r w:rsidRPr="00FF7AC8">
              <w:t xml:space="preserve">and Child Development </w:t>
            </w:r>
            <w:r w:rsidR="004330D0">
              <w:t>(</w:t>
            </w:r>
            <w:proofErr w:type="spellStart"/>
            <w:r w:rsidR="004330D0">
              <w:t>DECD</w:t>
            </w:r>
            <w:proofErr w:type="spellEnd"/>
            <w:r w:rsidR="004330D0">
              <w:t>) and the ‘Every Chance for Every Child’</w:t>
            </w:r>
            <w:r>
              <w:t xml:space="preserve"> strategic priority, recognises that early learning begins at birth and that early childhood development is crucial for the improvement of children and young people’s education, safety, health and development outcomes. </w:t>
            </w:r>
          </w:p>
          <w:p w:rsidR="00262EE5" w:rsidRDefault="00262EE5" w:rsidP="00262EE5">
            <w:pPr>
              <w:pStyle w:val="Jurisdictioncommentsbodytext"/>
            </w:pPr>
            <w:r>
              <w:t>Since 2012, the SA Government has been consulting on</w:t>
            </w:r>
            <w:r w:rsidRPr="006175EC">
              <w:t xml:space="preserve"> legislation to articulate and entrench the importance of children and families in SA,</w:t>
            </w:r>
            <w:r>
              <w:t xml:space="preserve"> including a proposal to establish a </w:t>
            </w:r>
            <w:r w:rsidRPr="006175EC">
              <w:t>Commissioner for Children.</w:t>
            </w:r>
          </w:p>
          <w:p w:rsidR="00262EE5" w:rsidRDefault="00262EE5" w:rsidP="00262EE5">
            <w:pPr>
              <w:pStyle w:val="Jurisdictioncommentsbodytext"/>
            </w:pPr>
            <w:r>
              <w:t xml:space="preserve">The </w:t>
            </w:r>
            <w:proofErr w:type="spellStart"/>
            <w:r>
              <w:t>DECD</w:t>
            </w:r>
            <w:proofErr w:type="spellEnd"/>
            <w:r>
              <w:t xml:space="preserve"> </w:t>
            </w:r>
            <w:r w:rsidR="00172534">
              <w:t>‘</w:t>
            </w:r>
            <w:r>
              <w:t>Brighter Futures</w:t>
            </w:r>
            <w:r w:rsidR="00172534">
              <w:t>’</w:t>
            </w:r>
            <w:r w:rsidRPr="00FF7AC8">
              <w:t xml:space="preserve"> </w:t>
            </w:r>
            <w:r>
              <w:t xml:space="preserve">initiative, also begun in 2012, is a collective of organisational transformation programs designed to </w:t>
            </w:r>
            <w:r w:rsidRPr="00FF7AC8">
              <w:t>deliver improved benefits for chil</w:t>
            </w:r>
            <w:r>
              <w:t>dren, young people and families through an integrated DECD.</w:t>
            </w:r>
          </w:p>
          <w:p w:rsidR="00262EE5" w:rsidRDefault="00262EE5" w:rsidP="00262EE5">
            <w:pPr>
              <w:pStyle w:val="Jurisdictioncommentsbodytext"/>
            </w:pPr>
            <w:r>
              <w:t>T</w:t>
            </w:r>
            <w:r w:rsidRPr="00FF7AC8">
              <w:t xml:space="preserve">he </w:t>
            </w:r>
            <w:r w:rsidR="00172534">
              <w:t>‘</w:t>
            </w:r>
            <w:r w:rsidRPr="00FF7AC8">
              <w:t>Literacy and Numeracy Strategy from Birth to 18</w:t>
            </w:r>
            <w:r w:rsidR="00172534">
              <w:t>’</w:t>
            </w:r>
            <w:r w:rsidRPr="00FF7AC8">
              <w:t xml:space="preserve"> </w:t>
            </w:r>
            <w:r>
              <w:t xml:space="preserve">has been introduced </w:t>
            </w:r>
            <w:r w:rsidRPr="00FF7AC8">
              <w:t>to support young people to leave school able to understand and use mathematics</w:t>
            </w:r>
            <w:r>
              <w:t>,</w:t>
            </w:r>
            <w:r w:rsidRPr="00FF7AC8">
              <w:t xml:space="preserve"> to read, and to communicate orally, in wri</w:t>
            </w:r>
            <w:r>
              <w:t>ting and through digital media.</w:t>
            </w:r>
          </w:p>
          <w:p w:rsidR="00262EE5" w:rsidRDefault="00262EE5" w:rsidP="00262EE5">
            <w:pPr>
              <w:pStyle w:val="Jurisdictioncommentsbodytext"/>
            </w:pPr>
            <w:r>
              <w:t>Children’s Centres provide a new service model, with a range of early childhood services and programs. This includes care and education from birth through to the early years of school, parenting networks, family support and links to health se</w:t>
            </w:r>
            <w:r w:rsidR="00F40AA7">
              <w:t xml:space="preserve">rvices. In 2012 SA </w:t>
            </w:r>
            <w:r>
              <w:t xml:space="preserve">had established 25 children’s centres and a further 9 were under construction. </w:t>
            </w:r>
          </w:p>
          <w:p w:rsidR="00262EE5" w:rsidRDefault="00262EE5" w:rsidP="00262EE5">
            <w:pPr>
              <w:pStyle w:val="Jurisdictioncommentsbodytext"/>
            </w:pPr>
            <w:r>
              <w:t xml:space="preserve">Child and family health services across 120 centres implemented the new </w:t>
            </w:r>
            <w:r w:rsidR="00172534">
              <w:t>‘</w:t>
            </w:r>
            <w:r>
              <w:t>Strong Start</w:t>
            </w:r>
            <w:r w:rsidR="00172534">
              <w:t>’</w:t>
            </w:r>
            <w:r>
              <w:t xml:space="preserve"> program, designed to provide support to young children and families. Family Home Visiting services conducted</w:t>
            </w:r>
            <w:r w:rsidR="00A67451">
              <w:t xml:space="preserve"> 18 000 visits, and supported 1</w:t>
            </w:r>
            <w:r>
              <w:t>500 families.</w:t>
            </w:r>
          </w:p>
          <w:p w:rsidR="00262EE5" w:rsidRPr="001A28AF" w:rsidRDefault="00262EE5" w:rsidP="00262EE5">
            <w:pPr>
              <w:pStyle w:val="Jurisdictioncommentsbodytext"/>
            </w:pPr>
            <w:r w:rsidRPr="001A28AF">
              <w:t xml:space="preserve">Through the implementation of the three national partnerships on early childhood education and care </w:t>
            </w:r>
            <w:proofErr w:type="spellStart"/>
            <w:r w:rsidRPr="001A28AF">
              <w:t>DECD</w:t>
            </w:r>
            <w:proofErr w:type="spellEnd"/>
            <w:r w:rsidRPr="001A28AF">
              <w:t xml:space="preserve"> has:</w:t>
            </w:r>
          </w:p>
          <w:p w:rsidR="00262EE5" w:rsidRDefault="00262EE5" w:rsidP="00262EE5">
            <w:pPr>
              <w:pStyle w:val="Jurisdictioncommentsbodytext"/>
              <w:numPr>
                <w:ilvl w:val="0"/>
                <w:numId w:val="13"/>
              </w:numPr>
            </w:pPr>
            <w:r>
              <w:t>e</w:t>
            </w:r>
            <w:r w:rsidRPr="001A28AF">
              <w:t>stablished an independent regulatory authority, the Education and Early Childhood Registration and Standards Board</w:t>
            </w:r>
            <w:r w:rsidR="00A67451">
              <w:t>,</w:t>
            </w:r>
            <w:r w:rsidRPr="001A28AF">
              <w:t xml:space="preserve"> to conduct the rating and assessment process under the </w:t>
            </w:r>
            <w:r w:rsidRPr="002B1F73">
              <w:rPr>
                <w:i/>
              </w:rPr>
              <w:t>National Quality Standard</w:t>
            </w:r>
            <w:r>
              <w:t>.</w:t>
            </w:r>
            <w:r w:rsidRPr="001A28AF">
              <w:t xml:space="preserve"> </w:t>
            </w:r>
          </w:p>
          <w:p w:rsidR="00262EE5" w:rsidRDefault="00262EE5" w:rsidP="00262EE5">
            <w:pPr>
              <w:pStyle w:val="Jurisdictioncommentsbodytext"/>
              <w:numPr>
                <w:ilvl w:val="0"/>
                <w:numId w:val="13"/>
              </w:numPr>
            </w:pPr>
            <w:r>
              <w:t>beco</w:t>
            </w:r>
            <w:r w:rsidRPr="001A28AF">
              <w:t>me an approved provider for 429 preschool services, 45 integrated services and 12 Family Day Care Schemes</w:t>
            </w:r>
            <w:r>
              <w:t>.</w:t>
            </w:r>
            <w:r w:rsidR="00172534">
              <w:t xml:space="preserve"> </w:t>
            </w:r>
          </w:p>
          <w:p w:rsidR="00262EE5" w:rsidRPr="001A28AF" w:rsidRDefault="00262EE5" w:rsidP="00262EE5">
            <w:pPr>
              <w:pStyle w:val="Jurisdictioncommentsbodytext"/>
              <w:numPr>
                <w:ilvl w:val="0"/>
                <w:numId w:val="13"/>
              </w:numPr>
            </w:pPr>
            <w:r>
              <w:t>p</w:t>
            </w:r>
            <w:r w:rsidRPr="001A28AF">
              <w:t>rovided 15 hours of early childhood education in</w:t>
            </w:r>
            <w:r w:rsidR="000F42C9">
              <w:t xml:space="preserve"> the year before school to 96.6 per cent</w:t>
            </w:r>
            <w:r w:rsidRPr="001A28AF">
              <w:t xml:space="preserve"> of four year old children</w:t>
            </w:r>
          </w:p>
          <w:p w:rsidR="00262EE5" w:rsidRPr="001A28AF" w:rsidRDefault="00262EE5" w:rsidP="00262EE5">
            <w:pPr>
              <w:pStyle w:val="Jurisdictioncommentsbodytext"/>
              <w:numPr>
                <w:ilvl w:val="0"/>
                <w:numId w:val="13"/>
              </w:numPr>
            </w:pPr>
            <w:r>
              <w:t>e</w:t>
            </w:r>
            <w:r w:rsidRPr="001A28AF">
              <w:t>stablished four Family and Children’s Centres for Aboriginal people in rural and remote areas.</w:t>
            </w:r>
          </w:p>
          <w:p w:rsidR="00B13981" w:rsidRPr="00A3025A" w:rsidRDefault="00F40AA7" w:rsidP="00262EE5">
            <w:pPr>
              <w:pStyle w:val="Jurisdictioncommentsbodytext"/>
            </w:pPr>
            <w:r>
              <w:t>SA</w:t>
            </w:r>
            <w:r w:rsidR="004330D0">
              <w:t xml:space="preserve"> led the ‘</w:t>
            </w:r>
            <w:r w:rsidR="00262EE5">
              <w:t>Engaging Families in the Ea</w:t>
            </w:r>
            <w:r w:rsidR="004330D0">
              <w:t>rly Childhood Development Story’</w:t>
            </w:r>
            <w:r w:rsidR="00262EE5">
              <w:t xml:space="preserve"> national project, which included the development of a practice guide to support parents' understanding of early childhood development key messages and improve developmental outcomes for children.</w:t>
            </w:r>
          </w:p>
        </w:tc>
        <w:tc>
          <w:tcPr>
            <w:tcW w:w="851" w:type="dxa"/>
            <w:vMerge/>
            <w:tcBorders>
              <w:left w:val="nil"/>
            </w:tcBorders>
            <w:shd w:val="clear" w:color="auto" w:fill="auto"/>
          </w:tcPr>
          <w:p w:rsidR="00B13981" w:rsidRPr="00A3025A" w:rsidRDefault="00B13981" w:rsidP="00C3586E">
            <w:pPr>
              <w:pStyle w:val="BodyText"/>
            </w:pPr>
          </w:p>
        </w:tc>
      </w:tr>
    </w:tbl>
    <w:p w:rsidR="004903DD" w:rsidRPr="0065673A" w:rsidRDefault="004903DD" w:rsidP="00C3586E">
      <w:pPr>
        <w:pStyle w:val="BodyText"/>
        <w:spacing w:before="0" w:line="240" w:lineRule="auto"/>
        <w:rPr>
          <w:color w:val="FF0000"/>
          <w:sz w:val="12"/>
          <w:szCs w:val="12"/>
        </w:rPr>
      </w:pPr>
    </w:p>
    <w:tbl>
      <w:tblPr>
        <w:tblW w:w="10632" w:type="dxa"/>
        <w:tblInd w:w="-885" w:type="dxa"/>
        <w:tblLayout w:type="fixed"/>
        <w:tblLook w:val="01E0" w:firstRow="1" w:lastRow="1" w:firstColumn="1" w:lastColumn="1" w:noHBand="0" w:noVBand="0"/>
      </w:tblPr>
      <w:tblGrid>
        <w:gridCol w:w="992"/>
        <w:gridCol w:w="8789"/>
        <w:gridCol w:w="851"/>
      </w:tblGrid>
      <w:tr w:rsidR="00B13981" w:rsidRPr="0065673A" w:rsidTr="00A30F68">
        <w:tc>
          <w:tcPr>
            <w:tcW w:w="992" w:type="dxa"/>
            <w:vMerge w:val="restart"/>
            <w:shd w:val="clear" w:color="auto" w:fill="auto"/>
          </w:tcPr>
          <w:p w:rsidR="00B13981" w:rsidRPr="00A3025A" w:rsidRDefault="00B13981" w:rsidP="00C3586E">
            <w:pPr>
              <w:pStyle w:val="BodyText"/>
              <w:rPr>
                <w:b/>
                <w:sz w:val="132"/>
                <w:szCs w:val="132"/>
              </w:rPr>
            </w:pPr>
            <w:r w:rsidRPr="00A3025A">
              <w:rPr>
                <w:b/>
                <w:sz w:val="132"/>
                <w:szCs w:val="132"/>
              </w:rPr>
              <w:lastRenderedPageBreak/>
              <w:t>“</w:t>
            </w:r>
          </w:p>
        </w:tc>
        <w:tc>
          <w:tcPr>
            <w:tcW w:w="8789" w:type="dxa"/>
            <w:shd w:val="clear" w:color="auto" w:fill="auto"/>
          </w:tcPr>
          <w:p w:rsidR="00B13981" w:rsidRPr="00A3025A" w:rsidRDefault="00B13981" w:rsidP="00C3586E">
            <w:pPr>
              <w:pStyle w:val="Jurisdictioncommentsheading"/>
            </w:pPr>
            <w:r w:rsidRPr="00A3025A">
              <w:t>Tasmanian Government comments</w:t>
            </w:r>
          </w:p>
        </w:tc>
        <w:tc>
          <w:tcPr>
            <w:tcW w:w="851" w:type="dxa"/>
            <w:vMerge w:val="restart"/>
            <w:shd w:val="clear" w:color="auto" w:fill="auto"/>
          </w:tcPr>
          <w:p w:rsidR="00B13981" w:rsidRPr="00A3025A" w:rsidRDefault="00B13981" w:rsidP="00C3586E">
            <w:pPr>
              <w:pStyle w:val="BodyText"/>
            </w:pPr>
          </w:p>
          <w:p w:rsidR="005827E6" w:rsidRPr="00A3025A" w:rsidRDefault="005827E6"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947F3A" w:rsidRPr="00A3025A" w:rsidRDefault="00947F3A" w:rsidP="00C3586E">
            <w:pPr>
              <w:pStyle w:val="BodyText"/>
            </w:pPr>
          </w:p>
          <w:p w:rsidR="005222C3" w:rsidRPr="00A3025A" w:rsidRDefault="005222C3" w:rsidP="00C3586E">
            <w:pPr>
              <w:pStyle w:val="BodyText"/>
            </w:pPr>
          </w:p>
          <w:p w:rsidR="005222C3" w:rsidRPr="00A3025A" w:rsidRDefault="005222C3" w:rsidP="00C3586E">
            <w:pPr>
              <w:pStyle w:val="BodyText"/>
            </w:pPr>
          </w:p>
          <w:p w:rsidR="005222C3" w:rsidRPr="00A3025A" w:rsidRDefault="005222C3" w:rsidP="00C3586E">
            <w:pPr>
              <w:pStyle w:val="BodyText"/>
            </w:pPr>
          </w:p>
          <w:p w:rsidR="005222C3" w:rsidRPr="00A3025A" w:rsidRDefault="005222C3" w:rsidP="00C3586E">
            <w:pPr>
              <w:pStyle w:val="BodyText"/>
            </w:pPr>
          </w:p>
          <w:p w:rsidR="005222C3" w:rsidRPr="00A3025A" w:rsidRDefault="005222C3" w:rsidP="00C3586E">
            <w:pPr>
              <w:pStyle w:val="BodyText"/>
            </w:pPr>
          </w:p>
          <w:p w:rsidR="00B13981" w:rsidRPr="00A3025A" w:rsidRDefault="00B13981" w:rsidP="00C3586E">
            <w:pPr>
              <w:pStyle w:val="BodyText"/>
              <w:rPr>
                <w:b/>
                <w:sz w:val="132"/>
                <w:szCs w:val="132"/>
              </w:rPr>
            </w:pPr>
            <w:r w:rsidRPr="00A3025A">
              <w:rPr>
                <w:b/>
                <w:sz w:val="132"/>
                <w:szCs w:val="132"/>
              </w:rPr>
              <w:t>”</w:t>
            </w:r>
          </w:p>
        </w:tc>
      </w:tr>
      <w:tr w:rsidR="00B13981" w:rsidRPr="0065673A" w:rsidTr="00A30F68">
        <w:tc>
          <w:tcPr>
            <w:tcW w:w="992" w:type="dxa"/>
            <w:vMerge/>
            <w:shd w:val="clear" w:color="auto" w:fill="auto"/>
          </w:tcPr>
          <w:p w:rsidR="00B13981" w:rsidRPr="00A3025A" w:rsidRDefault="00B13981" w:rsidP="00C3586E">
            <w:pPr>
              <w:pStyle w:val="BodyText"/>
            </w:pPr>
          </w:p>
        </w:tc>
        <w:tc>
          <w:tcPr>
            <w:tcW w:w="8789" w:type="dxa"/>
            <w:shd w:val="clear" w:color="auto" w:fill="auto"/>
          </w:tcPr>
          <w:p w:rsidR="000C00C6" w:rsidRPr="00955E6C" w:rsidRDefault="000C00C6" w:rsidP="000C00C6">
            <w:pPr>
              <w:pStyle w:val="Jurisdictioncommentsbodytext"/>
              <w:rPr>
                <w:szCs w:val="24"/>
              </w:rPr>
            </w:pPr>
            <w:r>
              <w:t>The Department of Education has continued its support of the early years, recognising it as one of three main priorities in the Strate</w:t>
            </w:r>
            <w:r w:rsidR="00A67451">
              <w:t>gic Plan.</w:t>
            </w:r>
            <w:r>
              <w:t xml:space="preserve"> It</w:t>
            </w:r>
            <w:r w:rsidRPr="00955E6C">
              <w:rPr>
                <w:rFonts w:cs="Gill Sans MT Pro Light"/>
                <w:color w:val="000000"/>
                <w:szCs w:val="24"/>
              </w:rPr>
              <w:t xml:space="preserve"> is committed to schools developing strong relationships with parents and community services, including strategies and programs that promote and support the importance of the early years for children’s successful learning and development. This commitment extends to supporting education and care services to implement appropriate strategies that reflect the same priorities. These priorities are strengthened with the ongoing implementation of the </w:t>
            </w:r>
            <w:r w:rsidRPr="00A67451">
              <w:rPr>
                <w:rFonts w:cs="Gill Sans MT Pro Light"/>
                <w:iCs/>
                <w:color w:val="000000"/>
                <w:szCs w:val="24"/>
              </w:rPr>
              <w:t>Council of Australian Governments’ (</w:t>
            </w:r>
            <w:proofErr w:type="spellStart"/>
            <w:r w:rsidRPr="00A67451">
              <w:rPr>
                <w:rFonts w:cs="Gill Sans MT Pro Light"/>
                <w:iCs/>
                <w:color w:val="000000"/>
                <w:szCs w:val="24"/>
              </w:rPr>
              <w:t>COAG</w:t>
            </w:r>
            <w:proofErr w:type="spellEnd"/>
            <w:r w:rsidRPr="00A67451">
              <w:rPr>
                <w:rFonts w:cs="Gill Sans MT Pro Light"/>
                <w:iCs/>
                <w:color w:val="000000"/>
                <w:szCs w:val="24"/>
              </w:rPr>
              <w:t xml:space="preserve">) </w:t>
            </w:r>
            <w:r w:rsidRPr="00F40AA7">
              <w:rPr>
                <w:rFonts w:cs="Gill Sans MT Pro Light"/>
                <w:iCs/>
                <w:color w:val="000000"/>
                <w:szCs w:val="24"/>
              </w:rPr>
              <w:t>National Early Childhood Development Strateg</w:t>
            </w:r>
            <w:r w:rsidRPr="00F40AA7">
              <w:rPr>
                <w:rFonts w:cs="Gill Sans MT Pro Light"/>
                <w:color w:val="000000"/>
                <w:szCs w:val="24"/>
              </w:rPr>
              <w:t>y</w:t>
            </w:r>
            <w:r w:rsidRPr="00955E6C">
              <w:rPr>
                <w:rFonts w:cs="Gill Sans MT Pro Light"/>
                <w:color w:val="000000"/>
                <w:szCs w:val="24"/>
              </w:rPr>
              <w:t xml:space="preserve"> and the </w:t>
            </w:r>
            <w:r w:rsidRPr="00955E6C">
              <w:rPr>
                <w:rFonts w:cs="Gill Sans MT Pro Light"/>
                <w:i/>
                <w:iCs/>
                <w:color w:val="000000"/>
                <w:szCs w:val="24"/>
              </w:rPr>
              <w:t>National Partnership Agreements on Early Childhood Education</w:t>
            </w:r>
            <w:r>
              <w:rPr>
                <w:rFonts w:cs="Gill Sans MT Pro Light"/>
                <w:i/>
                <w:iCs/>
                <w:color w:val="000000"/>
                <w:szCs w:val="24"/>
              </w:rPr>
              <w:t xml:space="preserve"> </w:t>
            </w:r>
            <w:r w:rsidRPr="00955E6C">
              <w:rPr>
                <w:rFonts w:cs="Gill Sans MT Pro Light"/>
                <w:iCs/>
                <w:color w:val="000000"/>
                <w:szCs w:val="24"/>
              </w:rPr>
              <w:t>and the</w:t>
            </w:r>
            <w:r>
              <w:rPr>
                <w:rFonts w:cs="Gill Sans MT Pro Light"/>
                <w:i/>
                <w:iCs/>
                <w:color w:val="000000"/>
                <w:szCs w:val="24"/>
              </w:rPr>
              <w:t xml:space="preserve"> National Quality Agenda for Early Childhood Education and Care</w:t>
            </w:r>
            <w:r w:rsidRPr="00955E6C">
              <w:rPr>
                <w:rFonts w:cs="Gill Sans MT Pro Light"/>
                <w:color w:val="000000"/>
                <w:szCs w:val="24"/>
              </w:rPr>
              <w:t>.</w:t>
            </w:r>
          </w:p>
          <w:p w:rsidR="000C00C6" w:rsidRDefault="000C00C6" w:rsidP="000C00C6">
            <w:pPr>
              <w:pStyle w:val="Jurisdictioncommentsbodytext"/>
            </w:pPr>
            <w:r>
              <w:t xml:space="preserve">The department acknowledges the wealth of research supporting the benefits of investment in the early years of a child’s life and has therefore made a significant investment into the </w:t>
            </w:r>
            <w:r w:rsidRPr="00894202">
              <w:rPr>
                <w:i/>
              </w:rPr>
              <w:t>Launching into Learning</w:t>
            </w:r>
            <w:r>
              <w:t xml:space="preserve"> (</w:t>
            </w:r>
            <w:proofErr w:type="spellStart"/>
            <w:r>
              <w:t>LiL</w:t>
            </w:r>
            <w:proofErr w:type="spellEnd"/>
            <w:r>
              <w:t>) Program and child and family centres, based on the belief that parents are their child’s first and most influential teacher.</w:t>
            </w:r>
            <w:r w:rsidR="00172534">
              <w:t xml:space="preserve"> </w:t>
            </w:r>
          </w:p>
          <w:p w:rsidR="000C00C6" w:rsidRDefault="000C00C6" w:rsidP="000C00C6">
            <w:pPr>
              <w:pStyle w:val="Jurisdictioncommentsbodytext"/>
              <w:rPr>
                <w:rFonts w:cs="Gill Sans MT Pro Light"/>
                <w:color w:val="000000"/>
                <w:sz w:val="19"/>
                <w:szCs w:val="19"/>
              </w:rPr>
            </w:pPr>
            <w:r w:rsidRPr="00955E6C">
              <w:rPr>
                <w:rFonts w:cs="Gill Sans MT Pro Light"/>
                <w:color w:val="000000"/>
                <w:szCs w:val="24"/>
              </w:rPr>
              <w:t xml:space="preserve">The state government’s </w:t>
            </w:r>
            <w:r w:rsidRPr="00955E6C">
              <w:rPr>
                <w:rFonts w:cs="Gill Sans MT Pro Light"/>
                <w:i/>
                <w:iCs/>
                <w:color w:val="000000"/>
                <w:szCs w:val="24"/>
              </w:rPr>
              <w:t xml:space="preserve">Launching into Learning </w:t>
            </w:r>
            <w:r w:rsidRPr="00955E6C">
              <w:rPr>
                <w:rFonts w:cs="Gill Sans MT Pro Light"/>
                <w:color w:val="000000"/>
                <w:szCs w:val="24"/>
              </w:rPr>
              <w:t xml:space="preserve">initiative began in 2006 as a four year, $12.6 million commitment to families and young children aged from birth to four years. </w:t>
            </w:r>
            <w:r>
              <w:rPr>
                <w:rFonts w:cs="Gill Sans MT Pro Light"/>
                <w:color w:val="000000"/>
                <w:szCs w:val="24"/>
              </w:rPr>
              <w:t>I</w:t>
            </w:r>
            <w:r w:rsidRPr="00955E6C">
              <w:rPr>
                <w:rFonts w:cs="Gill Sans MT Pro Light"/>
                <w:color w:val="000000"/>
                <w:szCs w:val="24"/>
              </w:rPr>
              <w:t>n 2012 an additional $1.6 million was committed</w:t>
            </w:r>
            <w:r w:rsidR="00A67451">
              <w:rPr>
                <w:rFonts w:cs="Gill Sans MT Pro Light"/>
                <w:color w:val="000000"/>
                <w:szCs w:val="24"/>
              </w:rPr>
              <w:t>,</w:t>
            </w:r>
            <w:r w:rsidRPr="00955E6C">
              <w:rPr>
                <w:rFonts w:cs="Gill Sans MT Pro Light"/>
                <w:color w:val="000000"/>
                <w:szCs w:val="24"/>
              </w:rPr>
              <w:t xml:space="preserve"> making this an annual commitment of $5.85 million.</w:t>
            </w:r>
            <w:r>
              <w:rPr>
                <w:rFonts w:cs="Gill Sans MT Pro Light"/>
                <w:color w:val="000000"/>
                <w:sz w:val="19"/>
                <w:szCs w:val="19"/>
              </w:rPr>
              <w:t xml:space="preserve"> </w:t>
            </w:r>
          </w:p>
          <w:p w:rsidR="000C00C6" w:rsidRDefault="000C00C6" w:rsidP="000C00C6">
            <w:pPr>
              <w:pStyle w:val="Jurisdictioncommentsbodytext"/>
            </w:pPr>
            <w:r>
              <w:t xml:space="preserve">The most recent analysis from the </w:t>
            </w:r>
            <w:r w:rsidRPr="00894202">
              <w:rPr>
                <w:i/>
              </w:rPr>
              <w:t>Launching into Learning Longitudinal Study 2007</w:t>
            </w:r>
            <w:r w:rsidR="00172534">
              <w:rPr>
                <w:i/>
              </w:rPr>
              <w:t>–</w:t>
            </w:r>
            <w:r w:rsidRPr="00894202">
              <w:rPr>
                <w:i/>
              </w:rPr>
              <w:t>2014 Progress Report 2012</w:t>
            </w:r>
            <w:r>
              <w:t xml:space="preserve"> demonstrates that regular participation in </w:t>
            </w:r>
            <w:proofErr w:type="spellStart"/>
            <w:r>
              <w:t>LiL</w:t>
            </w:r>
            <w:proofErr w:type="spellEnd"/>
            <w:r>
              <w:t xml:space="preserve"> consistently and significantly improved educational outcomes across all main performance measures, particularly literacy and numeracy.</w:t>
            </w:r>
            <w:r w:rsidR="00172534">
              <w:t xml:space="preserve"> </w:t>
            </w:r>
            <w:r>
              <w:t xml:space="preserve">Strong connections are being developed between </w:t>
            </w:r>
            <w:proofErr w:type="spellStart"/>
            <w:r>
              <w:t>LiL</w:t>
            </w:r>
            <w:proofErr w:type="spellEnd"/>
            <w:r>
              <w:t xml:space="preserve"> and the 12 child and family centre communities to strengthen and support the engagement of families.</w:t>
            </w:r>
          </w:p>
          <w:p w:rsidR="000C00C6" w:rsidRDefault="000C00C6" w:rsidP="000C00C6">
            <w:pPr>
              <w:pStyle w:val="Jurisdictioncommentsbodytext"/>
            </w:pPr>
            <w:r>
              <w:t xml:space="preserve">As Tasmania’s regulatory authority, the department is responsible for implementing the </w:t>
            </w:r>
            <w:r w:rsidRPr="00547D79">
              <w:rPr>
                <w:i/>
              </w:rPr>
              <w:t>National Quality Framework for Early Childhood Education and Care</w:t>
            </w:r>
            <w:r w:rsidRPr="00F40AA7">
              <w:t>,</w:t>
            </w:r>
            <w:r>
              <w:t xml:space="preserve"> supporting the provision of quality early childhood education and </w:t>
            </w:r>
            <w:r w:rsidR="00F401C3">
              <w:t xml:space="preserve">care in Tasmania. </w:t>
            </w:r>
            <w:r>
              <w:t xml:space="preserve">The Education and Care Unit administers the </w:t>
            </w:r>
            <w:r w:rsidRPr="001A145C">
              <w:rPr>
                <w:i/>
              </w:rPr>
              <w:t>Education and Care Services National Law (Tasmania) 2011</w:t>
            </w:r>
            <w:r>
              <w:t xml:space="preserve"> and the State </w:t>
            </w:r>
            <w:r w:rsidRPr="001A145C">
              <w:rPr>
                <w:i/>
              </w:rPr>
              <w:t>Child Care Act 2001</w:t>
            </w:r>
            <w:r w:rsidR="00F401C3">
              <w:t xml:space="preserve">. </w:t>
            </w:r>
            <w:r>
              <w:t>The unit has completed the first year of assessment and rating of services using the nationally consistent process and continues with its support and compliance roles.</w:t>
            </w:r>
          </w:p>
          <w:p w:rsidR="000C00C6" w:rsidRDefault="000C00C6" w:rsidP="000C00C6">
            <w:pPr>
              <w:pStyle w:val="Jurisdictioncommentsbodytext"/>
            </w:pPr>
            <w:r>
              <w:t xml:space="preserve">Throughout the state the </w:t>
            </w:r>
            <w:r w:rsidRPr="00547D79">
              <w:rPr>
                <w:i/>
              </w:rPr>
              <w:t>Early Years Learning Framework</w:t>
            </w:r>
            <w:r>
              <w:t xml:space="preserve"> provides a curriculum framework for Kindergarten and </w:t>
            </w:r>
            <w:r w:rsidRPr="001A145C">
              <w:rPr>
                <w:i/>
              </w:rPr>
              <w:t>education and care</w:t>
            </w:r>
            <w:r>
              <w:t xml:space="preserve"> services and programs, while the </w:t>
            </w:r>
            <w:r w:rsidRPr="001A145C">
              <w:rPr>
                <w:i/>
              </w:rPr>
              <w:t>Framework for School Aged Care</w:t>
            </w:r>
            <w:r>
              <w:t xml:space="preserve"> in Australia guides the provision of quality before school, after school and vacation care programs.</w:t>
            </w:r>
          </w:p>
          <w:p w:rsidR="000C00C6" w:rsidRDefault="000C00C6" w:rsidP="000C00C6">
            <w:pPr>
              <w:pStyle w:val="Jurisdictioncommentsbodytext"/>
            </w:pPr>
            <w:r>
              <w:t>The department has also prioritised improving literacy and numeracy and student safety, health and wellbeing.</w:t>
            </w:r>
          </w:p>
          <w:p w:rsidR="00B13981" w:rsidRPr="00A3025A" w:rsidRDefault="00B13981" w:rsidP="00A3025A">
            <w:pPr>
              <w:pStyle w:val="Jurisdictioncommentslistbullet"/>
              <w:numPr>
                <w:ilvl w:val="0"/>
                <w:numId w:val="0"/>
              </w:numPr>
              <w:ind w:left="318"/>
            </w:pPr>
          </w:p>
        </w:tc>
        <w:tc>
          <w:tcPr>
            <w:tcW w:w="851" w:type="dxa"/>
            <w:vMerge/>
            <w:tcBorders>
              <w:left w:val="nil"/>
            </w:tcBorders>
            <w:shd w:val="clear" w:color="auto" w:fill="auto"/>
          </w:tcPr>
          <w:p w:rsidR="00B13981" w:rsidRPr="00A3025A" w:rsidRDefault="00B13981" w:rsidP="00C3586E">
            <w:pPr>
              <w:pStyle w:val="BodyText"/>
            </w:pPr>
          </w:p>
        </w:tc>
      </w:tr>
    </w:tbl>
    <w:p w:rsidR="00B13981" w:rsidRPr="0065673A" w:rsidRDefault="00B13981" w:rsidP="00C3586E">
      <w:pPr>
        <w:pStyle w:val="BodyText"/>
        <w:spacing w:before="0" w:line="240" w:lineRule="auto"/>
        <w:rPr>
          <w:b/>
          <w:vanish/>
          <w:color w:val="FF0000"/>
          <w:sz w:val="12"/>
          <w:szCs w:val="12"/>
        </w:rPr>
      </w:pPr>
    </w:p>
    <w:tbl>
      <w:tblPr>
        <w:tblW w:w="0" w:type="auto"/>
        <w:tblInd w:w="-885" w:type="dxa"/>
        <w:tblLayout w:type="fixed"/>
        <w:tblLook w:val="01E0" w:firstRow="1" w:lastRow="1" w:firstColumn="1" w:lastColumn="1" w:noHBand="0" w:noVBand="0"/>
      </w:tblPr>
      <w:tblGrid>
        <w:gridCol w:w="992"/>
        <w:gridCol w:w="8789"/>
        <w:gridCol w:w="851"/>
      </w:tblGrid>
      <w:tr w:rsidR="003F4D1F" w:rsidRPr="0065673A" w:rsidTr="00A30F68">
        <w:tc>
          <w:tcPr>
            <w:tcW w:w="992" w:type="dxa"/>
            <w:vMerge w:val="restart"/>
            <w:shd w:val="clear" w:color="auto" w:fill="auto"/>
          </w:tcPr>
          <w:p w:rsidR="003F4D1F" w:rsidRPr="00A3025A" w:rsidRDefault="003F4D1F" w:rsidP="00C3586E">
            <w:pPr>
              <w:pStyle w:val="BodyText"/>
              <w:rPr>
                <w:b/>
                <w:sz w:val="132"/>
                <w:szCs w:val="132"/>
              </w:rPr>
            </w:pPr>
            <w:r w:rsidRPr="00A3025A">
              <w:rPr>
                <w:b/>
                <w:sz w:val="132"/>
                <w:szCs w:val="132"/>
              </w:rPr>
              <w:lastRenderedPageBreak/>
              <w:t>“</w:t>
            </w:r>
          </w:p>
        </w:tc>
        <w:tc>
          <w:tcPr>
            <w:tcW w:w="8789" w:type="dxa"/>
            <w:shd w:val="clear" w:color="auto" w:fill="auto"/>
          </w:tcPr>
          <w:p w:rsidR="003F4D1F" w:rsidRPr="00A3025A" w:rsidRDefault="003F4D1F" w:rsidP="00C3586E">
            <w:pPr>
              <w:pStyle w:val="Jurisdictioncommentsheading"/>
            </w:pPr>
            <w:r w:rsidRPr="00A3025A">
              <w:t>Australian Capital Territory Government comments</w:t>
            </w:r>
          </w:p>
        </w:tc>
        <w:tc>
          <w:tcPr>
            <w:tcW w:w="851" w:type="dxa"/>
            <w:vMerge w:val="restart"/>
            <w:shd w:val="clear" w:color="auto" w:fill="auto"/>
          </w:tcPr>
          <w:p w:rsidR="003F4D1F" w:rsidRPr="00A3025A" w:rsidRDefault="003F4D1F" w:rsidP="00C3586E">
            <w:pPr>
              <w:pStyle w:val="BodyText"/>
            </w:pPr>
          </w:p>
          <w:p w:rsidR="003F4D1F" w:rsidRPr="00A3025A" w:rsidRDefault="003F4D1F" w:rsidP="00C3586E">
            <w:pPr>
              <w:pStyle w:val="BodyText"/>
            </w:pPr>
          </w:p>
          <w:p w:rsidR="003F4D1F" w:rsidRPr="00A3025A" w:rsidRDefault="003F4D1F" w:rsidP="00C3586E">
            <w:pPr>
              <w:pStyle w:val="BodyText"/>
            </w:pPr>
          </w:p>
          <w:p w:rsidR="003F4D1F" w:rsidRPr="00A3025A" w:rsidRDefault="003F4D1F" w:rsidP="00C3586E">
            <w:pPr>
              <w:pStyle w:val="BodyText"/>
            </w:pPr>
          </w:p>
          <w:p w:rsidR="003F4D1F" w:rsidRPr="00A3025A" w:rsidRDefault="003F4D1F" w:rsidP="00C3586E">
            <w:pPr>
              <w:pStyle w:val="BodyText"/>
            </w:pPr>
          </w:p>
          <w:p w:rsidR="003F4D1F" w:rsidRPr="00A3025A" w:rsidRDefault="003F4D1F" w:rsidP="00C3586E">
            <w:pPr>
              <w:pStyle w:val="BodyText"/>
            </w:pPr>
          </w:p>
          <w:p w:rsidR="003F4D1F" w:rsidRPr="00A3025A" w:rsidRDefault="003F4D1F" w:rsidP="00C3586E">
            <w:pPr>
              <w:pStyle w:val="BodyText"/>
            </w:pPr>
          </w:p>
          <w:p w:rsidR="003F4D1F" w:rsidRPr="00A3025A" w:rsidRDefault="003F4D1F" w:rsidP="00C3586E">
            <w:pPr>
              <w:pStyle w:val="BodyText"/>
            </w:pPr>
          </w:p>
          <w:p w:rsidR="003F4D1F" w:rsidRPr="00A3025A" w:rsidRDefault="003F4D1F" w:rsidP="00C3586E">
            <w:pPr>
              <w:pStyle w:val="BodyText"/>
            </w:pPr>
          </w:p>
          <w:p w:rsidR="003F4D1F" w:rsidRPr="00A3025A" w:rsidRDefault="003F4D1F" w:rsidP="00C3586E">
            <w:pPr>
              <w:pStyle w:val="BodyText"/>
            </w:pPr>
          </w:p>
          <w:p w:rsidR="003F4D1F" w:rsidRPr="00A3025A" w:rsidRDefault="003F4D1F" w:rsidP="00C3586E">
            <w:pPr>
              <w:pStyle w:val="BodyText"/>
            </w:pPr>
          </w:p>
          <w:p w:rsidR="003F4D1F" w:rsidRPr="00A3025A" w:rsidRDefault="003F4D1F" w:rsidP="00C3586E">
            <w:pPr>
              <w:pStyle w:val="BodyText"/>
            </w:pPr>
          </w:p>
          <w:p w:rsidR="003F4D1F" w:rsidRPr="00A3025A" w:rsidRDefault="003F4D1F" w:rsidP="00C3586E">
            <w:pPr>
              <w:pStyle w:val="BodyText"/>
            </w:pPr>
          </w:p>
          <w:p w:rsidR="003F4D1F" w:rsidRPr="00A3025A" w:rsidRDefault="003F4D1F" w:rsidP="00C3586E">
            <w:pPr>
              <w:pStyle w:val="BodyText"/>
            </w:pPr>
          </w:p>
          <w:p w:rsidR="003F4D1F" w:rsidRPr="00A3025A" w:rsidRDefault="003F4D1F" w:rsidP="00C3586E">
            <w:pPr>
              <w:pStyle w:val="BodyText"/>
            </w:pPr>
          </w:p>
          <w:p w:rsidR="003F4D1F" w:rsidRPr="00A3025A" w:rsidRDefault="003F4D1F" w:rsidP="00C3586E">
            <w:pPr>
              <w:pStyle w:val="BodyText"/>
            </w:pPr>
          </w:p>
          <w:p w:rsidR="003F4D1F" w:rsidRPr="00A3025A" w:rsidRDefault="003F4D1F" w:rsidP="00C3586E">
            <w:pPr>
              <w:pStyle w:val="BodyText"/>
            </w:pPr>
          </w:p>
          <w:p w:rsidR="003F4D1F" w:rsidRPr="00A3025A" w:rsidRDefault="003F4D1F" w:rsidP="00C3586E">
            <w:pPr>
              <w:pStyle w:val="BodyText"/>
            </w:pPr>
          </w:p>
          <w:p w:rsidR="003F4D1F" w:rsidRPr="00A3025A" w:rsidRDefault="003F4D1F" w:rsidP="00C3586E">
            <w:pPr>
              <w:pStyle w:val="BodyText"/>
            </w:pPr>
          </w:p>
          <w:p w:rsidR="003F4D1F" w:rsidRPr="00A3025A" w:rsidRDefault="003F4D1F" w:rsidP="00C3586E">
            <w:pPr>
              <w:pStyle w:val="BodyText"/>
            </w:pPr>
          </w:p>
          <w:p w:rsidR="003F4D1F" w:rsidRPr="00A3025A" w:rsidRDefault="003F4D1F" w:rsidP="00C3586E">
            <w:pPr>
              <w:pStyle w:val="BodyText"/>
              <w:rPr>
                <w:b/>
                <w:sz w:val="132"/>
                <w:szCs w:val="132"/>
              </w:rPr>
            </w:pPr>
            <w:r w:rsidRPr="00A3025A">
              <w:rPr>
                <w:b/>
                <w:sz w:val="132"/>
                <w:szCs w:val="132"/>
              </w:rPr>
              <w:t>”</w:t>
            </w:r>
          </w:p>
        </w:tc>
      </w:tr>
      <w:tr w:rsidR="003F4D1F" w:rsidRPr="0065673A" w:rsidTr="00A30F68">
        <w:tc>
          <w:tcPr>
            <w:tcW w:w="992" w:type="dxa"/>
            <w:vMerge/>
            <w:shd w:val="clear" w:color="auto" w:fill="auto"/>
          </w:tcPr>
          <w:p w:rsidR="003F4D1F" w:rsidRPr="00A3025A" w:rsidRDefault="003F4D1F" w:rsidP="00C3586E">
            <w:pPr>
              <w:pStyle w:val="BodyText"/>
            </w:pPr>
          </w:p>
        </w:tc>
        <w:tc>
          <w:tcPr>
            <w:tcW w:w="8789" w:type="dxa"/>
            <w:shd w:val="clear" w:color="auto" w:fill="auto"/>
          </w:tcPr>
          <w:p w:rsidR="00262EE5" w:rsidRPr="00262EE5" w:rsidRDefault="00262EE5" w:rsidP="00262EE5">
            <w:pPr>
              <w:pStyle w:val="Jurisdictioncommentsbodytext"/>
            </w:pPr>
            <w:r w:rsidRPr="00262EE5">
              <w:t xml:space="preserve">The ACT Government have engaged with the Australian Government and other jurisdictions to progress the development of the </w:t>
            </w:r>
            <w:r w:rsidRPr="0020708E">
              <w:rPr>
                <w:i/>
              </w:rPr>
              <w:t>National Quality Agenda for Early Childhood Education and Care</w:t>
            </w:r>
            <w:r w:rsidRPr="00262EE5">
              <w:t xml:space="preserve">. The focus has </w:t>
            </w:r>
            <w:r w:rsidRPr="002B1F73">
              <w:t>been</w:t>
            </w:r>
            <w:r w:rsidRPr="00262EE5">
              <w:t xml:space="preserve"> on embedding the </w:t>
            </w:r>
            <w:r w:rsidRPr="00547D79">
              <w:rPr>
                <w:i/>
              </w:rPr>
              <w:t>Early Years Learning Framework</w:t>
            </w:r>
            <w:r w:rsidRPr="00262EE5">
              <w:t xml:space="preserve">, the My Time, Our Place Framework and the </w:t>
            </w:r>
            <w:r w:rsidRPr="002B1F73">
              <w:rPr>
                <w:i/>
              </w:rPr>
              <w:t>National Quality Standard</w:t>
            </w:r>
            <w:r w:rsidRPr="00262EE5">
              <w:t xml:space="preserve"> within education and care services to improve quality, access and affordability.</w:t>
            </w:r>
          </w:p>
          <w:p w:rsidR="00262EE5" w:rsidRPr="00262EE5" w:rsidRDefault="00262EE5" w:rsidP="00262EE5">
            <w:pPr>
              <w:pStyle w:val="Jurisdictioncommentsbodytext"/>
            </w:pPr>
            <w:r w:rsidRPr="00262EE5">
              <w:t xml:space="preserve">Education and care services in the ACT are progressively being assessed against the </w:t>
            </w:r>
            <w:r w:rsidRPr="00F401C3">
              <w:rPr>
                <w:i/>
              </w:rPr>
              <w:t>National Quality Standard</w:t>
            </w:r>
            <w:r w:rsidRPr="00262EE5">
              <w:t xml:space="preserve"> and the Education and Care Services National Regulations.</w:t>
            </w:r>
          </w:p>
          <w:p w:rsidR="00262EE5" w:rsidRPr="00262EE5" w:rsidRDefault="00262EE5" w:rsidP="00262EE5">
            <w:pPr>
              <w:pStyle w:val="Jurisdictioncommentsbodytext"/>
            </w:pPr>
            <w:r w:rsidRPr="00262EE5">
              <w:t>To support the education and care sector workforce the ACT Government continues to fund a Certificate III in Children’s Services scholarship program, which covers course fees and reimbursement of start</w:t>
            </w:r>
            <w:r w:rsidR="00172534">
              <w:noBreakHyphen/>
            </w:r>
            <w:r w:rsidRPr="00262EE5">
              <w:t xml:space="preserve">up costs. Employers are also subsidised to provide study release to students during their work hours. This initiative meets the requirements of the </w:t>
            </w:r>
            <w:r w:rsidRPr="002B1F73">
              <w:rPr>
                <w:i/>
              </w:rPr>
              <w:t>National Quality Framework</w:t>
            </w:r>
            <w:r w:rsidRPr="00262EE5">
              <w:t xml:space="preserve">. </w:t>
            </w:r>
          </w:p>
          <w:p w:rsidR="00262EE5" w:rsidRPr="00262EE5" w:rsidRDefault="00262EE5" w:rsidP="00262EE5">
            <w:pPr>
              <w:pStyle w:val="Jurisdictioncommentsbodytext"/>
            </w:pPr>
            <w:r w:rsidRPr="00262EE5">
              <w:t xml:space="preserve">The ACT Government is committed to the </w:t>
            </w:r>
            <w:r w:rsidRPr="0020708E">
              <w:rPr>
                <w:i/>
              </w:rPr>
              <w:t xml:space="preserve">National Partnership </w:t>
            </w:r>
            <w:r w:rsidR="0020708E" w:rsidRPr="0020708E">
              <w:rPr>
                <w:i/>
              </w:rPr>
              <w:t xml:space="preserve">Agreement </w:t>
            </w:r>
            <w:r w:rsidRPr="0020708E">
              <w:rPr>
                <w:i/>
              </w:rPr>
              <w:t xml:space="preserve">on </w:t>
            </w:r>
            <w:r w:rsidR="0020708E" w:rsidRPr="0020708E">
              <w:rPr>
                <w:i/>
              </w:rPr>
              <w:t xml:space="preserve">Universal Access to </w:t>
            </w:r>
            <w:r w:rsidRPr="0020708E">
              <w:rPr>
                <w:i/>
              </w:rPr>
              <w:t>Early Childh</w:t>
            </w:r>
            <w:r w:rsidR="0020708E" w:rsidRPr="0020708E">
              <w:rPr>
                <w:i/>
              </w:rPr>
              <w:t>ood Education</w:t>
            </w:r>
            <w:r w:rsidRPr="00262EE5">
              <w:t>, through the provision of high quality and access</w:t>
            </w:r>
            <w:r w:rsidR="00F401C3">
              <w:t xml:space="preserve">ible early childhood programs. </w:t>
            </w:r>
            <w:r w:rsidRPr="00262EE5">
              <w:t>In 2013, the ACT Education and Training Directorate offered 15 hours of preschool education in all public preschool units, with a focus on increasing the participation of Aboriginal and Torres Strait Islander children.</w:t>
            </w:r>
          </w:p>
          <w:p w:rsidR="00262EE5" w:rsidRPr="00262EE5" w:rsidRDefault="00262EE5" w:rsidP="00262EE5">
            <w:pPr>
              <w:pStyle w:val="Jurisdictioncommentsbodytext"/>
            </w:pPr>
            <w:r w:rsidRPr="00262EE5">
              <w:t>In 2012</w:t>
            </w:r>
            <w:r w:rsidR="00172534">
              <w:noBreakHyphen/>
            </w:r>
            <w:r w:rsidRPr="00262EE5">
              <w:t>13, the Directorate continued its support of early childhood services with a further allocation of $2.5 million to both upgrade community facilities and improve childcare centres. The improvement works at childcare centres are scheduled in the 2013</w:t>
            </w:r>
            <w:r w:rsidR="00172534">
              <w:noBreakHyphen/>
            </w:r>
            <w:r w:rsidRPr="00262EE5">
              <w:t xml:space="preserve">14 financial year. A </w:t>
            </w:r>
            <w:r w:rsidR="000F42C9">
              <w:t xml:space="preserve">total of $900 </w:t>
            </w:r>
            <w:r w:rsidRPr="00262EE5">
              <w:t>000 has been allocated for child</w:t>
            </w:r>
            <w:r w:rsidR="00A67451">
              <w:t xml:space="preserve"> </w:t>
            </w:r>
            <w:r w:rsidRPr="00262EE5">
              <w:t>care centre improvements.</w:t>
            </w:r>
          </w:p>
          <w:p w:rsidR="003F4D1F" w:rsidRPr="00A3025A" w:rsidRDefault="003F4D1F" w:rsidP="003E6D2E">
            <w:pPr>
              <w:pStyle w:val="Jurisdictioncommentsbodytext"/>
            </w:pPr>
          </w:p>
        </w:tc>
        <w:tc>
          <w:tcPr>
            <w:tcW w:w="851" w:type="dxa"/>
            <w:vMerge/>
            <w:tcBorders>
              <w:left w:val="nil"/>
            </w:tcBorders>
            <w:shd w:val="clear" w:color="auto" w:fill="auto"/>
          </w:tcPr>
          <w:p w:rsidR="003F4D1F" w:rsidRPr="00A3025A" w:rsidRDefault="003F4D1F" w:rsidP="00C3586E">
            <w:pPr>
              <w:pStyle w:val="BodyText"/>
            </w:pPr>
          </w:p>
        </w:tc>
      </w:tr>
    </w:tbl>
    <w:p w:rsidR="0007571C" w:rsidRPr="0065673A" w:rsidRDefault="0007571C" w:rsidP="00C3586E">
      <w:pPr>
        <w:pStyle w:val="BodyText"/>
        <w:spacing w:before="0" w:line="240" w:lineRule="auto"/>
        <w:rPr>
          <w:color w:val="FF0000"/>
          <w:sz w:val="12"/>
          <w:szCs w:val="12"/>
        </w:rPr>
      </w:pPr>
    </w:p>
    <w:p w:rsidR="00B13981" w:rsidRPr="0065673A" w:rsidRDefault="00B13981" w:rsidP="00C3586E">
      <w:pPr>
        <w:pStyle w:val="BodyText"/>
        <w:spacing w:before="0" w:line="240" w:lineRule="auto"/>
        <w:rPr>
          <w:color w:val="FF0000"/>
          <w:sz w:val="12"/>
          <w:szCs w:val="12"/>
        </w:rPr>
      </w:pPr>
    </w:p>
    <w:tbl>
      <w:tblPr>
        <w:tblW w:w="0" w:type="auto"/>
        <w:tblInd w:w="-885" w:type="dxa"/>
        <w:tblLayout w:type="fixed"/>
        <w:tblLook w:val="01E0" w:firstRow="1" w:lastRow="1" w:firstColumn="1" w:lastColumn="1" w:noHBand="0" w:noVBand="0"/>
      </w:tblPr>
      <w:tblGrid>
        <w:gridCol w:w="992"/>
        <w:gridCol w:w="8789"/>
        <w:gridCol w:w="851"/>
      </w:tblGrid>
      <w:tr w:rsidR="00B13981" w:rsidRPr="0065673A" w:rsidTr="00A30F68">
        <w:tc>
          <w:tcPr>
            <w:tcW w:w="992" w:type="dxa"/>
            <w:vMerge w:val="restart"/>
            <w:shd w:val="clear" w:color="auto" w:fill="auto"/>
          </w:tcPr>
          <w:p w:rsidR="00B13981" w:rsidRPr="00A3025A" w:rsidRDefault="00B13981" w:rsidP="00C3586E">
            <w:pPr>
              <w:pStyle w:val="BodyText"/>
              <w:rPr>
                <w:b/>
                <w:sz w:val="132"/>
                <w:szCs w:val="132"/>
              </w:rPr>
            </w:pPr>
            <w:r w:rsidRPr="00A3025A">
              <w:rPr>
                <w:b/>
                <w:sz w:val="132"/>
                <w:szCs w:val="132"/>
              </w:rPr>
              <w:lastRenderedPageBreak/>
              <w:t>“</w:t>
            </w:r>
          </w:p>
        </w:tc>
        <w:tc>
          <w:tcPr>
            <w:tcW w:w="8789" w:type="dxa"/>
            <w:shd w:val="clear" w:color="auto" w:fill="auto"/>
          </w:tcPr>
          <w:p w:rsidR="00B13981" w:rsidRPr="00A3025A" w:rsidRDefault="00B13981" w:rsidP="00C3586E">
            <w:pPr>
              <w:pStyle w:val="Jurisdictioncommentsheading"/>
            </w:pPr>
            <w:r w:rsidRPr="00A3025A">
              <w:t>Northern Territory Government comments</w:t>
            </w:r>
          </w:p>
        </w:tc>
        <w:tc>
          <w:tcPr>
            <w:tcW w:w="851" w:type="dxa"/>
            <w:vMerge w:val="restart"/>
            <w:shd w:val="clear" w:color="auto" w:fill="auto"/>
          </w:tcPr>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07571C" w:rsidRPr="00A3025A" w:rsidRDefault="0007571C" w:rsidP="00C3586E">
            <w:pPr>
              <w:pStyle w:val="BodyText"/>
            </w:pPr>
          </w:p>
          <w:p w:rsidR="0007571C" w:rsidRPr="00A3025A" w:rsidRDefault="0007571C" w:rsidP="00C3586E">
            <w:pPr>
              <w:pStyle w:val="BodyText"/>
            </w:pPr>
          </w:p>
          <w:p w:rsidR="00875EBA" w:rsidRPr="00A3025A" w:rsidRDefault="00875EBA" w:rsidP="00C3586E">
            <w:pPr>
              <w:pStyle w:val="BodyText"/>
            </w:pPr>
          </w:p>
          <w:p w:rsidR="00875EBA" w:rsidRPr="00A3025A" w:rsidRDefault="00875EBA" w:rsidP="00C3586E">
            <w:pPr>
              <w:pStyle w:val="BodyText"/>
            </w:pPr>
          </w:p>
          <w:p w:rsidR="00B13981" w:rsidRPr="00A3025A" w:rsidRDefault="00B13981" w:rsidP="00C3586E">
            <w:pPr>
              <w:pStyle w:val="BodyText"/>
              <w:rPr>
                <w:b/>
                <w:sz w:val="132"/>
                <w:szCs w:val="132"/>
              </w:rPr>
            </w:pPr>
            <w:r w:rsidRPr="00A3025A">
              <w:rPr>
                <w:b/>
                <w:sz w:val="132"/>
                <w:szCs w:val="132"/>
              </w:rPr>
              <w:t>”</w:t>
            </w:r>
          </w:p>
        </w:tc>
      </w:tr>
      <w:tr w:rsidR="00B13981" w:rsidRPr="0065673A" w:rsidTr="00A30F68">
        <w:tc>
          <w:tcPr>
            <w:tcW w:w="992" w:type="dxa"/>
            <w:vMerge/>
            <w:shd w:val="clear" w:color="auto" w:fill="auto"/>
          </w:tcPr>
          <w:p w:rsidR="00B13981" w:rsidRPr="00A3025A" w:rsidRDefault="00B13981" w:rsidP="00C3586E">
            <w:pPr>
              <w:pStyle w:val="BodyText"/>
            </w:pPr>
          </w:p>
        </w:tc>
        <w:tc>
          <w:tcPr>
            <w:tcW w:w="8789" w:type="dxa"/>
            <w:shd w:val="clear" w:color="auto" w:fill="auto"/>
          </w:tcPr>
          <w:p w:rsidR="00513904" w:rsidRDefault="00513904" w:rsidP="00513904">
            <w:pPr>
              <w:pStyle w:val="Jurisdictioncommentsbodytext"/>
            </w:pPr>
            <w:r>
              <w:t xml:space="preserve">The Northern Territory </w:t>
            </w:r>
            <w:r w:rsidR="005D0FED">
              <w:t xml:space="preserve">(NT) </w:t>
            </w:r>
            <w:r>
              <w:t xml:space="preserve">Department of Education (DoE) oversees a range of early childhood education and care programs across the NT. DoE regulates services, delivers and oversees programs, provides policy advice and financial assistance to promote children’s early learning and development, as well as parenting information and education. </w:t>
            </w:r>
          </w:p>
          <w:p w:rsidR="00513904" w:rsidRDefault="00513904" w:rsidP="00513904">
            <w:pPr>
              <w:pStyle w:val="Jurisdictioncommentsbodytext"/>
            </w:pPr>
            <w:r>
              <w:t xml:space="preserve">Key highlights during the 2012 </w:t>
            </w:r>
            <w:r w:rsidR="00172534">
              <w:noBreakHyphen/>
            </w:r>
            <w:r>
              <w:t>13 financial period include:</w:t>
            </w:r>
          </w:p>
          <w:p w:rsidR="00513904" w:rsidRDefault="00513904" w:rsidP="00513904">
            <w:pPr>
              <w:pStyle w:val="Jurisdictioncommentslistbullet"/>
            </w:pPr>
            <w:r>
              <w:t>continuation of the regulatory oversight and quality assessment and rating of the education and care sector under the requirements of the National Quality Framework (</w:t>
            </w:r>
            <w:proofErr w:type="spellStart"/>
            <w:r>
              <w:t>NQF</w:t>
            </w:r>
            <w:proofErr w:type="spellEnd"/>
            <w:r>
              <w:t>) by Quality Education and Care NT</w:t>
            </w:r>
          </w:p>
          <w:p w:rsidR="00513904" w:rsidRDefault="00513904" w:rsidP="00513904">
            <w:pPr>
              <w:pStyle w:val="Jurisdictioncommentslistbullet"/>
            </w:pPr>
            <w:r>
              <w:t xml:space="preserve">the inclusion of family day care, outside school hours care and preschool services into the </w:t>
            </w:r>
            <w:proofErr w:type="spellStart"/>
            <w:r>
              <w:t>NQF</w:t>
            </w:r>
            <w:proofErr w:type="spellEnd"/>
            <w:r>
              <w:t xml:space="preserve"> regulatory and quality assessment systems</w:t>
            </w:r>
          </w:p>
          <w:p w:rsidR="00513904" w:rsidRDefault="00513904" w:rsidP="00513904">
            <w:pPr>
              <w:pStyle w:val="Jurisdictioncommentslistbullet"/>
            </w:pPr>
            <w:r>
              <w:t>assessment and rating of all long day care services against the National Quality Standard</w:t>
            </w:r>
          </w:p>
          <w:p w:rsidR="00513904" w:rsidRDefault="00513904" w:rsidP="00513904">
            <w:pPr>
              <w:pStyle w:val="Jurisdictioncommentslistbullet"/>
            </w:pPr>
            <w:r>
              <w:t>continuation of the NT Early Childhood Services Subsidy and Long Day Care Upgrade Grants, as well as commencing the new Toy and Equipment Grants for early childhood education and care services</w:t>
            </w:r>
          </w:p>
          <w:p w:rsidR="00513904" w:rsidRDefault="00513904" w:rsidP="00513904">
            <w:pPr>
              <w:pStyle w:val="Jurisdictioncommentslistbullet"/>
            </w:pPr>
            <w:r>
              <w:t>a second round of NT More Early Childhood Teacher Scholarships designed to upgrade qualifications to meet requirements under the National Partnership Agreement (</w:t>
            </w:r>
            <w:proofErr w:type="spellStart"/>
            <w:r>
              <w:t>NPA</w:t>
            </w:r>
            <w:proofErr w:type="spellEnd"/>
            <w:r>
              <w:t>) for Early Childhood Education</w:t>
            </w:r>
          </w:p>
          <w:p w:rsidR="00513904" w:rsidRDefault="00513904" w:rsidP="00513904">
            <w:pPr>
              <w:pStyle w:val="Jurisdictioncommentslistbullet"/>
            </w:pPr>
            <w:r>
              <w:t xml:space="preserve">the continuation of the Building the Remote Early Childhood Workforce pilot, designed to deliver onsite training in four very remote Indigenous communities to support child and family centres, being established under the </w:t>
            </w:r>
            <w:proofErr w:type="spellStart"/>
            <w:r>
              <w:t>NPA</w:t>
            </w:r>
            <w:proofErr w:type="spellEnd"/>
            <w:r>
              <w:t xml:space="preserve"> on Indigenous Early Childhood Development, Element One</w:t>
            </w:r>
          </w:p>
          <w:p w:rsidR="00513904" w:rsidRPr="001C08C2" w:rsidRDefault="00513904" w:rsidP="00513904">
            <w:pPr>
              <w:pStyle w:val="Jurisdictioncommentslistbullet"/>
              <w:rPr>
                <w:szCs w:val="24"/>
              </w:rPr>
            </w:pPr>
            <w:r>
              <w:t xml:space="preserve">following the </w:t>
            </w:r>
            <w:r w:rsidRPr="0022235C">
              <w:rPr>
                <w:rFonts w:cs="Arial"/>
                <w:szCs w:val="24"/>
              </w:rPr>
              <w:t xml:space="preserve">innovative NT </w:t>
            </w:r>
            <w:r>
              <w:rPr>
                <w:rFonts w:cs="Arial"/>
                <w:szCs w:val="24"/>
              </w:rPr>
              <w:t xml:space="preserve">2012 </w:t>
            </w:r>
            <w:proofErr w:type="spellStart"/>
            <w:r w:rsidRPr="0022235C">
              <w:rPr>
                <w:rFonts w:cs="Arial"/>
                <w:szCs w:val="24"/>
              </w:rPr>
              <w:t>AEDI</w:t>
            </w:r>
            <w:proofErr w:type="spellEnd"/>
            <w:r w:rsidRPr="0022235C">
              <w:rPr>
                <w:rFonts w:cs="Arial"/>
                <w:szCs w:val="24"/>
              </w:rPr>
              <w:t xml:space="preserve"> implementation framework</w:t>
            </w:r>
            <w:r>
              <w:rPr>
                <w:rFonts w:cs="Arial"/>
                <w:sz w:val="22"/>
                <w:szCs w:val="24"/>
              </w:rPr>
              <w:t xml:space="preserve">, </w:t>
            </w:r>
            <w:r w:rsidRPr="000F7496">
              <w:rPr>
                <w:rFonts w:cs="Arial"/>
                <w:szCs w:val="24"/>
              </w:rPr>
              <w:t>the increase in publishable</w:t>
            </w:r>
            <w:r w:rsidRPr="0022235C">
              <w:rPr>
                <w:rFonts w:cs="Arial"/>
                <w:szCs w:val="24"/>
              </w:rPr>
              <w:t xml:space="preserve"> data </w:t>
            </w:r>
            <w:r>
              <w:rPr>
                <w:rFonts w:cs="Arial"/>
                <w:szCs w:val="24"/>
              </w:rPr>
              <w:t>being returned from</w:t>
            </w:r>
            <w:r w:rsidRPr="0022235C">
              <w:rPr>
                <w:rFonts w:cs="Arial"/>
                <w:szCs w:val="24"/>
              </w:rPr>
              <w:t xml:space="preserve"> remote communities </w:t>
            </w:r>
          </w:p>
          <w:p w:rsidR="00513904" w:rsidRPr="00067CCE" w:rsidRDefault="00513904" w:rsidP="00513904">
            <w:pPr>
              <w:pStyle w:val="Jurisdictioncommentslistbullet"/>
              <w:rPr>
                <w:rFonts w:cs="Arial"/>
                <w:szCs w:val="24"/>
              </w:rPr>
            </w:pPr>
            <w:r w:rsidRPr="00067CCE">
              <w:rPr>
                <w:rFonts w:cs="Arial"/>
                <w:szCs w:val="24"/>
              </w:rPr>
              <w:t xml:space="preserve">the </w:t>
            </w:r>
            <w:r>
              <w:rPr>
                <w:rFonts w:cs="Arial"/>
                <w:szCs w:val="24"/>
              </w:rPr>
              <w:t xml:space="preserve">release of </w:t>
            </w:r>
            <w:r w:rsidRPr="00067CCE">
              <w:rPr>
                <w:rFonts w:cs="Arial"/>
                <w:szCs w:val="24"/>
              </w:rPr>
              <w:t xml:space="preserve">NT 2012 </w:t>
            </w:r>
            <w:proofErr w:type="spellStart"/>
            <w:r w:rsidRPr="00067CCE">
              <w:rPr>
                <w:rFonts w:cs="Arial"/>
                <w:szCs w:val="24"/>
              </w:rPr>
              <w:t>AEDI</w:t>
            </w:r>
            <w:proofErr w:type="spellEnd"/>
            <w:r w:rsidRPr="00067CCE">
              <w:rPr>
                <w:rFonts w:cs="Arial"/>
                <w:szCs w:val="24"/>
              </w:rPr>
              <w:t xml:space="preserve"> results indicating </w:t>
            </w:r>
            <w:r w:rsidRPr="00067CCE">
              <w:rPr>
                <w:rFonts w:cs="Arial"/>
              </w:rPr>
              <w:t>statistically significant improvements for children, particular</w:t>
            </w:r>
            <w:r>
              <w:rPr>
                <w:rFonts w:cs="Arial"/>
              </w:rPr>
              <w:t xml:space="preserve">ly </w:t>
            </w:r>
            <w:r w:rsidRPr="00067CCE">
              <w:rPr>
                <w:rFonts w:cs="Arial"/>
              </w:rPr>
              <w:t>in remote Indigenous communities</w:t>
            </w:r>
          </w:p>
          <w:p w:rsidR="00513904" w:rsidRDefault="00513904" w:rsidP="00513904">
            <w:pPr>
              <w:pStyle w:val="Jurisdictioncommentslistbullet"/>
              <w:rPr>
                <w:szCs w:val="24"/>
              </w:rPr>
            </w:pPr>
            <w:r>
              <w:rPr>
                <w:szCs w:val="24"/>
              </w:rPr>
              <w:t>the Families as First Teachers program (</w:t>
            </w:r>
            <w:proofErr w:type="spellStart"/>
            <w:r>
              <w:rPr>
                <w:szCs w:val="24"/>
              </w:rPr>
              <w:t>FaFT</w:t>
            </w:r>
            <w:proofErr w:type="spellEnd"/>
            <w:r>
              <w:rPr>
                <w:szCs w:val="24"/>
              </w:rPr>
              <w:t>) operating for approximately 1700 Indigenous children and families located in 45 remote communities, providing culturally responsive early learning and parent education program for families with children aged 0 – 3 years to help improve development outcomes, increase school readiness, develop a culture of attendance and give children the best start in life</w:t>
            </w:r>
          </w:p>
          <w:p w:rsidR="00513904" w:rsidRDefault="00513904" w:rsidP="00513904">
            <w:pPr>
              <w:pStyle w:val="Jurisdictioncommentslistbullet"/>
              <w:rPr>
                <w:szCs w:val="24"/>
              </w:rPr>
            </w:pPr>
            <w:r>
              <w:rPr>
                <w:szCs w:val="24"/>
              </w:rPr>
              <w:t xml:space="preserve">the participation of </w:t>
            </w:r>
            <w:proofErr w:type="spellStart"/>
            <w:r>
              <w:rPr>
                <w:szCs w:val="24"/>
              </w:rPr>
              <w:t>FaFT</w:t>
            </w:r>
            <w:proofErr w:type="spellEnd"/>
            <w:r>
              <w:rPr>
                <w:szCs w:val="24"/>
              </w:rPr>
              <w:t xml:space="preserve"> in the Australian Research Council linkage grant to the University of Melbourne to evaluate the effectiveness of the Abecedarian approach on child outcomes</w:t>
            </w:r>
          </w:p>
          <w:p w:rsidR="00B13981" w:rsidRPr="00513904" w:rsidRDefault="00513904" w:rsidP="00513904">
            <w:pPr>
              <w:pStyle w:val="Jurisdictioncommentslistbullet"/>
              <w:rPr>
                <w:rStyle w:val="DraftingNote"/>
                <w:b w:val="0"/>
                <w:color w:val="auto"/>
                <w:szCs w:val="24"/>
                <w:u w:val="none"/>
              </w:rPr>
            </w:pPr>
            <w:r>
              <w:rPr>
                <w:szCs w:val="24"/>
              </w:rPr>
              <w:t>85 per cent of NT Government preschools are providing 15 hours or more per week to meet the requirements under Universal Access to Early Childhood Education.</w:t>
            </w:r>
          </w:p>
        </w:tc>
        <w:tc>
          <w:tcPr>
            <w:tcW w:w="851" w:type="dxa"/>
            <w:vMerge/>
            <w:tcBorders>
              <w:left w:val="nil"/>
            </w:tcBorders>
            <w:shd w:val="clear" w:color="auto" w:fill="auto"/>
          </w:tcPr>
          <w:p w:rsidR="00B13981" w:rsidRPr="00A3025A" w:rsidRDefault="00B13981" w:rsidP="00C3586E">
            <w:pPr>
              <w:pStyle w:val="BodyText"/>
            </w:pPr>
          </w:p>
        </w:tc>
      </w:tr>
    </w:tbl>
    <w:p w:rsidR="00B13981" w:rsidRPr="003630F3" w:rsidRDefault="00B13981" w:rsidP="00C3586E">
      <w:pPr>
        <w:pStyle w:val="BodyText"/>
        <w:spacing w:before="0" w:line="240" w:lineRule="auto"/>
        <w:rPr>
          <w:sz w:val="12"/>
          <w:szCs w:val="12"/>
        </w:rPr>
      </w:pPr>
    </w:p>
    <w:p w:rsidR="00BD32BB" w:rsidRDefault="00923A1C" w:rsidP="00C3586E">
      <w:pPr>
        <w:pStyle w:val="Heading2"/>
      </w:pPr>
      <w:bookmarkStart w:id="53" w:name="OLE_LINK15"/>
      <w:bookmarkStart w:id="54" w:name="_Toc372900003"/>
      <w:r>
        <w:lastRenderedPageBreak/>
        <w:t>3.</w:t>
      </w:r>
      <w:r w:rsidR="002E4BE8">
        <w:rPr>
          <w:noProof/>
        </w:rPr>
        <w:t>6</w:t>
      </w:r>
      <w:bookmarkEnd w:id="52"/>
      <w:bookmarkEnd w:id="53"/>
      <w:r w:rsidR="00BD32BB">
        <w:tab/>
      </w:r>
      <w:r w:rsidR="00BD32BB" w:rsidRPr="00BD32BB">
        <w:t>Definitions of key terms</w:t>
      </w:r>
      <w:bookmarkEnd w:id="54"/>
    </w:p>
    <w:p w:rsidR="00775BDF" w:rsidRPr="00775BDF" w:rsidRDefault="00775BDF" w:rsidP="00C3586E">
      <w:pPr>
        <w:pStyle w:val="BoxSpace"/>
      </w:pPr>
    </w:p>
    <w:tbl>
      <w:tblPr>
        <w:tblW w:w="8789" w:type="dxa"/>
        <w:tblLayout w:type="fixed"/>
        <w:tblCellMar>
          <w:left w:w="0" w:type="dxa"/>
          <w:right w:w="0" w:type="dxa"/>
        </w:tblCellMar>
        <w:tblLook w:val="0000" w:firstRow="0" w:lastRow="0" w:firstColumn="0" w:lastColumn="0" w:noHBand="0" w:noVBand="0"/>
      </w:tblPr>
      <w:tblGrid>
        <w:gridCol w:w="2410"/>
        <w:gridCol w:w="6379"/>
      </w:tblGrid>
      <w:tr w:rsidR="00BD32BB" w:rsidRPr="00CC376D" w:rsidTr="00512BD7">
        <w:trPr>
          <w:cantSplit/>
        </w:trPr>
        <w:tc>
          <w:tcPr>
            <w:tcW w:w="2410" w:type="dxa"/>
          </w:tcPr>
          <w:p w:rsidR="00BD32BB" w:rsidRPr="00C941CD" w:rsidRDefault="00BD32BB" w:rsidP="00C3586E">
            <w:pPr>
              <w:pStyle w:val="TableBodyText"/>
              <w:jc w:val="left"/>
            </w:pPr>
            <w:r w:rsidRPr="00C941CD">
              <w:rPr>
                <w:b/>
              </w:rPr>
              <w:t xml:space="preserve">Administration expenditure </w:t>
            </w:r>
          </w:p>
        </w:tc>
        <w:tc>
          <w:tcPr>
            <w:tcW w:w="6379" w:type="dxa"/>
          </w:tcPr>
          <w:p w:rsidR="00BD32BB" w:rsidRPr="00C941CD" w:rsidRDefault="002E39EA" w:rsidP="00C3586E">
            <w:pPr>
              <w:pStyle w:val="TableBodyText"/>
              <w:jc w:val="left"/>
            </w:pPr>
            <w:r>
              <w:t>Administration expenditure includes all expenditure by the responsible departments associated with the provision of licensing, advice, policy development, grants administration and training services. Responsible departments include those departments that administer policy for, fund, and license/accredit child care and preschool services in each jurisdiction.</w:t>
            </w:r>
          </w:p>
        </w:tc>
      </w:tr>
      <w:tr w:rsidR="003541F7" w:rsidRPr="00CC376D" w:rsidTr="00512BD7">
        <w:trPr>
          <w:cantSplit/>
        </w:trPr>
        <w:tc>
          <w:tcPr>
            <w:tcW w:w="2410" w:type="dxa"/>
          </w:tcPr>
          <w:p w:rsidR="003541F7" w:rsidRPr="00C941CD" w:rsidRDefault="003541F7" w:rsidP="00C3586E">
            <w:pPr>
              <w:pStyle w:val="TableBodyText"/>
              <w:jc w:val="left"/>
              <w:rPr>
                <w:b/>
              </w:rPr>
            </w:pPr>
            <w:r>
              <w:rPr>
                <w:b/>
              </w:rPr>
              <w:t>Australian Government approved child care service</w:t>
            </w:r>
          </w:p>
        </w:tc>
        <w:tc>
          <w:tcPr>
            <w:tcW w:w="6379" w:type="dxa"/>
          </w:tcPr>
          <w:p w:rsidR="003541F7" w:rsidRPr="00C941CD" w:rsidRDefault="002E39EA" w:rsidP="00C3586E">
            <w:pPr>
              <w:pStyle w:val="TableBodyText"/>
              <w:jc w:val="left"/>
            </w:pPr>
            <w:r>
              <w:t>A service approved by the Australian Government to receive Child Care Benefit (</w:t>
            </w:r>
            <w:proofErr w:type="spellStart"/>
            <w:r>
              <w:t>CCB</w:t>
            </w:r>
            <w:proofErr w:type="spellEnd"/>
            <w:r>
              <w:t>) on behalf of families.</w:t>
            </w:r>
          </w:p>
        </w:tc>
      </w:tr>
      <w:tr w:rsidR="00BD32BB" w:rsidRPr="00CC376D" w:rsidTr="00BD32BB">
        <w:trPr>
          <w:cantSplit/>
        </w:trPr>
        <w:tc>
          <w:tcPr>
            <w:tcW w:w="2410" w:type="dxa"/>
          </w:tcPr>
          <w:p w:rsidR="00BD32BB" w:rsidRPr="00C941CD" w:rsidRDefault="00BD32BB" w:rsidP="00C3586E">
            <w:pPr>
              <w:pStyle w:val="TableBodyText"/>
              <w:jc w:val="left"/>
            </w:pPr>
            <w:r w:rsidRPr="00C941CD">
              <w:rPr>
                <w:b/>
              </w:rPr>
              <w:t>Centre</w:t>
            </w:r>
            <w:r w:rsidR="00172534">
              <w:rPr>
                <w:b/>
              </w:rPr>
              <w:noBreakHyphen/>
            </w:r>
            <w:r w:rsidRPr="00C941CD">
              <w:rPr>
                <w:b/>
              </w:rPr>
              <w:t xml:space="preserve">based </w:t>
            </w:r>
            <w:r>
              <w:rPr>
                <w:b/>
              </w:rPr>
              <w:br/>
            </w:r>
            <w:r w:rsidRPr="00C941CD">
              <w:rPr>
                <w:b/>
              </w:rPr>
              <w:t>long day care</w:t>
            </w:r>
          </w:p>
        </w:tc>
        <w:tc>
          <w:tcPr>
            <w:tcW w:w="6379" w:type="dxa"/>
          </w:tcPr>
          <w:p w:rsidR="00865DB3" w:rsidRDefault="00865DB3" w:rsidP="00151FB0">
            <w:pPr>
              <w:pStyle w:val="TableBodyText"/>
              <w:jc w:val="left"/>
            </w:pPr>
            <w:r>
              <w:t>Centre based child care services providing all</w:t>
            </w:r>
            <w:r w:rsidR="00172534">
              <w:noBreakHyphen/>
            </w:r>
            <w:r>
              <w:t>day or part</w:t>
            </w:r>
            <w:r w:rsidR="00172534">
              <w:noBreakHyphen/>
            </w:r>
            <w:r>
              <w:t xml:space="preserve">time care for children (services may cater to specific groups within the general community). </w:t>
            </w:r>
          </w:p>
          <w:p w:rsidR="00BD32BB" w:rsidRPr="00C941CD" w:rsidRDefault="00865DB3" w:rsidP="00C3586E">
            <w:pPr>
              <w:pStyle w:val="TableBodyText"/>
              <w:jc w:val="left"/>
            </w:pPr>
            <w:r>
              <w:t>Long day care primarily provide</w:t>
            </w:r>
            <w:r w:rsidR="00710EEA">
              <w:t>s</w:t>
            </w:r>
            <w:r w:rsidR="006B2DE3">
              <w:t xml:space="preserve"> services for children aged 0–</w:t>
            </w:r>
            <w:r>
              <w:t xml:space="preserve">5 years. Some long day care may also provide preschool and kindergarten programs and care for school children before and after school and during school holidays, where </w:t>
            </w:r>
            <w:r w:rsidR="00256295">
              <w:t>S</w:t>
            </w:r>
            <w:r>
              <w:t xml:space="preserve">tate and </w:t>
            </w:r>
            <w:r w:rsidR="00256295">
              <w:t>T</w:t>
            </w:r>
            <w:r>
              <w:t>erritory government regulations allow this. The service may operate from stand</w:t>
            </w:r>
            <w:r w:rsidR="00172534">
              <w:noBreakHyphen/>
            </w:r>
            <w:r>
              <w:t>alone or shared premises, including those on school grounds.</w:t>
            </w:r>
          </w:p>
        </w:tc>
      </w:tr>
      <w:tr w:rsidR="00BD32BB" w:rsidRPr="00CC376D" w:rsidTr="00BD32BB">
        <w:trPr>
          <w:cantSplit/>
        </w:trPr>
        <w:tc>
          <w:tcPr>
            <w:tcW w:w="2410" w:type="dxa"/>
          </w:tcPr>
          <w:p w:rsidR="00BD32BB" w:rsidRPr="00C941CD" w:rsidRDefault="00BD32BB" w:rsidP="00C3586E">
            <w:pPr>
              <w:pStyle w:val="TableBodyText"/>
              <w:jc w:val="left"/>
            </w:pPr>
            <w:r w:rsidRPr="00C941CD">
              <w:rPr>
                <w:b/>
              </w:rPr>
              <w:t xml:space="preserve">Child care </w:t>
            </w:r>
            <w:r w:rsidR="002E39EA">
              <w:rPr>
                <w:b/>
              </w:rPr>
              <w:t>services</w:t>
            </w:r>
          </w:p>
        </w:tc>
        <w:tc>
          <w:tcPr>
            <w:tcW w:w="6379" w:type="dxa"/>
          </w:tcPr>
          <w:p w:rsidR="00BD32BB" w:rsidRPr="00C941CD" w:rsidRDefault="002E39EA" w:rsidP="00C3586E">
            <w:pPr>
              <w:pStyle w:val="TableBodyText"/>
              <w:jc w:val="left"/>
            </w:pPr>
            <w:r w:rsidRPr="006F7D18">
              <w:t>The meeting of a child’s care, education and developmental needs by a person other than the child’s parent or guardian. The main models of service are centre</w:t>
            </w:r>
            <w:r w:rsidR="00172534">
              <w:noBreakHyphen/>
            </w:r>
            <w:r w:rsidRPr="006F7D18">
              <w:t xml:space="preserve">based long day care, family day care, outside school hours care (before/after school hours and ‘pupil free days’ care), </w:t>
            </w:r>
            <w:r w:rsidR="00CE525D" w:rsidRPr="006F7D18">
              <w:t>vacation</w:t>
            </w:r>
            <w:r w:rsidR="00CE525D">
              <w:t xml:space="preserve"> care</w:t>
            </w:r>
            <w:r w:rsidR="00CE525D" w:rsidRPr="006F7D18">
              <w:t xml:space="preserve">, </w:t>
            </w:r>
            <w:r w:rsidRPr="006F7D18">
              <w:t>occasional care and other care.</w:t>
            </w:r>
          </w:p>
        </w:tc>
      </w:tr>
      <w:tr w:rsidR="00BD32BB" w:rsidRPr="00CC376D" w:rsidTr="00BD32BB">
        <w:trPr>
          <w:cantSplit/>
        </w:trPr>
        <w:tc>
          <w:tcPr>
            <w:tcW w:w="2410" w:type="dxa"/>
          </w:tcPr>
          <w:p w:rsidR="00BD32BB" w:rsidRPr="00C941CD" w:rsidRDefault="00BD32BB" w:rsidP="00C3586E">
            <w:pPr>
              <w:pStyle w:val="TableBodyText"/>
              <w:jc w:val="left"/>
            </w:pPr>
            <w:r w:rsidRPr="00C941CD">
              <w:rPr>
                <w:b/>
              </w:rPr>
              <w:t>Children</w:t>
            </w:r>
          </w:p>
        </w:tc>
        <w:tc>
          <w:tcPr>
            <w:tcW w:w="6379" w:type="dxa"/>
          </w:tcPr>
          <w:p w:rsidR="00BD32BB" w:rsidRPr="00C941CD" w:rsidRDefault="002E39EA" w:rsidP="00C3586E">
            <w:pPr>
              <w:pStyle w:val="TableBodyText"/>
              <w:jc w:val="left"/>
            </w:pPr>
            <w:r w:rsidRPr="00C941CD">
              <w:t xml:space="preserve">All resident male and female Australians aged 12 years or </w:t>
            </w:r>
            <w:r>
              <w:t>younger at 30 June of each year (unless otherwise stated).</w:t>
            </w:r>
          </w:p>
        </w:tc>
      </w:tr>
      <w:tr w:rsidR="00BD32BB" w:rsidRPr="00CC376D" w:rsidTr="00BD32BB">
        <w:trPr>
          <w:cantSplit/>
        </w:trPr>
        <w:tc>
          <w:tcPr>
            <w:tcW w:w="2410" w:type="dxa"/>
          </w:tcPr>
          <w:p w:rsidR="00BD32BB" w:rsidRPr="00C941CD" w:rsidRDefault="00BD32BB" w:rsidP="00C3586E">
            <w:pPr>
              <w:pStyle w:val="TableBodyText"/>
              <w:jc w:val="left"/>
            </w:pPr>
            <w:r>
              <w:rPr>
                <w:b/>
              </w:rPr>
              <w:t>Children from low income families</w:t>
            </w:r>
          </w:p>
        </w:tc>
        <w:tc>
          <w:tcPr>
            <w:tcW w:w="6379" w:type="dxa"/>
          </w:tcPr>
          <w:p w:rsidR="00BD32BB" w:rsidRPr="00C941CD" w:rsidRDefault="002E39EA" w:rsidP="00C3586E">
            <w:pPr>
              <w:pStyle w:val="TableBodyText"/>
              <w:jc w:val="left"/>
            </w:pPr>
            <w:r w:rsidRPr="0036612B">
              <w:t>Families who are receiving the ma</w:t>
            </w:r>
            <w:r w:rsidR="006B2DE3">
              <w:t xml:space="preserve">ximum rate of </w:t>
            </w:r>
            <w:proofErr w:type="spellStart"/>
            <w:r w:rsidR="006B2DE3">
              <w:t>CCB</w:t>
            </w:r>
            <w:proofErr w:type="spellEnd"/>
            <w:r w:rsidRPr="0036612B">
              <w:t>.</w:t>
            </w:r>
          </w:p>
        </w:tc>
      </w:tr>
      <w:tr w:rsidR="00BD32BB" w:rsidRPr="00CC376D" w:rsidTr="00BD32BB">
        <w:trPr>
          <w:cantSplit/>
        </w:trPr>
        <w:tc>
          <w:tcPr>
            <w:tcW w:w="2410" w:type="dxa"/>
          </w:tcPr>
          <w:p w:rsidR="00BD32BB" w:rsidRPr="00C941CD" w:rsidRDefault="00BD32BB" w:rsidP="00C3586E">
            <w:pPr>
              <w:pStyle w:val="TableBodyText"/>
              <w:jc w:val="left"/>
            </w:pPr>
            <w:r w:rsidRPr="00C941CD">
              <w:rPr>
                <w:b/>
              </w:rPr>
              <w:t>Children from non</w:t>
            </w:r>
            <w:r>
              <w:rPr>
                <w:b/>
              </w:rPr>
              <w:noBreakHyphen/>
            </w:r>
            <w:r w:rsidRPr="00C941CD">
              <w:rPr>
                <w:b/>
              </w:rPr>
              <w:t>En</w:t>
            </w:r>
            <w:r>
              <w:rPr>
                <w:b/>
              </w:rPr>
              <w:t>glish speaking backgrounds</w:t>
            </w:r>
          </w:p>
        </w:tc>
        <w:tc>
          <w:tcPr>
            <w:tcW w:w="6379" w:type="dxa"/>
          </w:tcPr>
          <w:p w:rsidR="00BD32BB" w:rsidRPr="00C941CD" w:rsidRDefault="002E39EA" w:rsidP="00C3586E">
            <w:pPr>
              <w:pStyle w:val="TableBodyText"/>
              <w:jc w:val="left"/>
            </w:pPr>
            <w:r w:rsidRPr="0036612B">
              <w:t xml:space="preserve">Children living in situations where the main language spoken </w:t>
            </w:r>
            <w:r w:rsidRPr="00394873">
              <w:t xml:space="preserve">at home </w:t>
            </w:r>
            <w:r w:rsidRPr="0036612B">
              <w:t>is not English.</w:t>
            </w:r>
          </w:p>
        </w:tc>
      </w:tr>
      <w:tr w:rsidR="00BD32BB" w:rsidRPr="00CC376D" w:rsidTr="00BD32BB">
        <w:trPr>
          <w:cantSplit/>
        </w:trPr>
        <w:tc>
          <w:tcPr>
            <w:tcW w:w="2410" w:type="dxa"/>
          </w:tcPr>
          <w:p w:rsidR="00BD32BB" w:rsidRPr="00C941CD" w:rsidRDefault="00BD32BB" w:rsidP="00C3586E">
            <w:pPr>
              <w:pStyle w:val="TableBodyText"/>
              <w:jc w:val="left"/>
            </w:pPr>
            <w:r w:rsidRPr="00C941CD">
              <w:rPr>
                <w:b/>
              </w:rPr>
              <w:t>Counting rules</w:t>
            </w:r>
          </w:p>
        </w:tc>
        <w:tc>
          <w:tcPr>
            <w:tcW w:w="6379" w:type="dxa"/>
          </w:tcPr>
          <w:p w:rsidR="00BD32BB" w:rsidRPr="00C941CD" w:rsidRDefault="002E39EA" w:rsidP="00C3586E">
            <w:pPr>
              <w:pStyle w:val="TableBodyText"/>
              <w:jc w:val="left"/>
            </w:pPr>
            <w:r w:rsidRPr="00C941CD">
              <w:t>Prescribed standards, definitions and mathematical methods for determining descriptors and performance indicators for</w:t>
            </w:r>
            <w:r>
              <w:t xml:space="preserve"> monitoring government services.</w:t>
            </w:r>
          </w:p>
        </w:tc>
      </w:tr>
      <w:tr w:rsidR="00BD32BB" w:rsidRPr="00CC376D" w:rsidTr="00BD32BB">
        <w:trPr>
          <w:cantSplit/>
        </w:trPr>
        <w:tc>
          <w:tcPr>
            <w:tcW w:w="2410" w:type="dxa"/>
          </w:tcPr>
          <w:p w:rsidR="00BD32BB" w:rsidRPr="00C941CD" w:rsidRDefault="00BD32BB" w:rsidP="00C3586E">
            <w:pPr>
              <w:pStyle w:val="TableBodyText"/>
              <w:jc w:val="left"/>
            </w:pPr>
            <w:r w:rsidRPr="00C941CD">
              <w:rPr>
                <w:b/>
              </w:rPr>
              <w:t xml:space="preserve">Disability </w:t>
            </w:r>
            <w:r>
              <w:rPr>
                <w:b/>
              </w:rPr>
              <w:br/>
            </w:r>
            <w:r w:rsidRPr="00C941CD">
              <w:rPr>
                <w:b/>
              </w:rPr>
              <w:t>related care</w:t>
            </w:r>
          </w:p>
        </w:tc>
        <w:tc>
          <w:tcPr>
            <w:tcW w:w="6379" w:type="dxa"/>
          </w:tcPr>
          <w:p w:rsidR="00BD32BB" w:rsidRPr="00C941CD" w:rsidRDefault="002E39EA" w:rsidP="00C3586E">
            <w:pPr>
              <w:pStyle w:val="TableBodyText"/>
              <w:jc w:val="left"/>
            </w:pPr>
            <w:r w:rsidRPr="002E39EA">
              <w:t>Care of children who have a developmental delay or disability (including a</w:t>
            </w:r>
            <w:r w:rsidR="006B2DE3">
              <w:t>n</w:t>
            </w:r>
            <w:r w:rsidRPr="002E39EA">
              <w:t xml:space="preserve"> intellectual, sensory or physical impairment), or who have parent(s) </w:t>
            </w:r>
            <w:r w:rsidR="00D51DEF">
              <w:t>with disability</w:t>
            </w:r>
            <w:r w:rsidRPr="002E39EA">
              <w:t>.</w:t>
            </w:r>
          </w:p>
        </w:tc>
      </w:tr>
      <w:tr w:rsidR="006B2DE3" w:rsidRPr="00CC376D" w:rsidTr="00BD32BB">
        <w:trPr>
          <w:cantSplit/>
        </w:trPr>
        <w:tc>
          <w:tcPr>
            <w:tcW w:w="2410" w:type="dxa"/>
          </w:tcPr>
          <w:p w:rsidR="006B2DE3" w:rsidRPr="00C941CD" w:rsidRDefault="006B2DE3" w:rsidP="00C3586E">
            <w:pPr>
              <w:pStyle w:val="TableBodyText"/>
              <w:jc w:val="left"/>
              <w:rPr>
                <w:b/>
              </w:rPr>
            </w:pPr>
            <w:r>
              <w:rPr>
                <w:b/>
              </w:rPr>
              <w:t>External cause (of injury)</w:t>
            </w:r>
          </w:p>
        </w:tc>
        <w:tc>
          <w:tcPr>
            <w:tcW w:w="6379" w:type="dxa"/>
          </w:tcPr>
          <w:p w:rsidR="006B2DE3" w:rsidRPr="002E39EA" w:rsidRDefault="006B2DE3" w:rsidP="00C3586E">
            <w:pPr>
              <w:pStyle w:val="TableBodyText"/>
              <w:jc w:val="left"/>
            </w:pPr>
            <w:r>
              <w:t>The environmental event, circumstance or condition that causes an injury.</w:t>
            </w:r>
          </w:p>
        </w:tc>
      </w:tr>
      <w:tr w:rsidR="006B2DE3" w:rsidRPr="00CC376D" w:rsidTr="00BD32BB">
        <w:trPr>
          <w:cantSplit/>
        </w:trPr>
        <w:tc>
          <w:tcPr>
            <w:tcW w:w="2410" w:type="dxa"/>
          </w:tcPr>
          <w:p w:rsidR="006B2DE3" w:rsidRDefault="006B2DE3" w:rsidP="00C3586E">
            <w:pPr>
              <w:pStyle w:val="TableBodyText"/>
              <w:jc w:val="left"/>
              <w:rPr>
                <w:b/>
              </w:rPr>
            </w:pPr>
            <w:r>
              <w:rPr>
                <w:b/>
              </w:rPr>
              <w:t>Family day care</w:t>
            </w:r>
          </w:p>
        </w:tc>
        <w:tc>
          <w:tcPr>
            <w:tcW w:w="6379" w:type="dxa"/>
          </w:tcPr>
          <w:p w:rsidR="006B2DE3" w:rsidRDefault="006B2DE3" w:rsidP="00C3586E">
            <w:pPr>
              <w:pStyle w:val="TableBodyText"/>
              <w:jc w:val="left"/>
            </w:pPr>
            <w:r>
              <w:t>Comprises services providing small group care for children in the home environment of a registered carer. Care is primarily aimed at</w:t>
            </w:r>
            <w:r w:rsidR="00172534">
              <w:t xml:space="preserve"> </w:t>
            </w:r>
            <w:r>
              <w:t>0–5 year olds, but primary school children may also receive care before and after school, and during school holidays. Educators work in partnership with scheme management and coordination unit staff.</w:t>
            </w:r>
          </w:p>
        </w:tc>
      </w:tr>
      <w:tr w:rsidR="006B2DE3" w:rsidRPr="00CC376D" w:rsidTr="00BD32BB">
        <w:trPr>
          <w:cantSplit/>
        </w:trPr>
        <w:tc>
          <w:tcPr>
            <w:tcW w:w="2410" w:type="dxa"/>
          </w:tcPr>
          <w:p w:rsidR="006B2DE3" w:rsidRDefault="006B2DE3" w:rsidP="00C3586E">
            <w:pPr>
              <w:pStyle w:val="TableBodyText"/>
              <w:jc w:val="left"/>
              <w:rPr>
                <w:b/>
              </w:rPr>
            </w:pPr>
            <w:r>
              <w:rPr>
                <w:b/>
              </w:rPr>
              <w:t>Financial support to families</w:t>
            </w:r>
          </w:p>
        </w:tc>
        <w:tc>
          <w:tcPr>
            <w:tcW w:w="6379" w:type="dxa"/>
          </w:tcPr>
          <w:p w:rsidR="006B2DE3" w:rsidRDefault="006B2DE3" w:rsidP="00C3586E">
            <w:pPr>
              <w:pStyle w:val="TableBodyText"/>
              <w:jc w:val="left"/>
            </w:pPr>
            <w:r>
              <w:t xml:space="preserve">Financial support to families includes any form of fee relief paid by governments to the users of early childhood education and care services (for example, </w:t>
            </w:r>
            <w:proofErr w:type="spellStart"/>
            <w:r>
              <w:t>CCB</w:t>
            </w:r>
            <w:proofErr w:type="spellEnd"/>
            <w:r>
              <w:t>).</w:t>
            </w:r>
          </w:p>
        </w:tc>
      </w:tr>
      <w:tr w:rsidR="006B2DE3" w:rsidRPr="00CC376D" w:rsidTr="00BD32BB">
        <w:trPr>
          <w:cantSplit/>
        </w:trPr>
        <w:tc>
          <w:tcPr>
            <w:tcW w:w="2410" w:type="dxa"/>
          </w:tcPr>
          <w:p w:rsidR="006B2DE3" w:rsidRDefault="006B2DE3" w:rsidP="00C3586E">
            <w:pPr>
              <w:pStyle w:val="TableBodyText"/>
              <w:jc w:val="left"/>
              <w:rPr>
                <w:b/>
              </w:rPr>
            </w:pPr>
            <w:r>
              <w:rPr>
                <w:b/>
              </w:rPr>
              <w:t>Formal child care</w:t>
            </w:r>
          </w:p>
        </w:tc>
        <w:tc>
          <w:tcPr>
            <w:tcW w:w="6379" w:type="dxa"/>
          </w:tcPr>
          <w:p w:rsidR="006B2DE3" w:rsidRDefault="006B2DE3" w:rsidP="00C3586E">
            <w:pPr>
              <w:pStyle w:val="TableBodyText"/>
              <w:jc w:val="left"/>
            </w:pPr>
            <w:r>
              <w:t xml:space="preserve">Organised care provided by a person </w:t>
            </w:r>
            <w:r w:rsidRPr="009853D7">
              <w:t>other than the child’s parent or guardian, usually outside of the child’s home — for example, centre based long day care, family day care, outside school hours care, vacation care and occasional care (excluding babysitting).</w:t>
            </w:r>
            <w:r>
              <w:t xml:space="preserve"> </w:t>
            </w:r>
          </w:p>
        </w:tc>
      </w:tr>
      <w:tr w:rsidR="00BD32BB" w:rsidRPr="00CC376D" w:rsidTr="00BD32BB">
        <w:tblPrEx>
          <w:tblCellMar>
            <w:left w:w="108" w:type="dxa"/>
            <w:right w:w="108" w:type="dxa"/>
          </w:tblCellMar>
        </w:tblPrEx>
        <w:trPr>
          <w:cantSplit/>
        </w:trPr>
        <w:tc>
          <w:tcPr>
            <w:tcW w:w="2410" w:type="dxa"/>
          </w:tcPr>
          <w:p w:rsidR="00BD32BB" w:rsidRPr="00C941CD" w:rsidRDefault="00BD32BB" w:rsidP="00C3586E">
            <w:pPr>
              <w:pStyle w:val="TableBodyText"/>
              <w:jc w:val="left"/>
            </w:pPr>
            <w:r w:rsidRPr="00C941CD">
              <w:rPr>
                <w:b/>
              </w:rPr>
              <w:lastRenderedPageBreak/>
              <w:t xml:space="preserve">Formal </w:t>
            </w:r>
            <w:r>
              <w:rPr>
                <w:b/>
              </w:rPr>
              <w:br/>
            </w:r>
            <w:r w:rsidRPr="00C941CD">
              <w:rPr>
                <w:b/>
              </w:rPr>
              <w:t>qualifications</w:t>
            </w:r>
          </w:p>
        </w:tc>
        <w:tc>
          <w:tcPr>
            <w:tcW w:w="6379" w:type="dxa"/>
          </w:tcPr>
          <w:p w:rsidR="00BD32BB" w:rsidRPr="00C941CD" w:rsidRDefault="00FD1E63" w:rsidP="00C3586E">
            <w:pPr>
              <w:pStyle w:val="TableBodyText"/>
              <w:ind w:left="-108"/>
              <w:jc w:val="left"/>
            </w:pPr>
            <w:r w:rsidRPr="001D2CD0">
              <w:t>Early childhood</w:t>
            </w:r>
            <w:r w:rsidR="00172534">
              <w:noBreakHyphen/>
            </w:r>
            <w:r w:rsidRPr="001D2CD0">
              <w:t>related teaching degree (three or four years), a child care certificate or associate diploma (two years) and/or other relevant qualifications (for example, a diploma or degree in child care [three years], primary teaching, other teaching, nursing [including mothercraft nursing], psychology and social work).</w:t>
            </w:r>
          </w:p>
        </w:tc>
      </w:tr>
      <w:tr w:rsidR="00BD32BB" w:rsidRPr="00CC376D" w:rsidTr="00A30F68">
        <w:tblPrEx>
          <w:tblCellMar>
            <w:left w:w="108" w:type="dxa"/>
            <w:right w:w="108" w:type="dxa"/>
          </w:tblCellMar>
        </w:tblPrEx>
        <w:trPr>
          <w:cantSplit/>
        </w:trPr>
        <w:tc>
          <w:tcPr>
            <w:tcW w:w="2410" w:type="dxa"/>
          </w:tcPr>
          <w:p w:rsidR="00BD32BB" w:rsidRPr="00C941CD" w:rsidRDefault="00BD32BB" w:rsidP="00C3586E">
            <w:pPr>
              <w:pStyle w:val="TableBodyText"/>
              <w:jc w:val="left"/>
            </w:pPr>
            <w:r w:rsidRPr="00C941CD">
              <w:rPr>
                <w:b/>
              </w:rPr>
              <w:t>Full time equivalent staff numbers</w:t>
            </w:r>
          </w:p>
        </w:tc>
        <w:tc>
          <w:tcPr>
            <w:tcW w:w="6379" w:type="dxa"/>
          </w:tcPr>
          <w:p w:rsidR="00BD32BB" w:rsidRPr="00C941CD" w:rsidRDefault="00FD1E63" w:rsidP="00C3586E">
            <w:pPr>
              <w:pStyle w:val="TableBodyText"/>
              <w:ind w:left="-108"/>
              <w:jc w:val="left"/>
            </w:pPr>
            <w:r w:rsidRPr="001D2CD0">
              <w:t xml:space="preserve">A measure of the total level of staff resources used. A full time staff member is employed full time and engaged solely in activities that fall within </w:t>
            </w:r>
            <w:r w:rsidR="00710EEA">
              <w:t>the scope of early childhood education and care services</w:t>
            </w:r>
            <w:r w:rsidRPr="001D2CD0">
              <w:t xml:space="preserve"> covered in the chapter. The full time equivalent of part time staff is calculated on the basis of the proportion of time spent on activities within the scope of the data collection compared with that spent by a full time staff member solely occupied by the same activities.</w:t>
            </w:r>
          </w:p>
        </w:tc>
      </w:tr>
      <w:tr w:rsidR="00BD32BB" w:rsidRPr="00CC376D" w:rsidTr="00A30F68">
        <w:tblPrEx>
          <w:tblCellMar>
            <w:left w:w="108" w:type="dxa"/>
            <w:right w:w="108" w:type="dxa"/>
          </w:tblCellMar>
        </w:tblPrEx>
        <w:trPr>
          <w:cantSplit/>
        </w:trPr>
        <w:tc>
          <w:tcPr>
            <w:tcW w:w="2410" w:type="dxa"/>
          </w:tcPr>
          <w:p w:rsidR="00BD32BB" w:rsidRPr="00C941CD" w:rsidRDefault="00BD32BB" w:rsidP="00C3586E">
            <w:pPr>
              <w:pStyle w:val="TableBodyText"/>
              <w:jc w:val="left"/>
            </w:pPr>
            <w:r w:rsidRPr="00C941CD">
              <w:rPr>
                <w:b/>
              </w:rPr>
              <w:t xml:space="preserve">Government funded </w:t>
            </w:r>
            <w:r w:rsidRPr="00A30F68">
              <w:rPr>
                <w:b/>
                <w:shd w:val="clear" w:color="auto" w:fill="FFFFFF" w:themeFill="background1"/>
              </w:rPr>
              <w:t>and</w:t>
            </w:r>
            <w:r w:rsidR="003E7828" w:rsidRPr="00A30F68">
              <w:rPr>
                <w:b/>
                <w:shd w:val="clear" w:color="auto" w:fill="FFFFFF" w:themeFill="background1"/>
              </w:rPr>
              <w:t>/or</w:t>
            </w:r>
            <w:r w:rsidRPr="00C941CD">
              <w:rPr>
                <w:b/>
              </w:rPr>
              <w:t xml:space="preserve"> provided</w:t>
            </w:r>
          </w:p>
        </w:tc>
        <w:tc>
          <w:tcPr>
            <w:tcW w:w="6379" w:type="dxa"/>
            <w:tcBorders>
              <w:left w:val="nil"/>
            </w:tcBorders>
          </w:tcPr>
          <w:p w:rsidR="00BD32BB" w:rsidRPr="00C941CD" w:rsidRDefault="001D52DC" w:rsidP="00C3586E">
            <w:pPr>
              <w:pStyle w:val="TableBodyText"/>
              <w:ind w:left="-108"/>
              <w:jc w:val="left"/>
            </w:pPr>
            <w:r w:rsidRPr="00C941CD">
              <w:t>All government financed services — that is, services that receive government contributions towards providing a specified service (including private services</w:t>
            </w:r>
            <w:r w:rsidR="006B2DE3">
              <w:t xml:space="preserve"> eligible for </w:t>
            </w:r>
            <w:proofErr w:type="spellStart"/>
            <w:r w:rsidR="006B2DE3">
              <w:t>CCB</w:t>
            </w:r>
            <w:proofErr w:type="spellEnd"/>
            <w:r w:rsidRPr="00C941CD">
              <w:t>) and/or services for which the government has prim</w:t>
            </w:r>
            <w:r>
              <w:t>ary responsibility for delivery.</w:t>
            </w:r>
          </w:p>
        </w:tc>
      </w:tr>
      <w:tr w:rsidR="00BD32BB" w:rsidRPr="00CC376D" w:rsidTr="00BD32BB">
        <w:tblPrEx>
          <w:tblCellMar>
            <w:left w:w="108" w:type="dxa"/>
            <w:right w:w="108" w:type="dxa"/>
          </w:tblCellMar>
        </w:tblPrEx>
        <w:trPr>
          <w:cantSplit/>
        </w:trPr>
        <w:tc>
          <w:tcPr>
            <w:tcW w:w="2410" w:type="dxa"/>
          </w:tcPr>
          <w:p w:rsidR="00BD32BB" w:rsidRPr="00C941CD" w:rsidRDefault="00BD32BB" w:rsidP="00C3586E">
            <w:pPr>
              <w:pStyle w:val="TableBodyText"/>
              <w:jc w:val="left"/>
            </w:pPr>
            <w:r>
              <w:rPr>
                <w:b/>
              </w:rPr>
              <w:t>Hospital separation</w:t>
            </w:r>
          </w:p>
        </w:tc>
        <w:tc>
          <w:tcPr>
            <w:tcW w:w="6379" w:type="dxa"/>
          </w:tcPr>
          <w:p w:rsidR="00BD32BB" w:rsidRPr="00C941CD" w:rsidRDefault="00BD32BB" w:rsidP="00C3586E">
            <w:pPr>
              <w:pStyle w:val="TableBodyText"/>
              <w:ind w:left="-108"/>
              <w:jc w:val="left"/>
            </w:pPr>
            <w:r>
              <w:t>A</w:t>
            </w:r>
            <w:r w:rsidRPr="00581C9B">
              <w:t xml:space="preserve">n episode of care for a person admitted to a hospital. It can be a total hospital stay (from admission to discharge, transfer or death) or portions of hospital stays beginning or ending in a change of type of care (for example from acute to rehabilitation) that cease during a reference period. </w:t>
            </w:r>
          </w:p>
        </w:tc>
      </w:tr>
      <w:tr w:rsidR="00BD32BB" w:rsidRPr="00CC376D" w:rsidTr="00BD32BB">
        <w:tblPrEx>
          <w:tblCellMar>
            <w:left w:w="108" w:type="dxa"/>
            <w:right w:w="108" w:type="dxa"/>
          </w:tblCellMar>
        </w:tblPrEx>
        <w:trPr>
          <w:cantSplit/>
        </w:trPr>
        <w:tc>
          <w:tcPr>
            <w:tcW w:w="2410" w:type="dxa"/>
          </w:tcPr>
          <w:p w:rsidR="00BD32BB" w:rsidRPr="00C941CD" w:rsidRDefault="00BD32BB" w:rsidP="00C3586E">
            <w:pPr>
              <w:pStyle w:val="TableBodyText"/>
              <w:jc w:val="left"/>
            </w:pPr>
            <w:r w:rsidRPr="00C941CD">
              <w:rPr>
                <w:b/>
              </w:rPr>
              <w:t>Indigenous</w:t>
            </w:r>
            <w:r>
              <w:rPr>
                <w:b/>
              </w:rPr>
              <w:t xml:space="preserve"> </w:t>
            </w:r>
            <w:r w:rsidR="006400F1">
              <w:rPr>
                <w:b/>
              </w:rPr>
              <w:t>c</w:t>
            </w:r>
            <w:r>
              <w:rPr>
                <w:b/>
              </w:rPr>
              <w:t>hildren</w:t>
            </w:r>
            <w:r w:rsidRPr="00C941CD">
              <w:rPr>
                <w:b/>
              </w:rPr>
              <w:t xml:space="preserve"> </w:t>
            </w:r>
          </w:p>
        </w:tc>
        <w:tc>
          <w:tcPr>
            <w:tcW w:w="6379" w:type="dxa"/>
          </w:tcPr>
          <w:p w:rsidR="00BD32BB" w:rsidRPr="00C941CD" w:rsidRDefault="001D52DC" w:rsidP="00C3586E">
            <w:pPr>
              <w:pStyle w:val="TableBodyText"/>
              <w:ind w:left="-108"/>
              <w:jc w:val="left"/>
            </w:pPr>
            <w:r w:rsidRPr="000D50CA">
              <w:t xml:space="preserve">Children of </w:t>
            </w:r>
            <w:r w:rsidRPr="00FB6065">
              <w:t xml:space="preserve">Aboriginal or Torres Strait </w:t>
            </w:r>
            <w:r w:rsidRPr="00221588">
              <w:t xml:space="preserve">Islander origin who </w:t>
            </w:r>
            <w:proofErr w:type="spellStart"/>
            <w:r>
              <w:t>self identify</w:t>
            </w:r>
            <w:proofErr w:type="spellEnd"/>
            <w:r>
              <w:t xml:space="preserve"> or </w:t>
            </w:r>
            <w:r w:rsidRPr="00221588">
              <w:t>are identified by a parent</w:t>
            </w:r>
            <w:r>
              <w:t xml:space="preserve"> or guardian</w:t>
            </w:r>
            <w:r w:rsidRPr="00221588">
              <w:t xml:space="preserve"> </w:t>
            </w:r>
            <w:r>
              <w:t>to be</w:t>
            </w:r>
            <w:r w:rsidRPr="00221588">
              <w:t xml:space="preserve"> </w:t>
            </w:r>
            <w:r>
              <w:t xml:space="preserve">of </w:t>
            </w:r>
            <w:r w:rsidRPr="00221588">
              <w:t>Aboriginal or Torres St</w:t>
            </w:r>
            <w:r w:rsidRPr="00FB6065">
              <w:t>rait islander</w:t>
            </w:r>
            <w:r>
              <w:t xml:space="preserve"> origin.</w:t>
            </w:r>
          </w:p>
        </w:tc>
      </w:tr>
      <w:tr w:rsidR="00BD32BB" w:rsidRPr="00CC376D" w:rsidTr="00BD32BB">
        <w:tblPrEx>
          <w:tblCellMar>
            <w:left w:w="108" w:type="dxa"/>
            <w:right w:w="108" w:type="dxa"/>
          </w:tblCellMar>
        </w:tblPrEx>
        <w:trPr>
          <w:cantSplit/>
        </w:trPr>
        <w:tc>
          <w:tcPr>
            <w:tcW w:w="2410" w:type="dxa"/>
          </w:tcPr>
          <w:p w:rsidR="00BD32BB" w:rsidRPr="00C941CD" w:rsidRDefault="00BD32BB" w:rsidP="00C3586E">
            <w:pPr>
              <w:pStyle w:val="TableBodyText"/>
              <w:jc w:val="left"/>
            </w:pPr>
            <w:r w:rsidRPr="00C941CD">
              <w:rPr>
                <w:b/>
              </w:rPr>
              <w:t xml:space="preserve">Informal child </w:t>
            </w:r>
            <w:r w:rsidRPr="00C941CD">
              <w:rPr>
                <w:b/>
              </w:rPr>
              <w:br/>
              <w:t>care</w:t>
            </w:r>
          </w:p>
        </w:tc>
        <w:tc>
          <w:tcPr>
            <w:tcW w:w="6379" w:type="dxa"/>
          </w:tcPr>
          <w:p w:rsidR="00BD32BB" w:rsidRPr="00C941CD" w:rsidRDefault="000C55D0" w:rsidP="00C3586E">
            <w:pPr>
              <w:pStyle w:val="TableBodyText"/>
              <w:ind w:left="-108"/>
              <w:jc w:val="left"/>
            </w:pPr>
            <w:r w:rsidRPr="00C941CD">
              <w:t xml:space="preserve">Child care arrangements provided privately (for example, by friends, relatives, nannies) for which no government assistance (other than </w:t>
            </w:r>
            <w:r>
              <w:t xml:space="preserve">the minimum rate of </w:t>
            </w:r>
            <w:proofErr w:type="spellStart"/>
            <w:r w:rsidRPr="00C941CD">
              <w:t>C</w:t>
            </w:r>
            <w:r w:rsidR="006B2DE3">
              <w:t>CB</w:t>
            </w:r>
            <w:proofErr w:type="spellEnd"/>
            <w:r>
              <w:t xml:space="preserve"> for Registered Care</w:t>
            </w:r>
            <w:r w:rsidRPr="00C941CD">
              <w:t xml:space="preserve">) is provided. Such care is unregulated in most </w:t>
            </w:r>
            <w:r>
              <w:t>states and territories.</w:t>
            </w:r>
          </w:p>
        </w:tc>
      </w:tr>
      <w:tr w:rsidR="00BD32BB" w:rsidRPr="00CC376D" w:rsidTr="00BD32BB">
        <w:tblPrEx>
          <w:tblCellMar>
            <w:left w:w="108" w:type="dxa"/>
            <w:right w:w="108" w:type="dxa"/>
          </w:tblCellMar>
        </w:tblPrEx>
        <w:trPr>
          <w:cantSplit/>
        </w:trPr>
        <w:tc>
          <w:tcPr>
            <w:tcW w:w="2410" w:type="dxa"/>
          </w:tcPr>
          <w:p w:rsidR="00BD32BB" w:rsidRPr="00C941CD" w:rsidRDefault="00BD32BB" w:rsidP="00C3586E">
            <w:pPr>
              <w:pStyle w:val="TableBodyText"/>
              <w:jc w:val="left"/>
            </w:pPr>
            <w:r w:rsidRPr="00C941CD">
              <w:rPr>
                <w:b/>
              </w:rPr>
              <w:t>In</w:t>
            </w:r>
            <w:r w:rsidR="00172534">
              <w:rPr>
                <w:b/>
              </w:rPr>
              <w:noBreakHyphen/>
            </w:r>
            <w:r w:rsidRPr="00C941CD">
              <w:rPr>
                <w:b/>
              </w:rPr>
              <w:t>home care</w:t>
            </w:r>
          </w:p>
        </w:tc>
        <w:tc>
          <w:tcPr>
            <w:tcW w:w="6379" w:type="dxa"/>
          </w:tcPr>
          <w:p w:rsidR="00BD32BB" w:rsidRPr="00C941CD" w:rsidRDefault="000C55D0" w:rsidP="00C3586E">
            <w:pPr>
              <w:pStyle w:val="TableBodyText"/>
              <w:ind w:left="-108"/>
              <w:jc w:val="left"/>
            </w:pPr>
            <w:r w:rsidRPr="00C941CD">
              <w:t>Care provided by an approved carer in the child’s home. Families eligible for in</w:t>
            </w:r>
            <w:r w:rsidR="00172534">
              <w:noBreakHyphen/>
            </w:r>
            <w:r w:rsidRPr="00C941CD">
              <w:t>home care include those where the parent(s) or child has an illness/disability, those in regional or remote areas, those where the parents are working shift work or non</w:t>
            </w:r>
            <w:r w:rsidR="00172534">
              <w:noBreakHyphen/>
            </w:r>
            <w:r w:rsidRPr="00C941CD">
              <w:t>standard hours, those with multiple births (more than two) and/or more than two children under school age, and those with a breastfeeding mother working from home.</w:t>
            </w:r>
          </w:p>
        </w:tc>
      </w:tr>
      <w:tr w:rsidR="000C55D0" w:rsidRPr="00CC376D" w:rsidTr="00BD32BB">
        <w:tblPrEx>
          <w:tblCellMar>
            <w:left w:w="108" w:type="dxa"/>
            <w:right w:w="108" w:type="dxa"/>
          </w:tblCellMar>
        </w:tblPrEx>
        <w:trPr>
          <w:cantSplit/>
        </w:trPr>
        <w:tc>
          <w:tcPr>
            <w:tcW w:w="2410" w:type="dxa"/>
          </w:tcPr>
          <w:p w:rsidR="000C55D0" w:rsidRPr="00C941CD" w:rsidRDefault="000C55D0" w:rsidP="00C3586E">
            <w:pPr>
              <w:pStyle w:val="TableBodyText"/>
              <w:jc w:val="left"/>
            </w:pPr>
            <w:r w:rsidRPr="00C941CD">
              <w:rPr>
                <w:b/>
              </w:rPr>
              <w:t>In</w:t>
            </w:r>
            <w:r w:rsidR="00172534">
              <w:rPr>
                <w:b/>
              </w:rPr>
              <w:noBreakHyphen/>
            </w:r>
            <w:r w:rsidRPr="00C941CD">
              <w:rPr>
                <w:b/>
              </w:rPr>
              <w:t>service training</w:t>
            </w:r>
          </w:p>
        </w:tc>
        <w:tc>
          <w:tcPr>
            <w:tcW w:w="6379" w:type="dxa"/>
          </w:tcPr>
          <w:p w:rsidR="000C55D0" w:rsidRDefault="000C55D0" w:rsidP="00C3586E">
            <w:pPr>
              <w:pStyle w:val="TableBodyText"/>
              <w:ind w:left="-108"/>
              <w:jc w:val="left"/>
            </w:pPr>
            <w:r w:rsidRPr="000D50CA">
              <w:t xml:space="preserve">Formal training only (that is, structured training sessions that </w:t>
            </w:r>
            <w:r w:rsidR="00922771">
              <w:t>can</w:t>
            </w:r>
            <w:r w:rsidRPr="000D50CA">
              <w:t xml:space="preserve"> be conducted in</w:t>
            </w:r>
            <w:r w:rsidR="00172534">
              <w:noBreakHyphen/>
            </w:r>
            <w:r w:rsidRPr="000D50CA">
              <w:t>house or externally), including training in work or own time but not training towards qualifications included in obtaining formal qualifications. It includes:</w:t>
            </w:r>
          </w:p>
          <w:p w:rsidR="000C55D0" w:rsidRPr="000C55D0" w:rsidRDefault="000C55D0" w:rsidP="00C3586E">
            <w:pPr>
              <w:pStyle w:val="TableBullet"/>
            </w:pPr>
            <w:r w:rsidRPr="000C55D0">
              <w:t>management or financial training</w:t>
            </w:r>
          </w:p>
          <w:p w:rsidR="000C55D0" w:rsidRPr="000C55D0" w:rsidRDefault="000C55D0" w:rsidP="00C3586E">
            <w:pPr>
              <w:pStyle w:val="TableBullet"/>
            </w:pPr>
            <w:r w:rsidRPr="000C55D0">
              <w:t xml:space="preserve">training for additional needs children (such as children </w:t>
            </w:r>
            <w:r w:rsidR="00D51DEF">
              <w:t>with disability</w:t>
            </w:r>
            <w:r w:rsidRPr="000C55D0">
              <w:t xml:space="preserve">, Aboriginal or Torres Strait Islander children and children from a culturally diverse background </w:t>
            </w:r>
          </w:p>
          <w:p w:rsidR="000C55D0" w:rsidRPr="000C55D0" w:rsidRDefault="000C55D0" w:rsidP="00C3586E">
            <w:pPr>
              <w:pStyle w:val="TableBullet"/>
            </w:pPr>
            <w:r w:rsidRPr="000C55D0">
              <w:t>other child care</w:t>
            </w:r>
            <w:r w:rsidR="00172534">
              <w:noBreakHyphen/>
            </w:r>
            <w:r w:rsidRPr="000C55D0">
              <w:t>related training</w:t>
            </w:r>
          </w:p>
          <w:p w:rsidR="000C55D0" w:rsidRPr="000D50CA" w:rsidRDefault="000C55D0" w:rsidP="00C3586E">
            <w:pPr>
              <w:pStyle w:val="TableBullet"/>
            </w:pPr>
            <w:r w:rsidRPr="000C55D0">
              <w:t>other relevant courses (such as a first aid certificate).</w:t>
            </w:r>
          </w:p>
        </w:tc>
      </w:tr>
      <w:tr w:rsidR="000C55D0" w:rsidRPr="00CC376D" w:rsidTr="00BD32BB">
        <w:tblPrEx>
          <w:tblCellMar>
            <w:left w:w="108" w:type="dxa"/>
            <w:right w:w="108" w:type="dxa"/>
          </w:tblCellMar>
        </w:tblPrEx>
        <w:trPr>
          <w:cantSplit/>
        </w:trPr>
        <w:tc>
          <w:tcPr>
            <w:tcW w:w="2410" w:type="dxa"/>
          </w:tcPr>
          <w:p w:rsidR="000C55D0" w:rsidRPr="00C941CD" w:rsidRDefault="000C55D0" w:rsidP="00C3586E">
            <w:pPr>
              <w:pStyle w:val="TableBodyText"/>
              <w:jc w:val="left"/>
            </w:pPr>
            <w:r w:rsidRPr="00C941CD">
              <w:rPr>
                <w:b/>
              </w:rPr>
              <w:t>Licensed services</w:t>
            </w:r>
          </w:p>
        </w:tc>
        <w:tc>
          <w:tcPr>
            <w:tcW w:w="6379" w:type="dxa"/>
          </w:tcPr>
          <w:p w:rsidR="000C55D0" w:rsidRPr="000D50CA" w:rsidRDefault="000C55D0" w:rsidP="00C3586E">
            <w:pPr>
              <w:pStyle w:val="TableBodyText"/>
              <w:ind w:left="-108"/>
              <w:jc w:val="left"/>
            </w:pPr>
            <w:r w:rsidRPr="000D50CA">
              <w:t>Those services that comply with the relevant State or Territory licensing regulations. These regulations cover matters such as the number of children whom the service can care for, safety requirements and the required qualifications of carers.</w:t>
            </w:r>
          </w:p>
        </w:tc>
      </w:tr>
      <w:tr w:rsidR="00BD32BB" w:rsidRPr="00CC376D" w:rsidTr="00BD32BB">
        <w:tblPrEx>
          <w:tblCellMar>
            <w:left w:w="108" w:type="dxa"/>
            <w:right w:w="108" w:type="dxa"/>
          </w:tblCellMar>
        </w:tblPrEx>
        <w:trPr>
          <w:cantSplit/>
        </w:trPr>
        <w:tc>
          <w:tcPr>
            <w:tcW w:w="2410" w:type="dxa"/>
          </w:tcPr>
          <w:p w:rsidR="00BD32BB" w:rsidRPr="00C941CD" w:rsidRDefault="00BD32BB" w:rsidP="00C3586E">
            <w:pPr>
              <w:pStyle w:val="TableBodyText"/>
              <w:jc w:val="left"/>
            </w:pPr>
            <w:r>
              <w:br w:type="page"/>
            </w:r>
            <w:r>
              <w:br w:type="page"/>
            </w:r>
            <w:r>
              <w:rPr>
                <w:b/>
              </w:rPr>
              <w:t>Net capital expenditure</w:t>
            </w:r>
          </w:p>
        </w:tc>
        <w:tc>
          <w:tcPr>
            <w:tcW w:w="6379" w:type="dxa"/>
          </w:tcPr>
          <w:p w:rsidR="00BD32BB" w:rsidRPr="00C941CD" w:rsidRDefault="000C55D0" w:rsidP="00C3586E">
            <w:pPr>
              <w:pStyle w:val="TableBodyText"/>
              <w:ind w:left="-108"/>
              <w:jc w:val="left"/>
            </w:pPr>
            <w:r>
              <w:t>Expenditure on the acquisition or enhancement of fixed assets, less trade</w:t>
            </w:r>
            <w:r w:rsidR="00172534">
              <w:noBreakHyphen/>
            </w:r>
            <w:r>
              <w:t>in values and/or receipts from the sale of replaced or otherwise disposed of items. Capital expenditure does not include expenditure on fixed assets which fall below threshold capitalisation levels, depreciation or costs associated with maintaining, renting or leasing equipment.</w:t>
            </w:r>
          </w:p>
        </w:tc>
      </w:tr>
      <w:tr w:rsidR="00BD32BB" w:rsidRPr="00CC376D" w:rsidTr="00281719">
        <w:trPr>
          <w:cantSplit/>
        </w:trPr>
        <w:tc>
          <w:tcPr>
            <w:tcW w:w="2410" w:type="dxa"/>
          </w:tcPr>
          <w:p w:rsidR="00BD32BB" w:rsidRPr="00C941CD" w:rsidRDefault="00BD32BB" w:rsidP="00C3586E">
            <w:pPr>
              <w:pStyle w:val="TableBodyText"/>
              <w:jc w:val="left"/>
            </w:pPr>
            <w:r>
              <w:lastRenderedPageBreak/>
              <w:br w:type="page"/>
            </w:r>
            <w:r>
              <w:br w:type="page"/>
            </w:r>
            <w:r w:rsidRPr="00C941CD">
              <w:rPr>
                <w:b/>
              </w:rPr>
              <w:t>Non</w:t>
            </w:r>
            <w:r w:rsidR="00172534">
              <w:rPr>
                <w:b/>
              </w:rPr>
              <w:noBreakHyphen/>
            </w:r>
            <w:r w:rsidRPr="00C941CD">
              <w:rPr>
                <w:b/>
              </w:rPr>
              <w:t xml:space="preserve">standard </w:t>
            </w:r>
            <w:r>
              <w:rPr>
                <w:b/>
              </w:rPr>
              <w:br/>
            </w:r>
            <w:r w:rsidRPr="00C941CD">
              <w:rPr>
                <w:b/>
              </w:rPr>
              <w:t>hours of care</w:t>
            </w:r>
          </w:p>
        </w:tc>
        <w:tc>
          <w:tcPr>
            <w:tcW w:w="6379" w:type="dxa"/>
          </w:tcPr>
          <w:p w:rsidR="000C55D0" w:rsidRPr="000C55D0" w:rsidRDefault="000C55D0" w:rsidP="00C3586E">
            <w:pPr>
              <w:pStyle w:val="TableBodyText"/>
              <w:jc w:val="left"/>
            </w:pPr>
            <w:r w:rsidRPr="000C55D0">
              <w:t>Defined by service model as:</w:t>
            </w:r>
          </w:p>
          <w:p w:rsidR="000C55D0" w:rsidRPr="000C55D0" w:rsidRDefault="000C55D0" w:rsidP="00C3586E">
            <w:pPr>
              <w:pStyle w:val="TableBullet"/>
            </w:pPr>
            <w:r w:rsidRPr="000C55D0">
              <w:t>centre</w:t>
            </w:r>
            <w:r w:rsidR="00172534">
              <w:noBreakHyphen/>
            </w:r>
            <w:r w:rsidRPr="000C55D0">
              <w:t>based long day care — providers of service for more than 10 hours per day on Monday to Friday and/or service on weekends</w:t>
            </w:r>
          </w:p>
          <w:p w:rsidR="000C55D0" w:rsidRPr="000C55D0" w:rsidRDefault="000C55D0" w:rsidP="00C3586E">
            <w:pPr>
              <w:pStyle w:val="TableBullet"/>
            </w:pPr>
            <w:r w:rsidRPr="000C55D0">
              <w:t>preschool — providers of service for more th</w:t>
            </w:r>
            <w:r w:rsidR="00562B2B">
              <w:t>an six hours per day, for stand</w:t>
            </w:r>
            <w:r w:rsidR="00172534">
              <w:noBreakHyphen/>
            </w:r>
            <w:r w:rsidRPr="000C55D0">
              <w:t>alone preschools only</w:t>
            </w:r>
          </w:p>
          <w:p w:rsidR="00B52530" w:rsidRDefault="000C55D0" w:rsidP="00C3586E">
            <w:pPr>
              <w:pStyle w:val="TableBullet"/>
            </w:pPr>
            <w:r w:rsidRPr="000C55D0">
              <w:t>family day care — providers of service for more than 50 hours per week and/or service overnight and/or on weekends</w:t>
            </w:r>
          </w:p>
          <w:p w:rsidR="000C55D0" w:rsidRPr="000C55D0" w:rsidRDefault="000C55D0" w:rsidP="00C3586E">
            <w:pPr>
              <w:pStyle w:val="TableBullet"/>
            </w:pPr>
            <w:r w:rsidRPr="000C55D0">
              <w:t xml:space="preserve">outside school hours care: </w:t>
            </w:r>
          </w:p>
          <w:p w:rsidR="000C55D0" w:rsidRPr="000C55D0" w:rsidRDefault="000C55D0" w:rsidP="00C3586E">
            <w:pPr>
              <w:pStyle w:val="TableBullet"/>
              <w:numPr>
                <w:ilvl w:val="0"/>
                <w:numId w:val="12"/>
              </w:numPr>
              <w:tabs>
                <w:tab w:val="clear" w:pos="624"/>
              </w:tabs>
              <w:ind w:left="571" w:hanging="231"/>
            </w:pPr>
            <w:r w:rsidRPr="000C55D0">
              <w:t>before/after school care (providers of service for more than two hours before school and three hours after school)</w:t>
            </w:r>
          </w:p>
          <w:p w:rsidR="00B150C0" w:rsidRPr="000C55D0" w:rsidRDefault="00B150C0" w:rsidP="00C3586E">
            <w:pPr>
              <w:pStyle w:val="TableBullet"/>
            </w:pPr>
            <w:r w:rsidRPr="000C55D0">
              <w:t>vacation care (providers of service for more than 10 hours per day</w:t>
            </w:r>
            <w:r w:rsidR="004E5632">
              <w:t>)</w:t>
            </w:r>
          </w:p>
          <w:p w:rsidR="000C55D0" w:rsidRPr="000C55D0" w:rsidRDefault="000C55D0" w:rsidP="00C3586E">
            <w:pPr>
              <w:pStyle w:val="TableBullet"/>
            </w:pPr>
            <w:r w:rsidRPr="000C55D0">
              <w:t>occasional care — providers of service for more than eight hours per day</w:t>
            </w:r>
          </w:p>
          <w:p w:rsidR="00BD32BB" w:rsidRPr="00C941CD" w:rsidRDefault="000C55D0" w:rsidP="00C3586E">
            <w:pPr>
              <w:pStyle w:val="TableBullet"/>
            </w:pPr>
            <w:r w:rsidRPr="000C55D0">
              <w:t>other — providers of service</w:t>
            </w:r>
            <w:r w:rsidRPr="00C74C44">
              <w:t xml:space="preserve"> for more than 10 hours per day.</w:t>
            </w:r>
          </w:p>
        </w:tc>
      </w:tr>
      <w:tr w:rsidR="00BD32BB" w:rsidRPr="00CC376D" w:rsidTr="00281719">
        <w:trPr>
          <w:cantSplit/>
        </w:trPr>
        <w:tc>
          <w:tcPr>
            <w:tcW w:w="2410" w:type="dxa"/>
          </w:tcPr>
          <w:p w:rsidR="00BD32BB" w:rsidRPr="00C941CD" w:rsidRDefault="00BD32BB" w:rsidP="00C3586E">
            <w:pPr>
              <w:pStyle w:val="TableBodyText"/>
              <w:jc w:val="left"/>
            </w:pPr>
            <w:r w:rsidRPr="00C941CD">
              <w:rPr>
                <w:b/>
              </w:rPr>
              <w:t>Occasional care</w:t>
            </w:r>
          </w:p>
        </w:tc>
        <w:tc>
          <w:tcPr>
            <w:tcW w:w="6379" w:type="dxa"/>
          </w:tcPr>
          <w:p w:rsidR="00BD32BB" w:rsidRPr="00C941CD" w:rsidRDefault="00865DB3" w:rsidP="00281719">
            <w:pPr>
              <w:pStyle w:val="TableBodyText"/>
              <w:jc w:val="left"/>
            </w:pPr>
            <w:r>
              <w:t>C</w:t>
            </w:r>
            <w:r w:rsidRPr="00342A4D">
              <w:t>omprises services usually provided at a centre on an hourly or sessional basis for short periods or at irregular intervals for parents who need time to attend appointments, take care of personal matters, undertake casual and part time employment, study or have temporary respite from full time parenting. These services provide developmental activities for children</w:t>
            </w:r>
            <w:r>
              <w:t>,</w:t>
            </w:r>
            <w:r w:rsidRPr="00342A4D">
              <w:t xml:space="preserve"> and are aimed </w:t>
            </w:r>
            <w:r>
              <w:t xml:space="preserve">primarily </w:t>
            </w:r>
            <w:r w:rsidRPr="00342A4D">
              <w:t>at</w:t>
            </w:r>
            <w:r>
              <w:t xml:space="preserve"> </w:t>
            </w:r>
            <w:r w:rsidRPr="00342A4D">
              <w:t>0</w:t>
            </w:r>
            <w:r w:rsidR="006B2DE3">
              <w:t>–</w:t>
            </w:r>
            <w:r w:rsidRPr="00342A4D">
              <w:t>5 year</w:t>
            </w:r>
            <w:r>
              <w:t xml:space="preserve"> olds</w:t>
            </w:r>
            <w:r w:rsidRPr="00342A4D">
              <w:t>. Centres providing these services usually employ a mix of qualified and other staff.</w:t>
            </w:r>
          </w:p>
        </w:tc>
      </w:tr>
      <w:tr w:rsidR="00BD32BB" w:rsidRPr="00CC376D" w:rsidTr="00BD32BB">
        <w:trPr>
          <w:cantSplit/>
        </w:trPr>
        <w:tc>
          <w:tcPr>
            <w:tcW w:w="2410" w:type="dxa"/>
          </w:tcPr>
          <w:p w:rsidR="00BD32BB" w:rsidRPr="00C941CD" w:rsidRDefault="00BD32BB" w:rsidP="00C3586E">
            <w:pPr>
              <w:pStyle w:val="TableBodyText"/>
              <w:jc w:val="left"/>
            </w:pPr>
            <w:r w:rsidRPr="00C941CD">
              <w:rPr>
                <w:b/>
              </w:rPr>
              <w:t>Other expenditure on service provision</w:t>
            </w:r>
          </w:p>
        </w:tc>
        <w:tc>
          <w:tcPr>
            <w:tcW w:w="6379" w:type="dxa"/>
          </w:tcPr>
          <w:p w:rsidR="00BD32BB" w:rsidRPr="00C941CD" w:rsidRDefault="001F0FAA" w:rsidP="00C3586E">
            <w:pPr>
              <w:pStyle w:val="TableBodyText"/>
              <w:jc w:val="left"/>
            </w:pPr>
            <w:r>
              <w:t>Expenditure on service provision includes all recurrent expenditure on government funded and/or provided child care and preschool services except administration and financial support to families. It includes one</w:t>
            </w:r>
            <w:r w:rsidR="00172534">
              <w:noBreakHyphen/>
            </w:r>
            <w:r>
              <w:t>off, non</w:t>
            </w:r>
            <w:r w:rsidR="00172534">
              <w:noBreakHyphen/>
            </w:r>
            <w:r>
              <w:t>capital payments to peak agencies that support child care and preschool service providers.</w:t>
            </w:r>
          </w:p>
        </w:tc>
      </w:tr>
      <w:tr w:rsidR="00BD32BB" w:rsidRPr="00CC376D" w:rsidTr="00512BD7">
        <w:trPr>
          <w:cantSplit/>
        </w:trPr>
        <w:tc>
          <w:tcPr>
            <w:tcW w:w="2410" w:type="dxa"/>
          </w:tcPr>
          <w:p w:rsidR="00BD32BB" w:rsidRPr="00C941CD" w:rsidRDefault="00BD32BB" w:rsidP="00C3586E">
            <w:pPr>
              <w:pStyle w:val="TableBodyText"/>
              <w:jc w:val="left"/>
            </w:pPr>
            <w:r w:rsidRPr="00C941CD">
              <w:rPr>
                <w:b/>
              </w:rPr>
              <w:t xml:space="preserve">Other </w:t>
            </w:r>
            <w:r>
              <w:rPr>
                <w:b/>
              </w:rPr>
              <w:t>services</w:t>
            </w:r>
          </w:p>
        </w:tc>
        <w:tc>
          <w:tcPr>
            <w:tcW w:w="6379" w:type="dxa"/>
          </w:tcPr>
          <w:p w:rsidR="00BD32BB" w:rsidRPr="00C941CD" w:rsidRDefault="00020BD6" w:rsidP="00C3586E">
            <w:pPr>
              <w:pStyle w:val="TableBodyText"/>
              <w:jc w:val="left"/>
            </w:pPr>
            <w:r>
              <w:t>Comprise government funded services to support children with additional needs or in particular situations (including children from an Indigenous or</w:t>
            </w:r>
            <w:r w:rsidR="00C711A3">
              <w:t xml:space="preserve"> </w:t>
            </w:r>
            <w:proofErr w:type="spellStart"/>
            <w:r w:rsidR="00C711A3">
              <w:t>NESB</w:t>
            </w:r>
            <w:proofErr w:type="spellEnd"/>
            <w:r>
              <w:t>, children with disability or of parents with disability, and children living in regional and remote areas). ‘Other services’ include in</w:t>
            </w:r>
            <w:r w:rsidR="00172534">
              <w:noBreakHyphen/>
            </w:r>
            <w:r>
              <w:t>home care which comprises services where an approved carer provides care in the child’s home.</w:t>
            </w:r>
          </w:p>
        </w:tc>
      </w:tr>
      <w:tr w:rsidR="00DA33A5" w:rsidRPr="00CC376D" w:rsidTr="00281719">
        <w:trPr>
          <w:cantSplit/>
        </w:trPr>
        <w:tc>
          <w:tcPr>
            <w:tcW w:w="2410" w:type="dxa"/>
          </w:tcPr>
          <w:p w:rsidR="00DA33A5" w:rsidRPr="00DA33A5" w:rsidRDefault="00DA33A5" w:rsidP="00C3586E">
            <w:pPr>
              <w:pStyle w:val="TableBodyText"/>
              <w:jc w:val="left"/>
              <w:rPr>
                <w:b/>
                <w:highlight w:val="yellow"/>
              </w:rPr>
            </w:pPr>
            <w:r w:rsidRPr="000D3B58">
              <w:rPr>
                <w:b/>
              </w:rPr>
              <w:t>Other territories</w:t>
            </w:r>
          </w:p>
        </w:tc>
        <w:tc>
          <w:tcPr>
            <w:tcW w:w="6379" w:type="dxa"/>
          </w:tcPr>
          <w:p w:rsidR="00DA33A5" w:rsidRPr="000D3B58" w:rsidRDefault="000D3B58" w:rsidP="00C3586E">
            <w:pPr>
              <w:pStyle w:val="TableBodyText"/>
              <w:jc w:val="left"/>
              <w:rPr>
                <w:highlight w:val="yellow"/>
              </w:rPr>
            </w:pPr>
            <w:r>
              <w:t xml:space="preserve">A separate category for data collections, which includes </w:t>
            </w:r>
            <w:r w:rsidRPr="000D3B58">
              <w:t>Jervis Bay Territory, the Territory of Christmas Island and the Territory of Cocos (Keeling) Islands</w:t>
            </w:r>
            <w:r>
              <w:t xml:space="preserve">. </w:t>
            </w:r>
          </w:p>
        </w:tc>
      </w:tr>
      <w:tr w:rsidR="00BD32BB" w:rsidRPr="00CC376D" w:rsidTr="00281719">
        <w:trPr>
          <w:cantSplit/>
        </w:trPr>
        <w:tc>
          <w:tcPr>
            <w:tcW w:w="2410" w:type="dxa"/>
          </w:tcPr>
          <w:p w:rsidR="00BD32BB" w:rsidRPr="00C941CD" w:rsidRDefault="00BD32BB" w:rsidP="00C3586E">
            <w:pPr>
              <w:pStyle w:val="TableBodyText"/>
              <w:jc w:val="left"/>
            </w:pPr>
            <w:r w:rsidRPr="00C941CD">
              <w:rPr>
                <w:b/>
              </w:rPr>
              <w:t xml:space="preserve">Outside school </w:t>
            </w:r>
            <w:r>
              <w:rPr>
                <w:b/>
              </w:rPr>
              <w:br/>
            </w:r>
            <w:r w:rsidRPr="00C941CD">
              <w:rPr>
                <w:b/>
              </w:rPr>
              <w:t>hours care</w:t>
            </w:r>
          </w:p>
        </w:tc>
        <w:tc>
          <w:tcPr>
            <w:tcW w:w="6379" w:type="dxa"/>
          </w:tcPr>
          <w:p w:rsidR="00BD32BB" w:rsidRPr="00C941CD" w:rsidRDefault="00A9264F" w:rsidP="00281719">
            <w:pPr>
              <w:pStyle w:val="TableBodyText"/>
              <w:jc w:val="left"/>
            </w:pPr>
            <w:r>
              <w:t>Comprises services that provide care for school aged children before school, after school, during school holidays, and on pupil free days. Outside school hours care may use stand</w:t>
            </w:r>
            <w:r w:rsidR="00172534">
              <w:noBreakHyphen/>
            </w:r>
            <w:r>
              <w:t>alone facilities, share school buildings and grounds and/or share facilities such as community halls.</w:t>
            </w:r>
          </w:p>
        </w:tc>
      </w:tr>
      <w:tr w:rsidR="00BD32BB" w:rsidRPr="00CC376D" w:rsidTr="00281719">
        <w:trPr>
          <w:cantSplit/>
        </w:trPr>
        <w:tc>
          <w:tcPr>
            <w:tcW w:w="2410" w:type="dxa"/>
          </w:tcPr>
          <w:p w:rsidR="00BD32BB" w:rsidRPr="00C941CD" w:rsidRDefault="00A87FE3" w:rsidP="00C3586E">
            <w:pPr>
              <w:pStyle w:val="TableBodyText"/>
              <w:jc w:val="left"/>
            </w:pPr>
            <w:r>
              <w:rPr>
                <w:b/>
              </w:rPr>
              <w:t>Preschool services</w:t>
            </w:r>
          </w:p>
        </w:tc>
        <w:tc>
          <w:tcPr>
            <w:tcW w:w="6379" w:type="dxa"/>
          </w:tcPr>
          <w:p w:rsidR="00BD32BB" w:rsidRPr="00C941CD" w:rsidRDefault="00A9264F" w:rsidP="00281719">
            <w:pPr>
              <w:pStyle w:val="TableBodyText"/>
              <w:jc w:val="left"/>
            </w:pPr>
            <w:r>
              <w:t>C</w:t>
            </w:r>
            <w:r w:rsidRPr="00342A4D">
              <w:t xml:space="preserve">omprises services </w:t>
            </w:r>
            <w:r>
              <w:t xml:space="preserve">that deliver </w:t>
            </w:r>
            <w:r w:rsidRPr="003D309A">
              <w:t>early childhood education programs provided by a qualified teacher that are</w:t>
            </w:r>
            <w:r>
              <w:t xml:space="preserve"> </w:t>
            </w:r>
            <w:r w:rsidRPr="003D309A">
              <w:t>aimed at children in the year</w:t>
            </w:r>
            <w:r w:rsidR="000F0206">
              <w:t xml:space="preserve"> </w:t>
            </w:r>
            <w:r w:rsidR="000F0206" w:rsidRPr="00990A6E">
              <w:t>or two</w:t>
            </w:r>
            <w:r w:rsidRPr="00990A6E">
              <w:t xml:space="preserve"> before </w:t>
            </w:r>
            <w:r w:rsidRPr="003D309A">
              <w:t>they commence full time schooling, although</w:t>
            </w:r>
            <w:r>
              <w:t xml:space="preserve"> different starting ages occur across jurisdictions.</w:t>
            </w:r>
          </w:p>
        </w:tc>
      </w:tr>
      <w:tr w:rsidR="00BD32BB" w:rsidRPr="00CC376D" w:rsidTr="00BD32BB">
        <w:trPr>
          <w:cantSplit/>
        </w:trPr>
        <w:tc>
          <w:tcPr>
            <w:tcW w:w="2410" w:type="dxa"/>
          </w:tcPr>
          <w:p w:rsidR="00BD32BB" w:rsidRPr="00C941CD" w:rsidRDefault="00BD32BB" w:rsidP="00C3586E">
            <w:pPr>
              <w:pStyle w:val="TableBodyText"/>
              <w:jc w:val="left"/>
            </w:pPr>
            <w:r w:rsidRPr="00C941CD">
              <w:rPr>
                <w:b/>
              </w:rPr>
              <w:t xml:space="preserve">Primary </w:t>
            </w:r>
            <w:r>
              <w:rPr>
                <w:b/>
              </w:rPr>
              <w:br/>
            </w:r>
            <w:r w:rsidRPr="00C941CD">
              <w:rPr>
                <w:b/>
              </w:rPr>
              <w:t>contact staff</w:t>
            </w:r>
          </w:p>
        </w:tc>
        <w:tc>
          <w:tcPr>
            <w:tcW w:w="6379" w:type="dxa"/>
          </w:tcPr>
          <w:p w:rsidR="00BD32BB" w:rsidRPr="00C941CD" w:rsidRDefault="00B34B65" w:rsidP="00C3586E">
            <w:pPr>
              <w:pStyle w:val="TableBodyText"/>
              <w:jc w:val="left"/>
            </w:pPr>
            <w:r w:rsidRPr="006710D8">
              <w:t xml:space="preserve">Staff whose primary function is to </w:t>
            </w:r>
            <w:r w:rsidRPr="00ED72F2">
              <w:t>provide child care</w:t>
            </w:r>
            <w:r w:rsidRPr="006710D8">
              <w:t xml:space="preserve"> and/or preschool services to children.</w:t>
            </w:r>
          </w:p>
        </w:tc>
      </w:tr>
      <w:tr w:rsidR="003541F7" w:rsidRPr="00CC376D" w:rsidTr="00BD32BB">
        <w:trPr>
          <w:cantSplit/>
        </w:trPr>
        <w:tc>
          <w:tcPr>
            <w:tcW w:w="2410" w:type="dxa"/>
          </w:tcPr>
          <w:p w:rsidR="003541F7" w:rsidRPr="00C941CD" w:rsidRDefault="003541F7" w:rsidP="00C3586E">
            <w:pPr>
              <w:pStyle w:val="TableBodyText"/>
              <w:jc w:val="left"/>
              <w:rPr>
                <w:b/>
              </w:rPr>
            </w:pPr>
            <w:r>
              <w:rPr>
                <w:b/>
              </w:rPr>
              <w:lastRenderedPageBreak/>
              <w:t>Priority of access</w:t>
            </w:r>
          </w:p>
        </w:tc>
        <w:tc>
          <w:tcPr>
            <w:tcW w:w="6379" w:type="dxa"/>
          </w:tcPr>
          <w:p w:rsidR="003541F7" w:rsidRDefault="003541F7" w:rsidP="00C3586E">
            <w:pPr>
              <w:pStyle w:val="TableBodyText"/>
              <w:jc w:val="left"/>
            </w:pPr>
            <w:r w:rsidRPr="003541F7">
              <w:t>The Australian Government funds child care with a major purpose of meeting the child care needs of Australian families. However, the demand for child care sometimes exceeds supply in some l</w:t>
            </w:r>
            <w:r w:rsidR="004330D0">
              <w:t>ocations. When this happens, it i</w:t>
            </w:r>
            <w:r w:rsidRPr="003541F7">
              <w:t>s important for services to allocate available places to those families with the greatest need for child care support.</w:t>
            </w:r>
          </w:p>
          <w:p w:rsidR="003541F7" w:rsidRDefault="003541F7" w:rsidP="00C3586E">
            <w:pPr>
              <w:pStyle w:val="TableBodyText"/>
              <w:jc w:val="left"/>
            </w:pPr>
            <w:r w:rsidRPr="003541F7">
              <w:t>The Government has determined Guidelines for allocating places in these circumstances. These Guidelines apply to centre based long day care, in</w:t>
            </w:r>
            <w:r w:rsidR="00172534">
              <w:noBreakHyphen/>
            </w:r>
            <w:r w:rsidRPr="003541F7">
              <w:t>home care, family day care and outside school hours care services. They set out the following three levels of priority, which child care services must follow when filling vacant places:</w:t>
            </w:r>
          </w:p>
          <w:p w:rsidR="003541F7" w:rsidRDefault="003541F7" w:rsidP="00C3586E">
            <w:pPr>
              <w:pStyle w:val="TableBullet"/>
            </w:pPr>
            <w:r>
              <w:t>priority 1: a child at risk of serious abuse or neglect</w:t>
            </w:r>
          </w:p>
          <w:p w:rsidR="003541F7" w:rsidRDefault="003541F7" w:rsidP="00C3586E">
            <w:pPr>
              <w:pStyle w:val="TableBullet"/>
            </w:pPr>
            <w:r>
              <w:t>priority 2: a child of a single parent who satisfies, or of parents who both satisfy, the work/training/study test under section</w:t>
            </w:r>
            <w:r w:rsidR="00172534">
              <w:t> </w:t>
            </w:r>
            <w:r>
              <w:t>14 of the Family Assistance Act</w:t>
            </w:r>
          </w:p>
          <w:p w:rsidR="003541F7" w:rsidRDefault="00F06C8A" w:rsidP="00C3586E">
            <w:pPr>
              <w:pStyle w:val="TableBullet"/>
            </w:pPr>
            <w:r>
              <w:t>priority</w:t>
            </w:r>
            <w:r w:rsidR="003541F7">
              <w:t xml:space="preserve"> 3: any other child.</w:t>
            </w:r>
          </w:p>
          <w:p w:rsidR="003541F7" w:rsidRDefault="003541F7" w:rsidP="00C3586E">
            <w:pPr>
              <w:pStyle w:val="TableBodyText"/>
              <w:jc w:val="left"/>
            </w:pPr>
            <w:r w:rsidRPr="003541F7">
              <w:t xml:space="preserve">Within these main categories priority should also be given to the following children: </w:t>
            </w:r>
          </w:p>
          <w:p w:rsidR="003541F7" w:rsidRDefault="003541F7" w:rsidP="00C3586E">
            <w:pPr>
              <w:pStyle w:val="TableBullet"/>
            </w:pPr>
            <w:r>
              <w:t>children in Aboriginal and Torres Strait Islander families</w:t>
            </w:r>
          </w:p>
          <w:p w:rsidR="003541F7" w:rsidRDefault="003541F7" w:rsidP="00C3586E">
            <w:pPr>
              <w:pStyle w:val="TableBullet"/>
            </w:pPr>
            <w:r>
              <w:t>children in families which include a disabled person</w:t>
            </w:r>
          </w:p>
          <w:p w:rsidR="003541F7" w:rsidRDefault="003541F7" w:rsidP="00C3586E">
            <w:pPr>
              <w:pStyle w:val="TableBullet"/>
            </w:pPr>
            <w:r>
              <w:t>children in families on lower incomes</w:t>
            </w:r>
          </w:p>
          <w:p w:rsidR="003541F7" w:rsidRDefault="003541F7" w:rsidP="00C3586E">
            <w:pPr>
              <w:pStyle w:val="TableBullet"/>
            </w:pPr>
            <w:r>
              <w:t xml:space="preserve">children in families with </w:t>
            </w:r>
            <w:proofErr w:type="spellStart"/>
            <w:r w:rsidR="00C711A3">
              <w:t>NESB</w:t>
            </w:r>
            <w:proofErr w:type="spellEnd"/>
          </w:p>
          <w:p w:rsidR="003541F7" w:rsidRDefault="003541F7" w:rsidP="00C3586E">
            <w:pPr>
              <w:pStyle w:val="TableBullet"/>
            </w:pPr>
            <w:r>
              <w:t>children in socially isolated families</w:t>
            </w:r>
          </w:p>
          <w:p w:rsidR="003541F7" w:rsidRPr="003541F7" w:rsidRDefault="003541F7" w:rsidP="00C3586E">
            <w:pPr>
              <w:pStyle w:val="TableBullet"/>
            </w:pPr>
            <w:r>
              <w:t>children of single parents.</w:t>
            </w:r>
          </w:p>
        </w:tc>
      </w:tr>
      <w:tr w:rsidR="00BD32BB" w:rsidRPr="00CC376D" w:rsidTr="00BD32BB">
        <w:trPr>
          <w:cantSplit/>
        </w:trPr>
        <w:tc>
          <w:tcPr>
            <w:tcW w:w="2410" w:type="dxa"/>
          </w:tcPr>
          <w:p w:rsidR="00BD32BB" w:rsidRPr="00C941CD" w:rsidRDefault="00BD32BB" w:rsidP="00C3586E">
            <w:pPr>
              <w:pStyle w:val="TableBodyText"/>
              <w:jc w:val="left"/>
            </w:pPr>
            <w:r>
              <w:br w:type="page"/>
            </w:r>
            <w:r>
              <w:br w:type="page"/>
            </w:r>
            <w:r w:rsidRPr="00C941CD">
              <w:rPr>
                <w:b/>
              </w:rPr>
              <w:t>Real expenditure</w:t>
            </w:r>
          </w:p>
        </w:tc>
        <w:tc>
          <w:tcPr>
            <w:tcW w:w="6379" w:type="dxa"/>
          </w:tcPr>
          <w:p w:rsidR="00BD32BB" w:rsidRPr="00C941CD" w:rsidRDefault="00BD32BB" w:rsidP="00C3586E">
            <w:pPr>
              <w:pStyle w:val="TableBodyText"/>
              <w:jc w:val="left"/>
            </w:pPr>
            <w:r w:rsidRPr="00C941CD">
              <w:t>Actual expenditure adjusted for changes in prices. Adj</w:t>
            </w:r>
            <w:r w:rsidR="00F06C8A">
              <w:t xml:space="preserve">ustments were made using the </w:t>
            </w:r>
            <w:proofErr w:type="spellStart"/>
            <w:r w:rsidR="00F06C8A">
              <w:t>GGFCE</w:t>
            </w:r>
            <w:proofErr w:type="spellEnd"/>
            <w:r w:rsidRPr="00C941CD">
              <w:t xml:space="preserve"> price deflator and expressed in terms of final year prices.</w:t>
            </w:r>
          </w:p>
        </w:tc>
      </w:tr>
      <w:tr w:rsidR="00BD32BB" w:rsidRPr="00CC376D" w:rsidTr="00BD32BB">
        <w:trPr>
          <w:cantSplit/>
        </w:trPr>
        <w:tc>
          <w:tcPr>
            <w:tcW w:w="2410" w:type="dxa"/>
          </w:tcPr>
          <w:p w:rsidR="00BD32BB" w:rsidRPr="00C941CD" w:rsidRDefault="00BD32BB" w:rsidP="00C3586E">
            <w:pPr>
              <w:pStyle w:val="TableBodyText"/>
              <w:jc w:val="left"/>
            </w:pPr>
            <w:r w:rsidRPr="00C941CD">
              <w:rPr>
                <w:b/>
              </w:rPr>
              <w:t xml:space="preserve">Recurrent </w:t>
            </w:r>
            <w:r>
              <w:rPr>
                <w:b/>
              </w:rPr>
              <w:br/>
            </w:r>
            <w:r w:rsidRPr="00C941CD">
              <w:rPr>
                <w:b/>
              </w:rPr>
              <w:t>expenditure</w:t>
            </w:r>
          </w:p>
        </w:tc>
        <w:tc>
          <w:tcPr>
            <w:tcW w:w="6379" w:type="dxa"/>
          </w:tcPr>
          <w:p w:rsidR="00BD32BB" w:rsidRPr="00C941CD" w:rsidRDefault="00B34B65" w:rsidP="00C3586E">
            <w:pPr>
              <w:pStyle w:val="TableBodyText"/>
              <w:jc w:val="left"/>
            </w:pPr>
            <w:r w:rsidRPr="00DA393D">
              <w:t>Expenditure that does not result in the creation or acquisition of fixed assets (new or second hand). It consists mainly of expenditure on wages, salaries and supplements, purchases of goods and services, and the consumption of fixed capital (depreciation).</w:t>
            </w:r>
          </w:p>
        </w:tc>
      </w:tr>
      <w:tr w:rsidR="00BD32BB" w:rsidRPr="00CC376D" w:rsidTr="00BD32BB">
        <w:trPr>
          <w:cantSplit/>
        </w:trPr>
        <w:tc>
          <w:tcPr>
            <w:tcW w:w="2410" w:type="dxa"/>
          </w:tcPr>
          <w:p w:rsidR="00BD32BB" w:rsidRPr="00C941CD" w:rsidRDefault="00BD32BB" w:rsidP="00C3586E">
            <w:pPr>
              <w:pStyle w:val="TableBodyText"/>
              <w:jc w:val="left"/>
            </w:pPr>
            <w:r w:rsidRPr="00C941CD">
              <w:rPr>
                <w:b/>
              </w:rPr>
              <w:t xml:space="preserve">Regional and </w:t>
            </w:r>
            <w:r>
              <w:rPr>
                <w:b/>
              </w:rPr>
              <w:br/>
            </w:r>
            <w:r w:rsidRPr="00C941CD">
              <w:rPr>
                <w:b/>
              </w:rPr>
              <w:t>remote areas</w:t>
            </w:r>
          </w:p>
        </w:tc>
        <w:tc>
          <w:tcPr>
            <w:tcW w:w="6379" w:type="dxa"/>
          </w:tcPr>
          <w:p w:rsidR="00BD32BB" w:rsidRPr="00C941CD" w:rsidRDefault="00B34B65" w:rsidP="00C3586E">
            <w:pPr>
              <w:pStyle w:val="TableBodyText"/>
              <w:jc w:val="left"/>
            </w:pPr>
            <w:r w:rsidRPr="00C941CD">
              <w:t>Geographi</w:t>
            </w:r>
            <w:r w:rsidR="006474AC">
              <w:t>c location is based on the ABS’</w:t>
            </w:r>
            <w:r w:rsidRPr="00C941CD">
              <w:t xml:space="preserve"> Australian </w:t>
            </w:r>
            <w:r w:rsidR="006474AC">
              <w:t xml:space="preserve">Statistical Geography Standard </w:t>
            </w:r>
            <w:r w:rsidRPr="00C941CD">
              <w:t xml:space="preserve">of </w:t>
            </w:r>
            <w:r w:rsidR="00E413FB">
              <w:t>remoteness a</w:t>
            </w:r>
            <w:r w:rsidRPr="00C941CD">
              <w:t>reas</w:t>
            </w:r>
            <w:r>
              <w:t>,</w:t>
            </w:r>
            <w:r w:rsidRPr="00C941CD">
              <w:t xml:space="preserve"> which categorises areas as ‘major cities’, ‘inner regional’, ‘outer regional’, ‘remote’, ‘very remote’ and</w:t>
            </w:r>
            <w:r>
              <w:t xml:space="preserve"> ‘migratory’. The criteria for r</w:t>
            </w:r>
            <w:r w:rsidRPr="00C941CD">
              <w:t xml:space="preserve">emoteness </w:t>
            </w:r>
            <w:r>
              <w:t>a</w:t>
            </w:r>
            <w:r w:rsidRPr="00C941CD">
              <w:t>reas are based on the Accessibility/Remoteness Index</w:t>
            </w:r>
            <w:r w:rsidR="00E413FB">
              <w:t xml:space="preserve"> (ARIA+) </w:t>
            </w:r>
            <w:r w:rsidRPr="00C941CD">
              <w:t>of Australia</w:t>
            </w:r>
            <w:r>
              <w:t>,</w:t>
            </w:r>
            <w:r w:rsidRPr="00C941CD">
              <w:t xml:space="preserve"> which measures the remoteness of a point based on the physical road distance to the nearest urban centre in each of five size classes</w:t>
            </w:r>
            <w:r>
              <w:t xml:space="preserve">. </w:t>
            </w:r>
            <w:r>
              <w:br/>
            </w:r>
            <w:r w:rsidRPr="00C941CD">
              <w:t xml:space="preserve">The ‘regional’ classification used in </w:t>
            </w:r>
            <w:r>
              <w:t>the chapter is</w:t>
            </w:r>
            <w:r w:rsidRPr="00C941CD">
              <w:t xml:space="preserve"> derived by adding data for inner regional and outer regional areas. The ‘remote’ classification </w:t>
            </w:r>
            <w:r>
              <w:t>is</w:t>
            </w:r>
            <w:r w:rsidRPr="00C941CD">
              <w:t xml:space="preserve"> derived by adding data for remote, very remote and migratory areas.</w:t>
            </w:r>
          </w:p>
        </w:tc>
      </w:tr>
      <w:tr w:rsidR="00BD32BB" w:rsidRPr="00CC376D" w:rsidTr="00BD32BB">
        <w:trPr>
          <w:cantSplit/>
        </w:trPr>
        <w:tc>
          <w:tcPr>
            <w:tcW w:w="2410" w:type="dxa"/>
          </w:tcPr>
          <w:p w:rsidR="00BD32BB" w:rsidRPr="00C941CD" w:rsidRDefault="00BD32BB" w:rsidP="00C3586E">
            <w:pPr>
              <w:pStyle w:val="TableBodyText"/>
              <w:jc w:val="left"/>
            </w:pPr>
            <w:r w:rsidRPr="00C941CD">
              <w:rPr>
                <w:b/>
              </w:rPr>
              <w:t xml:space="preserve">Service </w:t>
            </w:r>
            <w:r w:rsidR="00E47AF3">
              <w:rPr>
                <w:b/>
              </w:rPr>
              <w:t>model</w:t>
            </w:r>
          </w:p>
        </w:tc>
        <w:tc>
          <w:tcPr>
            <w:tcW w:w="6379" w:type="dxa"/>
          </w:tcPr>
          <w:p w:rsidR="00BD32BB" w:rsidRPr="00C941CD" w:rsidRDefault="00BD32BB" w:rsidP="00C3586E">
            <w:pPr>
              <w:pStyle w:val="TableBodyText"/>
              <w:jc w:val="left"/>
            </w:pPr>
            <w:r w:rsidRPr="00C941CD">
              <w:t xml:space="preserve">The categories for which data were collected, namely: </w:t>
            </w:r>
          </w:p>
          <w:p w:rsidR="00BD32BB" w:rsidRPr="00C941CD" w:rsidRDefault="00BD32BB" w:rsidP="00C3586E">
            <w:pPr>
              <w:pStyle w:val="TableBullet"/>
              <w:tabs>
                <w:tab w:val="clear" w:pos="170"/>
              </w:tabs>
              <w:ind w:left="288" w:hanging="282"/>
            </w:pPr>
            <w:r>
              <w:t>centre</w:t>
            </w:r>
            <w:r w:rsidR="00172534">
              <w:noBreakHyphen/>
            </w:r>
            <w:r>
              <w:t xml:space="preserve">based </w:t>
            </w:r>
            <w:r w:rsidRPr="00C941CD">
              <w:t>long day care</w:t>
            </w:r>
          </w:p>
          <w:p w:rsidR="002833D1" w:rsidRPr="00C941CD" w:rsidRDefault="00BD32BB" w:rsidP="00C3586E">
            <w:pPr>
              <w:pStyle w:val="TableBullet"/>
              <w:tabs>
                <w:tab w:val="clear" w:pos="170"/>
              </w:tabs>
              <w:ind w:left="288" w:hanging="282"/>
            </w:pPr>
            <w:r w:rsidRPr="00C941CD">
              <w:t>family day care</w:t>
            </w:r>
          </w:p>
          <w:p w:rsidR="002833D1" w:rsidRDefault="00BD32BB" w:rsidP="00C3586E">
            <w:pPr>
              <w:pStyle w:val="TableBullet"/>
              <w:tabs>
                <w:tab w:val="clear" w:pos="170"/>
              </w:tabs>
              <w:ind w:left="288" w:hanging="282"/>
            </w:pPr>
            <w:r>
              <w:t xml:space="preserve">outside school hours care </w:t>
            </w:r>
          </w:p>
          <w:p w:rsidR="002833D1" w:rsidRPr="00C941CD" w:rsidRDefault="002833D1" w:rsidP="00C3586E">
            <w:pPr>
              <w:pStyle w:val="TableBullet"/>
              <w:numPr>
                <w:ilvl w:val="0"/>
                <w:numId w:val="12"/>
              </w:numPr>
              <w:tabs>
                <w:tab w:val="clear" w:pos="624"/>
              </w:tabs>
              <w:ind w:left="571" w:hanging="231"/>
            </w:pPr>
            <w:r w:rsidRPr="00C941CD">
              <w:t>before/after school care</w:t>
            </w:r>
          </w:p>
          <w:p w:rsidR="00BD32BB" w:rsidRDefault="00BD32BB" w:rsidP="00C3586E">
            <w:pPr>
              <w:pStyle w:val="TableBullet"/>
              <w:tabs>
                <w:tab w:val="clear" w:pos="170"/>
              </w:tabs>
              <w:ind w:left="288" w:hanging="282"/>
            </w:pPr>
            <w:r w:rsidRPr="00C941CD">
              <w:t>vacation care</w:t>
            </w:r>
          </w:p>
          <w:p w:rsidR="00BD32BB" w:rsidRPr="00C941CD" w:rsidRDefault="00BD32BB" w:rsidP="00C3586E">
            <w:pPr>
              <w:pStyle w:val="TableBullet"/>
              <w:tabs>
                <w:tab w:val="clear" w:pos="170"/>
              </w:tabs>
              <w:ind w:left="288" w:hanging="282"/>
            </w:pPr>
            <w:r w:rsidRPr="00C941CD">
              <w:t>occasional care</w:t>
            </w:r>
          </w:p>
          <w:p w:rsidR="00BD32BB" w:rsidRPr="00C941CD" w:rsidRDefault="006B2DE3" w:rsidP="00C3586E">
            <w:pPr>
              <w:pStyle w:val="TableBullet"/>
              <w:tabs>
                <w:tab w:val="clear" w:pos="170"/>
              </w:tabs>
              <w:ind w:left="288" w:hanging="282"/>
            </w:pPr>
            <w:r>
              <w:t>other</w:t>
            </w:r>
            <w:r w:rsidR="00BD32BB" w:rsidRPr="00C941CD">
              <w:t xml:space="preserve"> care</w:t>
            </w:r>
          </w:p>
          <w:p w:rsidR="00BD32BB" w:rsidRPr="00C941CD" w:rsidRDefault="00BD32BB" w:rsidP="00C3586E">
            <w:pPr>
              <w:pStyle w:val="TableBullet"/>
              <w:tabs>
                <w:tab w:val="clear" w:pos="170"/>
              </w:tabs>
              <w:ind w:left="288" w:hanging="282"/>
            </w:pPr>
            <w:r w:rsidRPr="00C941CD">
              <w:t>preschool services.</w:t>
            </w:r>
          </w:p>
        </w:tc>
      </w:tr>
      <w:tr w:rsidR="00BD32BB" w:rsidRPr="00CC376D" w:rsidTr="00395407">
        <w:trPr>
          <w:cantSplit/>
        </w:trPr>
        <w:tc>
          <w:tcPr>
            <w:tcW w:w="2410" w:type="dxa"/>
          </w:tcPr>
          <w:p w:rsidR="00BD32BB" w:rsidRPr="00C941CD" w:rsidRDefault="00BD32BB" w:rsidP="00C3586E">
            <w:pPr>
              <w:pStyle w:val="TableBodyText"/>
              <w:jc w:val="left"/>
            </w:pPr>
            <w:r>
              <w:rPr>
                <w:b/>
              </w:rPr>
              <w:lastRenderedPageBreak/>
              <w:t>Special needs group</w:t>
            </w:r>
          </w:p>
        </w:tc>
        <w:tc>
          <w:tcPr>
            <w:tcW w:w="6379" w:type="dxa"/>
          </w:tcPr>
          <w:p w:rsidR="00BD32BB" w:rsidRPr="00C941CD" w:rsidRDefault="0086061C" w:rsidP="00C3586E">
            <w:pPr>
              <w:pStyle w:val="TableBodyText"/>
              <w:jc w:val="left"/>
            </w:pPr>
            <w:r>
              <w:t xml:space="preserve">An identifiable group within the general population </w:t>
            </w:r>
            <w:r w:rsidRPr="007D1094">
              <w:t xml:space="preserve">who </w:t>
            </w:r>
            <w:r w:rsidR="00922771">
              <w:t>can</w:t>
            </w:r>
            <w:r w:rsidRPr="007D1094">
              <w:t xml:space="preserve"> have special difficulty accessing services</w:t>
            </w:r>
            <w:r>
              <w:t>. S</w:t>
            </w:r>
            <w:r w:rsidRPr="00C941CD">
              <w:t xml:space="preserve">pecial needs groups </w:t>
            </w:r>
            <w:r>
              <w:t xml:space="preserve">for which data are reported in this chapter include: </w:t>
            </w:r>
            <w:r w:rsidRPr="00C941CD">
              <w:t>children</w:t>
            </w:r>
            <w:r w:rsidR="00C711A3">
              <w:t xml:space="preserve"> from </w:t>
            </w:r>
            <w:proofErr w:type="spellStart"/>
            <w:r w:rsidR="00C711A3">
              <w:t>NESB</w:t>
            </w:r>
            <w:proofErr w:type="spellEnd"/>
            <w:r>
              <w:t>;</w:t>
            </w:r>
            <w:r w:rsidRPr="00C941CD">
              <w:t xml:space="preserve"> </w:t>
            </w:r>
            <w:r>
              <w:t>Indigenous children;</w:t>
            </w:r>
            <w:r w:rsidRPr="00C941CD">
              <w:t xml:space="preserve"> children from low income families</w:t>
            </w:r>
            <w:r>
              <w:t xml:space="preserve"> (Australian Government child care only); children </w:t>
            </w:r>
            <w:r w:rsidR="00D51DEF">
              <w:t>with disability</w:t>
            </w:r>
            <w:r>
              <w:t>;</w:t>
            </w:r>
            <w:r w:rsidRPr="00C941CD">
              <w:t xml:space="preserve"> and children from regional or remote areas.</w:t>
            </w:r>
          </w:p>
        </w:tc>
      </w:tr>
      <w:tr w:rsidR="0010185C" w:rsidRPr="00CC376D" w:rsidTr="00395407">
        <w:trPr>
          <w:cantSplit/>
        </w:trPr>
        <w:tc>
          <w:tcPr>
            <w:tcW w:w="2410" w:type="dxa"/>
          </w:tcPr>
          <w:p w:rsidR="0010185C" w:rsidRDefault="0010185C" w:rsidP="00C3586E">
            <w:pPr>
              <w:pStyle w:val="TableBodyText"/>
              <w:jc w:val="left"/>
              <w:rPr>
                <w:b/>
              </w:rPr>
            </w:pPr>
            <w:r>
              <w:rPr>
                <w:b/>
              </w:rPr>
              <w:t>Standard hours of care</w:t>
            </w:r>
          </w:p>
        </w:tc>
        <w:tc>
          <w:tcPr>
            <w:tcW w:w="6379" w:type="dxa"/>
          </w:tcPr>
          <w:p w:rsidR="0086061C" w:rsidRPr="0086061C" w:rsidRDefault="0086061C" w:rsidP="00C3586E">
            <w:pPr>
              <w:pStyle w:val="TableBodyText"/>
              <w:jc w:val="left"/>
            </w:pPr>
            <w:r w:rsidRPr="0086061C">
              <w:t>Defined by service model as:</w:t>
            </w:r>
          </w:p>
          <w:p w:rsidR="0086061C" w:rsidRPr="0086061C" w:rsidRDefault="0086061C" w:rsidP="00C3586E">
            <w:pPr>
              <w:pStyle w:val="TableBullet"/>
            </w:pPr>
            <w:r w:rsidRPr="0086061C">
              <w:t>centre</w:t>
            </w:r>
            <w:r w:rsidR="00172534">
              <w:noBreakHyphen/>
            </w:r>
            <w:r w:rsidRPr="0086061C">
              <w:t xml:space="preserve">based long day care — less than or equal to 10 hours per day on Monday to Friday </w:t>
            </w:r>
          </w:p>
          <w:p w:rsidR="0086061C" w:rsidRPr="0086061C" w:rsidRDefault="0086061C" w:rsidP="00C3586E">
            <w:pPr>
              <w:pStyle w:val="TableBullet"/>
            </w:pPr>
            <w:r w:rsidRPr="0086061C">
              <w:t>preschool — less than or equal to six hours per day</w:t>
            </w:r>
            <w:r w:rsidR="00562B2B">
              <w:t xml:space="preserve"> on Monday to Friday, for stand</w:t>
            </w:r>
            <w:r w:rsidR="00172534">
              <w:noBreakHyphen/>
            </w:r>
            <w:r w:rsidRPr="0086061C">
              <w:t>alone preschools only.</w:t>
            </w:r>
          </w:p>
          <w:p w:rsidR="0086061C" w:rsidRPr="0086061C" w:rsidRDefault="0086061C" w:rsidP="00C3586E">
            <w:pPr>
              <w:pStyle w:val="TableBullet"/>
            </w:pPr>
            <w:r w:rsidRPr="0086061C">
              <w:t>family day care — less than or equal to 10 hours per day on Monday to Friday, where no hours are overnight hours</w:t>
            </w:r>
          </w:p>
          <w:p w:rsidR="0086061C" w:rsidRPr="0086061C" w:rsidRDefault="0086061C" w:rsidP="00C3586E">
            <w:pPr>
              <w:pStyle w:val="TableBullet"/>
            </w:pPr>
            <w:r w:rsidRPr="0086061C">
              <w:t xml:space="preserve">outside school hours care: </w:t>
            </w:r>
          </w:p>
          <w:p w:rsidR="0086061C" w:rsidRPr="0086061C" w:rsidRDefault="0086061C" w:rsidP="00C3586E">
            <w:pPr>
              <w:pStyle w:val="TableBullet"/>
              <w:numPr>
                <w:ilvl w:val="0"/>
                <w:numId w:val="12"/>
              </w:numPr>
              <w:tabs>
                <w:tab w:val="clear" w:pos="624"/>
              </w:tabs>
              <w:ind w:left="571" w:hanging="231"/>
            </w:pPr>
            <w:r w:rsidRPr="0086061C">
              <w:t>before/after school care — less than or equal to two hours before school and three hours after school</w:t>
            </w:r>
          </w:p>
          <w:p w:rsidR="00B150C0" w:rsidRDefault="00B150C0" w:rsidP="00C3586E">
            <w:pPr>
              <w:pStyle w:val="TableBullet"/>
            </w:pPr>
            <w:r w:rsidRPr="0086061C">
              <w:t>vacation care — less than or equal to 10 hours per day on Monday to Friday</w:t>
            </w:r>
          </w:p>
          <w:p w:rsidR="0086061C" w:rsidRPr="0086061C" w:rsidRDefault="0086061C" w:rsidP="00C3586E">
            <w:pPr>
              <w:pStyle w:val="TableBullet"/>
            </w:pPr>
            <w:r w:rsidRPr="0086061C">
              <w:t>occasional care — less than or equal to eight hours per day Monday to Friday</w:t>
            </w:r>
          </w:p>
          <w:p w:rsidR="0010185C" w:rsidRDefault="0086061C" w:rsidP="00C3586E">
            <w:pPr>
              <w:pStyle w:val="TableBullet"/>
            </w:pPr>
            <w:r w:rsidRPr="0086061C">
              <w:t>other care — less than or equal to 10 hours per day Monday to Friday.</w:t>
            </w:r>
          </w:p>
        </w:tc>
      </w:tr>
      <w:tr w:rsidR="00BD32BB" w:rsidRPr="00CC376D" w:rsidTr="00BD32BB">
        <w:trPr>
          <w:cantSplit/>
        </w:trPr>
        <w:tc>
          <w:tcPr>
            <w:tcW w:w="2410" w:type="dxa"/>
          </w:tcPr>
          <w:p w:rsidR="00BD32BB" w:rsidRPr="00C941CD" w:rsidRDefault="00BD32BB" w:rsidP="00C3586E">
            <w:pPr>
              <w:pStyle w:val="TableBodyText"/>
              <w:jc w:val="left"/>
            </w:pPr>
            <w:r w:rsidRPr="00C941CD">
              <w:rPr>
                <w:b/>
              </w:rPr>
              <w:t xml:space="preserve">Substantiated </w:t>
            </w:r>
            <w:r>
              <w:rPr>
                <w:b/>
              </w:rPr>
              <w:t xml:space="preserve">breach arising from a </w:t>
            </w:r>
            <w:r w:rsidRPr="00C941CD">
              <w:rPr>
                <w:b/>
              </w:rPr>
              <w:t>complaint</w:t>
            </w:r>
          </w:p>
        </w:tc>
        <w:tc>
          <w:tcPr>
            <w:tcW w:w="6379" w:type="dxa"/>
          </w:tcPr>
          <w:p w:rsidR="00BD32BB" w:rsidRPr="00C941CD" w:rsidRDefault="005C4AB4" w:rsidP="00C3586E">
            <w:pPr>
              <w:pStyle w:val="TableBodyText"/>
              <w:jc w:val="left"/>
            </w:pPr>
            <w:r w:rsidRPr="00C3055F">
              <w:t xml:space="preserve">An expression of concern about a child care or preschool service, made orally, in writing or in person to the regulatory authority, which constitutes a failure by the service to abide by the State or Territory legislation, regulations or conditions. This concern is investigated and subsequently </w:t>
            </w:r>
            <w:r w:rsidR="00537B69">
              <w:t>deemed</w:t>
            </w:r>
            <w:r w:rsidRPr="00C3055F">
              <w:t xml:space="preserve"> to have substance by the regulatory body.</w:t>
            </w:r>
          </w:p>
        </w:tc>
      </w:tr>
    </w:tbl>
    <w:p w:rsidR="00335CEF" w:rsidRPr="00E85D5B" w:rsidRDefault="001766B7" w:rsidP="00C3586E">
      <w:pPr>
        <w:pStyle w:val="Heading2"/>
        <w:spacing w:before="200"/>
      </w:pPr>
      <w:r>
        <w:br w:type="page"/>
      </w:r>
      <w:bookmarkStart w:id="55" w:name="_Toc372900004"/>
      <w:r w:rsidR="00923A1C">
        <w:lastRenderedPageBreak/>
        <w:t>3.</w:t>
      </w:r>
      <w:r w:rsidR="002E4BE8">
        <w:rPr>
          <w:noProof/>
        </w:rPr>
        <w:t>7</w:t>
      </w:r>
      <w:r w:rsidR="00335CEF" w:rsidRPr="00E85D5B">
        <w:tab/>
      </w:r>
      <w:r w:rsidR="00C630AB">
        <w:t>List of a</w:t>
      </w:r>
      <w:r w:rsidR="00E67D1A" w:rsidRPr="00E85D5B">
        <w:t>ttachment</w:t>
      </w:r>
      <w:r w:rsidR="00335CEF" w:rsidRPr="00E85D5B">
        <w:t xml:space="preserve"> tables</w:t>
      </w:r>
      <w:bookmarkEnd w:id="55"/>
    </w:p>
    <w:p w:rsidR="00834038" w:rsidRDefault="0045479F" w:rsidP="00834038">
      <w:pPr>
        <w:pStyle w:val="BodyText"/>
      </w:pPr>
      <w:r w:rsidRPr="0045479F">
        <w:t>Attachment tables are identified in references throughout this chapter by an ‘</w:t>
      </w:r>
      <w:proofErr w:type="spellStart"/>
      <w:r w:rsidRPr="0045479F">
        <w:t>3A</w:t>
      </w:r>
      <w:proofErr w:type="spellEnd"/>
      <w:r w:rsidRPr="0045479F">
        <w:t>’</w:t>
      </w:r>
      <w:r w:rsidR="0046031F">
        <w:t xml:space="preserve"> prefix (for example, table</w:t>
      </w:r>
      <w:r w:rsidR="00172534">
        <w:t> </w:t>
      </w:r>
      <w:proofErr w:type="spellStart"/>
      <w:r w:rsidR="0046031F">
        <w:t>3A.1</w:t>
      </w:r>
      <w:proofErr w:type="spellEnd"/>
      <w:r w:rsidRPr="0045479F">
        <w:t xml:space="preserve">). Attachment tables are </w:t>
      </w:r>
      <w:r w:rsidR="00D24CA3">
        <w:t xml:space="preserve">available </w:t>
      </w:r>
      <w:r w:rsidRPr="0045479F">
        <w:t xml:space="preserve">on the Review </w:t>
      </w:r>
      <w:r w:rsidRPr="0091551E">
        <w:t>website (</w:t>
      </w:r>
      <w:proofErr w:type="spellStart"/>
      <w:r w:rsidR="00020029" w:rsidRPr="00020029">
        <w:t>www.pc.gov.au</w:t>
      </w:r>
      <w:proofErr w:type="spellEnd"/>
      <w:r w:rsidR="00020029" w:rsidRPr="00020029">
        <w:t>/</w:t>
      </w:r>
      <w:proofErr w:type="spellStart"/>
      <w:r w:rsidR="00020029" w:rsidRPr="00020029">
        <w:t>gsp</w:t>
      </w:r>
      <w:proofErr w:type="spellEnd"/>
      <w:r w:rsidR="00D24CA3" w:rsidRPr="0091551E">
        <w:t>).</w:t>
      </w:r>
    </w:p>
    <w:p w:rsidR="00020029" w:rsidRPr="00020029" w:rsidRDefault="00020029" w:rsidP="00834038">
      <w:pPr>
        <w:pStyle w:val="BodyText"/>
      </w:pPr>
    </w:p>
    <w:tbl>
      <w:tblPr>
        <w:tblW w:w="9005" w:type="dxa"/>
        <w:tblLook w:val="04A0" w:firstRow="1" w:lastRow="0" w:firstColumn="1" w:lastColumn="0" w:noHBand="0" w:noVBand="1"/>
      </w:tblPr>
      <w:tblGrid>
        <w:gridCol w:w="96"/>
        <w:gridCol w:w="1801"/>
        <w:gridCol w:w="7"/>
        <w:gridCol w:w="6994"/>
        <w:gridCol w:w="107"/>
      </w:tblGrid>
      <w:tr w:rsidR="00B26C8D" w:rsidRPr="00B26C8D" w:rsidTr="00020029">
        <w:trPr>
          <w:gridBefore w:val="1"/>
          <w:wBefore w:w="96" w:type="dxa"/>
          <w:trHeight w:val="357"/>
        </w:trPr>
        <w:tc>
          <w:tcPr>
            <w:tcW w:w="8909" w:type="dxa"/>
            <w:gridSpan w:val="4"/>
            <w:tcBorders>
              <w:top w:val="nil"/>
              <w:left w:val="nil"/>
              <w:bottom w:val="nil"/>
              <w:right w:val="nil"/>
            </w:tcBorders>
            <w:shd w:val="clear" w:color="auto" w:fill="auto"/>
            <w:noWrap/>
            <w:hideMark/>
          </w:tcPr>
          <w:p w:rsidR="00B26C8D" w:rsidRPr="00B26C8D" w:rsidRDefault="00B26C8D" w:rsidP="00B26C8D">
            <w:pPr>
              <w:rPr>
                <w:rFonts w:ascii="Arial" w:hAnsi="Arial" w:cs="Arial"/>
                <w:b/>
                <w:bCs/>
                <w:sz w:val="20"/>
                <w:szCs w:val="20"/>
              </w:rPr>
            </w:pPr>
            <w:r w:rsidRPr="00B26C8D">
              <w:rPr>
                <w:rFonts w:ascii="Arial" w:hAnsi="Arial" w:cs="Arial"/>
                <w:b/>
                <w:bCs/>
                <w:sz w:val="20"/>
                <w:szCs w:val="20"/>
              </w:rPr>
              <w:t>All jurisdiction data</w:t>
            </w:r>
          </w:p>
        </w:tc>
      </w:tr>
      <w:tr w:rsidR="00B26C8D" w:rsidRPr="00B26C8D" w:rsidTr="00020029">
        <w:trPr>
          <w:gridBefore w:val="1"/>
          <w:wBefore w:w="96" w:type="dxa"/>
          <w:trHeight w:val="357"/>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3A.1</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Early Childhood Education and Care in Australia, as at 30</w:t>
            </w:r>
            <w:r w:rsidR="00172534">
              <w:rPr>
                <w:rFonts w:ascii="Arial" w:hAnsi="Arial" w:cs="Arial"/>
                <w:sz w:val="20"/>
                <w:szCs w:val="20"/>
              </w:rPr>
              <w:t> </w:t>
            </w:r>
            <w:r w:rsidRPr="00B26C8D">
              <w:rPr>
                <w:rFonts w:ascii="Arial" w:hAnsi="Arial" w:cs="Arial"/>
                <w:sz w:val="20"/>
                <w:szCs w:val="20"/>
              </w:rPr>
              <w:t xml:space="preserve">June 2013 </w:t>
            </w:r>
          </w:p>
        </w:tc>
      </w:tr>
      <w:tr w:rsidR="00B26C8D" w:rsidRPr="00B26C8D" w:rsidTr="00020029">
        <w:trPr>
          <w:gridBefore w:val="1"/>
          <w:wBefore w:w="96" w:type="dxa"/>
          <w:trHeight w:val="357"/>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3A.2</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 xml:space="preserve">Estimated resident population, children aged 12 years and younger (’000)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3A.3</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Total government real expenditure on early childhood education and care (2012</w:t>
            </w:r>
            <w:r w:rsidR="00172534">
              <w:rPr>
                <w:rFonts w:ascii="Arial" w:hAnsi="Arial" w:cs="Arial"/>
                <w:sz w:val="20"/>
                <w:szCs w:val="20"/>
              </w:rPr>
              <w:noBreakHyphen/>
            </w:r>
            <w:r w:rsidRPr="00B26C8D">
              <w:rPr>
                <w:rFonts w:ascii="Arial" w:hAnsi="Arial" w:cs="Arial"/>
                <w:sz w:val="20"/>
                <w:szCs w:val="20"/>
              </w:rPr>
              <w:t xml:space="preserve">13 dollars) ($'000)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3A.4</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Australian Government real expenditure on early childhood education and care (child care) services (2012</w:t>
            </w:r>
            <w:r w:rsidR="00172534">
              <w:rPr>
                <w:rFonts w:ascii="Arial" w:hAnsi="Arial" w:cs="Arial"/>
                <w:sz w:val="20"/>
                <w:szCs w:val="20"/>
              </w:rPr>
              <w:noBreakHyphen/>
            </w:r>
            <w:r w:rsidRPr="00B26C8D">
              <w:rPr>
                <w:rFonts w:ascii="Arial" w:hAnsi="Arial" w:cs="Arial"/>
                <w:sz w:val="20"/>
                <w:szCs w:val="20"/>
              </w:rPr>
              <w:t>13 dollars) ($'000)</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3A.5</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State and Territory government real expenditure on child care and preschool services (2012</w:t>
            </w:r>
            <w:r w:rsidR="00172534">
              <w:rPr>
                <w:rFonts w:ascii="Arial" w:hAnsi="Arial" w:cs="Arial"/>
                <w:sz w:val="20"/>
                <w:szCs w:val="20"/>
              </w:rPr>
              <w:noBreakHyphen/>
            </w:r>
            <w:r w:rsidRPr="00B26C8D">
              <w:rPr>
                <w:rFonts w:ascii="Arial" w:hAnsi="Arial" w:cs="Arial"/>
                <w:sz w:val="20"/>
                <w:szCs w:val="20"/>
              </w:rPr>
              <w:t>13 dollars) ($'000)</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3A.6</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Australian Government funding to State and Territory governments under the National Partnership Agreement on Early Childhood Education</w:t>
            </w:r>
            <w:r w:rsidR="00172534">
              <w:rPr>
                <w:rFonts w:ascii="Arial" w:hAnsi="Arial" w:cs="Arial"/>
                <w:sz w:val="20"/>
                <w:szCs w:val="20"/>
              </w:rPr>
              <w:t xml:space="preserve"> </w:t>
            </w:r>
          </w:p>
        </w:tc>
      </w:tr>
      <w:tr w:rsidR="00B26C8D" w:rsidRPr="00B26C8D" w:rsidTr="00020029">
        <w:trPr>
          <w:gridBefore w:val="1"/>
          <w:wBefore w:w="96" w:type="dxa"/>
          <w:trHeight w:val="357"/>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3A.7</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Comparability of expenditure — items included, 2012</w:t>
            </w:r>
            <w:r w:rsidR="00172534">
              <w:rPr>
                <w:rFonts w:ascii="Arial" w:hAnsi="Arial" w:cs="Arial"/>
                <w:sz w:val="20"/>
                <w:szCs w:val="20"/>
              </w:rPr>
              <w:noBreakHyphen/>
            </w:r>
            <w:r w:rsidRPr="00B26C8D">
              <w:rPr>
                <w:rFonts w:ascii="Arial" w:hAnsi="Arial" w:cs="Arial"/>
                <w:sz w:val="20"/>
                <w:szCs w:val="20"/>
              </w:rPr>
              <w:t>13</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3A.8</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Children aged 0–12 years attending Australian Government approved child care services</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3A.9</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Children attending Australian Government approved child care services, by age, 2013</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3A.10</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Children attending Australian Government approved and State and Territory government funded and/or provided child care, 2012</w:t>
            </w:r>
            <w:r w:rsidR="00172534">
              <w:rPr>
                <w:rFonts w:ascii="Arial" w:hAnsi="Arial" w:cs="Arial"/>
                <w:sz w:val="20"/>
                <w:szCs w:val="20"/>
              </w:rPr>
              <w:noBreakHyphen/>
            </w:r>
            <w:r w:rsidRPr="00B26C8D">
              <w:rPr>
                <w:rFonts w:ascii="Arial" w:hAnsi="Arial" w:cs="Arial"/>
                <w:sz w:val="20"/>
                <w:szCs w:val="20"/>
              </w:rPr>
              <w:t>13</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3A.11</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Children aged 0–12, average attendance at Australian Government approved child care services</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3A.12</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Representation of special needs groups attending Australian Government approved child care services (per cent), by age group, 2013</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3A.13</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Representation of special needs groups attending Australian Government approved child care services, children aged 0–12 (per cent)</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3A.14</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Representation of children from special needs groups in child care and preschool programs, 2012</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3A.15</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Children aged 4 and 5 years enrolled in and attending a preschool program in the year before full time schooling who are disadvantaged, 2012</w:t>
            </w:r>
            <w:r w:rsidR="00172534">
              <w:rPr>
                <w:rFonts w:ascii="Arial" w:hAnsi="Arial" w:cs="Arial"/>
                <w:sz w:val="20"/>
                <w:szCs w:val="20"/>
              </w:rPr>
              <w:t xml:space="preserve"> </w:t>
            </w:r>
          </w:p>
        </w:tc>
      </w:tr>
      <w:tr w:rsidR="00B26C8D" w:rsidRPr="00B26C8D" w:rsidTr="00020029">
        <w:trPr>
          <w:gridBefore w:val="1"/>
          <w:wBefore w:w="96" w:type="dxa"/>
          <w:trHeight w:val="357"/>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3A.16</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Children enrolled in a preschool program, by sector, 2012</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3A.17</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 xml:space="preserve">Children aged 4 and 5 years enrolled in a preschool program in the year before full time schooling, by weekly hours and sector, 2012 </w:t>
            </w:r>
          </w:p>
        </w:tc>
      </w:tr>
      <w:tr w:rsidR="00B26C8D" w:rsidRPr="00B26C8D" w:rsidTr="00020029">
        <w:trPr>
          <w:gridBefore w:val="1"/>
          <w:wBefore w:w="96" w:type="dxa"/>
          <w:trHeight w:val="867"/>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3A.18</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Proportion of Indigenous children aged 4 and 5 years who are enrolled in a preschool program in the year before full time schooling, by remoteness area, national only, 2012</w:t>
            </w:r>
            <w:r w:rsidR="00172534">
              <w:rPr>
                <w:rFonts w:ascii="Arial" w:hAnsi="Arial" w:cs="Arial"/>
                <w:sz w:val="20"/>
                <w:szCs w:val="20"/>
              </w:rPr>
              <w:t xml:space="preserve"> </w:t>
            </w:r>
          </w:p>
        </w:tc>
      </w:tr>
      <w:tr w:rsidR="00B26C8D" w:rsidRPr="00B26C8D" w:rsidTr="00020029">
        <w:trPr>
          <w:gridBefore w:val="1"/>
          <w:wBefore w:w="96" w:type="dxa"/>
          <w:trHeight w:val="357"/>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3A.19</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Indigenous children enrolled in a preschool program, 2012</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lastRenderedPageBreak/>
              <w:t>Table</w:t>
            </w:r>
            <w:r w:rsidR="00172534">
              <w:rPr>
                <w:rFonts w:ascii="Arial" w:hAnsi="Arial" w:cs="Arial"/>
                <w:b/>
                <w:bCs/>
                <w:sz w:val="20"/>
                <w:szCs w:val="20"/>
              </w:rPr>
              <w:t> </w:t>
            </w:r>
            <w:proofErr w:type="spellStart"/>
            <w:r w:rsidRPr="00B42A3B">
              <w:rPr>
                <w:rFonts w:ascii="Arial" w:hAnsi="Arial" w:cs="Arial"/>
                <w:b/>
                <w:bCs/>
                <w:sz w:val="20"/>
                <w:szCs w:val="20"/>
              </w:rPr>
              <w:t>3A.20</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Children aged 0–12 years using child care and preschool services, by employment status of parents (per cent), 2008, 2011</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3A.21</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Children aged 4 and 5 years attending a preschool program in the year before full time schooling, by sector, 2012</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3A.22</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Average (mean) number of hours of attendance at a preschool program per week, by sector, 2012</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3A.23</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 xml:space="preserve">All children aged 4 and 5 years enrolled in and attending a preschool program, by sector, 2012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3A.24</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 xml:space="preserve">Children aged 4 and 5 years attending a preschool program, by weekly hours and sector, 2012 </w:t>
            </w:r>
          </w:p>
        </w:tc>
      </w:tr>
      <w:tr w:rsidR="00B26C8D" w:rsidRPr="00B26C8D" w:rsidTr="00020029">
        <w:trPr>
          <w:gridBefore w:val="1"/>
          <w:wBefore w:w="96" w:type="dxa"/>
          <w:trHeight w:val="357"/>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3A.25</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Children absent from non</w:t>
            </w:r>
            <w:r w:rsidR="00172534">
              <w:rPr>
                <w:rFonts w:ascii="Arial" w:hAnsi="Arial" w:cs="Arial"/>
                <w:sz w:val="20"/>
                <w:szCs w:val="20"/>
              </w:rPr>
              <w:noBreakHyphen/>
            </w:r>
            <w:r w:rsidRPr="00B26C8D">
              <w:rPr>
                <w:rFonts w:ascii="Arial" w:hAnsi="Arial" w:cs="Arial"/>
                <w:sz w:val="20"/>
                <w:szCs w:val="20"/>
              </w:rPr>
              <w:t>government preschools, 2012</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3A.26</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Indigenous children aged 4 and 5 years attending a preschool program in the year before full time schooling, by remoteness area, national only, 2012</w:t>
            </w:r>
            <w:r w:rsidR="00172534">
              <w:rPr>
                <w:rFonts w:ascii="Arial" w:hAnsi="Arial" w:cs="Arial"/>
                <w:sz w:val="20"/>
                <w:szCs w:val="20"/>
              </w:rPr>
              <w:t xml:space="preserve"> </w:t>
            </w:r>
          </w:p>
        </w:tc>
      </w:tr>
      <w:tr w:rsidR="00B26C8D" w:rsidRPr="00B26C8D" w:rsidTr="00020029">
        <w:trPr>
          <w:gridBefore w:val="1"/>
          <w:wBefore w:w="96" w:type="dxa"/>
          <w:trHeight w:val="357"/>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3A.27</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Indigenous children attending a preschool program, 2012</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3A.28</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Service availability during non</w:t>
            </w:r>
            <w:r w:rsidR="00172534">
              <w:rPr>
                <w:rFonts w:ascii="Arial" w:hAnsi="Arial" w:cs="Arial"/>
                <w:sz w:val="20"/>
                <w:szCs w:val="20"/>
              </w:rPr>
              <w:noBreakHyphen/>
            </w:r>
            <w:r w:rsidRPr="00B26C8D">
              <w:rPr>
                <w:rFonts w:ascii="Arial" w:hAnsi="Arial" w:cs="Arial"/>
                <w:sz w:val="20"/>
                <w:szCs w:val="20"/>
              </w:rPr>
              <w:t>standard hours for Australian Government approved child care services (per cent)</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3A.29</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Service availability during non</w:t>
            </w:r>
            <w:r w:rsidR="00172534">
              <w:rPr>
                <w:rFonts w:ascii="Arial" w:hAnsi="Arial" w:cs="Arial"/>
                <w:sz w:val="20"/>
                <w:szCs w:val="20"/>
              </w:rPr>
              <w:noBreakHyphen/>
            </w:r>
            <w:r w:rsidRPr="00B26C8D">
              <w:rPr>
                <w:rFonts w:ascii="Arial" w:hAnsi="Arial" w:cs="Arial"/>
                <w:sz w:val="20"/>
                <w:szCs w:val="20"/>
              </w:rPr>
              <w:t>standard hours for State and Territory government approved child care services, 2012</w:t>
            </w:r>
            <w:r w:rsidR="00172534">
              <w:rPr>
                <w:rFonts w:ascii="Arial" w:hAnsi="Arial" w:cs="Arial"/>
                <w:sz w:val="20"/>
                <w:szCs w:val="20"/>
              </w:rPr>
              <w:noBreakHyphen/>
            </w:r>
            <w:r w:rsidRPr="00B26C8D">
              <w:rPr>
                <w:rFonts w:ascii="Arial" w:hAnsi="Arial" w:cs="Arial"/>
                <w:sz w:val="20"/>
                <w:szCs w:val="20"/>
              </w:rPr>
              <w:t xml:space="preserve">13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3A.30</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Median weekly service cost of Australian Government approved child care services ($/week) (2012</w:t>
            </w:r>
            <w:r w:rsidR="00172534">
              <w:rPr>
                <w:rFonts w:ascii="Arial" w:hAnsi="Arial" w:cs="Arial"/>
                <w:sz w:val="20"/>
                <w:szCs w:val="20"/>
              </w:rPr>
              <w:noBreakHyphen/>
            </w:r>
            <w:r w:rsidRPr="00B26C8D">
              <w:rPr>
                <w:rFonts w:ascii="Arial" w:hAnsi="Arial" w:cs="Arial"/>
                <w:sz w:val="20"/>
                <w:szCs w:val="20"/>
              </w:rPr>
              <w:t>13 dollars)</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3A.31</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Median weekly service cost of Australian Government approved long day care services, by remoteness area, 2013</w:t>
            </w:r>
            <w:r w:rsidR="00172534">
              <w:rPr>
                <w:rFonts w:ascii="Arial" w:hAnsi="Arial" w:cs="Arial"/>
                <w:sz w:val="20"/>
                <w:szCs w:val="20"/>
              </w:rPr>
              <w:t xml:space="preserve"> </w:t>
            </w:r>
          </w:p>
        </w:tc>
      </w:tr>
      <w:tr w:rsidR="00B26C8D" w:rsidRPr="00B26C8D" w:rsidTr="00020029">
        <w:trPr>
          <w:gridBefore w:val="1"/>
          <w:wBefore w:w="96" w:type="dxa"/>
          <w:trHeight w:val="357"/>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3A.32</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Hourly cost of preschool (after subsidies), per child enrolled, by cost range, 2012</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3A.33</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Median hourly cost of a preschool program (after subsidies), per child enrolled aged 4 and 5 years, by sector (nominal $/hour), 2012</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3A.34</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Median hourly cost of a preschool program (after subsidies), per child enrolled aged 4 and 5 years, by remoteness area (nominal $/hour), 2012</w:t>
            </w:r>
            <w:r w:rsidR="00172534">
              <w:rPr>
                <w:rFonts w:ascii="Arial" w:hAnsi="Arial" w:cs="Arial"/>
                <w:sz w:val="20"/>
                <w:szCs w:val="20"/>
              </w:rPr>
              <w:t xml:space="preserve"> </w:t>
            </w:r>
          </w:p>
        </w:tc>
      </w:tr>
      <w:tr w:rsidR="00B26C8D" w:rsidRPr="00B26C8D" w:rsidTr="00020029">
        <w:trPr>
          <w:gridBefore w:val="1"/>
          <w:wBefore w:w="96" w:type="dxa"/>
          <w:trHeight w:val="357"/>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3A.35</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Staff employed by Australian Government approved child care services</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3A.36</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Paid primary contact staff employed by Australian Government approved child care services, by qualification</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3A.37</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Qualified paid primary contact staff employed by Australian Government approved child care services, by level of qualification and field of study 2013</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3A.38</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Paid primary contact staff in Australian Government approved child care services who undertook relevant in</w:t>
            </w:r>
            <w:r w:rsidR="00172534">
              <w:rPr>
                <w:rFonts w:ascii="Arial" w:hAnsi="Arial" w:cs="Arial"/>
                <w:sz w:val="20"/>
                <w:szCs w:val="20"/>
              </w:rPr>
              <w:noBreakHyphen/>
            </w:r>
            <w:r w:rsidRPr="00B26C8D">
              <w:rPr>
                <w:rFonts w:ascii="Arial" w:hAnsi="Arial" w:cs="Arial"/>
                <w:sz w:val="20"/>
                <w:szCs w:val="20"/>
              </w:rPr>
              <w:t>service training in previous 12 months</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3A.39</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Primary contact staff/carers in Australian Government approved child care services, by tenure in the early childhood education and care sector, 2013</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3A.40</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Workers delivering preschool programs, by level and field of early childhood qualification, 2012</w:t>
            </w:r>
            <w:r w:rsidR="00172534">
              <w:rPr>
                <w:rFonts w:ascii="Arial" w:hAnsi="Arial" w:cs="Arial"/>
                <w:sz w:val="20"/>
                <w:szCs w:val="20"/>
              </w:rPr>
              <w:t xml:space="preserve"> </w:t>
            </w:r>
          </w:p>
        </w:tc>
      </w:tr>
      <w:tr w:rsidR="00B26C8D" w:rsidRPr="00B26C8D" w:rsidTr="00020029">
        <w:trPr>
          <w:gridBefore w:val="1"/>
          <w:wBefore w:w="96" w:type="dxa"/>
          <w:trHeight w:val="357"/>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3A.41</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Approved services, by service type and quality rating, June 2013</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3A.42</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Approved services with a quality rating, by rating level</w:t>
            </w:r>
            <w:r w:rsidR="00172534">
              <w:rPr>
                <w:rFonts w:ascii="Arial" w:hAnsi="Arial" w:cs="Arial"/>
                <w:sz w:val="20"/>
                <w:szCs w:val="20"/>
              </w:rPr>
              <w:t xml:space="preserve"> </w:t>
            </w:r>
            <w:r w:rsidRPr="00B26C8D">
              <w:rPr>
                <w:rFonts w:ascii="Arial" w:hAnsi="Arial" w:cs="Arial"/>
                <w:sz w:val="20"/>
                <w:szCs w:val="20"/>
              </w:rPr>
              <w:t>Quality Area 1: Educational program and practice, June 2013</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lastRenderedPageBreak/>
              <w:t>Table</w:t>
            </w:r>
            <w:r w:rsidR="00172534">
              <w:rPr>
                <w:rFonts w:ascii="Arial" w:hAnsi="Arial" w:cs="Arial"/>
                <w:b/>
                <w:bCs/>
                <w:sz w:val="20"/>
                <w:szCs w:val="20"/>
              </w:rPr>
              <w:t> </w:t>
            </w:r>
            <w:proofErr w:type="spellStart"/>
            <w:r w:rsidRPr="00B42A3B">
              <w:rPr>
                <w:rFonts w:ascii="Arial" w:hAnsi="Arial" w:cs="Arial"/>
                <w:b/>
                <w:bCs/>
                <w:sz w:val="20"/>
                <w:szCs w:val="20"/>
              </w:rPr>
              <w:t>3A.43</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Approved services with a quality rating, by rating level</w:t>
            </w:r>
            <w:r w:rsidR="00172534">
              <w:rPr>
                <w:rFonts w:ascii="Arial" w:hAnsi="Arial" w:cs="Arial"/>
                <w:sz w:val="20"/>
                <w:szCs w:val="20"/>
              </w:rPr>
              <w:t xml:space="preserve"> </w:t>
            </w:r>
            <w:r w:rsidRPr="00B26C8D">
              <w:rPr>
                <w:rFonts w:ascii="Arial" w:hAnsi="Arial" w:cs="Arial"/>
                <w:sz w:val="20"/>
                <w:szCs w:val="20"/>
              </w:rPr>
              <w:t>Quality Area 2: Children's health and safety, June 2013</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3A.44</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Approved services with a quality rating, by rating level</w:t>
            </w:r>
            <w:r w:rsidR="00172534">
              <w:rPr>
                <w:rFonts w:ascii="Arial" w:hAnsi="Arial" w:cs="Arial"/>
                <w:sz w:val="20"/>
                <w:szCs w:val="20"/>
              </w:rPr>
              <w:t xml:space="preserve"> </w:t>
            </w:r>
            <w:r w:rsidRPr="00B26C8D">
              <w:rPr>
                <w:rFonts w:ascii="Arial" w:hAnsi="Arial" w:cs="Arial"/>
                <w:sz w:val="20"/>
                <w:szCs w:val="20"/>
              </w:rPr>
              <w:t>Quality Area 3: Physical environment, June 2013</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3A.45</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Approved services with a quality rating, by rating level</w:t>
            </w:r>
            <w:r w:rsidR="00172534">
              <w:rPr>
                <w:rFonts w:ascii="Arial" w:hAnsi="Arial" w:cs="Arial"/>
                <w:sz w:val="20"/>
                <w:szCs w:val="20"/>
              </w:rPr>
              <w:t xml:space="preserve"> </w:t>
            </w:r>
            <w:r w:rsidRPr="00B26C8D">
              <w:rPr>
                <w:rFonts w:ascii="Arial" w:hAnsi="Arial" w:cs="Arial"/>
                <w:sz w:val="20"/>
                <w:szCs w:val="20"/>
              </w:rPr>
              <w:t>Quality Area 4: Staffing arrangements, June 2013</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3A.46</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Approved services with a quality rating, by rating level</w:t>
            </w:r>
            <w:r w:rsidR="00172534">
              <w:rPr>
                <w:rFonts w:ascii="Arial" w:hAnsi="Arial" w:cs="Arial"/>
                <w:sz w:val="20"/>
                <w:szCs w:val="20"/>
              </w:rPr>
              <w:t xml:space="preserve"> </w:t>
            </w:r>
            <w:r w:rsidRPr="00B26C8D">
              <w:rPr>
                <w:rFonts w:ascii="Arial" w:hAnsi="Arial" w:cs="Arial"/>
                <w:sz w:val="20"/>
                <w:szCs w:val="20"/>
              </w:rPr>
              <w:t>Quality Area 5: Relationships with children, June 2013</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3A.47</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Approved services with a quality rating, by rating level</w:t>
            </w:r>
            <w:r w:rsidR="00172534">
              <w:rPr>
                <w:rFonts w:ascii="Arial" w:hAnsi="Arial" w:cs="Arial"/>
                <w:sz w:val="20"/>
                <w:szCs w:val="20"/>
              </w:rPr>
              <w:t xml:space="preserve"> </w:t>
            </w:r>
            <w:r w:rsidRPr="00B26C8D">
              <w:rPr>
                <w:rFonts w:ascii="Arial" w:hAnsi="Arial" w:cs="Arial"/>
                <w:sz w:val="20"/>
                <w:szCs w:val="20"/>
              </w:rPr>
              <w:t>Quality Area 6: Partnerships with families and communities, June 2013</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3A.48</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Approved services with a quality rating, by rating level</w:t>
            </w:r>
            <w:r w:rsidR="00172534">
              <w:rPr>
                <w:rFonts w:ascii="Arial" w:hAnsi="Arial" w:cs="Arial"/>
                <w:sz w:val="20"/>
                <w:szCs w:val="20"/>
              </w:rPr>
              <w:t xml:space="preserve"> </w:t>
            </w:r>
            <w:r w:rsidRPr="00B26C8D">
              <w:rPr>
                <w:rFonts w:ascii="Arial" w:hAnsi="Arial" w:cs="Arial"/>
                <w:sz w:val="20"/>
                <w:szCs w:val="20"/>
              </w:rPr>
              <w:t>Quality Area 7: Leadership and service management, June 2013</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3A.49</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Hospital separations for external cause of injuries, persons aged 0–4 years, all hospitals, by place of occurrence</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3A.50</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Australian Government recurrent expenditure on child care services per child in the community aged 0–12 years ($/child) (2012</w:t>
            </w:r>
            <w:r w:rsidR="00172534">
              <w:rPr>
                <w:rFonts w:ascii="Arial" w:hAnsi="Arial" w:cs="Arial"/>
                <w:sz w:val="20"/>
                <w:szCs w:val="20"/>
              </w:rPr>
              <w:noBreakHyphen/>
            </w:r>
            <w:r w:rsidRPr="00B26C8D">
              <w:rPr>
                <w:rFonts w:ascii="Arial" w:hAnsi="Arial" w:cs="Arial"/>
                <w:sz w:val="20"/>
                <w:szCs w:val="20"/>
              </w:rPr>
              <w:t>13 dollars)</w:t>
            </w:r>
            <w:r w:rsidR="00172534">
              <w:rPr>
                <w:rFonts w:ascii="Arial" w:hAnsi="Arial" w:cs="Arial"/>
                <w:sz w:val="20"/>
                <w:szCs w:val="20"/>
              </w:rPr>
              <w:t xml:space="preserve"> </w:t>
            </w:r>
          </w:p>
        </w:tc>
      </w:tr>
      <w:tr w:rsidR="00B26C8D" w:rsidRPr="00B26C8D" w:rsidTr="00020029">
        <w:trPr>
          <w:gridBefore w:val="1"/>
          <w:wBefore w:w="96" w:type="dxa"/>
          <w:trHeight w:val="867"/>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3A.51</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Total State and Territory government real recurrent expenditure on early childhood education and care per child in the community aged 0–12 years ($/child) (2012</w:t>
            </w:r>
            <w:r w:rsidR="00172534">
              <w:rPr>
                <w:rFonts w:ascii="Arial" w:hAnsi="Arial" w:cs="Arial"/>
                <w:sz w:val="20"/>
                <w:szCs w:val="20"/>
              </w:rPr>
              <w:noBreakHyphen/>
            </w:r>
            <w:r w:rsidRPr="00B26C8D">
              <w:rPr>
                <w:rFonts w:ascii="Arial" w:hAnsi="Arial" w:cs="Arial"/>
                <w:sz w:val="20"/>
                <w:szCs w:val="20"/>
              </w:rPr>
              <w:t>13 dollars)</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3A.52</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Australian Government recurrent expenditure per child aged 0–12 attending approved child care services ($/child) (2012</w:t>
            </w:r>
            <w:r w:rsidR="00172534">
              <w:rPr>
                <w:rFonts w:ascii="Arial" w:hAnsi="Arial" w:cs="Arial"/>
                <w:sz w:val="20"/>
                <w:szCs w:val="20"/>
              </w:rPr>
              <w:noBreakHyphen/>
            </w:r>
            <w:r w:rsidRPr="00B26C8D">
              <w:rPr>
                <w:rFonts w:ascii="Arial" w:hAnsi="Arial" w:cs="Arial"/>
                <w:sz w:val="20"/>
                <w:szCs w:val="20"/>
              </w:rPr>
              <w:t>13 dollars)</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3A.53</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Children aged 0–12 years in families participating in the labour force who required any or additional formal child care for work related reasons, 2011</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3A.54</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Children aged 0–12 years by whether any or additional formal child care or preschool was required, 2008, 2011</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3A.55</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Main reason children aged 0–12 years required any or additional formal child care or preschool, 2008, 2011</w:t>
            </w:r>
            <w:r w:rsidR="00172534">
              <w:rPr>
                <w:rFonts w:ascii="Arial" w:hAnsi="Arial" w:cs="Arial"/>
                <w:sz w:val="20"/>
                <w:szCs w:val="20"/>
              </w:rPr>
              <w:t xml:space="preserve"> </w:t>
            </w:r>
          </w:p>
        </w:tc>
      </w:tr>
      <w:tr w:rsidR="00B26C8D" w:rsidRPr="00B26C8D" w:rsidTr="00020029">
        <w:trPr>
          <w:gridBefore w:val="1"/>
          <w:wBefore w:w="96" w:type="dxa"/>
          <w:trHeight w:val="612"/>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3A.56</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Main reason any or additional formal child care or preschool required for children aged 0–12 years was not accessed, 2008, 2011</w:t>
            </w:r>
            <w:r w:rsidR="00172534">
              <w:rPr>
                <w:rFonts w:ascii="Arial" w:hAnsi="Arial" w:cs="Arial"/>
                <w:sz w:val="20"/>
                <w:szCs w:val="20"/>
              </w:rPr>
              <w:t xml:space="preserve"> </w:t>
            </w:r>
          </w:p>
        </w:tc>
      </w:tr>
      <w:tr w:rsidR="00B26C8D" w:rsidRPr="00B26C8D" w:rsidTr="00020029">
        <w:trPr>
          <w:gridBefore w:val="1"/>
          <w:wBefore w:w="96" w:type="dxa"/>
          <w:trHeight w:val="867"/>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3A.57</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Out</w:t>
            </w:r>
            <w:r w:rsidR="00172534">
              <w:rPr>
                <w:rFonts w:ascii="Arial" w:hAnsi="Arial" w:cs="Arial"/>
                <w:sz w:val="20"/>
                <w:szCs w:val="20"/>
              </w:rPr>
              <w:noBreakHyphen/>
            </w:r>
            <w:r w:rsidRPr="00B26C8D">
              <w:rPr>
                <w:rFonts w:ascii="Arial" w:hAnsi="Arial" w:cs="Arial"/>
                <w:sz w:val="20"/>
                <w:szCs w:val="20"/>
              </w:rPr>
              <w:t>of</w:t>
            </w:r>
            <w:r w:rsidR="00172534">
              <w:rPr>
                <w:rFonts w:ascii="Arial" w:hAnsi="Arial" w:cs="Arial"/>
                <w:sz w:val="20"/>
                <w:szCs w:val="20"/>
              </w:rPr>
              <w:noBreakHyphen/>
            </w:r>
            <w:r w:rsidRPr="00B26C8D">
              <w:rPr>
                <w:rFonts w:ascii="Arial" w:hAnsi="Arial" w:cs="Arial"/>
                <w:sz w:val="20"/>
                <w:szCs w:val="20"/>
              </w:rPr>
              <w:t>pocket costs of child care for families with children in full time centre</w:t>
            </w:r>
            <w:r w:rsidR="00172534">
              <w:rPr>
                <w:rFonts w:ascii="Arial" w:hAnsi="Arial" w:cs="Arial"/>
                <w:sz w:val="20"/>
                <w:szCs w:val="20"/>
              </w:rPr>
              <w:noBreakHyphen/>
            </w:r>
            <w:r w:rsidRPr="00B26C8D">
              <w:rPr>
                <w:rFonts w:ascii="Arial" w:hAnsi="Arial" w:cs="Arial"/>
                <w:sz w:val="20"/>
                <w:szCs w:val="20"/>
              </w:rPr>
              <w:t>based long day care, as a proportion of weekly disposable income, by gross annual family income, 2013 (per cent)</w:t>
            </w:r>
          </w:p>
        </w:tc>
      </w:tr>
      <w:tr w:rsidR="00B26C8D" w:rsidRPr="00B26C8D" w:rsidTr="00020029">
        <w:trPr>
          <w:gridBefore w:val="1"/>
          <w:wBefore w:w="96" w:type="dxa"/>
          <w:trHeight w:val="867"/>
        </w:trPr>
        <w:tc>
          <w:tcPr>
            <w:tcW w:w="1801" w:type="dxa"/>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3A.58</w:t>
            </w:r>
            <w:proofErr w:type="spellEnd"/>
          </w:p>
        </w:tc>
        <w:tc>
          <w:tcPr>
            <w:tcW w:w="7108" w:type="dxa"/>
            <w:gridSpan w:val="3"/>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Out</w:t>
            </w:r>
            <w:r w:rsidR="00172534">
              <w:rPr>
                <w:rFonts w:ascii="Arial" w:hAnsi="Arial" w:cs="Arial"/>
                <w:sz w:val="20"/>
                <w:szCs w:val="20"/>
              </w:rPr>
              <w:noBreakHyphen/>
            </w:r>
            <w:r w:rsidRPr="00B26C8D">
              <w:rPr>
                <w:rFonts w:ascii="Arial" w:hAnsi="Arial" w:cs="Arial"/>
                <w:sz w:val="20"/>
                <w:szCs w:val="20"/>
              </w:rPr>
              <w:t>of</w:t>
            </w:r>
            <w:r w:rsidR="00172534">
              <w:rPr>
                <w:rFonts w:ascii="Arial" w:hAnsi="Arial" w:cs="Arial"/>
                <w:sz w:val="20"/>
                <w:szCs w:val="20"/>
              </w:rPr>
              <w:noBreakHyphen/>
            </w:r>
            <w:r w:rsidRPr="00B26C8D">
              <w:rPr>
                <w:rFonts w:ascii="Arial" w:hAnsi="Arial" w:cs="Arial"/>
                <w:sz w:val="20"/>
                <w:szCs w:val="20"/>
              </w:rPr>
              <w:t>pocket costs of child care for families with children in full time family day care, as a proportion of weekly disposable income, by gross annual family income, 2013 (per cent)</w:t>
            </w:r>
          </w:p>
        </w:tc>
      </w:tr>
      <w:tr w:rsidR="00B26C8D" w:rsidRPr="00B26C8D" w:rsidTr="00020029">
        <w:trPr>
          <w:gridBefore w:val="1"/>
          <w:wBefore w:w="96" w:type="dxa"/>
          <w:trHeight w:val="357"/>
        </w:trPr>
        <w:tc>
          <w:tcPr>
            <w:tcW w:w="8909" w:type="dxa"/>
            <w:gridSpan w:val="4"/>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Single jurisdiction data – NSW</w:t>
            </w:r>
          </w:p>
        </w:tc>
      </w:tr>
      <w:tr w:rsidR="00B26C8D" w:rsidRPr="00B26C8D" w:rsidTr="00020029">
        <w:trPr>
          <w:gridBefore w:val="1"/>
          <w:wBefore w:w="96" w:type="dxa"/>
          <w:trHeight w:val="612"/>
        </w:trPr>
        <w:tc>
          <w:tcPr>
            <w:tcW w:w="1808" w:type="dxa"/>
            <w:gridSpan w:val="2"/>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3A.59</w:t>
            </w:r>
            <w:proofErr w:type="spellEnd"/>
          </w:p>
        </w:tc>
        <w:tc>
          <w:tcPr>
            <w:tcW w:w="7101" w:type="dxa"/>
            <w:gridSpan w:val="2"/>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State Government real expenditure on child care and preschool services, New South Wales (2012</w:t>
            </w:r>
            <w:r w:rsidR="00172534">
              <w:rPr>
                <w:rFonts w:ascii="Arial" w:hAnsi="Arial" w:cs="Arial"/>
                <w:sz w:val="20"/>
                <w:szCs w:val="20"/>
              </w:rPr>
              <w:noBreakHyphen/>
            </w:r>
            <w:r w:rsidRPr="00B26C8D">
              <w:rPr>
                <w:rFonts w:ascii="Arial" w:hAnsi="Arial" w:cs="Arial"/>
                <w:sz w:val="20"/>
                <w:szCs w:val="20"/>
              </w:rPr>
              <w:t>13 dollars) ($'000)</w:t>
            </w:r>
            <w:r w:rsidR="00172534">
              <w:rPr>
                <w:rFonts w:ascii="Arial" w:hAnsi="Arial" w:cs="Arial"/>
                <w:sz w:val="20"/>
                <w:szCs w:val="20"/>
              </w:rPr>
              <w:t xml:space="preserve"> </w:t>
            </w:r>
          </w:p>
        </w:tc>
      </w:tr>
      <w:tr w:rsidR="00B26C8D" w:rsidRPr="00B26C8D" w:rsidTr="00020029">
        <w:trPr>
          <w:gridBefore w:val="1"/>
          <w:wBefore w:w="96" w:type="dxa"/>
          <w:trHeight w:val="357"/>
        </w:trPr>
        <w:tc>
          <w:tcPr>
            <w:tcW w:w="1808" w:type="dxa"/>
            <w:gridSpan w:val="2"/>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3A.60</w:t>
            </w:r>
            <w:proofErr w:type="spellEnd"/>
          </w:p>
        </w:tc>
        <w:tc>
          <w:tcPr>
            <w:tcW w:w="7101" w:type="dxa"/>
            <w:gridSpan w:val="2"/>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Characteristics of child care and preschool services, New South Wales</w:t>
            </w:r>
            <w:r w:rsidR="00172534">
              <w:rPr>
                <w:rFonts w:ascii="Arial" w:hAnsi="Arial" w:cs="Arial"/>
                <w:sz w:val="20"/>
                <w:szCs w:val="20"/>
              </w:rPr>
              <w:t xml:space="preserve"> </w:t>
            </w:r>
          </w:p>
        </w:tc>
      </w:tr>
      <w:tr w:rsidR="00B26C8D" w:rsidRPr="00B26C8D" w:rsidTr="00020029">
        <w:trPr>
          <w:gridBefore w:val="1"/>
          <w:wBefore w:w="96" w:type="dxa"/>
          <w:trHeight w:val="612"/>
        </w:trPr>
        <w:tc>
          <w:tcPr>
            <w:tcW w:w="1808" w:type="dxa"/>
            <w:gridSpan w:val="2"/>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3A.61</w:t>
            </w:r>
            <w:proofErr w:type="spellEnd"/>
          </w:p>
        </w:tc>
        <w:tc>
          <w:tcPr>
            <w:tcW w:w="7101" w:type="dxa"/>
            <w:gridSpan w:val="2"/>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Children aged 0–12 years using State Government funded and/or provided child care services, by age, New South Wales</w:t>
            </w:r>
            <w:r w:rsidR="00172534">
              <w:rPr>
                <w:rFonts w:ascii="Arial" w:hAnsi="Arial" w:cs="Arial"/>
                <w:sz w:val="20"/>
                <w:szCs w:val="20"/>
              </w:rPr>
              <w:t xml:space="preserve"> </w:t>
            </w:r>
          </w:p>
        </w:tc>
      </w:tr>
      <w:tr w:rsidR="00B26C8D" w:rsidRPr="00B26C8D" w:rsidTr="00020029">
        <w:trPr>
          <w:gridBefore w:val="1"/>
          <w:wBefore w:w="96" w:type="dxa"/>
          <w:trHeight w:val="612"/>
        </w:trPr>
        <w:tc>
          <w:tcPr>
            <w:tcW w:w="1808" w:type="dxa"/>
            <w:gridSpan w:val="2"/>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3A.62</w:t>
            </w:r>
            <w:proofErr w:type="spellEnd"/>
          </w:p>
        </w:tc>
        <w:tc>
          <w:tcPr>
            <w:tcW w:w="7101" w:type="dxa"/>
            <w:gridSpan w:val="2"/>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Staff employed by State Government funded and/or managed child care and preschool service providers, New South Wales</w:t>
            </w:r>
            <w:r w:rsidR="00172534">
              <w:rPr>
                <w:rFonts w:ascii="Arial" w:hAnsi="Arial" w:cs="Arial"/>
                <w:sz w:val="20"/>
                <w:szCs w:val="20"/>
              </w:rPr>
              <w:t xml:space="preserve"> </w:t>
            </w:r>
          </w:p>
        </w:tc>
      </w:tr>
      <w:tr w:rsidR="00B26C8D" w:rsidRPr="00B26C8D" w:rsidTr="00020029">
        <w:trPr>
          <w:gridBefore w:val="1"/>
          <w:wBefore w:w="96" w:type="dxa"/>
          <w:trHeight w:val="612"/>
        </w:trPr>
        <w:tc>
          <w:tcPr>
            <w:tcW w:w="1808" w:type="dxa"/>
            <w:gridSpan w:val="2"/>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lastRenderedPageBreak/>
              <w:t>Table</w:t>
            </w:r>
            <w:r w:rsidR="00172534">
              <w:rPr>
                <w:rFonts w:ascii="Arial" w:hAnsi="Arial" w:cs="Arial"/>
                <w:b/>
                <w:bCs/>
                <w:sz w:val="20"/>
                <w:szCs w:val="20"/>
              </w:rPr>
              <w:t> </w:t>
            </w:r>
            <w:proofErr w:type="spellStart"/>
            <w:r w:rsidRPr="00B42A3B">
              <w:rPr>
                <w:rFonts w:ascii="Arial" w:hAnsi="Arial" w:cs="Arial"/>
                <w:b/>
                <w:bCs/>
                <w:sz w:val="20"/>
                <w:szCs w:val="20"/>
              </w:rPr>
              <w:t>3A.63</w:t>
            </w:r>
            <w:proofErr w:type="spellEnd"/>
          </w:p>
        </w:tc>
        <w:tc>
          <w:tcPr>
            <w:tcW w:w="7101" w:type="dxa"/>
            <w:gridSpan w:val="2"/>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Paid staff employed by State Government funded and/or managed child care and preschool service providers, by qualification and experience, New South Wales</w:t>
            </w:r>
            <w:r w:rsidR="00172534">
              <w:rPr>
                <w:rFonts w:ascii="Arial" w:hAnsi="Arial" w:cs="Arial"/>
                <w:sz w:val="20"/>
                <w:szCs w:val="20"/>
              </w:rPr>
              <w:t xml:space="preserve"> </w:t>
            </w:r>
          </w:p>
        </w:tc>
      </w:tr>
      <w:tr w:rsidR="00B26C8D" w:rsidRPr="00B26C8D" w:rsidTr="00020029">
        <w:trPr>
          <w:gridBefore w:val="1"/>
          <w:wBefore w:w="96" w:type="dxa"/>
          <w:trHeight w:val="612"/>
        </w:trPr>
        <w:tc>
          <w:tcPr>
            <w:tcW w:w="1808" w:type="dxa"/>
            <w:gridSpan w:val="2"/>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3A.64</w:t>
            </w:r>
            <w:proofErr w:type="spellEnd"/>
          </w:p>
        </w:tc>
        <w:tc>
          <w:tcPr>
            <w:tcW w:w="7101" w:type="dxa"/>
            <w:gridSpan w:val="2"/>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 xml:space="preserve">Approved and/or licensed service providers, by management type, New South Wales </w:t>
            </w:r>
          </w:p>
        </w:tc>
      </w:tr>
      <w:tr w:rsidR="00B26C8D" w:rsidRPr="00B26C8D" w:rsidTr="00020029">
        <w:trPr>
          <w:gridBefore w:val="1"/>
          <w:wBefore w:w="96" w:type="dxa"/>
          <w:trHeight w:val="612"/>
        </w:trPr>
        <w:tc>
          <w:tcPr>
            <w:tcW w:w="1808" w:type="dxa"/>
            <w:gridSpan w:val="2"/>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3A.65</w:t>
            </w:r>
            <w:proofErr w:type="spellEnd"/>
          </w:p>
        </w:tc>
        <w:tc>
          <w:tcPr>
            <w:tcW w:w="7101" w:type="dxa"/>
            <w:gridSpan w:val="2"/>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 xml:space="preserve">Substantiated breaches arising from complaints about State Government registered or licensed service providers, New South Wales </w:t>
            </w:r>
          </w:p>
        </w:tc>
      </w:tr>
      <w:tr w:rsidR="00B26C8D" w:rsidRPr="00B26C8D" w:rsidTr="00020029">
        <w:trPr>
          <w:gridBefore w:val="1"/>
          <w:wBefore w:w="96" w:type="dxa"/>
          <w:trHeight w:val="357"/>
        </w:trPr>
        <w:tc>
          <w:tcPr>
            <w:tcW w:w="8909" w:type="dxa"/>
            <w:gridSpan w:val="4"/>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Single jurisdiction data – Vic</w:t>
            </w:r>
          </w:p>
        </w:tc>
      </w:tr>
      <w:tr w:rsidR="00B26C8D" w:rsidRPr="00B26C8D" w:rsidTr="00020029">
        <w:trPr>
          <w:gridBefore w:val="1"/>
          <w:wBefore w:w="96" w:type="dxa"/>
          <w:trHeight w:val="612"/>
        </w:trPr>
        <w:tc>
          <w:tcPr>
            <w:tcW w:w="1808" w:type="dxa"/>
            <w:gridSpan w:val="2"/>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3A.66</w:t>
            </w:r>
            <w:proofErr w:type="spellEnd"/>
          </w:p>
        </w:tc>
        <w:tc>
          <w:tcPr>
            <w:tcW w:w="7101" w:type="dxa"/>
            <w:gridSpan w:val="2"/>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State Government real expenditure on child care and preschool services, Victoria (2012</w:t>
            </w:r>
            <w:r w:rsidR="00172534">
              <w:rPr>
                <w:rFonts w:ascii="Arial" w:hAnsi="Arial" w:cs="Arial"/>
                <w:sz w:val="20"/>
                <w:szCs w:val="20"/>
              </w:rPr>
              <w:noBreakHyphen/>
            </w:r>
            <w:r w:rsidRPr="00B26C8D">
              <w:rPr>
                <w:rFonts w:ascii="Arial" w:hAnsi="Arial" w:cs="Arial"/>
                <w:sz w:val="20"/>
                <w:szCs w:val="20"/>
              </w:rPr>
              <w:t>13 dollars) ($'000)</w:t>
            </w:r>
            <w:r w:rsidR="00172534">
              <w:rPr>
                <w:rFonts w:ascii="Arial" w:hAnsi="Arial" w:cs="Arial"/>
                <w:sz w:val="20"/>
                <w:szCs w:val="20"/>
              </w:rPr>
              <w:t xml:space="preserve"> </w:t>
            </w:r>
          </w:p>
        </w:tc>
      </w:tr>
      <w:tr w:rsidR="00B26C8D" w:rsidRPr="00B26C8D" w:rsidTr="00020029">
        <w:trPr>
          <w:gridBefore w:val="1"/>
          <w:wBefore w:w="96" w:type="dxa"/>
          <w:trHeight w:val="357"/>
        </w:trPr>
        <w:tc>
          <w:tcPr>
            <w:tcW w:w="1808" w:type="dxa"/>
            <w:gridSpan w:val="2"/>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3A.67</w:t>
            </w:r>
            <w:proofErr w:type="spellEnd"/>
          </w:p>
        </w:tc>
        <w:tc>
          <w:tcPr>
            <w:tcW w:w="7101" w:type="dxa"/>
            <w:gridSpan w:val="2"/>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Characteristics of child care and preschool services, Victoria</w:t>
            </w:r>
            <w:r w:rsidR="00172534">
              <w:rPr>
                <w:rFonts w:ascii="Arial" w:hAnsi="Arial" w:cs="Arial"/>
                <w:sz w:val="20"/>
                <w:szCs w:val="20"/>
              </w:rPr>
              <w:t xml:space="preserve"> </w:t>
            </w:r>
          </w:p>
        </w:tc>
      </w:tr>
      <w:tr w:rsidR="00B26C8D" w:rsidRPr="00B26C8D" w:rsidTr="00020029">
        <w:trPr>
          <w:gridBefore w:val="1"/>
          <w:wBefore w:w="96" w:type="dxa"/>
          <w:trHeight w:val="612"/>
        </w:trPr>
        <w:tc>
          <w:tcPr>
            <w:tcW w:w="1808" w:type="dxa"/>
            <w:gridSpan w:val="2"/>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3A.68</w:t>
            </w:r>
            <w:proofErr w:type="spellEnd"/>
          </w:p>
        </w:tc>
        <w:tc>
          <w:tcPr>
            <w:tcW w:w="7101" w:type="dxa"/>
            <w:gridSpan w:val="2"/>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 xml:space="preserve">Children aged 0–12 years using State Government funded and/or provided child care services, by age, Victoria </w:t>
            </w:r>
          </w:p>
        </w:tc>
      </w:tr>
      <w:tr w:rsidR="00B26C8D" w:rsidRPr="00B26C8D" w:rsidTr="00020029">
        <w:trPr>
          <w:gridBefore w:val="1"/>
          <w:wBefore w:w="96" w:type="dxa"/>
          <w:trHeight w:val="612"/>
        </w:trPr>
        <w:tc>
          <w:tcPr>
            <w:tcW w:w="1808" w:type="dxa"/>
            <w:gridSpan w:val="2"/>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3A.69</w:t>
            </w:r>
            <w:proofErr w:type="spellEnd"/>
          </w:p>
        </w:tc>
        <w:tc>
          <w:tcPr>
            <w:tcW w:w="7101" w:type="dxa"/>
            <w:gridSpan w:val="2"/>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Staff employed by State Government funded and/or managed child care and preschool service providers, Victoria</w:t>
            </w:r>
            <w:r w:rsidR="00172534">
              <w:rPr>
                <w:rFonts w:ascii="Arial" w:hAnsi="Arial" w:cs="Arial"/>
                <w:sz w:val="20"/>
                <w:szCs w:val="20"/>
              </w:rPr>
              <w:t xml:space="preserve"> </w:t>
            </w:r>
          </w:p>
        </w:tc>
      </w:tr>
      <w:tr w:rsidR="00B26C8D" w:rsidRPr="00B26C8D" w:rsidTr="00020029">
        <w:trPr>
          <w:gridBefore w:val="1"/>
          <w:wBefore w:w="96" w:type="dxa"/>
          <w:trHeight w:val="612"/>
        </w:trPr>
        <w:tc>
          <w:tcPr>
            <w:tcW w:w="1808" w:type="dxa"/>
            <w:gridSpan w:val="2"/>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3A.70</w:t>
            </w:r>
            <w:proofErr w:type="spellEnd"/>
          </w:p>
        </w:tc>
        <w:tc>
          <w:tcPr>
            <w:tcW w:w="7101" w:type="dxa"/>
            <w:gridSpan w:val="2"/>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 xml:space="preserve">Paid staff employed by State Government funded and/or managed child care and preschool service providers, by qualification and experience, Victoria </w:t>
            </w:r>
          </w:p>
        </w:tc>
      </w:tr>
      <w:tr w:rsidR="00B26C8D" w:rsidRPr="00B26C8D" w:rsidTr="00020029">
        <w:trPr>
          <w:gridBefore w:val="1"/>
          <w:wBefore w:w="96" w:type="dxa"/>
          <w:trHeight w:val="357"/>
        </w:trPr>
        <w:tc>
          <w:tcPr>
            <w:tcW w:w="1808" w:type="dxa"/>
            <w:gridSpan w:val="2"/>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3A.71</w:t>
            </w:r>
            <w:proofErr w:type="spellEnd"/>
          </w:p>
        </w:tc>
        <w:tc>
          <w:tcPr>
            <w:tcW w:w="7101" w:type="dxa"/>
            <w:gridSpan w:val="2"/>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 xml:space="preserve">Approved and/or licensed service providers, by management type, Victoria </w:t>
            </w:r>
          </w:p>
        </w:tc>
      </w:tr>
      <w:tr w:rsidR="00B26C8D" w:rsidRPr="00B26C8D" w:rsidTr="00020029">
        <w:trPr>
          <w:gridBefore w:val="1"/>
          <w:wBefore w:w="96" w:type="dxa"/>
          <w:trHeight w:val="612"/>
        </w:trPr>
        <w:tc>
          <w:tcPr>
            <w:tcW w:w="1808" w:type="dxa"/>
            <w:gridSpan w:val="2"/>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3A.72</w:t>
            </w:r>
            <w:proofErr w:type="spellEnd"/>
          </w:p>
        </w:tc>
        <w:tc>
          <w:tcPr>
            <w:tcW w:w="7101" w:type="dxa"/>
            <w:gridSpan w:val="2"/>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Substantiated breaches arising from complaints about State Government registered or licensed service providers, Victoria</w:t>
            </w:r>
            <w:r w:rsidR="00172534">
              <w:rPr>
                <w:rFonts w:ascii="Arial" w:hAnsi="Arial" w:cs="Arial"/>
                <w:sz w:val="20"/>
                <w:szCs w:val="20"/>
              </w:rPr>
              <w:t xml:space="preserve"> </w:t>
            </w:r>
          </w:p>
        </w:tc>
      </w:tr>
      <w:tr w:rsidR="00B26C8D" w:rsidRPr="00B26C8D" w:rsidTr="00020029">
        <w:trPr>
          <w:gridBefore w:val="1"/>
          <w:wBefore w:w="96" w:type="dxa"/>
          <w:trHeight w:val="357"/>
        </w:trPr>
        <w:tc>
          <w:tcPr>
            <w:tcW w:w="8909" w:type="dxa"/>
            <w:gridSpan w:val="4"/>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Single jurisdiction data</w:t>
            </w:r>
            <w:r w:rsidR="00172534">
              <w:rPr>
                <w:rFonts w:ascii="Arial" w:hAnsi="Arial" w:cs="Arial"/>
                <w:b/>
                <w:bCs/>
                <w:sz w:val="20"/>
                <w:szCs w:val="20"/>
              </w:rPr>
              <w:t xml:space="preserve"> </w:t>
            </w:r>
            <w:r w:rsidRPr="00B42A3B">
              <w:rPr>
                <w:rFonts w:ascii="Arial" w:hAnsi="Arial" w:cs="Arial"/>
                <w:b/>
                <w:bCs/>
                <w:sz w:val="20"/>
                <w:szCs w:val="20"/>
              </w:rPr>
              <w:t>– Qld</w:t>
            </w:r>
          </w:p>
        </w:tc>
      </w:tr>
      <w:tr w:rsidR="00B26C8D" w:rsidRPr="00B26C8D" w:rsidTr="00020029">
        <w:trPr>
          <w:gridBefore w:val="1"/>
          <w:wBefore w:w="96" w:type="dxa"/>
          <w:trHeight w:val="612"/>
        </w:trPr>
        <w:tc>
          <w:tcPr>
            <w:tcW w:w="1808" w:type="dxa"/>
            <w:gridSpan w:val="2"/>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3A.73</w:t>
            </w:r>
            <w:proofErr w:type="spellEnd"/>
          </w:p>
        </w:tc>
        <w:tc>
          <w:tcPr>
            <w:tcW w:w="7101" w:type="dxa"/>
            <w:gridSpan w:val="2"/>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State Government real expenditure on child care and preschool services, Queensland (2012</w:t>
            </w:r>
            <w:r w:rsidR="00172534">
              <w:rPr>
                <w:rFonts w:ascii="Arial" w:hAnsi="Arial" w:cs="Arial"/>
                <w:sz w:val="20"/>
                <w:szCs w:val="20"/>
              </w:rPr>
              <w:noBreakHyphen/>
            </w:r>
            <w:r w:rsidRPr="00B26C8D">
              <w:rPr>
                <w:rFonts w:ascii="Arial" w:hAnsi="Arial" w:cs="Arial"/>
                <w:sz w:val="20"/>
                <w:szCs w:val="20"/>
              </w:rPr>
              <w:t>13 dollars) ($'000)</w:t>
            </w:r>
            <w:r w:rsidR="00172534">
              <w:rPr>
                <w:rFonts w:ascii="Arial" w:hAnsi="Arial" w:cs="Arial"/>
                <w:sz w:val="20"/>
                <w:szCs w:val="20"/>
              </w:rPr>
              <w:t xml:space="preserve"> </w:t>
            </w:r>
          </w:p>
        </w:tc>
      </w:tr>
      <w:tr w:rsidR="00B26C8D" w:rsidRPr="00B26C8D" w:rsidTr="00020029">
        <w:trPr>
          <w:gridBefore w:val="1"/>
          <w:wBefore w:w="96" w:type="dxa"/>
          <w:trHeight w:val="357"/>
        </w:trPr>
        <w:tc>
          <w:tcPr>
            <w:tcW w:w="1808" w:type="dxa"/>
            <w:gridSpan w:val="2"/>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3A.74</w:t>
            </w:r>
            <w:proofErr w:type="spellEnd"/>
          </w:p>
        </w:tc>
        <w:tc>
          <w:tcPr>
            <w:tcW w:w="7101" w:type="dxa"/>
            <w:gridSpan w:val="2"/>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Characteristics of child care and preschool services, Queensland</w:t>
            </w:r>
            <w:r w:rsidR="00172534">
              <w:rPr>
                <w:rFonts w:ascii="Arial" w:hAnsi="Arial" w:cs="Arial"/>
                <w:sz w:val="20"/>
                <w:szCs w:val="20"/>
              </w:rPr>
              <w:t xml:space="preserve"> </w:t>
            </w:r>
          </w:p>
        </w:tc>
      </w:tr>
      <w:tr w:rsidR="00B26C8D" w:rsidRPr="00B26C8D" w:rsidTr="00020029">
        <w:trPr>
          <w:gridBefore w:val="1"/>
          <w:wBefore w:w="96" w:type="dxa"/>
          <w:trHeight w:val="612"/>
        </w:trPr>
        <w:tc>
          <w:tcPr>
            <w:tcW w:w="1808" w:type="dxa"/>
            <w:gridSpan w:val="2"/>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3A.75</w:t>
            </w:r>
            <w:proofErr w:type="spellEnd"/>
          </w:p>
        </w:tc>
        <w:tc>
          <w:tcPr>
            <w:tcW w:w="7101" w:type="dxa"/>
            <w:gridSpan w:val="2"/>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Children aged 0–12 years using State Government funded and/or provided child care services, by age, Queensland</w:t>
            </w:r>
            <w:r w:rsidR="00172534">
              <w:rPr>
                <w:rFonts w:ascii="Arial" w:hAnsi="Arial" w:cs="Arial"/>
                <w:sz w:val="20"/>
                <w:szCs w:val="20"/>
              </w:rPr>
              <w:t xml:space="preserve"> </w:t>
            </w:r>
          </w:p>
        </w:tc>
      </w:tr>
      <w:tr w:rsidR="00B26C8D" w:rsidRPr="00B26C8D" w:rsidTr="00020029">
        <w:trPr>
          <w:gridBefore w:val="1"/>
          <w:wBefore w:w="96" w:type="dxa"/>
          <w:trHeight w:val="612"/>
        </w:trPr>
        <w:tc>
          <w:tcPr>
            <w:tcW w:w="1808" w:type="dxa"/>
            <w:gridSpan w:val="2"/>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3A.76</w:t>
            </w:r>
            <w:proofErr w:type="spellEnd"/>
          </w:p>
        </w:tc>
        <w:tc>
          <w:tcPr>
            <w:tcW w:w="7101" w:type="dxa"/>
            <w:gridSpan w:val="2"/>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Staff employed by State Government funded and/or managed child care and preschool service providers, Queensland</w:t>
            </w:r>
            <w:r w:rsidR="00172534">
              <w:rPr>
                <w:rFonts w:ascii="Arial" w:hAnsi="Arial" w:cs="Arial"/>
                <w:sz w:val="20"/>
                <w:szCs w:val="20"/>
              </w:rPr>
              <w:t xml:space="preserve"> </w:t>
            </w:r>
          </w:p>
        </w:tc>
      </w:tr>
      <w:tr w:rsidR="00B26C8D" w:rsidRPr="00B26C8D" w:rsidTr="00020029">
        <w:trPr>
          <w:gridBefore w:val="1"/>
          <w:wBefore w:w="96" w:type="dxa"/>
          <w:trHeight w:val="612"/>
        </w:trPr>
        <w:tc>
          <w:tcPr>
            <w:tcW w:w="1808" w:type="dxa"/>
            <w:gridSpan w:val="2"/>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3A.77</w:t>
            </w:r>
            <w:proofErr w:type="spellEnd"/>
          </w:p>
        </w:tc>
        <w:tc>
          <w:tcPr>
            <w:tcW w:w="7101" w:type="dxa"/>
            <w:gridSpan w:val="2"/>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Paid staff employed by State Government funded and/or managed child care and preschool service providers, by qualification and experience, Queensland</w:t>
            </w:r>
            <w:r w:rsidR="00172534">
              <w:rPr>
                <w:rFonts w:ascii="Arial" w:hAnsi="Arial" w:cs="Arial"/>
                <w:sz w:val="20"/>
                <w:szCs w:val="20"/>
              </w:rPr>
              <w:t xml:space="preserve"> </w:t>
            </w:r>
          </w:p>
        </w:tc>
      </w:tr>
      <w:tr w:rsidR="00B26C8D" w:rsidRPr="00B26C8D" w:rsidTr="00020029">
        <w:trPr>
          <w:gridBefore w:val="1"/>
          <w:wBefore w:w="96" w:type="dxa"/>
          <w:trHeight w:val="357"/>
        </w:trPr>
        <w:tc>
          <w:tcPr>
            <w:tcW w:w="1808" w:type="dxa"/>
            <w:gridSpan w:val="2"/>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3A.78</w:t>
            </w:r>
            <w:proofErr w:type="spellEnd"/>
          </w:p>
        </w:tc>
        <w:tc>
          <w:tcPr>
            <w:tcW w:w="7101" w:type="dxa"/>
            <w:gridSpan w:val="2"/>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Approved and/or licensed service providers, by management type, Queensland</w:t>
            </w:r>
            <w:r w:rsidR="00172534">
              <w:rPr>
                <w:rFonts w:ascii="Arial" w:hAnsi="Arial" w:cs="Arial"/>
                <w:sz w:val="20"/>
                <w:szCs w:val="20"/>
              </w:rPr>
              <w:t xml:space="preserve"> </w:t>
            </w:r>
          </w:p>
        </w:tc>
      </w:tr>
      <w:tr w:rsidR="00B26C8D" w:rsidRPr="00B26C8D" w:rsidTr="00020029">
        <w:trPr>
          <w:gridBefore w:val="1"/>
          <w:wBefore w:w="96" w:type="dxa"/>
          <w:trHeight w:val="612"/>
        </w:trPr>
        <w:tc>
          <w:tcPr>
            <w:tcW w:w="1808" w:type="dxa"/>
            <w:gridSpan w:val="2"/>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3A.79</w:t>
            </w:r>
            <w:proofErr w:type="spellEnd"/>
          </w:p>
        </w:tc>
        <w:tc>
          <w:tcPr>
            <w:tcW w:w="7101" w:type="dxa"/>
            <w:gridSpan w:val="2"/>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 xml:space="preserve">Substantiated breaches arising from complaints about State Government registered or licensed service providers, Queensland </w:t>
            </w:r>
          </w:p>
        </w:tc>
      </w:tr>
      <w:tr w:rsidR="00B26C8D" w:rsidRPr="00B26C8D" w:rsidTr="00020029">
        <w:trPr>
          <w:gridBefore w:val="1"/>
          <w:wBefore w:w="96" w:type="dxa"/>
          <w:trHeight w:val="357"/>
        </w:trPr>
        <w:tc>
          <w:tcPr>
            <w:tcW w:w="8909" w:type="dxa"/>
            <w:gridSpan w:val="4"/>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Single jurisdiction data – WA</w:t>
            </w:r>
          </w:p>
        </w:tc>
      </w:tr>
      <w:tr w:rsidR="00B26C8D" w:rsidRPr="00B26C8D" w:rsidTr="00020029">
        <w:trPr>
          <w:gridBefore w:val="1"/>
          <w:wBefore w:w="96" w:type="dxa"/>
          <w:trHeight w:val="612"/>
        </w:trPr>
        <w:tc>
          <w:tcPr>
            <w:tcW w:w="1808" w:type="dxa"/>
            <w:gridSpan w:val="2"/>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3A.80</w:t>
            </w:r>
            <w:proofErr w:type="spellEnd"/>
          </w:p>
        </w:tc>
        <w:tc>
          <w:tcPr>
            <w:tcW w:w="7101" w:type="dxa"/>
            <w:gridSpan w:val="2"/>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State Government real expenditure on child care and preschool services, Western Australia (2012</w:t>
            </w:r>
            <w:r w:rsidR="00172534">
              <w:rPr>
                <w:rFonts w:ascii="Arial" w:hAnsi="Arial" w:cs="Arial"/>
                <w:sz w:val="20"/>
                <w:szCs w:val="20"/>
              </w:rPr>
              <w:noBreakHyphen/>
            </w:r>
            <w:r w:rsidRPr="00B26C8D">
              <w:rPr>
                <w:rFonts w:ascii="Arial" w:hAnsi="Arial" w:cs="Arial"/>
                <w:sz w:val="20"/>
                <w:szCs w:val="20"/>
              </w:rPr>
              <w:t>13 dollars) ($'000)</w:t>
            </w:r>
            <w:r w:rsidR="00172534">
              <w:rPr>
                <w:rFonts w:ascii="Arial" w:hAnsi="Arial" w:cs="Arial"/>
                <w:sz w:val="20"/>
                <w:szCs w:val="20"/>
              </w:rPr>
              <w:t xml:space="preserve"> </w:t>
            </w:r>
          </w:p>
        </w:tc>
      </w:tr>
      <w:tr w:rsidR="00B26C8D" w:rsidRPr="00B26C8D" w:rsidTr="00020029">
        <w:trPr>
          <w:gridBefore w:val="1"/>
          <w:wBefore w:w="96" w:type="dxa"/>
          <w:trHeight w:val="357"/>
        </w:trPr>
        <w:tc>
          <w:tcPr>
            <w:tcW w:w="1808" w:type="dxa"/>
            <w:gridSpan w:val="2"/>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3A.81</w:t>
            </w:r>
            <w:proofErr w:type="spellEnd"/>
          </w:p>
        </w:tc>
        <w:tc>
          <w:tcPr>
            <w:tcW w:w="7101" w:type="dxa"/>
            <w:gridSpan w:val="2"/>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Characteristics of child care and preschool services, Western Australia</w:t>
            </w:r>
            <w:r w:rsidR="00172534">
              <w:rPr>
                <w:rFonts w:ascii="Arial" w:hAnsi="Arial" w:cs="Arial"/>
                <w:sz w:val="20"/>
                <w:szCs w:val="20"/>
              </w:rPr>
              <w:t xml:space="preserve"> </w:t>
            </w:r>
          </w:p>
        </w:tc>
      </w:tr>
      <w:tr w:rsidR="00B26C8D" w:rsidRPr="00B26C8D" w:rsidTr="00020029">
        <w:trPr>
          <w:gridBefore w:val="1"/>
          <w:wBefore w:w="96" w:type="dxa"/>
          <w:trHeight w:val="612"/>
        </w:trPr>
        <w:tc>
          <w:tcPr>
            <w:tcW w:w="1808" w:type="dxa"/>
            <w:gridSpan w:val="2"/>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3A.82</w:t>
            </w:r>
            <w:proofErr w:type="spellEnd"/>
          </w:p>
        </w:tc>
        <w:tc>
          <w:tcPr>
            <w:tcW w:w="7101" w:type="dxa"/>
            <w:gridSpan w:val="2"/>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 xml:space="preserve">Children aged 0–12 years using State Government funded and/or provided child care services, by age, Western Australia </w:t>
            </w:r>
          </w:p>
        </w:tc>
      </w:tr>
      <w:tr w:rsidR="00B26C8D" w:rsidRPr="00B26C8D" w:rsidTr="00020029">
        <w:trPr>
          <w:gridBefore w:val="1"/>
          <w:wBefore w:w="96" w:type="dxa"/>
          <w:trHeight w:val="612"/>
        </w:trPr>
        <w:tc>
          <w:tcPr>
            <w:tcW w:w="1808" w:type="dxa"/>
            <w:gridSpan w:val="2"/>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3A.83</w:t>
            </w:r>
            <w:proofErr w:type="spellEnd"/>
          </w:p>
        </w:tc>
        <w:tc>
          <w:tcPr>
            <w:tcW w:w="7101" w:type="dxa"/>
            <w:gridSpan w:val="2"/>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 xml:space="preserve">Staff employed by State Government funded and/or managed child care and preschool service providers, Western Australia </w:t>
            </w:r>
          </w:p>
        </w:tc>
      </w:tr>
      <w:tr w:rsidR="00B26C8D" w:rsidRPr="00B26C8D" w:rsidTr="00020029">
        <w:trPr>
          <w:gridBefore w:val="1"/>
          <w:wBefore w:w="96" w:type="dxa"/>
          <w:trHeight w:val="612"/>
        </w:trPr>
        <w:tc>
          <w:tcPr>
            <w:tcW w:w="1808" w:type="dxa"/>
            <w:gridSpan w:val="2"/>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lastRenderedPageBreak/>
              <w:t>Table</w:t>
            </w:r>
            <w:r w:rsidR="00172534">
              <w:rPr>
                <w:rFonts w:ascii="Arial" w:hAnsi="Arial" w:cs="Arial"/>
                <w:b/>
                <w:bCs/>
                <w:sz w:val="20"/>
                <w:szCs w:val="20"/>
              </w:rPr>
              <w:t> </w:t>
            </w:r>
            <w:proofErr w:type="spellStart"/>
            <w:r w:rsidRPr="00B42A3B">
              <w:rPr>
                <w:rFonts w:ascii="Arial" w:hAnsi="Arial" w:cs="Arial"/>
                <w:b/>
                <w:bCs/>
                <w:sz w:val="20"/>
                <w:szCs w:val="20"/>
              </w:rPr>
              <w:t>3A.84</w:t>
            </w:r>
            <w:proofErr w:type="spellEnd"/>
          </w:p>
        </w:tc>
        <w:tc>
          <w:tcPr>
            <w:tcW w:w="7101" w:type="dxa"/>
            <w:gridSpan w:val="2"/>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Paid staff employed by State Government funded and/or managed child care and preschool service providers, by qualification and experience, Western Australia</w:t>
            </w:r>
            <w:r w:rsidR="00172534">
              <w:rPr>
                <w:rFonts w:ascii="Arial" w:hAnsi="Arial" w:cs="Arial"/>
                <w:sz w:val="20"/>
                <w:szCs w:val="20"/>
              </w:rPr>
              <w:t xml:space="preserve"> </w:t>
            </w:r>
          </w:p>
        </w:tc>
      </w:tr>
      <w:tr w:rsidR="00B26C8D" w:rsidRPr="00B26C8D" w:rsidTr="00020029">
        <w:trPr>
          <w:gridBefore w:val="1"/>
          <w:wBefore w:w="96" w:type="dxa"/>
          <w:trHeight w:val="612"/>
        </w:trPr>
        <w:tc>
          <w:tcPr>
            <w:tcW w:w="1808" w:type="dxa"/>
            <w:gridSpan w:val="2"/>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3A.85</w:t>
            </w:r>
            <w:proofErr w:type="spellEnd"/>
          </w:p>
        </w:tc>
        <w:tc>
          <w:tcPr>
            <w:tcW w:w="7101" w:type="dxa"/>
            <w:gridSpan w:val="2"/>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 xml:space="preserve">Approved and/or licensed service providers, by management type, Western Australia </w:t>
            </w:r>
          </w:p>
        </w:tc>
      </w:tr>
      <w:tr w:rsidR="00B26C8D" w:rsidRPr="00B26C8D" w:rsidTr="00020029">
        <w:trPr>
          <w:gridBefore w:val="1"/>
          <w:wBefore w:w="96" w:type="dxa"/>
          <w:trHeight w:val="612"/>
        </w:trPr>
        <w:tc>
          <w:tcPr>
            <w:tcW w:w="1808" w:type="dxa"/>
            <w:gridSpan w:val="2"/>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3A.86</w:t>
            </w:r>
            <w:proofErr w:type="spellEnd"/>
          </w:p>
        </w:tc>
        <w:tc>
          <w:tcPr>
            <w:tcW w:w="7101" w:type="dxa"/>
            <w:gridSpan w:val="2"/>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Substantiated breaches arising from complaints about State Government registered or licensed service providers, Western Australia</w:t>
            </w:r>
            <w:r w:rsidR="00172534">
              <w:rPr>
                <w:rFonts w:ascii="Arial" w:hAnsi="Arial" w:cs="Arial"/>
                <w:sz w:val="20"/>
                <w:szCs w:val="20"/>
              </w:rPr>
              <w:t xml:space="preserve"> </w:t>
            </w:r>
          </w:p>
        </w:tc>
      </w:tr>
      <w:tr w:rsidR="00B26C8D" w:rsidRPr="00B26C8D" w:rsidTr="00020029">
        <w:trPr>
          <w:gridBefore w:val="1"/>
          <w:wBefore w:w="96" w:type="dxa"/>
          <w:trHeight w:val="357"/>
        </w:trPr>
        <w:tc>
          <w:tcPr>
            <w:tcW w:w="8909" w:type="dxa"/>
            <w:gridSpan w:val="4"/>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Single jurisdiction data – SA</w:t>
            </w:r>
          </w:p>
        </w:tc>
      </w:tr>
      <w:tr w:rsidR="00B26C8D" w:rsidRPr="00B26C8D" w:rsidTr="00020029">
        <w:trPr>
          <w:gridBefore w:val="1"/>
          <w:wBefore w:w="96" w:type="dxa"/>
          <w:trHeight w:val="612"/>
        </w:trPr>
        <w:tc>
          <w:tcPr>
            <w:tcW w:w="1808" w:type="dxa"/>
            <w:gridSpan w:val="2"/>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3A.87</w:t>
            </w:r>
            <w:proofErr w:type="spellEnd"/>
          </w:p>
        </w:tc>
        <w:tc>
          <w:tcPr>
            <w:tcW w:w="7101" w:type="dxa"/>
            <w:gridSpan w:val="2"/>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State Government real expenditure on child care and preschool services, South Australia (2012</w:t>
            </w:r>
            <w:r w:rsidR="00172534">
              <w:rPr>
                <w:rFonts w:ascii="Arial" w:hAnsi="Arial" w:cs="Arial"/>
                <w:sz w:val="20"/>
                <w:szCs w:val="20"/>
              </w:rPr>
              <w:noBreakHyphen/>
            </w:r>
            <w:r w:rsidRPr="00B26C8D">
              <w:rPr>
                <w:rFonts w:ascii="Arial" w:hAnsi="Arial" w:cs="Arial"/>
                <w:sz w:val="20"/>
                <w:szCs w:val="20"/>
              </w:rPr>
              <w:t>13 dollars) ($'000)</w:t>
            </w:r>
            <w:r w:rsidR="00172534">
              <w:rPr>
                <w:rFonts w:ascii="Arial" w:hAnsi="Arial" w:cs="Arial"/>
                <w:sz w:val="20"/>
                <w:szCs w:val="20"/>
              </w:rPr>
              <w:t xml:space="preserve"> </w:t>
            </w:r>
          </w:p>
        </w:tc>
      </w:tr>
      <w:tr w:rsidR="00B26C8D" w:rsidRPr="00B26C8D" w:rsidTr="00020029">
        <w:trPr>
          <w:gridBefore w:val="1"/>
          <w:wBefore w:w="96" w:type="dxa"/>
          <w:trHeight w:val="357"/>
        </w:trPr>
        <w:tc>
          <w:tcPr>
            <w:tcW w:w="1808" w:type="dxa"/>
            <w:gridSpan w:val="2"/>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3A.88</w:t>
            </w:r>
            <w:proofErr w:type="spellEnd"/>
          </w:p>
        </w:tc>
        <w:tc>
          <w:tcPr>
            <w:tcW w:w="7101" w:type="dxa"/>
            <w:gridSpan w:val="2"/>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Characteristics of child care and preschool services, South Australia</w:t>
            </w:r>
            <w:r w:rsidR="00172534">
              <w:rPr>
                <w:rFonts w:ascii="Arial" w:hAnsi="Arial" w:cs="Arial"/>
                <w:sz w:val="20"/>
                <w:szCs w:val="20"/>
              </w:rPr>
              <w:t xml:space="preserve"> </w:t>
            </w:r>
          </w:p>
        </w:tc>
      </w:tr>
      <w:tr w:rsidR="00B26C8D" w:rsidRPr="00B26C8D" w:rsidTr="00020029">
        <w:trPr>
          <w:gridBefore w:val="1"/>
          <w:wBefore w:w="96" w:type="dxa"/>
          <w:trHeight w:val="612"/>
        </w:trPr>
        <w:tc>
          <w:tcPr>
            <w:tcW w:w="1808" w:type="dxa"/>
            <w:gridSpan w:val="2"/>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3A.89</w:t>
            </w:r>
            <w:proofErr w:type="spellEnd"/>
          </w:p>
        </w:tc>
        <w:tc>
          <w:tcPr>
            <w:tcW w:w="7101" w:type="dxa"/>
            <w:gridSpan w:val="2"/>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Children aged 0–12 years using State Government funded and/or provided child care services, by age, South Australia</w:t>
            </w:r>
          </w:p>
        </w:tc>
      </w:tr>
      <w:tr w:rsidR="00B26C8D" w:rsidRPr="00B26C8D" w:rsidTr="00020029">
        <w:trPr>
          <w:gridBefore w:val="1"/>
          <w:wBefore w:w="96" w:type="dxa"/>
          <w:trHeight w:val="612"/>
        </w:trPr>
        <w:tc>
          <w:tcPr>
            <w:tcW w:w="1808" w:type="dxa"/>
            <w:gridSpan w:val="2"/>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3A.90</w:t>
            </w:r>
            <w:proofErr w:type="spellEnd"/>
          </w:p>
        </w:tc>
        <w:tc>
          <w:tcPr>
            <w:tcW w:w="7101" w:type="dxa"/>
            <w:gridSpan w:val="2"/>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 xml:space="preserve">Staff employed by State Government funded and/or managed child care and preschool service providers, South Australia </w:t>
            </w:r>
          </w:p>
        </w:tc>
      </w:tr>
      <w:tr w:rsidR="00B26C8D" w:rsidRPr="00B26C8D" w:rsidTr="00020029">
        <w:trPr>
          <w:gridBefore w:val="1"/>
          <w:wBefore w:w="96" w:type="dxa"/>
          <w:trHeight w:val="612"/>
        </w:trPr>
        <w:tc>
          <w:tcPr>
            <w:tcW w:w="1808" w:type="dxa"/>
            <w:gridSpan w:val="2"/>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3A.91</w:t>
            </w:r>
            <w:proofErr w:type="spellEnd"/>
          </w:p>
        </w:tc>
        <w:tc>
          <w:tcPr>
            <w:tcW w:w="7101" w:type="dxa"/>
            <w:gridSpan w:val="2"/>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 xml:space="preserve">Paid staff employed by State Government funded and/or managed child care and preschool service providers, by qualification and experience, South Australia </w:t>
            </w:r>
          </w:p>
        </w:tc>
      </w:tr>
      <w:tr w:rsidR="00B26C8D" w:rsidRPr="00B26C8D" w:rsidTr="00020029">
        <w:trPr>
          <w:gridBefore w:val="1"/>
          <w:wBefore w:w="96" w:type="dxa"/>
          <w:trHeight w:val="357"/>
        </w:trPr>
        <w:tc>
          <w:tcPr>
            <w:tcW w:w="1808" w:type="dxa"/>
            <w:gridSpan w:val="2"/>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3A.92</w:t>
            </w:r>
            <w:proofErr w:type="spellEnd"/>
          </w:p>
        </w:tc>
        <w:tc>
          <w:tcPr>
            <w:tcW w:w="7101" w:type="dxa"/>
            <w:gridSpan w:val="2"/>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 xml:space="preserve">Approved and/or licensed service providers, by management type, South Australia </w:t>
            </w:r>
          </w:p>
        </w:tc>
      </w:tr>
      <w:tr w:rsidR="00B26C8D" w:rsidRPr="00B26C8D" w:rsidTr="00020029">
        <w:trPr>
          <w:gridBefore w:val="1"/>
          <w:wBefore w:w="96" w:type="dxa"/>
          <w:trHeight w:val="612"/>
        </w:trPr>
        <w:tc>
          <w:tcPr>
            <w:tcW w:w="1808" w:type="dxa"/>
            <w:gridSpan w:val="2"/>
            <w:tcBorders>
              <w:top w:val="nil"/>
              <w:left w:val="nil"/>
              <w:bottom w:val="nil"/>
              <w:right w:val="nil"/>
            </w:tcBorders>
            <w:shd w:val="clear" w:color="auto" w:fill="auto"/>
            <w:noWrap/>
            <w:hideMark/>
          </w:tcPr>
          <w:p w:rsidR="00B26C8D" w:rsidRPr="00B42A3B" w:rsidRDefault="00B26C8D" w:rsidP="00B26C8D">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3A.93</w:t>
            </w:r>
            <w:proofErr w:type="spellEnd"/>
          </w:p>
        </w:tc>
        <w:tc>
          <w:tcPr>
            <w:tcW w:w="7101" w:type="dxa"/>
            <w:gridSpan w:val="2"/>
            <w:tcBorders>
              <w:top w:val="nil"/>
              <w:left w:val="nil"/>
              <w:bottom w:val="nil"/>
              <w:right w:val="nil"/>
            </w:tcBorders>
            <w:shd w:val="clear" w:color="auto" w:fill="auto"/>
            <w:hideMark/>
          </w:tcPr>
          <w:p w:rsidR="00B26C8D" w:rsidRPr="00B26C8D" w:rsidRDefault="00B26C8D" w:rsidP="00B26C8D">
            <w:pPr>
              <w:jc w:val="both"/>
              <w:rPr>
                <w:rFonts w:ascii="Arial" w:hAnsi="Arial" w:cs="Arial"/>
                <w:sz w:val="20"/>
                <w:szCs w:val="20"/>
              </w:rPr>
            </w:pPr>
            <w:r w:rsidRPr="00B26C8D">
              <w:rPr>
                <w:rFonts w:ascii="Arial" w:hAnsi="Arial" w:cs="Arial"/>
                <w:sz w:val="20"/>
                <w:szCs w:val="20"/>
              </w:rPr>
              <w:t xml:space="preserve">Substantiated breaches arising from complaints about State Government registered or licensed service providers, South Australia </w:t>
            </w:r>
          </w:p>
        </w:tc>
      </w:tr>
      <w:tr w:rsidR="00C66ECF" w:rsidRPr="00C66ECF" w:rsidTr="000200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07" w:type="dxa"/>
          <w:trHeight w:val="178"/>
        </w:trPr>
        <w:tc>
          <w:tcPr>
            <w:tcW w:w="8898" w:type="dxa"/>
            <w:gridSpan w:val="4"/>
            <w:tcBorders>
              <w:top w:val="nil"/>
              <w:left w:val="nil"/>
              <w:bottom w:val="nil"/>
              <w:right w:val="nil"/>
            </w:tcBorders>
            <w:shd w:val="clear" w:color="auto" w:fill="auto"/>
            <w:noWrap/>
          </w:tcPr>
          <w:tbl>
            <w:tblPr>
              <w:tblW w:w="8682" w:type="dxa"/>
              <w:tblLook w:val="04A0" w:firstRow="1" w:lastRow="0" w:firstColumn="1" w:lastColumn="0" w:noHBand="0" w:noVBand="1"/>
            </w:tblPr>
            <w:tblGrid>
              <w:gridCol w:w="1765"/>
              <w:gridCol w:w="6917"/>
            </w:tblGrid>
            <w:tr w:rsidR="00C66ECF" w:rsidRPr="00B42A3B" w:rsidTr="007138CA">
              <w:trPr>
                <w:trHeight w:val="357"/>
              </w:trPr>
              <w:tc>
                <w:tcPr>
                  <w:tcW w:w="8682" w:type="dxa"/>
                  <w:gridSpan w:val="2"/>
                  <w:tcBorders>
                    <w:top w:val="nil"/>
                    <w:left w:val="nil"/>
                    <w:bottom w:val="nil"/>
                    <w:right w:val="nil"/>
                  </w:tcBorders>
                  <w:shd w:val="clear" w:color="auto" w:fill="auto"/>
                  <w:noWrap/>
                  <w:hideMark/>
                </w:tcPr>
                <w:p w:rsidR="00C66ECF" w:rsidRPr="00B42A3B" w:rsidRDefault="00C66ECF" w:rsidP="00C66ECF">
                  <w:pPr>
                    <w:rPr>
                      <w:rFonts w:ascii="Arial" w:hAnsi="Arial" w:cs="Arial"/>
                      <w:b/>
                      <w:bCs/>
                      <w:sz w:val="20"/>
                      <w:szCs w:val="20"/>
                    </w:rPr>
                  </w:pPr>
                  <w:r w:rsidRPr="00B42A3B">
                    <w:rPr>
                      <w:rFonts w:ascii="Arial" w:hAnsi="Arial" w:cs="Arial"/>
                      <w:b/>
                      <w:bCs/>
                      <w:sz w:val="20"/>
                      <w:szCs w:val="20"/>
                    </w:rPr>
                    <w:t xml:space="preserve">Single jurisdiction data – </w:t>
                  </w:r>
                  <w:proofErr w:type="spellStart"/>
                  <w:r w:rsidRPr="00B42A3B">
                    <w:rPr>
                      <w:rFonts w:ascii="Arial" w:hAnsi="Arial" w:cs="Arial"/>
                      <w:b/>
                      <w:bCs/>
                      <w:sz w:val="20"/>
                      <w:szCs w:val="20"/>
                    </w:rPr>
                    <w:t>Tas</w:t>
                  </w:r>
                  <w:proofErr w:type="spellEnd"/>
                </w:p>
              </w:tc>
            </w:tr>
            <w:tr w:rsidR="00C66ECF" w:rsidRPr="00B42A3B" w:rsidTr="007138CA">
              <w:trPr>
                <w:trHeight w:val="612"/>
              </w:trPr>
              <w:tc>
                <w:tcPr>
                  <w:tcW w:w="1765" w:type="dxa"/>
                  <w:tcBorders>
                    <w:top w:val="nil"/>
                    <w:left w:val="nil"/>
                    <w:bottom w:val="nil"/>
                    <w:right w:val="nil"/>
                  </w:tcBorders>
                  <w:shd w:val="clear" w:color="auto" w:fill="auto"/>
                  <w:noWrap/>
                  <w:hideMark/>
                </w:tcPr>
                <w:p w:rsidR="00C66ECF" w:rsidRPr="00B42A3B" w:rsidRDefault="00C66ECF">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3A.94</w:t>
                  </w:r>
                  <w:proofErr w:type="spellEnd"/>
                </w:p>
              </w:tc>
              <w:tc>
                <w:tcPr>
                  <w:tcW w:w="6917" w:type="dxa"/>
                  <w:tcBorders>
                    <w:top w:val="nil"/>
                    <w:left w:val="nil"/>
                    <w:bottom w:val="nil"/>
                    <w:right w:val="nil"/>
                  </w:tcBorders>
                  <w:shd w:val="clear" w:color="auto" w:fill="auto"/>
                  <w:hideMark/>
                </w:tcPr>
                <w:p w:rsidR="00C66ECF" w:rsidRPr="00B42A3B" w:rsidRDefault="00C66ECF">
                  <w:pPr>
                    <w:jc w:val="both"/>
                    <w:rPr>
                      <w:rFonts w:ascii="Arial" w:hAnsi="Arial" w:cs="Arial"/>
                      <w:sz w:val="20"/>
                      <w:szCs w:val="20"/>
                    </w:rPr>
                  </w:pPr>
                  <w:r w:rsidRPr="00B42A3B">
                    <w:rPr>
                      <w:rFonts w:ascii="Arial" w:hAnsi="Arial" w:cs="Arial"/>
                      <w:sz w:val="20"/>
                      <w:szCs w:val="20"/>
                    </w:rPr>
                    <w:t>State Government real expenditure on child care and preschool services, Tasmania (2012</w:t>
                  </w:r>
                  <w:r w:rsidR="00172534">
                    <w:rPr>
                      <w:rFonts w:ascii="Arial" w:hAnsi="Arial" w:cs="Arial"/>
                      <w:sz w:val="20"/>
                      <w:szCs w:val="20"/>
                    </w:rPr>
                    <w:noBreakHyphen/>
                  </w:r>
                  <w:r w:rsidRPr="00B42A3B">
                    <w:rPr>
                      <w:rFonts w:ascii="Arial" w:hAnsi="Arial" w:cs="Arial"/>
                      <w:sz w:val="20"/>
                      <w:szCs w:val="20"/>
                    </w:rPr>
                    <w:t>13 dollars) ($'000)</w:t>
                  </w:r>
                  <w:r w:rsidR="00172534">
                    <w:rPr>
                      <w:rFonts w:ascii="Arial" w:hAnsi="Arial" w:cs="Arial"/>
                      <w:sz w:val="20"/>
                      <w:szCs w:val="20"/>
                    </w:rPr>
                    <w:t xml:space="preserve"> </w:t>
                  </w:r>
                </w:p>
              </w:tc>
            </w:tr>
            <w:tr w:rsidR="00C66ECF" w:rsidRPr="00B42A3B" w:rsidTr="007138CA">
              <w:trPr>
                <w:trHeight w:val="357"/>
              </w:trPr>
              <w:tc>
                <w:tcPr>
                  <w:tcW w:w="1765" w:type="dxa"/>
                  <w:tcBorders>
                    <w:top w:val="nil"/>
                    <w:left w:val="nil"/>
                    <w:bottom w:val="nil"/>
                    <w:right w:val="nil"/>
                  </w:tcBorders>
                  <w:shd w:val="clear" w:color="auto" w:fill="auto"/>
                  <w:noWrap/>
                  <w:hideMark/>
                </w:tcPr>
                <w:p w:rsidR="00C66ECF" w:rsidRPr="00B42A3B" w:rsidRDefault="00C66ECF">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3A.95</w:t>
                  </w:r>
                  <w:proofErr w:type="spellEnd"/>
                </w:p>
              </w:tc>
              <w:tc>
                <w:tcPr>
                  <w:tcW w:w="6917" w:type="dxa"/>
                  <w:tcBorders>
                    <w:top w:val="nil"/>
                    <w:left w:val="nil"/>
                    <w:bottom w:val="nil"/>
                    <w:right w:val="nil"/>
                  </w:tcBorders>
                  <w:shd w:val="clear" w:color="auto" w:fill="auto"/>
                  <w:hideMark/>
                </w:tcPr>
                <w:p w:rsidR="00C66ECF" w:rsidRPr="00B42A3B" w:rsidRDefault="00C66ECF">
                  <w:pPr>
                    <w:jc w:val="both"/>
                    <w:rPr>
                      <w:rFonts w:ascii="Arial" w:hAnsi="Arial" w:cs="Arial"/>
                      <w:sz w:val="20"/>
                      <w:szCs w:val="20"/>
                    </w:rPr>
                  </w:pPr>
                  <w:r w:rsidRPr="00B42A3B">
                    <w:rPr>
                      <w:rFonts w:ascii="Arial" w:hAnsi="Arial" w:cs="Arial"/>
                      <w:sz w:val="20"/>
                      <w:szCs w:val="20"/>
                    </w:rPr>
                    <w:t>Characteristics of child care and preschool services, Tasmania</w:t>
                  </w:r>
                  <w:r w:rsidR="00172534">
                    <w:rPr>
                      <w:rFonts w:ascii="Arial" w:hAnsi="Arial" w:cs="Arial"/>
                      <w:sz w:val="20"/>
                      <w:szCs w:val="20"/>
                    </w:rPr>
                    <w:t xml:space="preserve"> </w:t>
                  </w:r>
                </w:p>
              </w:tc>
            </w:tr>
            <w:tr w:rsidR="00C66ECF" w:rsidRPr="00B42A3B" w:rsidTr="007138CA">
              <w:trPr>
                <w:trHeight w:val="612"/>
              </w:trPr>
              <w:tc>
                <w:tcPr>
                  <w:tcW w:w="1765" w:type="dxa"/>
                  <w:tcBorders>
                    <w:top w:val="nil"/>
                    <w:left w:val="nil"/>
                    <w:bottom w:val="nil"/>
                    <w:right w:val="nil"/>
                  </w:tcBorders>
                  <w:shd w:val="clear" w:color="auto" w:fill="auto"/>
                  <w:noWrap/>
                  <w:hideMark/>
                </w:tcPr>
                <w:p w:rsidR="00C66ECF" w:rsidRPr="00B42A3B" w:rsidRDefault="00C66ECF">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3A.96</w:t>
                  </w:r>
                  <w:proofErr w:type="spellEnd"/>
                </w:p>
              </w:tc>
              <w:tc>
                <w:tcPr>
                  <w:tcW w:w="6917" w:type="dxa"/>
                  <w:tcBorders>
                    <w:top w:val="nil"/>
                    <w:left w:val="nil"/>
                    <w:bottom w:val="nil"/>
                    <w:right w:val="nil"/>
                  </w:tcBorders>
                  <w:shd w:val="clear" w:color="auto" w:fill="auto"/>
                  <w:hideMark/>
                </w:tcPr>
                <w:p w:rsidR="00C66ECF" w:rsidRPr="00B42A3B" w:rsidRDefault="00C66ECF">
                  <w:pPr>
                    <w:jc w:val="both"/>
                    <w:rPr>
                      <w:rFonts w:ascii="Arial" w:hAnsi="Arial" w:cs="Arial"/>
                      <w:sz w:val="20"/>
                      <w:szCs w:val="20"/>
                    </w:rPr>
                  </w:pPr>
                  <w:r w:rsidRPr="00B42A3B">
                    <w:rPr>
                      <w:rFonts w:ascii="Arial" w:hAnsi="Arial" w:cs="Arial"/>
                      <w:sz w:val="20"/>
                      <w:szCs w:val="20"/>
                    </w:rPr>
                    <w:t xml:space="preserve">Children aged 0–12 years using State Government funded and/or provided child care services, by age, Tasmania </w:t>
                  </w:r>
                </w:p>
              </w:tc>
            </w:tr>
            <w:tr w:rsidR="00C66ECF" w:rsidRPr="00B42A3B" w:rsidTr="007138CA">
              <w:trPr>
                <w:trHeight w:val="612"/>
              </w:trPr>
              <w:tc>
                <w:tcPr>
                  <w:tcW w:w="1765" w:type="dxa"/>
                  <w:tcBorders>
                    <w:top w:val="nil"/>
                    <w:left w:val="nil"/>
                    <w:bottom w:val="nil"/>
                    <w:right w:val="nil"/>
                  </w:tcBorders>
                  <w:shd w:val="clear" w:color="auto" w:fill="auto"/>
                  <w:noWrap/>
                  <w:hideMark/>
                </w:tcPr>
                <w:p w:rsidR="00C66ECF" w:rsidRPr="00B42A3B" w:rsidRDefault="00C66ECF">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3A.97</w:t>
                  </w:r>
                  <w:proofErr w:type="spellEnd"/>
                </w:p>
              </w:tc>
              <w:tc>
                <w:tcPr>
                  <w:tcW w:w="6917" w:type="dxa"/>
                  <w:tcBorders>
                    <w:top w:val="nil"/>
                    <w:left w:val="nil"/>
                    <w:bottom w:val="nil"/>
                    <w:right w:val="nil"/>
                  </w:tcBorders>
                  <w:shd w:val="clear" w:color="auto" w:fill="auto"/>
                  <w:hideMark/>
                </w:tcPr>
                <w:p w:rsidR="00C66ECF" w:rsidRPr="00B42A3B" w:rsidRDefault="00C66ECF">
                  <w:pPr>
                    <w:jc w:val="both"/>
                    <w:rPr>
                      <w:rFonts w:ascii="Arial" w:hAnsi="Arial" w:cs="Arial"/>
                      <w:sz w:val="20"/>
                      <w:szCs w:val="20"/>
                    </w:rPr>
                  </w:pPr>
                  <w:r w:rsidRPr="00B42A3B">
                    <w:rPr>
                      <w:rFonts w:ascii="Arial" w:hAnsi="Arial" w:cs="Arial"/>
                      <w:sz w:val="20"/>
                      <w:szCs w:val="20"/>
                    </w:rPr>
                    <w:t xml:space="preserve">Staff employed by State Government funded and/or managed child care and preschool service providers, Tasmania </w:t>
                  </w:r>
                </w:p>
              </w:tc>
            </w:tr>
            <w:tr w:rsidR="00C66ECF" w:rsidRPr="00B42A3B" w:rsidTr="007138CA">
              <w:trPr>
                <w:trHeight w:val="612"/>
              </w:trPr>
              <w:tc>
                <w:tcPr>
                  <w:tcW w:w="1765" w:type="dxa"/>
                  <w:tcBorders>
                    <w:top w:val="nil"/>
                    <w:left w:val="nil"/>
                    <w:bottom w:val="nil"/>
                    <w:right w:val="nil"/>
                  </w:tcBorders>
                  <w:shd w:val="clear" w:color="auto" w:fill="auto"/>
                  <w:noWrap/>
                  <w:hideMark/>
                </w:tcPr>
                <w:p w:rsidR="00C66ECF" w:rsidRPr="00B42A3B" w:rsidRDefault="00C66ECF">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3A.98</w:t>
                  </w:r>
                  <w:proofErr w:type="spellEnd"/>
                </w:p>
              </w:tc>
              <w:tc>
                <w:tcPr>
                  <w:tcW w:w="6917" w:type="dxa"/>
                  <w:tcBorders>
                    <w:top w:val="nil"/>
                    <w:left w:val="nil"/>
                    <w:bottom w:val="nil"/>
                    <w:right w:val="nil"/>
                  </w:tcBorders>
                  <w:shd w:val="clear" w:color="auto" w:fill="auto"/>
                  <w:hideMark/>
                </w:tcPr>
                <w:p w:rsidR="00C66ECF" w:rsidRPr="00B42A3B" w:rsidRDefault="00C66ECF">
                  <w:pPr>
                    <w:jc w:val="both"/>
                    <w:rPr>
                      <w:rFonts w:ascii="Arial" w:hAnsi="Arial" w:cs="Arial"/>
                      <w:sz w:val="20"/>
                      <w:szCs w:val="20"/>
                    </w:rPr>
                  </w:pPr>
                  <w:r w:rsidRPr="00B42A3B">
                    <w:rPr>
                      <w:rFonts w:ascii="Arial" w:hAnsi="Arial" w:cs="Arial"/>
                      <w:sz w:val="20"/>
                      <w:szCs w:val="20"/>
                    </w:rPr>
                    <w:t xml:space="preserve">Paid staff employed by State Government funded and/or managed child care and preschool service providers, by qualification and experience, Tasmania </w:t>
                  </w:r>
                </w:p>
              </w:tc>
            </w:tr>
            <w:tr w:rsidR="00C66ECF" w:rsidRPr="00B42A3B" w:rsidTr="007138CA">
              <w:trPr>
                <w:trHeight w:val="357"/>
              </w:trPr>
              <w:tc>
                <w:tcPr>
                  <w:tcW w:w="1765" w:type="dxa"/>
                  <w:tcBorders>
                    <w:top w:val="nil"/>
                    <w:left w:val="nil"/>
                    <w:bottom w:val="nil"/>
                    <w:right w:val="nil"/>
                  </w:tcBorders>
                  <w:shd w:val="clear" w:color="auto" w:fill="auto"/>
                  <w:noWrap/>
                  <w:hideMark/>
                </w:tcPr>
                <w:p w:rsidR="00C66ECF" w:rsidRPr="00B42A3B" w:rsidRDefault="00C66ECF">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3A.99</w:t>
                  </w:r>
                  <w:proofErr w:type="spellEnd"/>
                </w:p>
              </w:tc>
              <w:tc>
                <w:tcPr>
                  <w:tcW w:w="6917" w:type="dxa"/>
                  <w:tcBorders>
                    <w:top w:val="nil"/>
                    <w:left w:val="nil"/>
                    <w:bottom w:val="nil"/>
                    <w:right w:val="nil"/>
                  </w:tcBorders>
                  <w:shd w:val="clear" w:color="auto" w:fill="auto"/>
                  <w:hideMark/>
                </w:tcPr>
                <w:p w:rsidR="00C66ECF" w:rsidRPr="00B42A3B" w:rsidRDefault="00C66ECF">
                  <w:pPr>
                    <w:jc w:val="both"/>
                    <w:rPr>
                      <w:rFonts w:ascii="Arial" w:hAnsi="Arial" w:cs="Arial"/>
                      <w:sz w:val="20"/>
                      <w:szCs w:val="20"/>
                    </w:rPr>
                  </w:pPr>
                  <w:r w:rsidRPr="00B42A3B">
                    <w:rPr>
                      <w:rFonts w:ascii="Arial" w:hAnsi="Arial" w:cs="Arial"/>
                      <w:sz w:val="20"/>
                      <w:szCs w:val="20"/>
                    </w:rPr>
                    <w:t xml:space="preserve">Approved and/or licensed service providers, by management type, Tasmania </w:t>
                  </w:r>
                </w:p>
              </w:tc>
            </w:tr>
            <w:tr w:rsidR="00C66ECF" w:rsidRPr="00B42A3B" w:rsidTr="007138CA">
              <w:trPr>
                <w:trHeight w:val="612"/>
              </w:trPr>
              <w:tc>
                <w:tcPr>
                  <w:tcW w:w="1765" w:type="dxa"/>
                  <w:tcBorders>
                    <w:top w:val="nil"/>
                    <w:left w:val="nil"/>
                    <w:bottom w:val="nil"/>
                    <w:right w:val="nil"/>
                  </w:tcBorders>
                  <w:shd w:val="clear" w:color="auto" w:fill="auto"/>
                  <w:noWrap/>
                  <w:hideMark/>
                </w:tcPr>
                <w:p w:rsidR="00C66ECF" w:rsidRPr="00B42A3B" w:rsidRDefault="00C66ECF">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3A.100</w:t>
                  </w:r>
                  <w:proofErr w:type="spellEnd"/>
                </w:p>
              </w:tc>
              <w:tc>
                <w:tcPr>
                  <w:tcW w:w="6917" w:type="dxa"/>
                  <w:tcBorders>
                    <w:top w:val="nil"/>
                    <w:left w:val="nil"/>
                    <w:bottom w:val="nil"/>
                    <w:right w:val="nil"/>
                  </w:tcBorders>
                  <w:shd w:val="clear" w:color="auto" w:fill="auto"/>
                  <w:hideMark/>
                </w:tcPr>
                <w:p w:rsidR="00C66ECF" w:rsidRPr="00B42A3B" w:rsidRDefault="00C66ECF">
                  <w:pPr>
                    <w:jc w:val="both"/>
                    <w:rPr>
                      <w:rFonts w:ascii="Arial" w:hAnsi="Arial" w:cs="Arial"/>
                      <w:sz w:val="20"/>
                      <w:szCs w:val="20"/>
                    </w:rPr>
                  </w:pPr>
                  <w:r w:rsidRPr="00B42A3B">
                    <w:rPr>
                      <w:rFonts w:ascii="Arial" w:hAnsi="Arial" w:cs="Arial"/>
                      <w:sz w:val="20"/>
                      <w:szCs w:val="20"/>
                    </w:rPr>
                    <w:t>Substantiated breaches arising from complaints about State Government registered or licensed service providers, Tasmania</w:t>
                  </w:r>
                </w:p>
              </w:tc>
            </w:tr>
            <w:tr w:rsidR="007138CA" w:rsidRPr="00B42A3B" w:rsidTr="007138CA">
              <w:trPr>
                <w:trHeight w:val="357"/>
              </w:trPr>
              <w:tc>
                <w:tcPr>
                  <w:tcW w:w="8682" w:type="dxa"/>
                  <w:gridSpan w:val="2"/>
                  <w:tcBorders>
                    <w:top w:val="nil"/>
                    <w:left w:val="nil"/>
                    <w:bottom w:val="nil"/>
                    <w:right w:val="nil"/>
                  </w:tcBorders>
                  <w:shd w:val="clear" w:color="auto" w:fill="auto"/>
                  <w:noWrap/>
                  <w:hideMark/>
                </w:tcPr>
                <w:p w:rsidR="007138CA" w:rsidRPr="00B42A3B" w:rsidRDefault="007138CA" w:rsidP="00BF17C6">
                  <w:pPr>
                    <w:rPr>
                      <w:rFonts w:ascii="Arial" w:hAnsi="Arial" w:cs="Arial"/>
                      <w:b/>
                      <w:bCs/>
                      <w:sz w:val="20"/>
                      <w:szCs w:val="20"/>
                    </w:rPr>
                  </w:pPr>
                  <w:r w:rsidRPr="00B42A3B">
                    <w:rPr>
                      <w:rFonts w:ascii="Arial" w:hAnsi="Arial" w:cs="Arial"/>
                      <w:b/>
                      <w:bCs/>
                      <w:sz w:val="20"/>
                      <w:szCs w:val="20"/>
                    </w:rPr>
                    <w:t>Single jurisdiction data – ACT</w:t>
                  </w:r>
                </w:p>
              </w:tc>
            </w:tr>
            <w:tr w:rsidR="007138CA" w:rsidRPr="00B42A3B" w:rsidTr="007138CA">
              <w:trPr>
                <w:trHeight w:val="612"/>
              </w:trPr>
              <w:tc>
                <w:tcPr>
                  <w:tcW w:w="1765" w:type="dxa"/>
                  <w:tcBorders>
                    <w:top w:val="nil"/>
                    <w:left w:val="nil"/>
                    <w:bottom w:val="nil"/>
                    <w:right w:val="nil"/>
                  </w:tcBorders>
                  <w:shd w:val="clear" w:color="auto" w:fill="auto"/>
                  <w:noWrap/>
                  <w:hideMark/>
                </w:tcPr>
                <w:p w:rsidR="007138CA" w:rsidRPr="00B42A3B" w:rsidRDefault="007138CA">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3A.101</w:t>
                  </w:r>
                  <w:proofErr w:type="spellEnd"/>
                </w:p>
              </w:tc>
              <w:tc>
                <w:tcPr>
                  <w:tcW w:w="6917" w:type="dxa"/>
                  <w:tcBorders>
                    <w:top w:val="nil"/>
                    <w:left w:val="nil"/>
                    <w:bottom w:val="nil"/>
                    <w:right w:val="nil"/>
                  </w:tcBorders>
                  <w:shd w:val="clear" w:color="auto" w:fill="auto"/>
                  <w:hideMark/>
                </w:tcPr>
                <w:p w:rsidR="007138CA" w:rsidRPr="00B42A3B" w:rsidRDefault="007138CA">
                  <w:pPr>
                    <w:jc w:val="both"/>
                    <w:rPr>
                      <w:rFonts w:ascii="Arial" w:hAnsi="Arial" w:cs="Arial"/>
                      <w:sz w:val="20"/>
                      <w:szCs w:val="20"/>
                    </w:rPr>
                  </w:pPr>
                  <w:r w:rsidRPr="00B42A3B">
                    <w:rPr>
                      <w:rFonts w:ascii="Arial" w:hAnsi="Arial" w:cs="Arial"/>
                      <w:sz w:val="20"/>
                      <w:szCs w:val="20"/>
                    </w:rPr>
                    <w:t>Territory Government real expenditure on child care and preschool services, Australian Capital Territory (2012</w:t>
                  </w:r>
                  <w:r w:rsidR="00172534">
                    <w:rPr>
                      <w:rFonts w:ascii="Arial" w:hAnsi="Arial" w:cs="Arial"/>
                      <w:sz w:val="20"/>
                      <w:szCs w:val="20"/>
                    </w:rPr>
                    <w:noBreakHyphen/>
                  </w:r>
                  <w:r w:rsidRPr="00B42A3B">
                    <w:rPr>
                      <w:rFonts w:ascii="Arial" w:hAnsi="Arial" w:cs="Arial"/>
                      <w:sz w:val="20"/>
                      <w:szCs w:val="20"/>
                    </w:rPr>
                    <w:t xml:space="preserve">13 dollars) ($'000) </w:t>
                  </w:r>
                </w:p>
              </w:tc>
            </w:tr>
            <w:tr w:rsidR="007138CA" w:rsidRPr="00B42A3B" w:rsidTr="007138CA">
              <w:trPr>
                <w:trHeight w:val="357"/>
              </w:trPr>
              <w:tc>
                <w:tcPr>
                  <w:tcW w:w="1765" w:type="dxa"/>
                  <w:tcBorders>
                    <w:top w:val="nil"/>
                    <w:left w:val="nil"/>
                    <w:bottom w:val="nil"/>
                    <w:right w:val="nil"/>
                  </w:tcBorders>
                  <w:shd w:val="clear" w:color="auto" w:fill="auto"/>
                  <w:noWrap/>
                  <w:hideMark/>
                </w:tcPr>
                <w:p w:rsidR="007138CA" w:rsidRPr="00B42A3B" w:rsidRDefault="007138CA">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3A.102</w:t>
                  </w:r>
                  <w:proofErr w:type="spellEnd"/>
                </w:p>
              </w:tc>
              <w:tc>
                <w:tcPr>
                  <w:tcW w:w="6917" w:type="dxa"/>
                  <w:tcBorders>
                    <w:top w:val="nil"/>
                    <w:left w:val="nil"/>
                    <w:bottom w:val="nil"/>
                    <w:right w:val="nil"/>
                  </w:tcBorders>
                  <w:shd w:val="clear" w:color="auto" w:fill="auto"/>
                  <w:hideMark/>
                </w:tcPr>
                <w:p w:rsidR="007138CA" w:rsidRPr="00B42A3B" w:rsidRDefault="007138CA">
                  <w:pPr>
                    <w:jc w:val="both"/>
                    <w:rPr>
                      <w:rFonts w:ascii="Arial" w:hAnsi="Arial" w:cs="Arial"/>
                      <w:sz w:val="20"/>
                      <w:szCs w:val="20"/>
                    </w:rPr>
                  </w:pPr>
                  <w:r w:rsidRPr="00B42A3B">
                    <w:rPr>
                      <w:rFonts w:ascii="Arial" w:hAnsi="Arial" w:cs="Arial"/>
                      <w:sz w:val="20"/>
                      <w:szCs w:val="20"/>
                    </w:rPr>
                    <w:t>Characteristics of child care and preschool services, Australian Capital Territory</w:t>
                  </w:r>
                  <w:r w:rsidR="00172534">
                    <w:rPr>
                      <w:rFonts w:ascii="Arial" w:hAnsi="Arial" w:cs="Arial"/>
                      <w:sz w:val="20"/>
                      <w:szCs w:val="20"/>
                    </w:rPr>
                    <w:t xml:space="preserve"> </w:t>
                  </w:r>
                </w:p>
              </w:tc>
            </w:tr>
            <w:tr w:rsidR="007138CA" w:rsidRPr="00B42A3B" w:rsidTr="007138CA">
              <w:trPr>
                <w:trHeight w:val="612"/>
              </w:trPr>
              <w:tc>
                <w:tcPr>
                  <w:tcW w:w="1765" w:type="dxa"/>
                  <w:tcBorders>
                    <w:top w:val="nil"/>
                    <w:left w:val="nil"/>
                    <w:bottom w:val="nil"/>
                    <w:right w:val="nil"/>
                  </w:tcBorders>
                  <w:shd w:val="clear" w:color="auto" w:fill="auto"/>
                  <w:noWrap/>
                  <w:hideMark/>
                </w:tcPr>
                <w:p w:rsidR="007138CA" w:rsidRPr="00B42A3B" w:rsidRDefault="007138CA">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3A.103</w:t>
                  </w:r>
                  <w:proofErr w:type="spellEnd"/>
                </w:p>
              </w:tc>
              <w:tc>
                <w:tcPr>
                  <w:tcW w:w="6917" w:type="dxa"/>
                  <w:tcBorders>
                    <w:top w:val="nil"/>
                    <w:left w:val="nil"/>
                    <w:bottom w:val="nil"/>
                    <w:right w:val="nil"/>
                  </w:tcBorders>
                  <w:shd w:val="clear" w:color="auto" w:fill="auto"/>
                  <w:hideMark/>
                </w:tcPr>
                <w:p w:rsidR="007138CA" w:rsidRPr="00B42A3B" w:rsidRDefault="007138CA">
                  <w:pPr>
                    <w:jc w:val="both"/>
                    <w:rPr>
                      <w:rFonts w:ascii="Arial" w:hAnsi="Arial" w:cs="Arial"/>
                      <w:sz w:val="20"/>
                      <w:szCs w:val="20"/>
                    </w:rPr>
                  </w:pPr>
                  <w:r w:rsidRPr="00B42A3B">
                    <w:rPr>
                      <w:rFonts w:ascii="Arial" w:hAnsi="Arial" w:cs="Arial"/>
                      <w:sz w:val="20"/>
                      <w:szCs w:val="20"/>
                    </w:rPr>
                    <w:t>Children aged 0–12 years using Territory Government funded and/or provided child care services, by age, Australian Capital Territory</w:t>
                  </w:r>
                </w:p>
              </w:tc>
            </w:tr>
            <w:tr w:rsidR="007138CA" w:rsidRPr="00B42A3B" w:rsidTr="007138CA">
              <w:trPr>
                <w:trHeight w:val="612"/>
              </w:trPr>
              <w:tc>
                <w:tcPr>
                  <w:tcW w:w="1765" w:type="dxa"/>
                  <w:tcBorders>
                    <w:top w:val="nil"/>
                    <w:left w:val="nil"/>
                    <w:bottom w:val="nil"/>
                    <w:right w:val="nil"/>
                  </w:tcBorders>
                  <w:shd w:val="clear" w:color="auto" w:fill="auto"/>
                  <w:noWrap/>
                  <w:hideMark/>
                </w:tcPr>
                <w:p w:rsidR="007138CA" w:rsidRPr="00B42A3B" w:rsidRDefault="007138CA">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3A.104</w:t>
                  </w:r>
                  <w:proofErr w:type="spellEnd"/>
                </w:p>
              </w:tc>
              <w:tc>
                <w:tcPr>
                  <w:tcW w:w="6917" w:type="dxa"/>
                  <w:tcBorders>
                    <w:top w:val="nil"/>
                    <w:left w:val="nil"/>
                    <w:bottom w:val="nil"/>
                    <w:right w:val="nil"/>
                  </w:tcBorders>
                  <w:shd w:val="clear" w:color="auto" w:fill="auto"/>
                  <w:hideMark/>
                </w:tcPr>
                <w:p w:rsidR="007138CA" w:rsidRPr="00B42A3B" w:rsidRDefault="007138CA">
                  <w:pPr>
                    <w:jc w:val="both"/>
                    <w:rPr>
                      <w:rFonts w:ascii="Arial" w:hAnsi="Arial" w:cs="Arial"/>
                      <w:sz w:val="20"/>
                      <w:szCs w:val="20"/>
                    </w:rPr>
                  </w:pPr>
                  <w:r w:rsidRPr="00B42A3B">
                    <w:rPr>
                      <w:rFonts w:ascii="Arial" w:hAnsi="Arial" w:cs="Arial"/>
                      <w:sz w:val="20"/>
                      <w:szCs w:val="20"/>
                    </w:rPr>
                    <w:t>Staff employed by Territory Government funded and/or managed child care and preschool service providers, Australian Capital Territory</w:t>
                  </w:r>
                  <w:r w:rsidR="00172534">
                    <w:rPr>
                      <w:rFonts w:ascii="Arial" w:hAnsi="Arial" w:cs="Arial"/>
                      <w:sz w:val="20"/>
                      <w:szCs w:val="20"/>
                    </w:rPr>
                    <w:t xml:space="preserve"> </w:t>
                  </w:r>
                </w:p>
              </w:tc>
            </w:tr>
            <w:tr w:rsidR="007138CA" w:rsidRPr="00B42A3B" w:rsidTr="007138CA">
              <w:trPr>
                <w:trHeight w:val="612"/>
              </w:trPr>
              <w:tc>
                <w:tcPr>
                  <w:tcW w:w="1765" w:type="dxa"/>
                  <w:tcBorders>
                    <w:top w:val="nil"/>
                    <w:left w:val="nil"/>
                    <w:bottom w:val="nil"/>
                    <w:right w:val="nil"/>
                  </w:tcBorders>
                  <w:shd w:val="clear" w:color="auto" w:fill="auto"/>
                  <w:noWrap/>
                  <w:hideMark/>
                </w:tcPr>
                <w:p w:rsidR="007138CA" w:rsidRPr="00B42A3B" w:rsidRDefault="007138CA">
                  <w:pPr>
                    <w:rPr>
                      <w:rFonts w:ascii="Arial" w:hAnsi="Arial" w:cs="Arial"/>
                      <w:b/>
                      <w:bCs/>
                      <w:sz w:val="20"/>
                      <w:szCs w:val="20"/>
                    </w:rPr>
                  </w:pPr>
                  <w:r w:rsidRPr="00B42A3B">
                    <w:rPr>
                      <w:rFonts w:ascii="Arial" w:hAnsi="Arial" w:cs="Arial"/>
                      <w:b/>
                      <w:bCs/>
                      <w:sz w:val="20"/>
                      <w:szCs w:val="20"/>
                    </w:rPr>
                    <w:lastRenderedPageBreak/>
                    <w:t>Table</w:t>
                  </w:r>
                  <w:r w:rsidR="00172534">
                    <w:rPr>
                      <w:rFonts w:ascii="Arial" w:hAnsi="Arial" w:cs="Arial"/>
                      <w:b/>
                      <w:bCs/>
                      <w:sz w:val="20"/>
                      <w:szCs w:val="20"/>
                    </w:rPr>
                    <w:t> </w:t>
                  </w:r>
                  <w:proofErr w:type="spellStart"/>
                  <w:r w:rsidRPr="00B42A3B">
                    <w:rPr>
                      <w:rFonts w:ascii="Arial" w:hAnsi="Arial" w:cs="Arial"/>
                      <w:b/>
                      <w:bCs/>
                      <w:sz w:val="20"/>
                      <w:szCs w:val="20"/>
                    </w:rPr>
                    <w:t>3A.105</w:t>
                  </w:r>
                  <w:proofErr w:type="spellEnd"/>
                </w:p>
              </w:tc>
              <w:tc>
                <w:tcPr>
                  <w:tcW w:w="6917" w:type="dxa"/>
                  <w:tcBorders>
                    <w:top w:val="nil"/>
                    <w:left w:val="nil"/>
                    <w:bottom w:val="nil"/>
                    <w:right w:val="nil"/>
                  </w:tcBorders>
                  <w:shd w:val="clear" w:color="auto" w:fill="auto"/>
                  <w:hideMark/>
                </w:tcPr>
                <w:p w:rsidR="007138CA" w:rsidRPr="00B42A3B" w:rsidRDefault="007138CA">
                  <w:pPr>
                    <w:jc w:val="both"/>
                    <w:rPr>
                      <w:rFonts w:ascii="Arial" w:hAnsi="Arial" w:cs="Arial"/>
                      <w:sz w:val="20"/>
                      <w:szCs w:val="20"/>
                    </w:rPr>
                  </w:pPr>
                  <w:r w:rsidRPr="00B42A3B">
                    <w:rPr>
                      <w:rFonts w:ascii="Arial" w:hAnsi="Arial" w:cs="Arial"/>
                      <w:sz w:val="20"/>
                      <w:szCs w:val="20"/>
                    </w:rPr>
                    <w:t xml:space="preserve">Paid staff employed by Territory Government funded and/or managed child care and preschool service providers, by qualification and experience, Australian Capital Territory </w:t>
                  </w:r>
                </w:p>
              </w:tc>
            </w:tr>
            <w:tr w:rsidR="007138CA" w:rsidRPr="00B42A3B" w:rsidTr="007138CA">
              <w:trPr>
                <w:trHeight w:val="357"/>
              </w:trPr>
              <w:tc>
                <w:tcPr>
                  <w:tcW w:w="1765" w:type="dxa"/>
                  <w:tcBorders>
                    <w:top w:val="nil"/>
                    <w:left w:val="nil"/>
                    <w:bottom w:val="nil"/>
                    <w:right w:val="nil"/>
                  </w:tcBorders>
                  <w:shd w:val="clear" w:color="auto" w:fill="auto"/>
                  <w:noWrap/>
                  <w:hideMark/>
                </w:tcPr>
                <w:p w:rsidR="007138CA" w:rsidRPr="00B42A3B" w:rsidRDefault="007138CA">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3A.106</w:t>
                  </w:r>
                  <w:proofErr w:type="spellEnd"/>
                </w:p>
              </w:tc>
              <w:tc>
                <w:tcPr>
                  <w:tcW w:w="6917" w:type="dxa"/>
                  <w:tcBorders>
                    <w:top w:val="nil"/>
                    <w:left w:val="nil"/>
                    <w:bottom w:val="nil"/>
                    <w:right w:val="nil"/>
                  </w:tcBorders>
                  <w:shd w:val="clear" w:color="auto" w:fill="auto"/>
                  <w:hideMark/>
                </w:tcPr>
                <w:p w:rsidR="007138CA" w:rsidRPr="00B42A3B" w:rsidRDefault="007138CA">
                  <w:pPr>
                    <w:jc w:val="both"/>
                    <w:rPr>
                      <w:rFonts w:ascii="Arial" w:hAnsi="Arial" w:cs="Arial"/>
                      <w:sz w:val="20"/>
                      <w:szCs w:val="20"/>
                    </w:rPr>
                  </w:pPr>
                  <w:r w:rsidRPr="00B42A3B">
                    <w:rPr>
                      <w:rFonts w:ascii="Arial" w:hAnsi="Arial" w:cs="Arial"/>
                      <w:sz w:val="20"/>
                      <w:szCs w:val="20"/>
                    </w:rPr>
                    <w:t xml:space="preserve">Approved and/or licensed service providers, by management type, Australian Capital Territory </w:t>
                  </w:r>
                </w:p>
              </w:tc>
            </w:tr>
            <w:tr w:rsidR="007138CA" w:rsidRPr="00B42A3B" w:rsidTr="007138CA">
              <w:trPr>
                <w:trHeight w:val="612"/>
              </w:trPr>
              <w:tc>
                <w:tcPr>
                  <w:tcW w:w="1765" w:type="dxa"/>
                  <w:tcBorders>
                    <w:top w:val="nil"/>
                    <w:left w:val="nil"/>
                    <w:bottom w:val="nil"/>
                    <w:right w:val="nil"/>
                  </w:tcBorders>
                  <w:shd w:val="clear" w:color="auto" w:fill="auto"/>
                  <w:noWrap/>
                  <w:hideMark/>
                </w:tcPr>
                <w:p w:rsidR="007138CA" w:rsidRPr="00B42A3B" w:rsidRDefault="007138CA">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3A.107</w:t>
                  </w:r>
                  <w:proofErr w:type="spellEnd"/>
                </w:p>
              </w:tc>
              <w:tc>
                <w:tcPr>
                  <w:tcW w:w="6917" w:type="dxa"/>
                  <w:tcBorders>
                    <w:top w:val="nil"/>
                    <w:left w:val="nil"/>
                    <w:bottom w:val="nil"/>
                    <w:right w:val="nil"/>
                  </w:tcBorders>
                  <w:shd w:val="clear" w:color="auto" w:fill="auto"/>
                  <w:hideMark/>
                </w:tcPr>
                <w:p w:rsidR="007138CA" w:rsidRPr="00B42A3B" w:rsidRDefault="007138CA">
                  <w:pPr>
                    <w:jc w:val="both"/>
                    <w:rPr>
                      <w:rFonts w:ascii="Arial" w:hAnsi="Arial" w:cs="Arial"/>
                      <w:sz w:val="20"/>
                      <w:szCs w:val="20"/>
                    </w:rPr>
                  </w:pPr>
                  <w:r w:rsidRPr="00B42A3B">
                    <w:rPr>
                      <w:rFonts w:ascii="Arial" w:hAnsi="Arial" w:cs="Arial"/>
                      <w:sz w:val="20"/>
                      <w:szCs w:val="20"/>
                    </w:rPr>
                    <w:t>Substantiated breaches arising from complaints about Territory Government registered or licensed service providers, Australian Capital Territory</w:t>
                  </w:r>
                </w:p>
              </w:tc>
            </w:tr>
            <w:tr w:rsidR="007138CA" w:rsidRPr="00B42A3B" w:rsidTr="00BF17C6">
              <w:trPr>
                <w:trHeight w:val="357"/>
              </w:trPr>
              <w:tc>
                <w:tcPr>
                  <w:tcW w:w="8682" w:type="dxa"/>
                  <w:gridSpan w:val="2"/>
                  <w:tcBorders>
                    <w:top w:val="nil"/>
                    <w:left w:val="nil"/>
                    <w:bottom w:val="nil"/>
                    <w:right w:val="nil"/>
                  </w:tcBorders>
                  <w:shd w:val="clear" w:color="auto" w:fill="auto"/>
                  <w:noWrap/>
                  <w:hideMark/>
                </w:tcPr>
                <w:p w:rsidR="007138CA" w:rsidRPr="00B42A3B" w:rsidRDefault="007138CA" w:rsidP="00BF17C6">
                  <w:pPr>
                    <w:rPr>
                      <w:rFonts w:ascii="Arial" w:hAnsi="Arial" w:cs="Arial"/>
                      <w:b/>
                      <w:bCs/>
                      <w:sz w:val="20"/>
                      <w:szCs w:val="20"/>
                    </w:rPr>
                  </w:pPr>
                </w:p>
                <w:p w:rsidR="007138CA" w:rsidRPr="00B42A3B" w:rsidRDefault="007138CA" w:rsidP="00BF17C6">
                  <w:pPr>
                    <w:rPr>
                      <w:rFonts w:ascii="Arial" w:hAnsi="Arial" w:cs="Arial"/>
                      <w:b/>
                      <w:bCs/>
                      <w:sz w:val="20"/>
                      <w:szCs w:val="20"/>
                    </w:rPr>
                  </w:pPr>
                  <w:r w:rsidRPr="00B42A3B">
                    <w:rPr>
                      <w:rFonts w:ascii="Arial" w:hAnsi="Arial" w:cs="Arial"/>
                      <w:b/>
                      <w:bCs/>
                      <w:sz w:val="20"/>
                      <w:szCs w:val="20"/>
                    </w:rPr>
                    <w:t>Single jurisdiction data – NT</w:t>
                  </w:r>
                </w:p>
                <w:p w:rsidR="00020029" w:rsidRPr="00B42A3B" w:rsidRDefault="00020029" w:rsidP="00BF17C6">
                  <w:pPr>
                    <w:rPr>
                      <w:rFonts w:ascii="Arial" w:hAnsi="Arial" w:cs="Arial"/>
                      <w:b/>
                      <w:bCs/>
                      <w:sz w:val="20"/>
                      <w:szCs w:val="20"/>
                    </w:rPr>
                  </w:pPr>
                </w:p>
              </w:tc>
            </w:tr>
            <w:tr w:rsidR="007138CA" w:rsidRPr="00B42A3B" w:rsidTr="00BF17C6">
              <w:trPr>
                <w:trHeight w:val="612"/>
              </w:trPr>
              <w:tc>
                <w:tcPr>
                  <w:tcW w:w="1765" w:type="dxa"/>
                  <w:tcBorders>
                    <w:top w:val="nil"/>
                    <w:left w:val="nil"/>
                    <w:bottom w:val="nil"/>
                    <w:right w:val="nil"/>
                  </w:tcBorders>
                  <w:shd w:val="clear" w:color="auto" w:fill="auto"/>
                  <w:noWrap/>
                  <w:hideMark/>
                </w:tcPr>
                <w:p w:rsidR="007138CA" w:rsidRPr="00B42A3B" w:rsidRDefault="007138CA">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3A.108</w:t>
                  </w:r>
                  <w:proofErr w:type="spellEnd"/>
                </w:p>
              </w:tc>
              <w:tc>
                <w:tcPr>
                  <w:tcW w:w="6917" w:type="dxa"/>
                  <w:tcBorders>
                    <w:top w:val="nil"/>
                    <w:left w:val="nil"/>
                    <w:bottom w:val="nil"/>
                    <w:right w:val="nil"/>
                  </w:tcBorders>
                  <w:shd w:val="clear" w:color="auto" w:fill="auto"/>
                  <w:hideMark/>
                </w:tcPr>
                <w:p w:rsidR="007138CA" w:rsidRPr="00B42A3B" w:rsidRDefault="007138CA">
                  <w:pPr>
                    <w:jc w:val="both"/>
                    <w:rPr>
                      <w:rFonts w:ascii="Arial" w:hAnsi="Arial" w:cs="Arial"/>
                      <w:sz w:val="20"/>
                      <w:szCs w:val="20"/>
                    </w:rPr>
                  </w:pPr>
                  <w:r w:rsidRPr="00B42A3B">
                    <w:rPr>
                      <w:rFonts w:ascii="Arial" w:hAnsi="Arial" w:cs="Arial"/>
                      <w:sz w:val="20"/>
                      <w:szCs w:val="20"/>
                    </w:rPr>
                    <w:t>Territory Government real expenditure on child care and preschool services, Northern Territory (2012</w:t>
                  </w:r>
                  <w:r w:rsidR="00172534">
                    <w:rPr>
                      <w:rFonts w:ascii="Arial" w:hAnsi="Arial" w:cs="Arial"/>
                      <w:sz w:val="20"/>
                      <w:szCs w:val="20"/>
                    </w:rPr>
                    <w:noBreakHyphen/>
                  </w:r>
                  <w:r w:rsidRPr="00B42A3B">
                    <w:rPr>
                      <w:rFonts w:ascii="Arial" w:hAnsi="Arial" w:cs="Arial"/>
                      <w:sz w:val="20"/>
                      <w:szCs w:val="20"/>
                    </w:rPr>
                    <w:t>13 dollars) ($'000)</w:t>
                  </w:r>
                  <w:r w:rsidR="00172534">
                    <w:rPr>
                      <w:rFonts w:ascii="Arial" w:hAnsi="Arial" w:cs="Arial"/>
                      <w:sz w:val="20"/>
                      <w:szCs w:val="20"/>
                    </w:rPr>
                    <w:t xml:space="preserve"> </w:t>
                  </w:r>
                </w:p>
              </w:tc>
            </w:tr>
            <w:tr w:rsidR="007138CA" w:rsidRPr="00B42A3B" w:rsidTr="00BF17C6">
              <w:trPr>
                <w:trHeight w:val="357"/>
              </w:trPr>
              <w:tc>
                <w:tcPr>
                  <w:tcW w:w="1765" w:type="dxa"/>
                  <w:tcBorders>
                    <w:top w:val="nil"/>
                    <w:left w:val="nil"/>
                    <w:bottom w:val="nil"/>
                    <w:right w:val="nil"/>
                  </w:tcBorders>
                  <w:shd w:val="clear" w:color="auto" w:fill="auto"/>
                  <w:noWrap/>
                  <w:hideMark/>
                </w:tcPr>
                <w:p w:rsidR="007138CA" w:rsidRPr="00B42A3B" w:rsidRDefault="007138CA">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3A.109</w:t>
                  </w:r>
                  <w:proofErr w:type="spellEnd"/>
                </w:p>
              </w:tc>
              <w:tc>
                <w:tcPr>
                  <w:tcW w:w="6917" w:type="dxa"/>
                  <w:tcBorders>
                    <w:top w:val="nil"/>
                    <w:left w:val="nil"/>
                    <w:bottom w:val="nil"/>
                    <w:right w:val="nil"/>
                  </w:tcBorders>
                  <w:shd w:val="clear" w:color="auto" w:fill="auto"/>
                  <w:hideMark/>
                </w:tcPr>
                <w:p w:rsidR="007138CA" w:rsidRPr="00B42A3B" w:rsidRDefault="007138CA">
                  <w:pPr>
                    <w:jc w:val="both"/>
                    <w:rPr>
                      <w:rFonts w:ascii="Arial" w:hAnsi="Arial" w:cs="Arial"/>
                      <w:sz w:val="20"/>
                      <w:szCs w:val="20"/>
                    </w:rPr>
                  </w:pPr>
                  <w:r w:rsidRPr="00B42A3B">
                    <w:rPr>
                      <w:rFonts w:ascii="Arial" w:hAnsi="Arial" w:cs="Arial"/>
                      <w:sz w:val="20"/>
                      <w:szCs w:val="20"/>
                    </w:rPr>
                    <w:t>Characteristics of child care and preschool services, Northern Territory</w:t>
                  </w:r>
                  <w:r w:rsidR="00172534">
                    <w:rPr>
                      <w:rFonts w:ascii="Arial" w:hAnsi="Arial" w:cs="Arial"/>
                      <w:sz w:val="20"/>
                      <w:szCs w:val="20"/>
                    </w:rPr>
                    <w:t xml:space="preserve"> </w:t>
                  </w:r>
                </w:p>
              </w:tc>
            </w:tr>
            <w:tr w:rsidR="007138CA" w:rsidRPr="00B42A3B" w:rsidTr="00BF17C6">
              <w:trPr>
                <w:trHeight w:val="612"/>
              </w:trPr>
              <w:tc>
                <w:tcPr>
                  <w:tcW w:w="1765" w:type="dxa"/>
                  <w:tcBorders>
                    <w:top w:val="nil"/>
                    <w:left w:val="nil"/>
                    <w:bottom w:val="nil"/>
                    <w:right w:val="nil"/>
                  </w:tcBorders>
                  <w:shd w:val="clear" w:color="auto" w:fill="auto"/>
                  <w:noWrap/>
                  <w:hideMark/>
                </w:tcPr>
                <w:p w:rsidR="007138CA" w:rsidRPr="00B42A3B" w:rsidRDefault="007138CA">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3A.110</w:t>
                  </w:r>
                  <w:proofErr w:type="spellEnd"/>
                </w:p>
              </w:tc>
              <w:tc>
                <w:tcPr>
                  <w:tcW w:w="6917" w:type="dxa"/>
                  <w:tcBorders>
                    <w:top w:val="nil"/>
                    <w:left w:val="nil"/>
                    <w:bottom w:val="nil"/>
                    <w:right w:val="nil"/>
                  </w:tcBorders>
                  <w:shd w:val="clear" w:color="auto" w:fill="auto"/>
                  <w:hideMark/>
                </w:tcPr>
                <w:p w:rsidR="007138CA" w:rsidRPr="00B42A3B" w:rsidRDefault="007138CA">
                  <w:pPr>
                    <w:jc w:val="both"/>
                    <w:rPr>
                      <w:rFonts w:ascii="Arial" w:hAnsi="Arial" w:cs="Arial"/>
                      <w:sz w:val="20"/>
                      <w:szCs w:val="20"/>
                    </w:rPr>
                  </w:pPr>
                  <w:r w:rsidRPr="00B42A3B">
                    <w:rPr>
                      <w:rFonts w:ascii="Arial" w:hAnsi="Arial" w:cs="Arial"/>
                      <w:sz w:val="20"/>
                      <w:szCs w:val="20"/>
                    </w:rPr>
                    <w:t xml:space="preserve">Children aged 0–12 years using Territory Government funded and/or provided child care services, by age, Northern Territory </w:t>
                  </w:r>
                </w:p>
              </w:tc>
            </w:tr>
            <w:tr w:rsidR="007138CA" w:rsidRPr="00B42A3B" w:rsidTr="00BF17C6">
              <w:trPr>
                <w:trHeight w:val="612"/>
              </w:trPr>
              <w:tc>
                <w:tcPr>
                  <w:tcW w:w="1765" w:type="dxa"/>
                  <w:tcBorders>
                    <w:top w:val="nil"/>
                    <w:left w:val="nil"/>
                    <w:bottom w:val="nil"/>
                    <w:right w:val="nil"/>
                  </w:tcBorders>
                  <w:shd w:val="clear" w:color="auto" w:fill="auto"/>
                  <w:noWrap/>
                  <w:hideMark/>
                </w:tcPr>
                <w:p w:rsidR="007138CA" w:rsidRPr="00B42A3B" w:rsidRDefault="007138CA">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3A.111</w:t>
                  </w:r>
                  <w:proofErr w:type="spellEnd"/>
                </w:p>
              </w:tc>
              <w:tc>
                <w:tcPr>
                  <w:tcW w:w="6917" w:type="dxa"/>
                  <w:tcBorders>
                    <w:top w:val="nil"/>
                    <w:left w:val="nil"/>
                    <w:bottom w:val="nil"/>
                    <w:right w:val="nil"/>
                  </w:tcBorders>
                  <w:shd w:val="clear" w:color="auto" w:fill="auto"/>
                  <w:hideMark/>
                </w:tcPr>
                <w:p w:rsidR="007138CA" w:rsidRPr="00B42A3B" w:rsidRDefault="007138CA">
                  <w:pPr>
                    <w:jc w:val="both"/>
                    <w:rPr>
                      <w:rFonts w:ascii="Arial" w:hAnsi="Arial" w:cs="Arial"/>
                      <w:sz w:val="20"/>
                      <w:szCs w:val="20"/>
                    </w:rPr>
                  </w:pPr>
                  <w:r w:rsidRPr="00B42A3B">
                    <w:rPr>
                      <w:rFonts w:ascii="Arial" w:hAnsi="Arial" w:cs="Arial"/>
                      <w:sz w:val="20"/>
                      <w:szCs w:val="20"/>
                    </w:rPr>
                    <w:t xml:space="preserve">Staff employed by Territory Government funded and/or managed child care and preschool service providers, Northern Territory </w:t>
                  </w:r>
                </w:p>
              </w:tc>
            </w:tr>
            <w:tr w:rsidR="007138CA" w:rsidRPr="00B42A3B" w:rsidTr="00BF17C6">
              <w:trPr>
                <w:trHeight w:val="612"/>
              </w:trPr>
              <w:tc>
                <w:tcPr>
                  <w:tcW w:w="1765" w:type="dxa"/>
                  <w:tcBorders>
                    <w:top w:val="nil"/>
                    <w:left w:val="nil"/>
                    <w:bottom w:val="nil"/>
                    <w:right w:val="nil"/>
                  </w:tcBorders>
                  <w:shd w:val="clear" w:color="auto" w:fill="auto"/>
                  <w:noWrap/>
                  <w:hideMark/>
                </w:tcPr>
                <w:p w:rsidR="007138CA" w:rsidRPr="00B42A3B" w:rsidRDefault="007138CA">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3A.112</w:t>
                  </w:r>
                  <w:proofErr w:type="spellEnd"/>
                </w:p>
              </w:tc>
              <w:tc>
                <w:tcPr>
                  <w:tcW w:w="6917" w:type="dxa"/>
                  <w:tcBorders>
                    <w:top w:val="nil"/>
                    <w:left w:val="nil"/>
                    <w:bottom w:val="nil"/>
                    <w:right w:val="nil"/>
                  </w:tcBorders>
                  <w:shd w:val="clear" w:color="auto" w:fill="auto"/>
                  <w:hideMark/>
                </w:tcPr>
                <w:p w:rsidR="007138CA" w:rsidRPr="00B42A3B" w:rsidRDefault="007138CA">
                  <w:pPr>
                    <w:jc w:val="both"/>
                    <w:rPr>
                      <w:rFonts w:ascii="Arial" w:hAnsi="Arial" w:cs="Arial"/>
                      <w:sz w:val="20"/>
                      <w:szCs w:val="20"/>
                    </w:rPr>
                  </w:pPr>
                  <w:r w:rsidRPr="00B42A3B">
                    <w:rPr>
                      <w:rFonts w:ascii="Arial" w:hAnsi="Arial" w:cs="Arial"/>
                      <w:sz w:val="20"/>
                      <w:szCs w:val="20"/>
                    </w:rPr>
                    <w:t>Paid staff employed by Territory Government funded and/or managed child care and preschool service providers, by qualification and experience, Northern Territory</w:t>
                  </w:r>
                  <w:r w:rsidR="00172534">
                    <w:rPr>
                      <w:rFonts w:ascii="Arial" w:hAnsi="Arial" w:cs="Arial"/>
                      <w:sz w:val="20"/>
                      <w:szCs w:val="20"/>
                    </w:rPr>
                    <w:t xml:space="preserve"> </w:t>
                  </w:r>
                </w:p>
              </w:tc>
            </w:tr>
            <w:tr w:rsidR="007138CA" w:rsidRPr="00B42A3B" w:rsidTr="00BF17C6">
              <w:trPr>
                <w:trHeight w:val="357"/>
              </w:trPr>
              <w:tc>
                <w:tcPr>
                  <w:tcW w:w="1765" w:type="dxa"/>
                  <w:tcBorders>
                    <w:top w:val="nil"/>
                    <w:left w:val="nil"/>
                    <w:bottom w:val="nil"/>
                    <w:right w:val="nil"/>
                  </w:tcBorders>
                  <w:shd w:val="clear" w:color="auto" w:fill="auto"/>
                  <w:noWrap/>
                  <w:hideMark/>
                </w:tcPr>
                <w:p w:rsidR="007138CA" w:rsidRPr="00B42A3B" w:rsidRDefault="007138CA">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3A.113</w:t>
                  </w:r>
                  <w:proofErr w:type="spellEnd"/>
                </w:p>
              </w:tc>
              <w:tc>
                <w:tcPr>
                  <w:tcW w:w="6917" w:type="dxa"/>
                  <w:tcBorders>
                    <w:top w:val="nil"/>
                    <w:left w:val="nil"/>
                    <w:bottom w:val="nil"/>
                    <w:right w:val="nil"/>
                  </w:tcBorders>
                  <w:shd w:val="clear" w:color="auto" w:fill="auto"/>
                  <w:hideMark/>
                </w:tcPr>
                <w:p w:rsidR="007138CA" w:rsidRPr="00B42A3B" w:rsidRDefault="007138CA">
                  <w:pPr>
                    <w:jc w:val="both"/>
                    <w:rPr>
                      <w:rFonts w:ascii="Arial" w:hAnsi="Arial" w:cs="Arial"/>
                      <w:sz w:val="20"/>
                      <w:szCs w:val="20"/>
                    </w:rPr>
                  </w:pPr>
                  <w:r w:rsidRPr="00B42A3B">
                    <w:rPr>
                      <w:rFonts w:ascii="Arial" w:hAnsi="Arial" w:cs="Arial"/>
                      <w:sz w:val="20"/>
                      <w:szCs w:val="20"/>
                    </w:rPr>
                    <w:t xml:space="preserve">Approved and/or licensed service providers, by management type, Northern Territory </w:t>
                  </w:r>
                </w:p>
              </w:tc>
            </w:tr>
            <w:tr w:rsidR="007138CA" w:rsidRPr="00B42A3B" w:rsidTr="00BF17C6">
              <w:trPr>
                <w:trHeight w:val="612"/>
              </w:trPr>
              <w:tc>
                <w:tcPr>
                  <w:tcW w:w="1765" w:type="dxa"/>
                  <w:tcBorders>
                    <w:top w:val="nil"/>
                    <w:left w:val="nil"/>
                    <w:bottom w:val="nil"/>
                    <w:right w:val="nil"/>
                  </w:tcBorders>
                  <w:shd w:val="clear" w:color="auto" w:fill="auto"/>
                  <w:noWrap/>
                  <w:hideMark/>
                </w:tcPr>
                <w:p w:rsidR="007138CA" w:rsidRPr="00B42A3B" w:rsidRDefault="007138CA">
                  <w:pPr>
                    <w:rPr>
                      <w:rFonts w:ascii="Arial" w:hAnsi="Arial" w:cs="Arial"/>
                      <w:b/>
                      <w:bCs/>
                      <w:sz w:val="20"/>
                      <w:szCs w:val="20"/>
                    </w:rPr>
                  </w:pPr>
                  <w:r w:rsidRPr="00B42A3B">
                    <w:rPr>
                      <w:rFonts w:ascii="Arial" w:hAnsi="Arial" w:cs="Arial"/>
                      <w:b/>
                      <w:bCs/>
                      <w:sz w:val="20"/>
                      <w:szCs w:val="20"/>
                    </w:rPr>
                    <w:t>Table</w:t>
                  </w:r>
                  <w:r w:rsidR="00172534">
                    <w:rPr>
                      <w:rFonts w:ascii="Arial" w:hAnsi="Arial" w:cs="Arial"/>
                      <w:b/>
                      <w:bCs/>
                      <w:sz w:val="20"/>
                      <w:szCs w:val="20"/>
                    </w:rPr>
                    <w:t> </w:t>
                  </w:r>
                  <w:proofErr w:type="spellStart"/>
                  <w:r w:rsidRPr="00B42A3B">
                    <w:rPr>
                      <w:rFonts w:ascii="Arial" w:hAnsi="Arial" w:cs="Arial"/>
                      <w:b/>
                      <w:bCs/>
                      <w:sz w:val="20"/>
                      <w:szCs w:val="20"/>
                    </w:rPr>
                    <w:t>3A.114</w:t>
                  </w:r>
                  <w:proofErr w:type="spellEnd"/>
                </w:p>
              </w:tc>
              <w:tc>
                <w:tcPr>
                  <w:tcW w:w="6917" w:type="dxa"/>
                  <w:tcBorders>
                    <w:top w:val="nil"/>
                    <w:left w:val="nil"/>
                    <w:bottom w:val="nil"/>
                    <w:right w:val="nil"/>
                  </w:tcBorders>
                  <w:shd w:val="clear" w:color="auto" w:fill="auto"/>
                  <w:hideMark/>
                </w:tcPr>
                <w:p w:rsidR="007138CA" w:rsidRPr="00B42A3B" w:rsidRDefault="007138CA">
                  <w:pPr>
                    <w:jc w:val="both"/>
                    <w:rPr>
                      <w:rFonts w:ascii="Arial" w:hAnsi="Arial" w:cs="Arial"/>
                      <w:sz w:val="20"/>
                      <w:szCs w:val="20"/>
                    </w:rPr>
                  </w:pPr>
                  <w:r w:rsidRPr="00B42A3B">
                    <w:rPr>
                      <w:rFonts w:ascii="Arial" w:hAnsi="Arial" w:cs="Arial"/>
                      <w:sz w:val="20"/>
                      <w:szCs w:val="20"/>
                    </w:rPr>
                    <w:t>Substantiated breaches arising from complaints about Territory Government registered or licensed service providers, Northern Territory</w:t>
                  </w:r>
                </w:p>
              </w:tc>
            </w:tr>
          </w:tbl>
          <w:p w:rsidR="00C66ECF" w:rsidRPr="00B42A3B" w:rsidRDefault="00C66ECF" w:rsidP="00C66ECF">
            <w:pPr>
              <w:spacing w:before="40" w:after="80"/>
              <w:rPr>
                <w:rFonts w:ascii="Arial" w:hAnsi="Arial" w:cs="Arial"/>
                <w:b/>
                <w:bCs/>
                <w:sz w:val="20"/>
                <w:szCs w:val="20"/>
              </w:rPr>
            </w:pPr>
          </w:p>
        </w:tc>
      </w:tr>
    </w:tbl>
    <w:p w:rsidR="00471A08" w:rsidRDefault="00471A08" w:rsidP="00834038">
      <w:pPr>
        <w:pStyle w:val="Heading2"/>
        <w:spacing w:before="200"/>
        <w:ind w:left="0" w:firstLine="0"/>
      </w:pPr>
    </w:p>
    <w:p w:rsidR="00471A08" w:rsidRDefault="00471A08" w:rsidP="00471A08">
      <w:pPr>
        <w:pStyle w:val="BodyText"/>
        <w:rPr>
          <w:rFonts w:ascii="Arial" w:hAnsi="Arial"/>
          <w:sz w:val="32"/>
        </w:rPr>
      </w:pPr>
      <w:r>
        <w:br w:type="page"/>
      </w:r>
    </w:p>
    <w:p w:rsidR="00AD21E9" w:rsidRDefault="00923A1C" w:rsidP="00834038">
      <w:pPr>
        <w:pStyle w:val="Heading2"/>
        <w:spacing w:before="200"/>
        <w:ind w:left="0" w:firstLine="0"/>
      </w:pPr>
      <w:bookmarkStart w:id="56" w:name="_Toc372900005"/>
      <w:r>
        <w:lastRenderedPageBreak/>
        <w:t>3.</w:t>
      </w:r>
      <w:r w:rsidR="002E4BE8">
        <w:rPr>
          <w:noProof/>
        </w:rPr>
        <w:t>8</w:t>
      </w:r>
      <w:r w:rsidR="00AD21E9">
        <w:tab/>
      </w:r>
      <w:r w:rsidR="00F40779" w:rsidRPr="00F40779">
        <w:t>References</w:t>
      </w:r>
      <w:bookmarkEnd w:id="56"/>
    </w:p>
    <w:p w:rsidR="00A42E75" w:rsidRPr="004607B5" w:rsidRDefault="00A42E75" w:rsidP="00A42E75">
      <w:pPr>
        <w:pStyle w:val="Reference"/>
      </w:pPr>
      <w:r w:rsidRPr="004607B5">
        <w:t>ABS (Australian Bureau of Statistics</w:t>
      </w:r>
      <w:r w:rsidR="00981445">
        <w:t xml:space="preserve">) </w:t>
      </w:r>
      <w:r w:rsidR="0065673A">
        <w:t>2013</w:t>
      </w:r>
      <w:r w:rsidR="00981445" w:rsidRPr="004755AC">
        <w:t xml:space="preserve">, </w:t>
      </w:r>
      <w:r w:rsidR="00981445" w:rsidRPr="00471D41">
        <w:rPr>
          <w:i/>
        </w:rPr>
        <w:t>Preschool Education, Australia, 201</w:t>
      </w:r>
      <w:r w:rsidR="0065673A">
        <w:rPr>
          <w:i/>
        </w:rPr>
        <w:t xml:space="preserve">2 </w:t>
      </w:r>
      <w:r w:rsidR="00981445" w:rsidRPr="00471D41">
        <w:t>Cat</w:t>
      </w:r>
      <w:r w:rsidR="00981445">
        <w:t>.</w:t>
      </w:r>
      <w:r w:rsidR="00981445" w:rsidRPr="00471D41">
        <w:t xml:space="preserve"> no</w:t>
      </w:r>
      <w:r w:rsidR="005B5FC3">
        <w:t>.</w:t>
      </w:r>
      <w:r w:rsidR="00981445" w:rsidRPr="00471D41">
        <w:t xml:space="preserve"> 4240.0, Canberra.</w:t>
      </w:r>
      <w:r w:rsidR="00981445" w:rsidRPr="00981445">
        <w:t xml:space="preserve"> </w:t>
      </w:r>
    </w:p>
    <w:p w:rsidR="00981445" w:rsidRDefault="00A42E75" w:rsidP="00981445">
      <w:pPr>
        <w:pStyle w:val="Reference"/>
      </w:pPr>
      <w:r w:rsidRPr="004755AC">
        <w:t>—— </w:t>
      </w:r>
      <w:r w:rsidR="005B5FC3">
        <w:t>2012</w:t>
      </w:r>
      <w:r w:rsidR="00981445">
        <w:t xml:space="preserve">, </w:t>
      </w:r>
      <w:r w:rsidR="00981445" w:rsidRPr="004755AC">
        <w:rPr>
          <w:i/>
        </w:rPr>
        <w:t xml:space="preserve">Childhood Education and Care, </w:t>
      </w:r>
      <w:r w:rsidR="00981445" w:rsidRPr="00CA7E5E">
        <w:rPr>
          <w:i/>
        </w:rPr>
        <w:t>Australia,</w:t>
      </w:r>
      <w:r w:rsidR="00CA7E5E" w:rsidRPr="00CA7E5E">
        <w:rPr>
          <w:i/>
        </w:rPr>
        <w:t xml:space="preserve"> June 2011</w:t>
      </w:r>
      <w:r w:rsidR="00981445" w:rsidRPr="004755AC">
        <w:t xml:space="preserve"> Cat. no</w:t>
      </w:r>
      <w:r w:rsidR="005B5FC3">
        <w:t>.</w:t>
      </w:r>
      <w:r w:rsidR="00981445" w:rsidRPr="004755AC">
        <w:t> 4402.0, Canberra.</w:t>
      </w:r>
    </w:p>
    <w:p w:rsidR="000C7691" w:rsidRPr="004607B5" w:rsidRDefault="000C7691" w:rsidP="000C7691">
      <w:pPr>
        <w:pStyle w:val="Reference"/>
      </w:pPr>
      <w:proofErr w:type="spellStart"/>
      <w:r>
        <w:t>ACECQA</w:t>
      </w:r>
      <w:proofErr w:type="spellEnd"/>
      <w:r w:rsidRPr="004607B5">
        <w:t xml:space="preserve"> (Australi</w:t>
      </w:r>
      <w:r>
        <w:t>an Children’s Education and Care Quality Authority</w:t>
      </w:r>
      <w:r w:rsidRPr="004607B5">
        <w:t>)</w:t>
      </w:r>
      <w:r>
        <w:t xml:space="preserve"> 2013, </w:t>
      </w:r>
      <w:proofErr w:type="spellStart"/>
      <w:r>
        <w:rPr>
          <w:i/>
        </w:rPr>
        <w:t>NQF</w:t>
      </w:r>
      <w:proofErr w:type="spellEnd"/>
      <w:r>
        <w:rPr>
          <w:i/>
        </w:rPr>
        <w:t xml:space="preserve"> Snapshot, </w:t>
      </w:r>
      <w:proofErr w:type="spellStart"/>
      <w:r>
        <w:rPr>
          <w:i/>
        </w:rPr>
        <w:t>Q2</w:t>
      </w:r>
      <w:proofErr w:type="spellEnd"/>
      <w:r>
        <w:rPr>
          <w:i/>
        </w:rPr>
        <w:t xml:space="preserve"> 2013</w:t>
      </w:r>
      <w:r>
        <w:t>, Sydney</w:t>
      </w:r>
      <w:r w:rsidRPr="00471D41">
        <w:t>.</w:t>
      </w:r>
    </w:p>
    <w:p w:rsidR="00055924" w:rsidRPr="004607B5" w:rsidRDefault="00055924" w:rsidP="00C3586E">
      <w:pPr>
        <w:pStyle w:val="Reference"/>
      </w:pPr>
      <w:proofErr w:type="spellStart"/>
      <w:r w:rsidRPr="004607B5">
        <w:t>AIFS</w:t>
      </w:r>
      <w:proofErr w:type="spellEnd"/>
      <w:r w:rsidRPr="004607B5">
        <w:t xml:space="preserve"> (Australian Institute of Family Studies) </w:t>
      </w:r>
      <w:proofErr w:type="spellStart"/>
      <w:r w:rsidRPr="004607B5">
        <w:t>2005</w:t>
      </w:r>
      <w:r w:rsidR="00E67D1A" w:rsidRPr="004607B5">
        <w:t>a</w:t>
      </w:r>
      <w:proofErr w:type="spellEnd"/>
      <w:r w:rsidRPr="004607B5">
        <w:t xml:space="preserve">, </w:t>
      </w:r>
      <w:r w:rsidRPr="004607B5">
        <w:rPr>
          <w:i/>
        </w:rPr>
        <w:t>Growing Up in Australia: The Longitudinal Study of Australian Children: 2004 Annual Report</w:t>
      </w:r>
      <w:r w:rsidRPr="004607B5">
        <w:t xml:space="preserve">, Australian Government, Canberra. </w:t>
      </w:r>
    </w:p>
    <w:p w:rsidR="00055924" w:rsidRDefault="00055924" w:rsidP="00C3586E">
      <w:pPr>
        <w:pStyle w:val="Reference"/>
      </w:pPr>
      <w:r w:rsidRPr="004607B5">
        <w:t>—— </w:t>
      </w:r>
      <w:proofErr w:type="spellStart"/>
      <w:r w:rsidRPr="004607B5">
        <w:t>2005</w:t>
      </w:r>
      <w:r w:rsidR="00E67D1A" w:rsidRPr="004607B5">
        <w:t>b</w:t>
      </w:r>
      <w:proofErr w:type="spellEnd"/>
      <w:r w:rsidRPr="004607B5">
        <w:t xml:space="preserve">, </w:t>
      </w:r>
      <w:proofErr w:type="spellStart"/>
      <w:r w:rsidRPr="004607B5">
        <w:rPr>
          <w:i/>
        </w:rPr>
        <w:t>LSAC</w:t>
      </w:r>
      <w:proofErr w:type="spellEnd"/>
      <w:r w:rsidRPr="004607B5">
        <w:rPr>
          <w:i/>
        </w:rPr>
        <w:t xml:space="preserve"> Technical Paper </w:t>
      </w:r>
      <w:r w:rsidR="004F37BA" w:rsidRPr="004607B5">
        <w:rPr>
          <w:i/>
        </w:rPr>
        <w:t xml:space="preserve">no. </w:t>
      </w:r>
      <w:r w:rsidRPr="004607B5">
        <w:rPr>
          <w:i/>
        </w:rPr>
        <w:t xml:space="preserve">2, Summarising children’s wellbeing: the </w:t>
      </w:r>
      <w:proofErr w:type="spellStart"/>
      <w:r w:rsidRPr="004607B5">
        <w:rPr>
          <w:i/>
        </w:rPr>
        <w:t>LSAC</w:t>
      </w:r>
      <w:proofErr w:type="spellEnd"/>
      <w:r w:rsidRPr="004607B5">
        <w:rPr>
          <w:i/>
        </w:rPr>
        <w:t xml:space="preserve"> Outcome Index</w:t>
      </w:r>
      <w:r w:rsidRPr="004607B5">
        <w:t>, Canberra.</w:t>
      </w:r>
    </w:p>
    <w:p w:rsidR="00710600" w:rsidRPr="004607B5" w:rsidRDefault="00A928BB" w:rsidP="00C3586E">
      <w:pPr>
        <w:pStyle w:val="Reference"/>
      </w:pPr>
      <w:proofErr w:type="spellStart"/>
      <w:r>
        <w:t>DEEWR</w:t>
      </w:r>
      <w:proofErr w:type="spellEnd"/>
      <w:r>
        <w:t xml:space="preserve"> (</w:t>
      </w:r>
      <w:r w:rsidR="00710600">
        <w:t>Department of Education, Employment and Workplace Relations</w:t>
      </w:r>
      <w:r>
        <w:t xml:space="preserve">) </w:t>
      </w:r>
      <w:r w:rsidR="00710600">
        <w:t xml:space="preserve">2013, </w:t>
      </w:r>
      <w:r w:rsidR="00710600" w:rsidRPr="00710600">
        <w:rPr>
          <w:i/>
        </w:rPr>
        <w:t xml:space="preserve">A Snapshot of Early Childhood Development in Australia 2012 — </w:t>
      </w:r>
      <w:proofErr w:type="spellStart"/>
      <w:r w:rsidR="00710600" w:rsidRPr="00710600">
        <w:rPr>
          <w:i/>
        </w:rPr>
        <w:t>AEDI</w:t>
      </w:r>
      <w:proofErr w:type="spellEnd"/>
      <w:r w:rsidR="00710600" w:rsidRPr="00710600">
        <w:rPr>
          <w:i/>
        </w:rPr>
        <w:t xml:space="preserve"> National Report</w:t>
      </w:r>
      <w:r w:rsidR="00710600">
        <w:t>, Canberra.</w:t>
      </w:r>
    </w:p>
    <w:p w:rsidR="00C72E23" w:rsidRPr="00A85323" w:rsidRDefault="00640C03" w:rsidP="00471D41">
      <w:pPr>
        <w:pStyle w:val="Reference"/>
      </w:pPr>
      <w:proofErr w:type="spellStart"/>
      <w:r w:rsidRPr="00A85323">
        <w:t>COAG</w:t>
      </w:r>
      <w:proofErr w:type="spellEnd"/>
      <w:r w:rsidRPr="00A85323">
        <w:t xml:space="preserve"> (Council of Australian Governments) </w:t>
      </w:r>
      <w:proofErr w:type="spellStart"/>
      <w:r w:rsidR="00C72E23" w:rsidRPr="00A85323">
        <w:t>2009</w:t>
      </w:r>
      <w:r w:rsidR="00A85323" w:rsidRPr="00A85323">
        <w:t>a</w:t>
      </w:r>
      <w:proofErr w:type="spellEnd"/>
      <w:r w:rsidR="00C72E23" w:rsidRPr="00A85323">
        <w:t xml:space="preserve">, </w:t>
      </w:r>
      <w:r w:rsidR="00C72E23" w:rsidRPr="00A85323">
        <w:rPr>
          <w:i/>
        </w:rPr>
        <w:t>Investing in the Early Years</w:t>
      </w:r>
      <w:r w:rsidR="00A73C0C" w:rsidRPr="00A85323">
        <w:rPr>
          <w:i/>
        </w:rPr>
        <w:t xml:space="preserve"> </w:t>
      </w:r>
      <w:r w:rsidR="00C72E23" w:rsidRPr="00A85323">
        <w:rPr>
          <w:i/>
        </w:rPr>
        <w:t>—</w:t>
      </w:r>
      <w:r w:rsidR="00A73C0C" w:rsidRPr="00A85323">
        <w:rPr>
          <w:i/>
        </w:rPr>
        <w:t xml:space="preserve"> </w:t>
      </w:r>
      <w:r w:rsidR="00C72E23" w:rsidRPr="00A85323">
        <w:rPr>
          <w:i/>
        </w:rPr>
        <w:t>A National Early Childhood Development Strategy</w:t>
      </w:r>
      <w:r w:rsidR="00C72E23" w:rsidRPr="00A85323">
        <w:t xml:space="preserve">. </w:t>
      </w:r>
      <w:r w:rsidR="00C72E23" w:rsidRPr="00A85323">
        <w:rPr>
          <w:i/>
        </w:rPr>
        <w:t>An initiative of the Council of</w:t>
      </w:r>
      <w:r w:rsidR="00CE7285" w:rsidRPr="00A85323">
        <w:rPr>
          <w:i/>
        </w:rPr>
        <w:t> </w:t>
      </w:r>
      <w:r w:rsidR="00C72E23" w:rsidRPr="00A85323">
        <w:rPr>
          <w:i/>
        </w:rPr>
        <w:t>Australian</w:t>
      </w:r>
      <w:r w:rsidR="00CE7285" w:rsidRPr="00A85323">
        <w:rPr>
          <w:i/>
        </w:rPr>
        <w:t> </w:t>
      </w:r>
      <w:r w:rsidR="00C72E23" w:rsidRPr="00A85323">
        <w:rPr>
          <w:i/>
        </w:rPr>
        <w:t>Governments</w:t>
      </w:r>
      <w:r w:rsidR="00A73C0C" w:rsidRPr="00A85323">
        <w:rPr>
          <w:i/>
        </w:rPr>
        <w:t>,</w:t>
      </w:r>
      <w:r w:rsidR="00CE7285" w:rsidRPr="00A85323">
        <w:t> 2 </w:t>
      </w:r>
      <w:r w:rsidR="00C72E23" w:rsidRPr="00A85323">
        <w:t>July</w:t>
      </w:r>
      <w:r w:rsidR="00F86FAE">
        <w:t xml:space="preserve"> </w:t>
      </w:r>
      <w:r w:rsidR="00C72E23" w:rsidRPr="00A85323">
        <w:t>2009,</w:t>
      </w:r>
      <w:r w:rsidR="00CE7285" w:rsidRPr="00A85323">
        <w:t xml:space="preserve"> </w:t>
      </w:r>
      <w:r w:rsidR="00172E31" w:rsidRPr="003E2ACB">
        <w:t>www.coag.gov.au/coag_meeting_outcomes/2009</w:t>
      </w:r>
      <w:r w:rsidR="00917355">
        <w:t>–</w:t>
      </w:r>
      <w:r w:rsidR="00172E31" w:rsidRPr="003E2ACB">
        <w:t>07</w:t>
      </w:r>
      <w:r w:rsidR="00172534">
        <w:noBreakHyphen/>
      </w:r>
      <w:r w:rsidR="00172E31" w:rsidRPr="003E2ACB">
        <w:t>02/docs/national_ECD_strategy.pdf</w:t>
      </w:r>
      <w:r w:rsidR="00A73C0C" w:rsidRPr="00A85323">
        <w:t xml:space="preserve"> (accessed </w:t>
      </w:r>
      <w:r w:rsidR="008E558B">
        <w:t>7</w:t>
      </w:r>
      <w:r w:rsidR="00F86FAE">
        <w:t> </w:t>
      </w:r>
      <w:r w:rsidR="008F1D10" w:rsidRPr="00A85323">
        <w:t>October</w:t>
      </w:r>
      <w:r w:rsidR="00A85323" w:rsidRPr="00A85323">
        <w:t xml:space="preserve"> 201</w:t>
      </w:r>
      <w:r w:rsidR="008E558B">
        <w:t>1</w:t>
      </w:r>
      <w:r w:rsidR="00A73C0C" w:rsidRPr="00A85323">
        <w:t>).</w:t>
      </w:r>
    </w:p>
    <w:p w:rsidR="00A85323" w:rsidRPr="00172534" w:rsidRDefault="00A85323" w:rsidP="00471D41">
      <w:pPr>
        <w:pStyle w:val="Reference"/>
      </w:pPr>
      <w:r w:rsidRPr="00A85323">
        <w:t>—— </w:t>
      </w:r>
      <w:proofErr w:type="spellStart"/>
      <w:r w:rsidRPr="00A85323">
        <w:t>2009b</w:t>
      </w:r>
      <w:proofErr w:type="spellEnd"/>
      <w:r w:rsidRPr="00A85323">
        <w:t>, Communique 7</w:t>
      </w:r>
      <w:r w:rsidR="00F86FAE">
        <w:t> </w:t>
      </w:r>
      <w:r w:rsidRPr="00A85323">
        <w:t xml:space="preserve">December 2009 Brisbane Meeting, Canberra, </w:t>
      </w:r>
      <w:r w:rsidR="00172E31" w:rsidRPr="0091551E">
        <w:t>www.coag.gov.au/coag_meeting_outcomes/2009</w:t>
      </w:r>
      <w:r w:rsidR="00917355">
        <w:t>–</w:t>
      </w:r>
      <w:r w:rsidR="00172E31" w:rsidRPr="0091551E">
        <w:t>12</w:t>
      </w:r>
      <w:r w:rsidR="00172534">
        <w:noBreakHyphen/>
      </w:r>
      <w:r w:rsidR="00172E31" w:rsidRPr="0091551E">
        <w:t>07/docs/20091207_communique.pdf</w:t>
      </w:r>
      <w:r w:rsidR="008E558B">
        <w:t xml:space="preserve"> (accessed 7</w:t>
      </w:r>
      <w:r w:rsidR="00F86FAE">
        <w:t> </w:t>
      </w:r>
      <w:r w:rsidR="008E558B">
        <w:t>October 2011</w:t>
      </w:r>
      <w:r>
        <w:t>)</w:t>
      </w:r>
      <w:r w:rsidR="00E4483E">
        <w:t>.</w:t>
      </w:r>
    </w:p>
    <w:p w:rsidR="00516A10" w:rsidRPr="00172534" w:rsidRDefault="00516A10" w:rsidP="00516A10">
      <w:pPr>
        <w:pStyle w:val="Reference"/>
      </w:pPr>
      <w:r w:rsidRPr="004607B5">
        <w:t>D</w:t>
      </w:r>
      <w:r w:rsidR="00F15E04">
        <w:t>epartment of Education 2013</w:t>
      </w:r>
      <w:r w:rsidRPr="0047789A">
        <w:t xml:space="preserve">, </w:t>
      </w:r>
      <w:r w:rsidR="00F15E04" w:rsidRPr="00F15E04">
        <w:rPr>
          <w:i/>
        </w:rPr>
        <w:t>Legislation, ratings a</w:t>
      </w:r>
      <w:r w:rsidR="00F15E04">
        <w:rPr>
          <w:i/>
        </w:rPr>
        <w:t xml:space="preserve">nd standards information on the </w:t>
      </w:r>
      <w:r w:rsidRPr="0047789A">
        <w:rPr>
          <w:i/>
        </w:rPr>
        <w:t>National Quality Frame</w:t>
      </w:r>
      <w:r w:rsidR="00E01E41">
        <w:rPr>
          <w:i/>
        </w:rPr>
        <w:t>work,</w:t>
      </w:r>
      <w:r w:rsidR="00E01E41">
        <w:rPr>
          <w:i/>
        </w:rPr>
        <w:br/>
      </w:r>
      <w:r w:rsidR="00F15E04">
        <w:t>www.</w:t>
      </w:r>
      <w:r w:rsidR="00F15E04" w:rsidRPr="00F15E04">
        <w:t>education.gov.au/legislation</w:t>
      </w:r>
      <w:r w:rsidR="00172534">
        <w:noBreakHyphen/>
      </w:r>
      <w:r w:rsidR="00F15E04" w:rsidRPr="00F15E04">
        <w:t>ratings</w:t>
      </w:r>
      <w:r w:rsidR="00172534">
        <w:noBreakHyphen/>
      </w:r>
      <w:r w:rsidR="00F15E04" w:rsidRPr="00F15E04">
        <w:t>and</w:t>
      </w:r>
      <w:r w:rsidR="00172534">
        <w:noBreakHyphen/>
      </w:r>
      <w:r w:rsidR="00F15E04" w:rsidRPr="00F15E04">
        <w:t>standards</w:t>
      </w:r>
      <w:r w:rsidR="00172534">
        <w:noBreakHyphen/>
      </w:r>
      <w:r w:rsidR="00F15E04" w:rsidRPr="00F15E04">
        <w:t>information</w:t>
      </w:r>
      <w:r w:rsidR="00172534">
        <w:noBreakHyphen/>
      </w:r>
      <w:r w:rsidR="00F15E04" w:rsidRPr="00F15E04">
        <w:t>national</w:t>
      </w:r>
      <w:r w:rsidR="00172534">
        <w:noBreakHyphen/>
      </w:r>
      <w:r w:rsidR="00F15E04" w:rsidRPr="00F15E04">
        <w:t>quality</w:t>
      </w:r>
      <w:r w:rsidR="00172534">
        <w:noBreakHyphen/>
      </w:r>
      <w:r w:rsidR="00F15E04" w:rsidRPr="00F15E04">
        <w:t>framework</w:t>
      </w:r>
      <w:r>
        <w:t xml:space="preserve"> (accessed </w:t>
      </w:r>
      <w:r w:rsidR="00F15E04">
        <w:t>17</w:t>
      </w:r>
      <w:r w:rsidR="00F86FAE">
        <w:t> </w:t>
      </w:r>
      <w:r w:rsidR="00F15E04">
        <w:t>October 2013</w:t>
      </w:r>
      <w:r>
        <w:t xml:space="preserve">). </w:t>
      </w:r>
    </w:p>
    <w:p w:rsidR="0095708E" w:rsidRDefault="00F40779" w:rsidP="00C3586E">
      <w:pPr>
        <w:pStyle w:val="Reference"/>
      </w:pPr>
      <w:r w:rsidRPr="004607B5">
        <w:t>OECD (Organisation for Economic Co</w:t>
      </w:r>
      <w:r w:rsidR="00172534">
        <w:noBreakHyphen/>
      </w:r>
      <w:r w:rsidRPr="004607B5">
        <w:t xml:space="preserve">operation and Development) 2006, </w:t>
      </w:r>
      <w:r w:rsidRPr="004607B5">
        <w:rPr>
          <w:i/>
        </w:rPr>
        <w:t>Starting Strong II: Early Childhood Education and Care</w:t>
      </w:r>
      <w:r w:rsidRPr="004607B5">
        <w:t>, Paris.</w:t>
      </w:r>
      <w:r w:rsidRPr="00A469BE">
        <w:t xml:space="preserve"> </w:t>
      </w:r>
    </w:p>
    <w:p w:rsidR="00A42E75" w:rsidRPr="00EF5A5F" w:rsidRDefault="00A42E75" w:rsidP="00A42E75">
      <w:pPr>
        <w:pStyle w:val="Reference"/>
      </w:pPr>
    </w:p>
    <w:sectPr w:rsidR="00A42E75" w:rsidRPr="00EF5A5F" w:rsidSect="000F0206">
      <w:headerReference w:type="even" r:id="rId35"/>
      <w:headerReference w:type="default" r:id="rId36"/>
      <w:footerReference w:type="even" r:id="rId37"/>
      <w:footerReference w:type="default" r:id="rId38"/>
      <w:pgSz w:w="11907" w:h="16840" w:code="9"/>
      <w:pgMar w:top="1985" w:right="1304" w:bottom="1418" w:left="1814" w:header="1701" w:footer="567" w:gutter="0"/>
      <w:pgNumType w:start="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88D" w:rsidRDefault="00C6088D">
      <w:r>
        <w:separator/>
      </w:r>
    </w:p>
  </w:endnote>
  <w:endnote w:type="continuationSeparator" w:id="0">
    <w:p w:rsidR="00C6088D" w:rsidRDefault="00C60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Gill Sans MT Pro Light">
    <w:altName w:val="Gill Sans MT Pro 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C6088D">
      <w:trPr>
        <w:trHeight w:hRule="exact" w:val="740"/>
      </w:trPr>
      <w:tc>
        <w:tcPr>
          <w:tcW w:w="510" w:type="dxa"/>
          <w:tcBorders>
            <w:top w:val="single" w:sz="6" w:space="0" w:color="auto"/>
          </w:tcBorders>
        </w:tcPr>
        <w:p w:rsidR="00C6088D" w:rsidRDefault="00C6088D">
          <w:pPr>
            <w:pStyle w:val="Footer"/>
            <w:tabs>
              <w:tab w:val="left" w:pos="0"/>
            </w:tabs>
            <w:ind w:right="0"/>
            <w:rPr>
              <w:rStyle w:val="PageNumber"/>
            </w:rPr>
          </w:pPr>
          <w:r>
            <w:rPr>
              <w:rStyle w:val="PageNumber"/>
            </w:rPr>
            <w:t>3.</w:t>
          </w:r>
          <w:r>
            <w:rPr>
              <w:rStyle w:val="PageNumber"/>
            </w:rPr>
            <w:fldChar w:fldCharType="begin"/>
          </w:r>
          <w:r>
            <w:rPr>
              <w:rStyle w:val="PageNumber"/>
            </w:rPr>
            <w:instrText xml:space="preserve"> COMMENTS  \* MERGEFORMAT </w:instrText>
          </w:r>
          <w:r>
            <w:rPr>
              <w:rStyle w:val="PageNumber"/>
            </w:rPr>
            <w:fldChar w:fldCharType="end"/>
          </w:r>
          <w:r>
            <w:rPr>
              <w:rStyle w:val="PageNumber"/>
            </w:rPr>
            <w:fldChar w:fldCharType="begin"/>
          </w:r>
          <w:r>
            <w:rPr>
              <w:rStyle w:val="PageNumber"/>
            </w:rPr>
            <w:instrText xml:space="preserve"> PAGE </w:instrText>
          </w:r>
          <w:r>
            <w:rPr>
              <w:rStyle w:val="PageNumber"/>
            </w:rPr>
            <w:fldChar w:fldCharType="separate"/>
          </w:r>
          <w:r w:rsidR="00E23069">
            <w:rPr>
              <w:rStyle w:val="PageNumber"/>
              <w:noProof/>
            </w:rPr>
            <w:t>2</w:t>
          </w:r>
          <w:r>
            <w:rPr>
              <w:rStyle w:val="PageNumber"/>
            </w:rPr>
            <w:fldChar w:fldCharType="end"/>
          </w:r>
        </w:p>
      </w:tc>
      <w:tc>
        <w:tcPr>
          <w:tcW w:w="1644" w:type="dxa"/>
          <w:tcBorders>
            <w:top w:val="single" w:sz="6" w:space="0" w:color="auto"/>
          </w:tcBorders>
        </w:tcPr>
        <w:p w:rsidR="00C6088D" w:rsidRDefault="00C6088D">
          <w:pPr>
            <w:pStyle w:val="Footer"/>
          </w:pPr>
          <w:r>
            <w:t>REPORT on Government Services 2014</w:t>
          </w:r>
        </w:p>
        <w:p w:rsidR="00C6088D" w:rsidRDefault="00C6088D">
          <w:pPr>
            <w:pStyle w:val="Footer"/>
          </w:pPr>
        </w:p>
      </w:tc>
      <w:tc>
        <w:tcPr>
          <w:tcW w:w="6634" w:type="dxa"/>
        </w:tcPr>
        <w:p w:rsidR="00C6088D" w:rsidRDefault="00C6088D">
          <w:pPr>
            <w:pStyle w:val="Footer"/>
          </w:pPr>
        </w:p>
      </w:tc>
    </w:tr>
  </w:tbl>
  <w:p w:rsidR="00C6088D" w:rsidRDefault="00C6088D">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C6088D" w:rsidTr="00273FFE">
      <w:trPr>
        <w:trHeight w:hRule="exact" w:val="740"/>
      </w:trPr>
      <w:tc>
        <w:tcPr>
          <w:tcW w:w="6634" w:type="dxa"/>
        </w:tcPr>
        <w:p w:rsidR="00C6088D" w:rsidRDefault="00C6088D">
          <w:pPr>
            <w:pStyle w:val="Footer"/>
            <w:ind w:right="360" w:firstLine="360"/>
          </w:pPr>
          <w:bookmarkStart w:id="57" w:name="_Chapter"/>
          <w:bookmarkEnd w:id="57"/>
        </w:p>
      </w:tc>
      <w:tc>
        <w:tcPr>
          <w:tcW w:w="1644" w:type="dxa"/>
          <w:tcBorders>
            <w:top w:val="single" w:sz="4" w:space="0" w:color="auto"/>
          </w:tcBorders>
        </w:tcPr>
        <w:p w:rsidR="00C6088D" w:rsidRDefault="00C6088D">
          <w:pPr>
            <w:pStyle w:val="Footer"/>
          </w:pPr>
          <w:r>
            <w:t>EARLY CHILDHOOD EDUCATION AND CARE</w:t>
          </w:r>
        </w:p>
      </w:tc>
      <w:tc>
        <w:tcPr>
          <w:tcW w:w="510" w:type="dxa"/>
          <w:tcBorders>
            <w:top w:val="single" w:sz="4" w:space="0" w:color="auto"/>
          </w:tcBorders>
        </w:tcPr>
        <w:p w:rsidR="00C6088D" w:rsidRDefault="00C6088D">
          <w:pPr>
            <w:pStyle w:val="Footer"/>
            <w:jc w:val="right"/>
          </w:pPr>
          <w:r>
            <w:rPr>
              <w:rStyle w:val="PageNumber"/>
            </w:rPr>
            <w:t>3.</w:t>
          </w:r>
          <w:r>
            <w:rPr>
              <w:rStyle w:val="PageNumber"/>
            </w:rPr>
            <w:fldChar w:fldCharType="begin"/>
          </w:r>
          <w:r>
            <w:rPr>
              <w:rStyle w:val="PageNumber"/>
            </w:rPr>
            <w:instrText xml:space="preserve"> COMMENTS  \* MERGEFORMAT </w:instrText>
          </w:r>
          <w:r>
            <w:rPr>
              <w:rStyle w:val="PageNumber"/>
            </w:rPr>
            <w:fldChar w:fldCharType="end"/>
          </w:r>
          <w:bookmarkStart w:id="58" w:name="begin"/>
          <w:bookmarkEnd w:id="58"/>
          <w:r>
            <w:rPr>
              <w:rStyle w:val="PageNumber"/>
            </w:rPr>
            <w:fldChar w:fldCharType="begin"/>
          </w:r>
          <w:r>
            <w:rPr>
              <w:rStyle w:val="PageNumber"/>
            </w:rPr>
            <w:instrText xml:space="preserve">PAGE  </w:instrText>
          </w:r>
          <w:r>
            <w:rPr>
              <w:rStyle w:val="PageNumber"/>
            </w:rPr>
            <w:fldChar w:fldCharType="separate"/>
          </w:r>
          <w:r w:rsidR="00E23069">
            <w:rPr>
              <w:rStyle w:val="PageNumber"/>
              <w:noProof/>
            </w:rPr>
            <w:t>1</w:t>
          </w:r>
          <w:r>
            <w:rPr>
              <w:rStyle w:val="PageNumber"/>
            </w:rPr>
            <w:fldChar w:fldCharType="end"/>
          </w:r>
        </w:p>
      </w:tc>
    </w:tr>
  </w:tbl>
  <w:p w:rsidR="00C6088D" w:rsidRDefault="00C6088D">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88D" w:rsidRDefault="00C6088D">
      <w:r>
        <w:separator/>
      </w:r>
    </w:p>
  </w:footnote>
  <w:footnote w:type="continuationSeparator" w:id="0">
    <w:p w:rsidR="00C6088D" w:rsidRDefault="00C608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C6088D">
      <w:tc>
        <w:tcPr>
          <w:tcW w:w="2155" w:type="dxa"/>
          <w:tcBorders>
            <w:top w:val="single" w:sz="24" w:space="0" w:color="auto"/>
          </w:tcBorders>
        </w:tcPr>
        <w:p w:rsidR="00C6088D" w:rsidRDefault="00C6088D" w:rsidP="00DD2048">
          <w:pPr>
            <w:pStyle w:val="HeaderEven"/>
          </w:pPr>
          <w:r w:rsidRPr="00DD2048">
            <w:tab/>
          </w:r>
        </w:p>
      </w:tc>
      <w:tc>
        <w:tcPr>
          <w:tcW w:w="6634" w:type="dxa"/>
          <w:tcBorders>
            <w:top w:val="single" w:sz="6" w:space="0" w:color="auto"/>
          </w:tcBorders>
        </w:tcPr>
        <w:p w:rsidR="00C6088D" w:rsidRDefault="00C6088D" w:rsidP="00DD2048">
          <w:pPr>
            <w:pStyle w:val="HeaderEven"/>
          </w:pPr>
        </w:p>
      </w:tc>
    </w:tr>
  </w:tbl>
  <w:p w:rsidR="00C6088D" w:rsidRDefault="00C6088D">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6088D" w:rsidTr="00092927">
      <w:tc>
        <w:tcPr>
          <w:tcW w:w="6634" w:type="dxa"/>
          <w:tcBorders>
            <w:top w:val="single" w:sz="6" w:space="0" w:color="auto"/>
          </w:tcBorders>
        </w:tcPr>
        <w:p w:rsidR="00C6088D" w:rsidRPr="00DD2048" w:rsidRDefault="00C6088D" w:rsidP="008E7F4C">
          <w:pPr>
            <w:pStyle w:val="HeaderOdd"/>
            <w:tabs>
              <w:tab w:val="clear" w:pos="8789"/>
              <w:tab w:val="left" w:pos="4995"/>
            </w:tabs>
          </w:pPr>
        </w:p>
      </w:tc>
      <w:tc>
        <w:tcPr>
          <w:tcW w:w="2155" w:type="dxa"/>
          <w:tcBorders>
            <w:top w:val="single" w:sz="24" w:space="0" w:color="auto"/>
          </w:tcBorders>
        </w:tcPr>
        <w:p w:rsidR="00C6088D" w:rsidRDefault="00C6088D" w:rsidP="00092927">
          <w:pPr>
            <w:pStyle w:val="HeaderOdd"/>
          </w:pPr>
        </w:p>
      </w:tc>
    </w:tr>
  </w:tbl>
  <w:p w:rsidR="00C6088D" w:rsidRDefault="00C6088D">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1E9160A4"/>
    <w:multiLevelType w:val="hybridMultilevel"/>
    <w:tmpl w:val="6CEAC950"/>
    <w:lvl w:ilvl="0" w:tplc="432AEC8C">
      <w:start w:val="1"/>
      <w:numFmt w:val="bullet"/>
      <w:lvlText w:val=""/>
      <w:lvlJc w:val="left"/>
      <w:pPr>
        <w:tabs>
          <w:tab w:val="num" w:pos="624"/>
        </w:tabs>
        <w:ind w:left="68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9">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5">
    <w:nsid w:val="51F74561"/>
    <w:multiLevelType w:val="singleLevel"/>
    <w:tmpl w:val="ED98921A"/>
    <w:lvl w:ilvl="0">
      <w:start w:val="1"/>
      <w:numFmt w:val="decimal"/>
      <w:lvlText w:val="%1."/>
      <w:legacy w:legacy="1" w:legacySpace="0" w:legacyIndent="340"/>
      <w:lvlJc w:val="left"/>
      <w:pPr>
        <w:ind w:left="340" w:hanging="340"/>
      </w:p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1320C1E"/>
    <w:multiLevelType w:val="singleLevel"/>
    <w:tmpl w:val="C444122C"/>
    <w:lvl w:ilvl="0">
      <w:start w:val="1"/>
      <w:numFmt w:val="decimal"/>
      <w:lvlText w:val="%1."/>
      <w:legacy w:legacy="1" w:legacySpace="0" w:legacyIndent="284"/>
      <w:lvlJc w:val="left"/>
      <w:pPr>
        <w:ind w:left="284" w:hanging="284"/>
      </w:p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8"/>
  </w:num>
  <w:num w:numId="2">
    <w:abstractNumId w:val="9"/>
  </w:num>
  <w:num w:numId="3">
    <w:abstractNumId w:val="10"/>
  </w:num>
  <w:num w:numId="4">
    <w:abstractNumId w:val="16"/>
  </w:num>
  <w:num w:numId="5">
    <w:abstractNumId w:val="26"/>
  </w:num>
  <w:num w:numId="6">
    <w:abstractNumId w:val="21"/>
  </w:num>
  <w:num w:numId="7">
    <w:abstractNumId w:val="43"/>
  </w:num>
  <w:num w:numId="8">
    <w:abstractNumId w:val="44"/>
  </w:num>
  <w:num w:numId="9">
    <w:abstractNumId w:val="18"/>
  </w:num>
  <w:num w:numId="10">
    <w:abstractNumId w:val="27"/>
  </w:num>
  <w:num w:numId="11">
    <w:abstractNumId w:val="29"/>
  </w:num>
  <w:num w:numId="12">
    <w:abstractNumId w:val="17"/>
  </w:num>
  <w:num w:numId="13">
    <w:abstractNumId w:val="7"/>
  </w:num>
  <w:num w:numId="14">
    <w:abstractNumId w:val="15"/>
  </w:num>
  <w:num w:numId="15">
    <w:abstractNumId w:val="14"/>
  </w:num>
  <w:num w:numId="16">
    <w:abstractNumId w:val="20"/>
  </w:num>
  <w:num w:numId="17">
    <w:abstractNumId w:val="23"/>
  </w:num>
  <w:num w:numId="18">
    <w:abstractNumId w:val="31"/>
  </w:num>
  <w:num w:numId="19">
    <w:abstractNumId w:val="5"/>
  </w:num>
  <w:num w:numId="20">
    <w:abstractNumId w:val="3"/>
  </w:num>
  <w:num w:numId="21">
    <w:abstractNumId w:val="2"/>
  </w:num>
  <w:num w:numId="22">
    <w:abstractNumId w:val="4"/>
  </w:num>
  <w:num w:numId="23">
    <w:abstractNumId w:val="1"/>
  </w:num>
  <w:num w:numId="24">
    <w:abstractNumId w:val="0"/>
  </w:num>
  <w:num w:numId="25">
    <w:abstractNumId w:val="12"/>
  </w:num>
  <w:num w:numId="26">
    <w:abstractNumId w:val="35"/>
  </w:num>
  <w:num w:numId="27">
    <w:abstractNumId w:val="37"/>
  </w:num>
  <w:num w:numId="28">
    <w:abstractNumId w:val="25"/>
  </w:num>
  <w:num w:numId="29">
    <w:abstractNumId w:val="28"/>
  </w:num>
  <w:num w:numId="30">
    <w:abstractNumId w:val="30"/>
  </w:num>
  <w:num w:numId="31">
    <w:abstractNumId w:val="42"/>
  </w:num>
  <w:num w:numId="32">
    <w:abstractNumId w:val="34"/>
  </w:num>
  <w:num w:numId="33">
    <w:abstractNumId w:val="39"/>
  </w:num>
  <w:num w:numId="34">
    <w:abstractNumId w:val="40"/>
  </w:num>
  <w:num w:numId="35">
    <w:abstractNumId w:val="32"/>
  </w:num>
  <w:num w:numId="36">
    <w:abstractNumId w:val="22"/>
  </w:num>
  <w:num w:numId="37">
    <w:abstractNumId w:val="45"/>
  </w:num>
  <w:num w:numId="38">
    <w:abstractNumId w:val="8"/>
  </w:num>
  <w:num w:numId="39">
    <w:abstractNumId w:val="19"/>
  </w:num>
  <w:num w:numId="40">
    <w:abstractNumId w:val="41"/>
  </w:num>
  <w:num w:numId="41">
    <w:abstractNumId w:val="33"/>
  </w:num>
  <w:num w:numId="42">
    <w:abstractNumId w:val="13"/>
  </w:num>
  <w:num w:numId="43">
    <w:abstractNumId w:val="36"/>
  </w:num>
  <w:num w:numId="44">
    <w:abstractNumId w:val="24"/>
  </w:num>
  <w:num w:numId="45">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6">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activeWritingStyle w:appName="MSWord" w:lang="en-AU" w:vendorID="8" w:dllVersion="513" w:checkStyle="1"/>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189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Children's services"/>
    <w:docVar w:name="ShortReportTitle" w:val="Report on government services 2011"/>
    <w:docVar w:name="SideNote" w:val="1"/>
    <w:docVar w:name="UseShortChapter" w:val="0"/>
    <w:docVar w:name="UseShortReport" w:val="0"/>
  </w:docVars>
  <w:rsids>
    <w:rsidRoot w:val="00A4735C"/>
    <w:rsid w:val="00000904"/>
    <w:rsid w:val="00000909"/>
    <w:rsid w:val="00001575"/>
    <w:rsid w:val="00001822"/>
    <w:rsid w:val="00001BFC"/>
    <w:rsid w:val="00001C49"/>
    <w:rsid w:val="000024C2"/>
    <w:rsid w:val="00002A07"/>
    <w:rsid w:val="00002B3E"/>
    <w:rsid w:val="000033D5"/>
    <w:rsid w:val="0000351E"/>
    <w:rsid w:val="00003AEF"/>
    <w:rsid w:val="00004BD9"/>
    <w:rsid w:val="00004CCB"/>
    <w:rsid w:val="000055F9"/>
    <w:rsid w:val="00005E7A"/>
    <w:rsid w:val="00006052"/>
    <w:rsid w:val="00006196"/>
    <w:rsid w:val="000065D3"/>
    <w:rsid w:val="0000668F"/>
    <w:rsid w:val="00006A76"/>
    <w:rsid w:val="000071B4"/>
    <w:rsid w:val="00007D37"/>
    <w:rsid w:val="00007D5F"/>
    <w:rsid w:val="00007F9C"/>
    <w:rsid w:val="000102E5"/>
    <w:rsid w:val="0001099F"/>
    <w:rsid w:val="00010AF2"/>
    <w:rsid w:val="0001128D"/>
    <w:rsid w:val="0001131F"/>
    <w:rsid w:val="00011E10"/>
    <w:rsid w:val="00011FA2"/>
    <w:rsid w:val="000121A4"/>
    <w:rsid w:val="000137FF"/>
    <w:rsid w:val="00014B07"/>
    <w:rsid w:val="00015A40"/>
    <w:rsid w:val="00016675"/>
    <w:rsid w:val="00016761"/>
    <w:rsid w:val="00016886"/>
    <w:rsid w:val="00016A12"/>
    <w:rsid w:val="000174CF"/>
    <w:rsid w:val="00020029"/>
    <w:rsid w:val="00020BD6"/>
    <w:rsid w:val="000213E0"/>
    <w:rsid w:val="00021F82"/>
    <w:rsid w:val="0002237F"/>
    <w:rsid w:val="00022938"/>
    <w:rsid w:val="000231FE"/>
    <w:rsid w:val="00023740"/>
    <w:rsid w:val="00023C40"/>
    <w:rsid w:val="00023D5E"/>
    <w:rsid w:val="0002405E"/>
    <w:rsid w:val="00024B91"/>
    <w:rsid w:val="00024E66"/>
    <w:rsid w:val="00024E81"/>
    <w:rsid w:val="00024F8F"/>
    <w:rsid w:val="000252CC"/>
    <w:rsid w:val="00025BCC"/>
    <w:rsid w:val="00026576"/>
    <w:rsid w:val="000311BE"/>
    <w:rsid w:val="000318C9"/>
    <w:rsid w:val="00031FBF"/>
    <w:rsid w:val="00032020"/>
    <w:rsid w:val="0003281D"/>
    <w:rsid w:val="00032C61"/>
    <w:rsid w:val="00033458"/>
    <w:rsid w:val="000335C2"/>
    <w:rsid w:val="00033946"/>
    <w:rsid w:val="0003475D"/>
    <w:rsid w:val="00035038"/>
    <w:rsid w:val="00035CA3"/>
    <w:rsid w:val="0003611E"/>
    <w:rsid w:val="00036130"/>
    <w:rsid w:val="00036356"/>
    <w:rsid w:val="000365B2"/>
    <w:rsid w:val="000366E2"/>
    <w:rsid w:val="00036710"/>
    <w:rsid w:val="00036793"/>
    <w:rsid w:val="00036BB3"/>
    <w:rsid w:val="0003716F"/>
    <w:rsid w:val="0003744B"/>
    <w:rsid w:val="000407FA"/>
    <w:rsid w:val="00040BE2"/>
    <w:rsid w:val="000416EA"/>
    <w:rsid w:val="0004176C"/>
    <w:rsid w:val="000428F2"/>
    <w:rsid w:val="0004319A"/>
    <w:rsid w:val="000433ED"/>
    <w:rsid w:val="00043408"/>
    <w:rsid w:val="00043615"/>
    <w:rsid w:val="00045768"/>
    <w:rsid w:val="00045A17"/>
    <w:rsid w:val="0004623D"/>
    <w:rsid w:val="00046C67"/>
    <w:rsid w:val="00046E75"/>
    <w:rsid w:val="00047046"/>
    <w:rsid w:val="0004768B"/>
    <w:rsid w:val="000477C3"/>
    <w:rsid w:val="00047A03"/>
    <w:rsid w:val="00047C63"/>
    <w:rsid w:val="00047D06"/>
    <w:rsid w:val="00047EB3"/>
    <w:rsid w:val="00050883"/>
    <w:rsid w:val="00050BB8"/>
    <w:rsid w:val="00050F59"/>
    <w:rsid w:val="00050FB2"/>
    <w:rsid w:val="00051572"/>
    <w:rsid w:val="00051853"/>
    <w:rsid w:val="00051E56"/>
    <w:rsid w:val="00052A64"/>
    <w:rsid w:val="00052FD8"/>
    <w:rsid w:val="00053262"/>
    <w:rsid w:val="0005367D"/>
    <w:rsid w:val="00053968"/>
    <w:rsid w:val="00053B7E"/>
    <w:rsid w:val="00053D4D"/>
    <w:rsid w:val="000542CD"/>
    <w:rsid w:val="000553F2"/>
    <w:rsid w:val="00055437"/>
    <w:rsid w:val="00055643"/>
    <w:rsid w:val="00055881"/>
    <w:rsid w:val="00055924"/>
    <w:rsid w:val="0005613C"/>
    <w:rsid w:val="000564F6"/>
    <w:rsid w:val="00056D58"/>
    <w:rsid w:val="00057158"/>
    <w:rsid w:val="000579C6"/>
    <w:rsid w:val="0006067D"/>
    <w:rsid w:val="00060C8D"/>
    <w:rsid w:val="00060F9B"/>
    <w:rsid w:val="00061391"/>
    <w:rsid w:val="000613DE"/>
    <w:rsid w:val="0006184F"/>
    <w:rsid w:val="00061B56"/>
    <w:rsid w:val="000629DB"/>
    <w:rsid w:val="00062F8E"/>
    <w:rsid w:val="00063447"/>
    <w:rsid w:val="00063697"/>
    <w:rsid w:val="00063C6E"/>
    <w:rsid w:val="0006470E"/>
    <w:rsid w:val="0006518E"/>
    <w:rsid w:val="00066829"/>
    <w:rsid w:val="0006689F"/>
    <w:rsid w:val="00066933"/>
    <w:rsid w:val="000669B4"/>
    <w:rsid w:val="00066F3E"/>
    <w:rsid w:val="0006717A"/>
    <w:rsid w:val="00067343"/>
    <w:rsid w:val="00067989"/>
    <w:rsid w:val="00067CB5"/>
    <w:rsid w:val="0007019C"/>
    <w:rsid w:val="00070A42"/>
    <w:rsid w:val="000713BB"/>
    <w:rsid w:val="000715FE"/>
    <w:rsid w:val="000716F8"/>
    <w:rsid w:val="0007188C"/>
    <w:rsid w:val="00071D8D"/>
    <w:rsid w:val="00071E61"/>
    <w:rsid w:val="00071F20"/>
    <w:rsid w:val="000735E1"/>
    <w:rsid w:val="0007374A"/>
    <w:rsid w:val="00073A09"/>
    <w:rsid w:val="00073CA7"/>
    <w:rsid w:val="00073F42"/>
    <w:rsid w:val="0007504A"/>
    <w:rsid w:val="0007571C"/>
    <w:rsid w:val="000757C9"/>
    <w:rsid w:val="00075A9A"/>
    <w:rsid w:val="00075BA4"/>
    <w:rsid w:val="00075EED"/>
    <w:rsid w:val="0007689C"/>
    <w:rsid w:val="00076AB2"/>
    <w:rsid w:val="00077602"/>
    <w:rsid w:val="000777DC"/>
    <w:rsid w:val="00077835"/>
    <w:rsid w:val="000802FF"/>
    <w:rsid w:val="000805EA"/>
    <w:rsid w:val="00080783"/>
    <w:rsid w:val="00080A35"/>
    <w:rsid w:val="000810AC"/>
    <w:rsid w:val="00081491"/>
    <w:rsid w:val="0008173C"/>
    <w:rsid w:val="00081C97"/>
    <w:rsid w:val="00082EF8"/>
    <w:rsid w:val="000831E6"/>
    <w:rsid w:val="00083572"/>
    <w:rsid w:val="00084003"/>
    <w:rsid w:val="00084351"/>
    <w:rsid w:val="00084DB4"/>
    <w:rsid w:val="0008584A"/>
    <w:rsid w:val="000859DE"/>
    <w:rsid w:val="00085E23"/>
    <w:rsid w:val="00085F02"/>
    <w:rsid w:val="0008648B"/>
    <w:rsid w:val="00086C53"/>
    <w:rsid w:val="00087267"/>
    <w:rsid w:val="00087656"/>
    <w:rsid w:val="0008765A"/>
    <w:rsid w:val="000876B1"/>
    <w:rsid w:val="000876D0"/>
    <w:rsid w:val="00087924"/>
    <w:rsid w:val="000902F0"/>
    <w:rsid w:val="000907C0"/>
    <w:rsid w:val="00090AF6"/>
    <w:rsid w:val="00090DD8"/>
    <w:rsid w:val="00091790"/>
    <w:rsid w:val="00091F2A"/>
    <w:rsid w:val="00092050"/>
    <w:rsid w:val="0009281F"/>
    <w:rsid w:val="00092927"/>
    <w:rsid w:val="000929E5"/>
    <w:rsid w:val="00092CFB"/>
    <w:rsid w:val="00092F26"/>
    <w:rsid w:val="0009301D"/>
    <w:rsid w:val="0009319C"/>
    <w:rsid w:val="0009360E"/>
    <w:rsid w:val="000937A1"/>
    <w:rsid w:val="000939F6"/>
    <w:rsid w:val="00094082"/>
    <w:rsid w:val="00094881"/>
    <w:rsid w:val="000948BB"/>
    <w:rsid w:val="00095290"/>
    <w:rsid w:val="000958B0"/>
    <w:rsid w:val="000958B4"/>
    <w:rsid w:val="00095D91"/>
    <w:rsid w:val="0009613B"/>
    <w:rsid w:val="00096392"/>
    <w:rsid w:val="000968E8"/>
    <w:rsid w:val="000973B0"/>
    <w:rsid w:val="00097435"/>
    <w:rsid w:val="00097A9B"/>
    <w:rsid w:val="00097D1E"/>
    <w:rsid w:val="000A031D"/>
    <w:rsid w:val="000A07A9"/>
    <w:rsid w:val="000A0AF6"/>
    <w:rsid w:val="000A127E"/>
    <w:rsid w:val="000A1AA6"/>
    <w:rsid w:val="000A1C4E"/>
    <w:rsid w:val="000A378A"/>
    <w:rsid w:val="000A3BD9"/>
    <w:rsid w:val="000A41D3"/>
    <w:rsid w:val="000A4565"/>
    <w:rsid w:val="000A5B7F"/>
    <w:rsid w:val="000A68F6"/>
    <w:rsid w:val="000A6C2E"/>
    <w:rsid w:val="000A70FB"/>
    <w:rsid w:val="000A731A"/>
    <w:rsid w:val="000A7607"/>
    <w:rsid w:val="000A7AAC"/>
    <w:rsid w:val="000A7ACF"/>
    <w:rsid w:val="000A7E75"/>
    <w:rsid w:val="000A7FFB"/>
    <w:rsid w:val="000B04BC"/>
    <w:rsid w:val="000B083F"/>
    <w:rsid w:val="000B105C"/>
    <w:rsid w:val="000B11A9"/>
    <w:rsid w:val="000B1204"/>
    <w:rsid w:val="000B177C"/>
    <w:rsid w:val="000B20FD"/>
    <w:rsid w:val="000B2317"/>
    <w:rsid w:val="000B23C1"/>
    <w:rsid w:val="000B24AC"/>
    <w:rsid w:val="000B2CDF"/>
    <w:rsid w:val="000B2D26"/>
    <w:rsid w:val="000B2D6C"/>
    <w:rsid w:val="000B4147"/>
    <w:rsid w:val="000B4DBB"/>
    <w:rsid w:val="000B52D5"/>
    <w:rsid w:val="000B542E"/>
    <w:rsid w:val="000B557A"/>
    <w:rsid w:val="000B59F1"/>
    <w:rsid w:val="000B6262"/>
    <w:rsid w:val="000B6537"/>
    <w:rsid w:val="000B66E4"/>
    <w:rsid w:val="000B67BD"/>
    <w:rsid w:val="000B67C4"/>
    <w:rsid w:val="000B6BF5"/>
    <w:rsid w:val="000B6DFF"/>
    <w:rsid w:val="000B733D"/>
    <w:rsid w:val="000B7594"/>
    <w:rsid w:val="000C00C6"/>
    <w:rsid w:val="000C0638"/>
    <w:rsid w:val="000C0708"/>
    <w:rsid w:val="000C0889"/>
    <w:rsid w:val="000C0D56"/>
    <w:rsid w:val="000C10C1"/>
    <w:rsid w:val="000C1336"/>
    <w:rsid w:val="000C13DB"/>
    <w:rsid w:val="000C1569"/>
    <w:rsid w:val="000C17C2"/>
    <w:rsid w:val="000C1A68"/>
    <w:rsid w:val="000C25F0"/>
    <w:rsid w:val="000C2D18"/>
    <w:rsid w:val="000C31E5"/>
    <w:rsid w:val="000C3D59"/>
    <w:rsid w:val="000C43E6"/>
    <w:rsid w:val="000C49A1"/>
    <w:rsid w:val="000C4B6A"/>
    <w:rsid w:val="000C4D68"/>
    <w:rsid w:val="000C50B7"/>
    <w:rsid w:val="000C52CE"/>
    <w:rsid w:val="000C545F"/>
    <w:rsid w:val="000C54F2"/>
    <w:rsid w:val="000C55D0"/>
    <w:rsid w:val="000C5BE5"/>
    <w:rsid w:val="000C5E3D"/>
    <w:rsid w:val="000C61DA"/>
    <w:rsid w:val="000C644C"/>
    <w:rsid w:val="000C6834"/>
    <w:rsid w:val="000C6BAD"/>
    <w:rsid w:val="000C6D17"/>
    <w:rsid w:val="000C7691"/>
    <w:rsid w:val="000D0D72"/>
    <w:rsid w:val="000D1035"/>
    <w:rsid w:val="000D12EC"/>
    <w:rsid w:val="000D19AF"/>
    <w:rsid w:val="000D2223"/>
    <w:rsid w:val="000D22AA"/>
    <w:rsid w:val="000D24A2"/>
    <w:rsid w:val="000D2BEB"/>
    <w:rsid w:val="000D2EC4"/>
    <w:rsid w:val="000D30C0"/>
    <w:rsid w:val="000D32C9"/>
    <w:rsid w:val="000D35F3"/>
    <w:rsid w:val="000D3894"/>
    <w:rsid w:val="000D3B58"/>
    <w:rsid w:val="000D438C"/>
    <w:rsid w:val="000D453B"/>
    <w:rsid w:val="000D4980"/>
    <w:rsid w:val="000D49DE"/>
    <w:rsid w:val="000D5428"/>
    <w:rsid w:val="000D5553"/>
    <w:rsid w:val="000D558C"/>
    <w:rsid w:val="000D6538"/>
    <w:rsid w:val="000D686E"/>
    <w:rsid w:val="000D6E2D"/>
    <w:rsid w:val="000D6E81"/>
    <w:rsid w:val="000D770C"/>
    <w:rsid w:val="000D7F5F"/>
    <w:rsid w:val="000E0116"/>
    <w:rsid w:val="000E0502"/>
    <w:rsid w:val="000E106B"/>
    <w:rsid w:val="000E12C3"/>
    <w:rsid w:val="000E141F"/>
    <w:rsid w:val="000E14C6"/>
    <w:rsid w:val="000E1B2B"/>
    <w:rsid w:val="000E1BF7"/>
    <w:rsid w:val="000E1C3B"/>
    <w:rsid w:val="000E2A34"/>
    <w:rsid w:val="000E2B7A"/>
    <w:rsid w:val="000E2F93"/>
    <w:rsid w:val="000E32C9"/>
    <w:rsid w:val="000E3A7E"/>
    <w:rsid w:val="000E4613"/>
    <w:rsid w:val="000E4F44"/>
    <w:rsid w:val="000E50ED"/>
    <w:rsid w:val="000E5CDC"/>
    <w:rsid w:val="000E6193"/>
    <w:rsid w:val="000E61E8"/>
    <w:rsid w:val="000E64E0"/>
    <w:rsid w:val="000E659B"/>
    <w:rsid w:val="000E679F"/>
    <w:rsid w:val="000E6AF8"/>
    <w:rsid w:val="000E6FD1"/>
    <w:rsid w:val="000E7105"/>
    <w:rsid w:val="000E74ED"/>
    <w:rsid w:val="000E7C29"/>
    <w:rsid w:val="000F0135"/>
    <w:rsid w:val="000F0206"/>
    <w:rsid w:val="000F031F"/>
    <w:rsid w:val="000F07E1"/>
    <w:rsid w:val="000F0D09"/>
    <w:rsid w:val="000F113F"/>
    <w:rsid w:val="000F1796"/>
    <w:rsid w:val="000F1D10"/>
    <w:rsid w:val="000F2CAA"/>
    <w:rsid w:val="000F37AA"/>
    <w:rsid w:val="000F37B1"/>
    <w:rsid w:val="000F3890"/>
    <w:rsid w:val="000F42C9"/>
    <w:rsid w:val="000F44C9"/>
    <w:rsid w:val="000F4843"/>
    <w:rsid w:val="000F4B12"/>
    <w:rsid w:val="000F4E94"/>
    <w:rsid w:val="000F5E54"/>
    <w:rsid w:val="000F5EE5"/>
    <w:rsid w:val="000F6531"/>
    <w:rsid w:val="000F6595"/>
    <w:rsid w:val="000F727F"/>
    <w:rsid w:val="000F7326"/>
    <w:rsid w:val="000F7746"/>
    <w:rsid w:val="000F7C3E"/>
    <w:rsid w:val="001005C3"/>
    <w:rsid w:val="001006A8"/>
    <w:rsid w:val="00100DCE"/>
    <w:rsid w:val="00101211"/>
    <w:rsid w:val="00101560"/>
    <w:rsid w:val="001015EF"/>
    <w:rsid w:val="0010185C"/>
    <w:rsid w:val="00101944"/>
    <w:rsid w:val="00101B4D"/>
    <w:rsid w:val="00102075"/>
    <w:rsid w:val="0010218B"/>
    <w:rsid w:val="00102262"/>
    <w:rsid w:val="001027F1"/>
    <w:rsid w:val="00102F59"/>
    <w:rsid w:val="00103261"/>
    <w:rsid w:val="0010363A"/>
    <w:rsid w:val="00104151"/>
    <w:rsid w:val="0010442E"/>
    <w:rsid w:val="0010491D"/>
    <w:rsid w:val="00104C53"/>
    <w:rsid w:val="00104E67"/>
    <w:rsid w:val="001050A6"/>
    <w:rsid w:val="001055E3"/>
    <w:rsid w:val="00105EB5"/>
    <w:rsid w:val="001060E1"/>
    <w:rsid w:val="00106680"/>
    <w:rsid w:val="00106812"/>
    <w:rsid w:val="00106815"/>
    <w:rsid w:val="001068F0"/>
    <w:rsid w:val="00106CDE"/>
    <w:rsid w:val="00106F41"/>
    <w:rsid w:val="00107DC7"/>
    <w:rsid w:val="001100E7"/>
    <w:rsid w:val="0011027A"/>
    <w:rsid w:val="001104B8"/>
    <w:rsid w:val="001105AB"/>
    <w:rsid w:val="00110815"/>
    <w:rsid w:val="00111029"/>
    <w:rsid w:val="00111DA6"/>
    <w:rsid w:val="00111F1D"/>
    <w:rsid w:val="00112345"/>
    <w:rsid w:val="001128B6"/>
    <w:rsid w:val="00112CC3"/>
    <w:rsid w:val="00112F0B"/>
    <w:rsid w:val="001132CB"/>
    <w:rsid w:val="00113E90"/>
    <w:rsid w:val="00114DD9"/>
    <w:rsid w:val="00115311"/>
    <w:rsid w:val="00115C34"/>
    <w:rsid w:val="00115F2F"/>
    <w:rsid w:val="00116876"/>
    <w:rsid w:val="00116A72"/>
    <w:rsid w:val="00116B12"/>
    <w:rsid w:val="001176AD"/>
    <w:rsid w:val="0011793A"/>
    <w:rsid w:val="00117BF4"/>
    <w:rsid w:val="00117DA8"/>
    <w:rsid w:val="00120F6A"/>
    <w:rsid w:val="00121278"/>
    <w:rsid w:val="0012157D"/>
    <w:rsid w:val="001219C4"/>
    <w:rsid w:val="00121AB8"/>
    <w:rsid w:val="00122336"/>
    <w:rsid w:val="00122470"/>
    <w:rsid w:val="00122A73"/>
    <w:rsid w:val="00122EAA"/>
    <w:rsid w:val="0012318A"/>
    <w:rsid w:val="00123482"/>
    <w:rsid w:val="0012367B"/>
    <w:rsid w:val="001237A2"/>
    <w:rsid w:val="0012427D"/>
    <w:rsid w:val="001245D1"/>
    <w:rsid w:val="00124C44"/>
    <w:rsid w:val="00124CD7"/>
    <w:rsid w:val="00124D47"/>
    <w:rsid w:val="0012524D"/>
    <w:rsid w:val="00125836"/>
    <w:rsid w:val="00125E1B"/>
    <w:rsid w:val="00126CF9"/>
    <w:rsid w:val="00127121"/>
    <w:rsid w:val="0012725C"/>
    <w:rsid w:val="001272BA"/>
    <w:rsid w:val="0012731A"/>
    <w:rsid w:val="001274B5"/>
    <w:rsid w:val="00127690"/>
    <w:rsid w:val="00127893"/>
    <w:rsid w:val="00127A36"/>
    <w:rsid w:val="00127DBC"/>
    <w:rsid w:val="0013108B"/>
    <w:rsid w:val="00131244"/>
    <w:rsid w:val="00131DC6"/>
    <w:rsid w:val="00132AB5"/>
    <w:rsid w:val="00133E49"/>
    <w:rsid w:val="001346E5"/>
    <w:rsid w:val="00134B94"/>
    <w:rsid w:val="001352F8"/>
    <w:rsid w:val="001369F7"/>
    <w:rsid w:val="00136EB1"/>
    <w:rsid w:val="00136F8B"/>
    <w:rsid w:val="001374C2"/>
    <w:rsid w:val="00137BB8"/>
    <w:rsid w:val="00137DFF"/>
    <w:rsid w:val="00140548"/>
    <w:rsid w:val="00140611"/>
    <w:rsid w:val="00140BD7"/>
    <w:rsid w:val="001415EF"/>
    <w:rsid w:val="001423E7"/>
    <w:rsid w:val="00142724"/>
    <w:rsid w:val="00142BE1"/>
    <w:rsid w:val="00142FEB"/>
    <w:rsid w:val="0014356E"/>
    <w:rsid w:val="001436CC"/>
    <w:rsid w:val="001439DD"/>
    <w:rsid w:val="001448C0"/>
    <w:rsid w:val="00144FDA"/>
    <w:rsid w:val="001450A1"/>
    <w:rsid w:val="0014514A"/>
    <w:rsid w:val="001453C0"/>
    <w:rsid w:val="0014586F"/>
    <w:rsid w:val="00145913"/>
    <w:rsid w:val="001460D9"/>
    <w:rsid w:val="0014648F"/>
    <w:rsid w:val="00146827"/>
    <w:rsid w:val="00146AB8"/>
    <w:rsid w:val="00150052"/>
    <w:rsid w:val="00150530"/>
    <w:rsid w:val="00150540"/>
    <w:rsid w:val="00150584"/>
    <w:rsid w:val="00150E7D"/>
    <w:rsid w:val="00151432"/>
    <w:rsid w:val="00151768"/>
    <w:rsid w:val="00151802"/>
    <w:rsid w:val="001518AC"/>
    <w:rsid w:val="00151FB0"/>
    <w:rsid w:val="001524D6"/>
    <w:rsid w:val="00152602"/>
    <w:rsid w:val="00152785"/>
    <w:rsid w:val="00152D04"/>
    <w:rsid w:val="00152E36"/>
    <w:rsid w:val="00152E62"/>
    <w:rsid w:val="001530F8"/>
    <w:rsid w:val="0015351E"/>
    <w:rsid w:val="0015360E"/>
    <w:rsid w:val="00153785"/>
    <w:rsid w:val="00153BCC"/>
    <w:rsid w:val="00153C76"/>
    <w:rsid w:val="00153CAC"/>
    <w:rsid w:val="001541DD"/>
    <w:rsid w:val="001544BC"/>
    <w:rsid w:val="001559E1"/>
    <w:rsid w:val="00155C05"/>
    <w:rsid w:val="00155C40"/>
    <w:rsid w:val="0015601C"/>
    <w:rsid w:val="00156591"/>
    <w:rsid w:val="00156A4B"/>
    <w:rsid w:val="00156B1E"/>
    <w:rsid w:val="00156D86"/>
    <w:rsid w:val="00157438"/>
    <w:rsid w:val="001601F2"/>
    <w:rsid w:val="00160662"/>
    <w:rsid w:val="00160C35"/>
    <w:rsid w:val="00161349"/>
    <w:rsid w:val="00162088"/>
    <w:rsid w:val="00162294"/>
    <w:rsid w:val="001639AA"/>
    <w:rsid w:val="00163A05"/>
    <w:rsid w:val="00164268"/>
    <w:rsid w:val="0016432E"/>
    <w:rsid w:val="001649F0"/>
    <w:rsid w:val="001650DC"/>
    <w:rsid w:val="00166170"/>
    <w:rsid w:val="0016622B"/>
    <w:rsid w:val="00166B10"/>
    <w:rsid w:val="00167451"/>
    <w:rsid w:val="0016766C"/>
    <w:rsid w:val="00170804"/>
    <w:rsid w:val="00170991"/>
    <w:rsid w:val="00170BF9"/>
    <w:rsid w:val="00171741"/>
    <w:rsid w:val="001719A2"/>
    <w:rsid w:val="00171F72"/>
    <w:rsid w:val="001721C0"/>
    <w:rsid w:val="00172534"/>
    <w:rsid w:val="00172E31"/>
    <w:rsid w:val="001738B3"/>
    <w:rsid w:val="001738FE"/>
    <w:rsid w:val="00174656"/>
    <w:rsid w:val="001746AB"/>
    <w:rsid w:val="00174D12"/>
    <w:rsid w:val="001752C9"/>
    <w:rsid w:val="00175A83"/>
    <w:rsid w:val="00175FD4"/>
    <w:rsid w:val="001766B7"/>
    <w:rsid w:val="00176D16"/>
    <w:rsid w:val="0017717B"/>
    <w:rsid w:val="00177789"/>
    <w:rsid w:val="0017783B"/>
    <w:rsid w:val="001778B2"/>
    <w:rsid w:val="00177954"/>
    <w:rsid w:val="00177EAD"/>
    <w:rsid w:val="00180348"/>
    <w:rsid w:val="00180392"/>
    <w:rsid w:val="001803C8"/>
    <w:rsid w:val="001808FE"/>
    <w:rsid w:val="00180AA4"/>
    <w:rsid w:val="00180BBB"/>
    <w:rsid w:val="00180F24"/>
    <w:rsid w:val="0018125B"/>
    <w:rsid w:val="00181709"/>
    <w:rsid w:val="00184438"/>
    <w:rsid w:val="001844BD"/>
    <w:rsid w:val="0018463B"/>
    <w:rsid w:val="00184DEB"/>
    <w:rsid w:val="00185132"/>
    <w:rsid w:val="00185138"/>
    <w:rsid w:val="00185D19"/>
    <w:rsid w:val="0018652C"/>
    <w:rsid w:val="00186A79"/>
    <w:rsid w:val="001871B8"/>
    <w:rsid w:val="00187388"/>
    <w:rsid w:val="0018771E"/>
    <w:rsid w:val="00187A1C"/>
    <w:rsid w:val="001902EF"/>
    <w:rsid w:val="00190312"/>
    <w:rsid w:val="001905B4"/>
    <w:rsid w:val="00190E60"/>
    <w:rsid w:val="00190F7E"/>
    <w:rsid w:val="001911C4"/>
    <w:rsid w:val="00191614"/>
    <w:rsid w:val="00192D30"/>
    <w:rsid w:val="00192D54"/>
    <w:rsid w:val="00192F2E"/>
    <w:rsid w:val="00192FC5"/>
    <w:rsid w:val="001931EE"/>
    <w:rsid w:val="001933AA"/>
    <w:rsid w:val="00193958"/>
    <w:rsid w:val="00193B9A"/>
    <w:rsid w:val="00193DB7"/>
    <w:rsid w:val="00194537"/>
    <w:rsid w:val="001952AD"/>
    <w:rsid w:val="0019559D"/>
    <w:rsid w:val="00195BB1"/>
    <w:rsid w:val="00195E6B"/>
    <w:rsid w:val="00197218"/>
    <w:rsid w:val="0019766C"/>
    <w:rsid w:val="001979ED"/>
    <w:rsid w:val="001A0B8D"/>
    <w:rsid w:val="001A0B9F"/>
    <w:rsid w:val="001A2C9B"/>
    <w:rsid w:val="001A2F52"/>
    <w:rsid w:val="001A3082"/>
    <w:rsid w:val="001A322F"/>
    <w:rsid w:val="001A34AB"/>
    <w:rsid w:val="001A36AA"/>
    <w:rsid w:val="001A51CC"/>
    <w:rsid w:val="001A74F8"/>
    <w:rsid w:val="001A77E9"/>
    <w:rsid w:val="001A7E81"/>
    <w:rsid w:val="001B07B5"/>
    <w:rsid w:val="001B07F7"/>
    <w:rsid w:val="001B0AA3"/>
    <w:rsid w:val="001B0EF1"/>
    <w:rsid w:val="001B1392"/>
    <w:rsid w:val="001B1655"/>
    <w:rsid w:val="001B16CB"/>
    <w:rsid w:val="001B1A06"/>
    <w:rsid w:val="001B1DB7"/>
    <w:rsid w:val="001B1FD4"/>
    <w:rsid w:val="001B2BD5"/>
    <w:rsid w:val="001B3360"/>
    <w:rsid w:val="001B4397"/>
    <w:rsid w:val="001B45F7"/>
    <w:rsid w:val="001B4BE6"/>
    <w:rsid w:val="001B4D60"/>
    <w:rsid w:val="001B4EA2"/>
    <w:rsid w:val="001B5225"/>
    <w:rsid w:val="001B5601"/>
    <w:rsid w:val="001B5BE6"/>
    <w:rsid w:val="001B6330"/>
    <w:rsid w:val="001B63C5"/>
    <w:rsid w:val="001B651D"/>
    <w:rsid w:val="001B6BFC"/>
    <w:rsid w:val="001B6D95"/>
    <w:rsid w:val="001B6ECF"/>
    <w:rsid w:val="001B7512"/>
    <w:rsid w:val="001B7B60"/>
    <w:rsid w:val="001B7BFD"/>
    <w:rsid w:val="001B7D9C"/>
    <w:rsid w:val="001C0C29"/>
    <w:rsid w:val="001C0C47"/>
    <w:rsid w:val="001C0DCB"/>
    <w:rsid w:val="001C1656"/>
    <w:rsid w:val="001C3112"/>
    <w:rsid w:val="001C3295"/>
    <w:rsid w:val="001C34BB"/>
    <w:rsid w:val="001C4466"/>
    <w:rsid w:val="001C482E"/>
    <w:rsid w:val="001C521F"/>
    <w:rsid w:val="001C5514"/>
    <w:rsid w:val="001C559F"/>
    <w:rsid w:val="001C57AE"/>
    <w:rsid w:val="001C655E"/>
    <w:rsid w:val="001C688E"/>
    <w:rsid w:val="001C6B21"/>
    <w:rsid w:val="001C6FC6"/>
    <w:rsid w:val="001C7001"/>
    <w:rsid w:val="001D0511"/>
    <w:rsid w:val="001D07DE"/>
    <w:rsid w:val="001D0A33"/>
    <w:rsid w:val="001D1387"/>
    <w:rsid w:val="001D1A4A"/>
    <w:rsid w:val="001D1DFB"/>
    <w:rsid w:val="001D231D"/>
    <w:rsid w:val="001D28A8"/>
    <w:rsid w:val="001D2DCF"/>
    <w:rsid w:val="001D2ED9"/>
    <w:rsid w:val="001D2FD1"/>
    <w:rsid w:val="001D32E2"/>
    <w:rsid w:val="001D36D3"/>
    <w:rsid w:val="001D458A"/>
    <w:rsid w:val="001D47B8"/>
    <w:rsid w:val="001D4F79"/>
    <w:rsid w:val="001D52DC"/>
    <w:rsid w:val="001D545D"/>
    <w:rsid w:val="001D55CB"/>
    <w:rsid w:val="001D596D"/>
    <w:rsid w:val="001D5B50"/>
    <w:rsid w:val="001D5C71"/>
    <w:rsid w:val="001D68ED"/>
    <w:rsid w:val="001D6A72"/>
    <w:rsid w:val="001E062F"/>
    <w:rsid w:val="001E0B60"/>
    <w:rsid w:val="001E0CE4"/>
    <w:rsid w:val="001E1306"/>
    <w:rsid w:val="001E14A2"/>
    <w:rsid w:val="001E1784"/>
    <w:rsid w:val="001E1816"/>
    <w:rsid w:val="001E1D04"/>
    <w:rsid w:val="001E1E0F"/>
    <w:rsid w:val="001E2C7D"/>
    <w:rsid w:val="001E2FE3"/>
    <w:rsid w:val="001E39E5"/>
    <w:rsid w:val="001E442C"/>
    <w:rsid w:val="001E498B"/>
    <w:rsid w:val="001E4A2D"/>
    <w:rsid w:val="001E4A46"/>
    <w:rsid w:val="001E4D48"/>
    <w:rsid w:val="001E5A28"/>
    <w:rsid w:val="001E5B94"/>
    <w:rsid w:val="001E5E3B"/>
    <w:rsid w:val="001E5FA5"/>
    <w:rsid w:val="001E6899"/>
    <w:rsid w:val="001E6990"/>
    <w:rsid w:val="001E6ABE"/>
    <w:rsid w:val="001E6B10"/>
    <w:rsid w:val="001E79AF"/>
    <w:rsid w:val="001E79E4"/>
    <w:rsid w:val="001F0194"/>
    <w:rsid w:val="001F04AD"/>
    <w:rsid w:val="001F0D99"/>
    <w:rsid w:val="001F0F15"/>
    <w:rsid w:val="001F0F39"/>
    <w:rsid w:val="001F0FAA"/>
    <w:rsid w:val="001F11E5"/>
    <w:rsid w:val="001F183A"/>
    <w:rsid w:val="001F1D2C"/>
    <w:rsid w:val="001F2802"/>
    <w:rsid w:val="001F32AE"/>
    <w:rsid w:val="001F3327"/>
    <w:rsid w:val="001F4677"/>
    <w:rsid w:val="001F4BED"/>
    <w:rsid w:val="001F525F"/>
    <w:rsid w:val="001F6085"/>
    <w:rsid w:val="001F6C9C"/>
    <w:rsid w:val="001F74B0"/>
    <w:rsid w:val="001F777C"/>
    <w:rsid w:val="001F7800"/>
    <w:rsid w:val="0020089E"/>
    <w:rsid w:val="002009A9"/>
    <w:rsid w:val="00201780"/>
    <w:rsid w:val="00201ACB"/>
    <w:rsid w:val="00201B6B"/>
    <w:rsid w:val="002026F3"/>
    <w:rsid w:val="0020288A"/>
    <w:rsid w:val="00202CD9"/>
    <w:rsid w:val="00203187"/>
    <w:rsid w:val="0020374A"/>
    <w:rsid w:val="002042F3"/>
    <w:rsid w:val="00205282"/>
    <w:rsid w:val="00205B0F"/>
    <w:rsid w:val="00205E27"/>
    <w:rsid w:val="00205EC6"/>
    <w:rsid w:val="00205F6E"/>
    <w:rsid w:val="00205F9E"/>
    <w:rsid w:val="00206662"/>
    <w:rsid w:val="00206799"/>
    <w:rsid w:val="00206A36"/>
    <w:rsid w:val="0020708E"/>
    <w:rsid w:val="002074D6"/>
    <w:rsid w:val="00207808"/>
    <w:rsid w:val="00207B99"/>
    <w:rsid w:val="00210039"/>
    <w:rsid w:val="00210360"/>
    <w:rsid w:val="00210A01"/>
    <w:rsid w:val="00211795"/>
    <w:rsid w:val="00212155"/>
    <w:rsid w:val="0021264F"/>
    <w:rsid w:val="00213011"/>
    <w:rsid w:val="00213A65"/>
    <w:rsid w:val="00213B7C"/>
    <w:rsid w:val="002144FE"/>
    <w:rsid w:val="002148AC"/>
    <w:rsid w:val="00214B57"/>
    <w:rsid w:val="002150BB"/>
    <w:rsid w:val="00215500"/>
    <w:rsid w:val="00215DD7"/>
    <w:rsid w:val="002163B3"/>
    <w:rsid w:val="00216E22"/>
    <w:rsid w:val="00217379"/>
    <w:rsid w:val="0021775F"/>
    <w:rsid w:val="00217C88"/>
    <w:rsid w:val="002201C2"/>
    <w:rsid w:val="00220783"/>
    <w:rsid w:val="00220E5B"/>
    <w:rsid w:val="0022132D"/>
    <w:rsid w:val="002216E5"/>
    <w:rsid w:val="002217B2"/>
    <w:rsid w:val="00221BC1"/>
    <w:rsid w:val="00222994"/>
    <w:rsid w:val="00222F95"/>
    <w:rsid w:val="002234D0"/>
    <w:rsid w:val="002236A6"/>
    <w:rsid w:val="002236BF"/>
    <w:rsid w:val="002238C9"/>
    <w:rsid w:val="00223B60"/>
    <w:rsid w:val="00223EE0"/>
    <w:rsid w:val="002241B3"/>
    <w:rsid w:val="00224781"/>
    <w:rsid w:val="00224C1C"/>
    <w:rsid w:val="00224D73"/>
    <w:rsid w:val="00224EBE"/>
    <w:rsid w:val="002254A5"/>
    <w:rsid w:val="00225778"/>
    <w:rsid w:val="0022604A"/>
    <w:rsid w:val="002261F1"/>
    <w:rsid w:val="00226E79"/>
    <w:rsid w:val="00227269"/>
    <w:rsid w:val="002273DD"/>
    <w:rsid w:val="00227619"/>
    <w:rsid w:val="00230952"/>
    <w:rsid w:val="00230D25"/>
    <w:rsid w:val="00230DDC"/>
    <w:rsid w:val="002311C5"/>
    <w:rsid w:val="002312CA"/>
    <w:rsid w:val="002315CA"/>
    <w:rsid w:val="002317D2"/>
    <w:rsid w:val="00232743"/>
    <w:rsid w:val="002327FA"/>
    <w:rsid w:val="00233112"/>
    <w:rsid w:val="00233114"/>
    <w:rsid w:val="00233300"/>
    <w:rsid w:val="00233327"/>
    <w:rsid w:val="0023359E"/>
    <w:rsid w:val="00233665"/>
    <w:rsid w:val="00233762"/>
    <w:rsid w:val="00233966"/>
    <w:rsid w:val="00233F35"/>
    <w:rsid w:val="00234441"/>
    <w:rsid w:val="002348AD"/>
    <w:rsid w:val="0023504E"/>
    <w:rsid w:val="002352A8"/>
    <w:rsid w:val="00235468"/>
    <w:rsid w:val="0023558B"/>
    <w:rsid w:val="002355F6"/>
    <w:rsid w:val="00236C89"/>
    <w:rsid w:val="0023707D"/>
    <w:rsid w:val="002374AD"/>
    <w:rsid w:val="002378A1"/>
    <w:rsid w:val="00237E86"/>
    <w:rsid w:val="00237F18"/>
    <w:rsid w:val="002406DD"/>
    <w:rsid w:val="002413A5"/>
    <w:rsid w:val="00241570"/>
    <w:rsid w:val="00241657"/>
    <w:rsid w:val="002419B3"/>
    <w:rsid w:val="00241B07"/>
    <w:rsid w:val="00241D18"/>
    <w:rsid w:val="002420F1"/>
    <w:rsid w:val="00242F4E"/>
    <w:rsid w:val="00243995"/>
    <w:rsid w:val="00244A8C"/>
    <w:rsid w:val="00245328"/>
    <w:rsid w:val="00245CEB"/>
    <w:rsid w:val="00245EAF"/>
    <w:rsid w:val="00245EE7"/>
    <w:rsid w:val="00246004"/>
    <w:rsid w:val="002461C7"/>
    <w:rsid w:val="00246951"/>
    <w:rsid w:val="00247043"/>
    <w:rsid w:val="00247071"/>
    <w:rsid w:val="00247521"/>
    <w:rsid w:val="0024765F"/>
    <w:rsid w:val="00247AD7"/>
    <w:rsid w:val="00247BC6"/>
    <w:rsid w:val="00247E3D"/>
    <w:rsid w:val="002504BC"/>
    <w:rsid w:val="00250644"/>
    <w:rsid w:val="0025105B"/>
    <w:rsid w:val="002512EF"/>
    <w:rsid w:val="00251719"/>
    <w:rsid w:val="00251AB9"/>
    <w:rsid w:val="002525E5"/>
    <w:rsid w:val="002531A9"/>
    <w:rsid w:val="0025341A"/>
    <w:rsid w:val="00253865"/>
    <w:rsid w:val="0025449C"/>
    <w:rsid w:val="0025466C"/>
    <w:rsid w:val="00255126"/>
    <w:rsid w:val="0025572E"/>
    <w:rsid w:val="00255BF6"/>
    <w:rsid w:val="00255D50"/>
    <w:rsid w:val="00256295"/>
    <w:rsid w:val="002566B6"/>
    <w:rsid w:val="002566E0"/>
    <w:rsid w:val="002568C1"/>
    <w:rsid w:val="00257362"/>
    <w:rsid w:val="00257C49"/>
    <w:rsid w:val="00260104"/>
    <w:rsid w:val="002607BE"/>
    <w:rsid w:val="00260BBA"/>
    <w:rsid w:val="00260DE1"/>
    <w:rsid w:val="00260E64"/>
    <w:rsid w:val="00260FA6"/>
    <w:rsid w:val="002614EE"/>
    <w:rsid w:val="0026194C"/>
    <w:rsid w:val="00261992"/>
    <w:rsid w:val="0026206E"/>
    <w:rsid w:val="002629F6"/>
    <w:rsid w:val="00262C27"/>
    <w:rsid w:val="00262EE5"/>
    <w:rsid w:val="00263564"/>
    <w:rsid w:val="00263581"/>
    <w:rsid w:val="0026416D"/>
    <w:rsid w:val="00264C1E"/>
    <w:rsid w:val="002657A1"/>
    <w:rsid w:val="00265869"/>
    <w:rsid w:val="00265A7E"/>
    <w:rsid w:val="00265AF1"/>
    <w:rsid w:val="002663F8"/>
    <w:rsid w:val="002665A9"/>
    <w:rsid w:val="00266849"/>
    <w:rsid w:val="00267636"/>
    <w:rsid w:val="00267984"/>
    <w:rsid w:val="00267EB3"/>
    <w:rsid w:val="00267F4D"/>
    <w:rsid w:val="002701A1"/>
    <w:rsid w:val="002712E6"/>
    <w:rsid w:val="0027179E"/>
    <w:rsid w:val="00271890"/>
    <w:rsid w:val="00271EA1"/>
    <w:rsid w:val="00271ED3"/>
    <w:rsid w:val="00272090"/>
    <w:rsid w:val="00272732"/>
    <w:rsid w:val="00272AEB"/>
    <w:rsid w:val="00272B71"/>
    <w:rsid w:val="00272FF0"/>
    <w:rsid w:val="00273FFE"/>
    <w:rsid w:val="00274662"/>
    <w:rsid w:val="00274D8E"/>
    <w:rsid w:val="00275079"/>
    <w:rsid w:val="00275194"/>
    <w:rsid w:val="0027531C"/>
    <w:rsid w:val="002759D2"/>
    <w:rsid w:val="00275E32"/>
    <w:rsid w:val="00276551"/>
    <w:rsid w:val="002766A2"/>
    <w:rsid w:val="002768CB"/>
    <w:rsid w:val="00276F36"/>
    <w:rsid w:val="002776A0"/>
    <w:rsid w:val="00277D0A"/>
    <w:rsid w:val="00277D1A"/>
    <w:rsid w:val="002805F7"/>
    <w:rsid w:val="00280A8A"/>
    <w:rsid w:val="00281719"/>
    <w:rsid w:val="002817A7"/>
    <w:rsid w:val="002824D0"/>
    <w:rsid w:val="00283270"/>
    <w:rsid w:val="002833D1"/>
    <w:rsid w:val="0028346C"/>
    <w:rsid w:val="00283863"/>
    <w:rsid w:val="00283B78"/>
    <w:rsid w:val="0028401E"/>
    <w:rsid w:val="002840BF"/>
    <w:rsid w:val="002842C6"/>
    <w:rsid w:val="002846FE"/>
    <w:rsid w:val="00285E92"/>
    <w:rsid w:val="00285F51"/>
    <w:rsid w:val="00287C02"/>
    <w:rsid w:val="00287DEB"/>
    <w:rsid w:val="00287FAF"/>
    <w:rsid w:val="00290465"/>
    <w:rsid w:val="00290BC8"/>
    <w:rsid w:val="00291352"/>
    <w:rsid w:val="00291700"/>
    <w:rsid w:val="00291ABA"/>
    <w:rsid w:val="002923F5"/>
    <w:rsid w:val="00294375"/>
    <w:rsid w:val="00294718"/>
    <w:rsid w:val="002948EF"/>
    <w:rsid w:val="00294BA0"/>
    <w:rsid w:val="00295062"/>
    <w:rsid w:val="002954CE"/>
    <w:rsid w:val="002957A8"/>
    <w:rsid w:val="00295A13"/>
    <w:rsid w:val="00295FE7"/>
    <w:rsid w:val="002961B5"/>
    <w:rsid w:val="00296CC0"/>
    <w:rsid w:val="00297720"/>
    <w:rsid w:val="002A0B16"/>
    <w:rsid w:val="002A0D5C"/>
    <w:rsid w:val="002A0E7C"/>
    <w:rsid w:val="002A167F"/>
    <w:rsid w:val="002A1C6A"/>
    <w:rsid w:val="002A226D"/>
    <w:rsid w:val="002A3AF1"/>
    <w:rsid w:val="002A3B08"/>
    <w:rsid w:val="002A45ED"/>
    <w:rsid w:val="002A4D95"/>
    <w:rsid w:val="002A4E69"/>
    <w:rsid w:val="002A6188"/>
    <w:rsid w:val="002A619D"/>
    <w:rsid w:val="002A659C"/>
    <w:rsid w:val="002A6B89"/>
    <w:rsid w:val="002A6D5D"/>
    <w:rsid w:val="002A71C2"/>
    <w:rsid w:val="002A7898"/>
    <w:rsid w:val="002A7B8C"/>
    <w:rsid w:val="002B039F"/>
    <w:rsid w:val="002B06E9"/>
    <w:rsid w:val="002B0891"/>
    <w:rsid w:val="002B0CDF"/>
    <w:rsid w:val="002B0F90"/>
    <w:rsid w:val="002B0F92"/>
    <w:rsid w:val="002B12BC"/>
    <w:rsid w:val="002B1BE1"/>
    <w:rsid w:val="002B1F73"/>
    <w:rsid w:val="002B1F89"/>
    <w:rsid w:val="002B2631"/>
    <w:rsid w:val="002B2E7F"/>
    <w:rsid w:val="002B306B"/>
    <w:rsid w:val="002B311B"/>
    <w:rsid w:val="002B321E"/>
    <w:rsid w:val="002B42B4"/>
    <w:rsid w:val="002B492B"/>
    <w:rsid w:val="002B4F8C"/>
    <w:rsid w:val="002B532F"/>
    <w:rsid w:val="002B56C7"/>
    <w:rsid w:val="002B5F5C"/>
    <w:rsid w:val="002B66B2"/>
    <w:rsid w:val="002B6975"/>
    <w:rsid w:val="002B6A6F"/>
    <w:rsid w:val="002B7214"/>
    <w:rsid w:val="002B7C52"/>
    <w:rsid w:val="002B7DE1"/>
    <w:rsid w:val="002C02E6"/>
    <w:rsid w:val="002C07A9"/>
    <w:rsid w:val="002C0853"/>
    <w:rsid w:val="002C0B46"/>
    <w:rsid w:val="002C0F98"/>
    <w:rsid w:val="002C103A"/>
    <w:rsid w:val="002C10FB"/>
    <w:rsid w:val="002C127F"/>
    <w:rsid w:val="002C12CA"/>
    <w:rsid w:val="002C21E0"/>
    <w:rsid w:val="002C236D"/>
    <w:rsid w:val="002C2525"/>
    <w:rsid w:val="002C27BE"/>
    <w:rsid w:val="002C2B55"/>
    <w:rsid w:val="002C2BFF"/>
    <w:rsid w:val="002C2E0C"/>
    <w:rsid w:val="002C2F48"/>
    <w:rsid w:val="002C37A8"/>
    <w:rsid w:val="002C3B64"/>
    <w:rsid w:val="002C3DD9"/>
    <w:rsid w:val="002C4245"/>
    <w:rsid w:val="002C46BF"/>
    <w:rsid w:val="002C47CA"/>
    <w:rsid w:val="002C4829"/>
    <w:rsid w:val="002C520E"/>
    <w:rsid w:val="002C5241"/>
    <w:rsid w:val="002C5384"/>
    <w:rsid w:val="002C53EC"/>
    <w:rsid w:val="002C5893"/>
    <w:rsid w:val="002C5971"/>
    <w:rsid w:val="002C6780"/>
    <w:rsid w:val="002C6A20"/>
    <w:rsid w:val="002C6A30"/>
    <w:rsid w:val="002C6A7B"/>
    <w:rsid w:val="002C720B"/>
    <w:rsid w:val="002C7409"/>
    <w:rsid w:val="002C75D4"/>
    <w:rsid w:val="002C7887"/>
    <w:rsid w:val="002C7929"/>
    <w:rsid w:val="002C79FE"/>
    <w:rsid w:val="002C7B82"/>
    <w:rsid w:val="002D0364"/>
    <w:rsid w:val="002D06A4"/>
    <w:rsid w:val="002D0BD3"/>
    <w:rsid w:val="002D135D"/>
    <w:rsid w:val="002D15A5"/>
    <w:rsid w:val="002D244E"/>
    <w:rsid w:val="002D2718"/>
    <w:rsid w:val="002D34B6"/>
    <w:rsid w:val="002D34C6"/>
    <w:rsid w:val="002D47F2"/>
    <w:rsid w:val="002D4980"/>
    <w:rsid w:val="002D4BDD"/>
    <w:rsid w:val="002D54D4"/>
    <w:rsid w:val="002D6269"/>
    <w:rsid w:val="002D673A"/>
    <w:rsid w:val="002D674E"/>
    <w:rsid w:val="002D6848"/>
    <w:rsid w:val="002D6AAD"/>
    <w:rsid w:val="002D74DA"/>
    <w:rsid w:val="002D760D"/>
    <w:rsid w:val="002D7C3E"/>
    <w:rsid w:val="002D7E34"/>
    <w:rsid w:val="002E0059"/>
    <w:rsid w:val="002E06CC"/>
    <w:rsid w:val="002E0CD1"/>
    <w:rsid w:val="002E1261"/>
    <w:rsid w:val="002E1318"/>
    <w:rsid w:val="002E175A"/>
    <w:rsid w:val="002E236D"/>
    <w:rsid w:val="002E2B16"/>
    <w:rsid w:val="002E2DA8"/>
    <w:rsid w:val="002E349E"/>
    <w:rsid w:val="002E39EA"/>
    <w:rsid w:val="002E4133"/>
    <w:rsid w:val="002E45EF"/>
    <w:rsid w:val="002E4853"/>
    <w:rsid w:val="002E4BE8"/>
    <w:rsid w:val="002E54BD"/>
    <w:rsid w:val="002E5E86"/>
    <w:rsid w:val="002E5ED2"/>
    <w:rsid w:val="002E67E0"/>
    <w:rsid w:val="002E744B"/>
    <w:rsid w:val="002E76FE"/>
    <w:rsid w:val="002F00CB"/>
    <w:rsid w:val="002F025B"/>
    <w:rsid w:val="002F0901"/>
    <w:rsid w:val="002F099E"/>
    <w:rsid w:val="002F0FC1"/>
    <w:rsid w:val="002F10CE"/>
    <w:rsid w:val="002F1144"/>
    <w:rsid w:val="002F14E4"/>
    <w:rsid w:val="002F1674"/>
    <w:rsid w:val="002F1F44"/>
    <w:rsid w:val="002F25FA"/>
    <w:rsid w:val="002F29EE"/>
    <w:rsid w:val="002F2AED"/>
    <w:rsid w:val="002F3244"/>
    <w:rsid w:val="002F3396"/>
    <w:rsid w:val="002F395B"/>
    <w:rsid w:val="002F3AE7"/>
    <w:rsid w:val="002F4657"/>
    <w:rsid w:val="002F4F69"/>
    <w:rsid w:val="002F5055"/>
    <w:rsid w:val="002F5272"/>
    <w:rsid w:val="002F5BF8"/>
    <w:rsid w:val="002F62E1"/>
    <w:rsid w:val="002F6459"/>
    <w:rsid w:val="002F663C"/>
    <w:rsid w:val="00300342"/>
    <w:rsid w:val="00300477"/>
    <w:rsid w:val="00301366"/>
    <w:rsid w:val="00301B0A"/>
    <w:rsid w:val="00301FC8"/>
    <w:rsid w:val="0030219C"/>
    <w:rsid w:val="003023B6"/>
    <w:rsid w:val="00302B28"/>
    <w:rsid w:val="00302CB7"/>
    <w:rsid w:val="00303925"/>
    <w:rsid w:val="003040B6"/>
    <w:rsid w:val="0030450B"/>
    <w:rsid w:val="003046A4"/>
    <w:rsid w:val="0030476C"/>
    <w:rsid w:val="003047C6"/>
    <w:rsid w:val="00305C6A"/>
    <w:rsid w:val="0030633C"/>
    <w:rsid w:val="00306479"/>
    <w:rsid w:val="003065EF"/>
    <w:rsid w:val="00306C51"/>
    <w:rsid w:val="00306D8C"/>
    <w:rsid w:val="00307140"/>
    <w:rsid w:val="00307EA7"/>
    <w:rsid w:val="00307EFC"/>
    <w:rsid w:val="00310033"/>
    <w:rsid w:val="003107F0"/>
    <w:rsid w:val="00310B0F"/>
    <w:rsid w:val="0031153D"/>
    <w:rsid w:val="0031158D"/>
    <w:rsid w:val="00311768"/>
    <w:rsid w:val="003119AB"/>
    <w:rsid w:val="003119E8"/>
    <w:rsid w:val="00311BFA"/>
    <w:rsid w:val="003129E1"/>
    <w:rsid w:val="00312A3A"/>
    <w:rsid w:val="00312DB5"/>
    <w:rsid w:val="003138CE"/>
    <w:rsid w:val="003138FF"/>
    <w:rsid w:val="00313DE9"/>
    <w:rsid w:val="00314093"/>
    <w:rsid w:val="003143A1"/>
    <w:rsid w:val="00314791"/>
    <w:rsid w:val="00314CEC"/>
    <w:rsid w:val="00314E32"/>
    <w:rsid w:val="00315837"/>
    <w:rsid w:val="00315D12"/>
    <w:rsid w:val="00315D90"/>
    <w:rsid w:val="003208A4"/>
    <w:rsid w:val="00320EFA"/>
    <w:rsid w:val="00322672"/>
    <w:rsid w:val="00322F26"/>
    <w:rsid w:val="00323201"/>
    <w:rsid w:val="00323706"/>
    <w:rsid w:val="00324223"/>
    <w:rsid w:val="003248D3"/>
    <w:rsid w:val="0032494A"/>
    <w:rsid w:val="00325845"/>
    <w:rsid w:val="00325BA4"/>
    <w:rsid w:val="0032671B"/>
    <w:rsid w:val="00326F56"/>
    <w:rsid w:val="0032738F"/>
    <w:rsid w:val="0032752D"/>
    <w:rsid w:val="00327756"/>
    <w:rsid w:val="00327AF3"/>
    <w:rsid w:val="00327B29"/>
    <w:rsid w:val="00327FC0"/>
    <w:rsid w:val="003302E2"/>
    <w:rsid w:val="00330338"/>
    <w:rsid w:val="0033059C"/>
    <w:rsid w:val="003307EE"/>
    <w:rsid w:val="00331107"/>
    <w:rsid w:val="003315A7"/>
    <w:rsid w:val="0033186B"/>
    <w:rsid w:val="00331A42"/>
    <w:rsid w:val="00331BBD"/>
    <w:rsid w:val="00331C63"/>
    <w:rsid w:val="00331F93"/>
    <w:rsid w:val="003320A8"/>
    <w:rsid w:val="00332527"/>
    <w:rsid w:val="00332AE6"/>
    <w:rsid w:val="003333B9"/>
    <w:rsid w:val="003334D1"/>
    <w:rsid w:val="00333A03"/>
    <w:rsid w:val="003340A5"/>
    <w:rsid w:val="003359B7"/>
    <w:rsid w:val="00335CEF"/>
    <w:rsid w:val="0033617D"/>
    <w:rsid w:val="00336246"/>
    <w:rsid w:val="00336333"/>
    <w:rsid w:val="0033670B"/>
    <w:rsid w:val="00337177"/>
    <w:rsid w:val="00337F4B"/>
    <w:rsid w:val="00340081"/>
    <w:rsid w:val="00340662"/>
    <w:rsid w:val="00341C01"/>
    <w:rsid w:val="00342A4D"/>
    <w:rsid w:val="00342CF3"/>
    <w:rsid w:val="00342DDB"/>
    <w:rsid w:val="00342E7E"/>
    <w:rsid w:val="0034334C"/>
    <w:rsid w:val="00343635"/>
    <w:rsid w:val="0034395E"/>
    <w:rsid w:val="00343E44"/>
    <w:rsid w:val="00344086"/>
    <w:rsid w:val="00345B48"/>
    <w:rsid w:val="00346015"/>
    <w:rsid w:val="00346175"/>
    <w:rsid w:val="00346E9C"/>
    <w:rsid w:val="00347129"/>
    <w:rsid w:val="0034727F"/>
    <w:rsid w:val="00347586"/>
    <w:rsid w:val="00347D1B"/>
    <w:rsid w:val="00347F6B"/>
    <w:rsid w:val="003501A9"/>
    <w:rsid w:val="003501F5"/>
    <w:rsid w:val="0035057E"/>
    <w:rsid w:val="00350629"/>
    <w:rsid w:val="00350A5F"/>
    <w:rsid w:val="00350B35"/>
    <w:rsid w:val="00350E00"/>
    <w:rsid w:val="00351BE1"/>
    <w:rsid w:val="003520A1"/>
    <w:rsid w:val="00352491"/>
    <w:rsid w:val="003525E1"/>
    <w:rsid w:val="00352833"/>
    <w:rsid w:val="00352F9A"/>
    <w:rsid w:val="00353CA6"/>
    <w:rsid w:val="00353E1B"/>
    <w:rsid w:val="003541F7"/>
    <w:rsid w:val="003542F4"/>
    <w:rsid w:val="003544CD"/>
    <w:rsid w:val="00354912"/>
    <w:rsid w:val="003549D5"/>
    <w:rsid w:val="00354A0B"/>
    <w:rsid w:val="00354C9F"/>
    <w:rsid w:val="0035575B"/>
    <w:rsid w:val="00355A58"/>
    <w:rsid w:val="00355E3A"/>
    <w:rsid w:val="003564FB"/>
    <w:rsid w:val="00356610"/>
    <w:rsid w:val="00356BAF"/>
    <w:rsid w:val="00356FD3"/>
    <w:rsid w:val="0035773E"/>
    <w:rsid w:val="0035778E"/>
    <w:rsid w:val="003612AD"/>
    <w:rsid w:val="00363116"/>
    <w:rsid w:val="00363617"/>
    <w:rsid w:val="00363780"/>
    <w:rsid w:val="0036399F"/>
    <w:rsid w:val="00363D69"/>
    <w:rsid w:val="003644F2"/>
    <w:rsid w:val="0036452F"/>
    <w:rsid w:val="00364743"/>
    <w:rsid w:val="003647F5"/>
    <w:rsid w:val="00366477"/>
    <w:rsid w:val="00366863"/>
    <w:rsid w:val="00367445"/>
    <w:rsid w:val="00367AD5"/>
    <w:rsid w:val="00370335"/>
    <w:rsid w:val="0037078D"/>
    <w:rsid w:val="0037092A"/>
    <w:rsid w:val="00371000"/>
    <w:rsid w:val="003713BC"/>
    <w:rsid w:val="0037177B"/>
    <w:rsid w:val="00371B60"/>
    <w:rsid w:val="00372273"/>
    <w:rsid w:val="0037244A"/>
    <w:rsid w:val="0037252E"/>
    <w:rsid w:val="00372594"/>
    <w:rsid w:val="00372670"/>
    <w:rsid w:val="00372C0C"/>
    <w:rsid w:val="00372CA5"/>
    <w:rsid w:val="003732D7"/>
    <w:rsid w:val="003735CA"/>
    <w:rsid w:val="00373AAC"/>
    <w:rsid w:val="00373BCC"/>
    <w:rsid w:val="00373E19"/>
    <w:rsid w:val="003742A8"/>
    <w:rsid w:val="00374B97"/>
    <w:rsid w:val="00374F33"/>
    <w:rsid w:val="00374FE2"/>
    <w:rsid w:val="0037535D"/>
    <w:rsid w:val="00376024"/>
    <w:rsid w:val="0037602C"/>
    <w:rsid w:val="00376059"/>
    <w:rsid w:val="0037668D"/>
    <w:rsid w:val="00376D07"/>
    <w:rsid w:val="00377309"/>
    <w:rsid w:val="003777CE"/>
    <w:rsid w:val="00377A0C"/>
    <w:rsid w:val="00377AC8"/>
    <w:rsid w:val="00380313"/>
    <w:rsid w:val="0038050E"/>
    <w:rsid w:val="0038095D"/>
    <w:rsid w:val="00380C9E"/>
    <w:rsid w:val="00380FC2"/>
    <w:rsid w:val="0038158F"/>
    <w:rsid w:val="00382830"/>
    <w:rsid w:val="00384C16"/>
    <w:rsid w:val="00384E02"/>
    <w:rsid w:val="00384F8F"/>
    <w:rsid w:val="00385A32"/>
    <w:rsid w:val="00385F93"/>
    <w:rsid w:val="0038696F"/>
    <w:rsid w:val="00386986"/>
    <w:rsid w:val="00386E76"/>
    <w:rsid w:val="00387830"/>
    <w:rsid w:val="0038787B"/>
    <w:rsid w:val="003906FE"/>
    <w:rsid w:val="003907A5"/>
    <w:rsid w:val="00390851"/>
    <w:rsid w:val="00390D51"/>
    <w:rsid w:val="003914D6"/>
    <w:rsid w:val="00391C7C"/>
    <w:rsid w:val="00391D47"/>
    <w:rsid w:val="00392701"/>
    <w:rsid w:val="00393376"/>
    <w:rsid w:val="003933B2"/>
    <w:rsid w:val="003946F3"/>
    <w:rsid w:val="00394CE2"/>
    <w:rsid w:val="00395407"/>
    <w:rsid w:val="00395449"/>
    <w:rsid w:val="00395C1E"/>
    <w:rsid w:val="00396184"/>
    <w:rsid w:val="00396461"/>
    <w:rsid w:val="003964E8"/>
    <w:rsid w:val="00396674"/>
    <w:rsid w:val="00396A64"/>
    <w:rsid w:val="003973A5"/>
    <w:rsid w:val="00397BA7"/>
    <w:rsid w:val="00397BFA"/>
    <w:rsid w:val="00397D8C"/>
    <w:rsid w:val="00397E6E"/>
    <w:rsid w:val="003A063A"/>
    <w:rsid w:val="003A0D9E"/>
    <w:rsid w:val="003A0FE4"/>
    <w:rsid w:val="003A137E"/>
    <w:rsid w:val="003A144D"/>
    <w:rsid w:val="003A14C9"/>
    <w:rsid w:val="003A1BB1"/>
    <w:rsid w:val="003A1D1B"/>
    <w:rsid w:val="003A287F"/>
    <w:rsid w:val="003A304C"/>
    <w:rsid w:val="003A36C8"/>
    <w:rsid w:val="003A39FF"/>
    <w:rsid w:val="003A3B79"/>
    <w:rsid w:val="003A3BAF"/>
    <w:rsid w:val="003A4638"/>
    <w:rsid w:val="003A46C7"/>
    <w:rsid w:val="003A48FC"/>
    <w:rsid w:val="003A4D14"/>
    <w:rsid w:val="003A4F21"/>
    <w:rsid w:val="003A56A5"/>
    <w:rsid w:val="003A5BF8"/>
    <w:rsid w:val="003A78A1"/>
    <w:rsid w:val="003A79E9"/>
    <w:rsid w:val="003B0303"/>
    <w:rsid w:val="003B0577"/>
    <w:rsid w:val="003B0993"/>
    <w:rsid w:val="003B0E5C"/>
    <w:rsid w:val="003B0F6A"/>
    <w:rsid w:val="003B1020"/>
    <w:rsid w:val="003B209B"/>
    <w:rsid w:val="003B29D2"/>
    <w:rsid w:val="003B2A94"/>
    <w:rsid w:val="003B3281"/>
    <w:rsid w:val="003B43A5"/>
    <w:rsid w:val="003B471E"/>
    <w:rsid w:val="003B472A"/>
    <w:rsid w:val="003B508A"/>
    <w:rsid w:val="003B52CE"/>
    <w:rsid w:val="003B572C"/>
    <w:rsid w:val="003B5E34"/>
    <w:rsid w:val="003B6853"/>
    <w:rsid w:val="003B6BF7"/>
    <w:rsid w:val="003B7322"/>
    <w:rsid w:val="003B77C0"/>
    <w:rsid w:val="003B7A01"/>
    <w:rsid w:val="003B7E10"/>
    <w:rsid w:val="003C045D"/>
    <w:rsid w:val="003C0C24"/>
    <w:rsid w:val="003C1226"/>
    <w:rsid w:val="003C2AE2"/>
    <w:rsid w:val="003C2C5D"/>
    <w:rsid w:val="003C301B"/>
    <w:rsid w:val="003C3458"/>
    <w:rsid w:val="003C3DE1"/>
    <w:rsid w:val="003C4541"/>
    <w:rsid w:val="003C4E5D"/>
    <w:rsid w:val="003C53DD"/>
    <w:rsid w:val="003C5640"/>
    <w:rsid w:val="003C63CA"/>
    <w:rsid w:val="003C6B56"/>
    <w:rsid w:val="003C6BFC"/>
    <w:rsid w:val="003C7290"/>
    <w:rsid w:val="003C7367"/>
    <w:rsid w:val="003C737D"/>
    <w:rsid w:val="003C7ACB"/>
    <w:rsid w:val="003C7B4E"/>
    <w:rsid w:val="003D0169"/>
    <w:rsid w:val="003D07FF"/>
    <w:rsid w:val="003D0E9B"/>
    <w:rsid w:val="003D187F"/>
    <w:rsid w:val="003D1895"/>
    <w:rsid w:val="003D24C8"/>
    <w:rsid w:val="003D250E"/>
    <w:rsid w:val="003D2841"/>
    <w:rsid w:val="003D2AB9"/>
    <w:rsid w:val="003D2B7F"/>
    <w:rsid w:val="003D2C94"/>
    <w:rsid w:val="003D309A"/>
    <w:rsid w:val="003D30BF"/>
    <w:rsid w:val="003D33AD"/>
    <w:rsid w:val="003D3503"/>
    <w:rsid w:val="003D3911"/>
    <w:rsid w:val="003D3C6E"/>
    <w:rsid w:val="003D46AD"/>
    <w:rsid w:val="003D5045"/>
    <w:rsid w:val="003D5F3F"/>
    <w:rsid w:val="003D755B"/>
    <w:rsid w:val="003D7739"/>
    <w:rsid w:val="003D7973"/>
    <w:rsid w:val="003E0C2E"/>
    <w:rsid w:val="003E0CA8"/>
    <w:rsid w:val="003E11F9"/>
    <w:rsid w:val="003E1991"/>
    <w:rsid w:val="003E1E08"/>
    <w:rsid w:val="003E1EAF"/>
    <w:rsid w:val="003E25FB"/>
    <w:rsid w:val="003E272E"/>
    <w:rsid w:val="003E2ACB"/>
    <w:rsid w:val="003E2F99"/>
    <w:rsid w:val="003E3AC1"/>
    <w:rsid w:val="003E3C0B"/>
    <w:rsid w:val="003E3E55"/>
    <w:rsid w:val="003E4AC0"/>
    <w:rsid w:val="003E6197"/>
    <w:rsid w:val="003E6B9A"/>
    <w:rsid w:val="003E6D2E"/>
    <w:rsid w:val="003E753A"/>
    <w:rsid w:val="003E7828"/>
    <w:rsid w:val="003F0187"/>
    <w:rsid w:val="003F02AC"/>
    <w:rsid w:val="003F0595"/>
    <w:rsid w:val="003F062F"/>
    <w:rsid w:val="003F0E23"/>
    <w:rsid w:val="003F1BA9"/>
    <w:rsid w:val="003F23DE"/>
    <w:rsid w:val="003F2A26"/>
    <w:rsid w:val="003F2A73"/>
    <w:rsid w:val="003F3076"/>
    <w:rsid w:val="003F3ABF"/>
    <w:rsid w:val="003F3B41"/>
    <w:rsid w:val="003F404C"/>
    <w:rsid w:val="003F4C54"/>
    <w:rsid w:val="003F4CD7"/>
    <w:rsid w:val="003F4D1F"/>
    <w:rsid w:val="003F4E00"/>
    <w:rsid w:val="003F4E70"/>
    <w:rsid w:val="003F4F38"/>
    <w:rsid w:val="003F546D"/>
    <w:rsid w:val="003F5A83"/>
    <w:rsid w:val="003F5DC8"/>
    <w:rsid w:val="003F5EB4"/>
    <w:rsid w:val="003F61D0"/>
    <w:rsid w:val="003F7051"/>
    <w:rsid w:val="003F72A8"/>
    <w:rsid w:val="003F749A"/>
    <w:rsid w:val="003F7821"/>
    <w:rsid w:val="003F7B35"/>
    <w:rsid w:val="003F7D45"/>
    <w:rsid w:val="003F7EBB"/>
    <w:rsid w:val="00400E3A"/>
    <w:rsid w:val="00400EEB"/>
    <w:rsid w:val="00401B54"/>
    <w:rsid w:val="0040209E"/>
    <w:rsid w:val="00402D48"/>
    <w:rsid w:val="004030D1"/>
    <w:rsid w:val="004033B5"/>
    <w:rsid w:val="00403BCC"/>
    <w:rsid w:val="00403FFC"/>
    <w:rsid w:val="0040423F"/>
    <w:rsid w:val="00404482"/>
    <w:rsid w:val="00404675"/>
    <w:rsid w:val="004050D3"/>
    <w:rsid w:val="00405A6C"/>
    <w:rsid w:val="00406194"/>
    <w:rsid w:val="0040626E"/>
    <w:rsid w:val="00406277"/>
    <w:rsid w:val="004062BF"/>
    <w:rsid w:val="0040693E"/>
    <w:rsid w:val="00406B5C"/>
    <w:rsid w:val="004076C8"/>
    <w:rsid w:val="004078FE"/>
    <w:rsid w:val="0041015F"/>
    <w:rsid w:val="00411119"/>
    <w:rsid w:val="00411810"/>
    <w:rsid w:val="00411A83"/>
    <w:rsid w:val="00411C2C"/>
    <w:rsid w:val="00412324"/>
    <w:rsid w:val="00413364"/>
    <w:rsid w:val="004136BB"/>
    <w:rsid w:val="00413A28"/>
    <w:rsid w:val="00413A9B"/>
    <w:rsid w:val="004145BA"/>
    <w:rsid w:val="0041465E"/>
    <w:rsid w:val="00415189"/>
    <w:rsid w:val="00415855"/>
    <w:rsid w:val="00415977"/>
    <w:rsid w:val="00415B7C"/>
    <w:rsid w:val="0041658B"/>
    <w:rsid w:val="00416817"/>
    <w:rsid w:val="00420394"/>
    <w:rsid w:val="004203E8"/>
    <w:rsid w:val="00420841"/>
    <w:rsid w:val="00420CEA"/>
    <w:rsid w:val="00420E6A"/>
    <w:rsid w:val="004216DF"/>
    <w:rsid w:val="00421CA6"/>
    <w:rsid w:val="004225A8"/>
    <w:rsid w:val="0042280F"/>
    <w:rsid w:val="004229D2"/>
    <w:rsid w:val="004234C7"/>
    <w:rsid w:val="00423619"/>
    <w:rsid w:val="0042370C"/>
    <w:rsid w:val="0042435F"/>
    <w:rsid w:val="00424A7E"/>
    <w:rsid w:val="00425D3E"/>
    <w:rsid w:val="0042645F"/>
    <w:rsid w:val="00426CE8"/>
    <w:rsid w:val="00427073"/>
    <w:rsid w:val="0042717F"/>
    <w:rsid w:val="004271A8"/>
    <w:rsid w:val="00427313"/>
    <w:rsid w:val="0042751A"/>
    <w:rsid w:val="00427FED"/>
    <w:rsid w:val="00430126"/>
    <w:rsid w:val="004307DB"/>
    <w:rsid w:val="004317DE"/>
    <w:rsid w:val="004320E0"/>
    <w:rsid w:val="0043224D"/>
    <w:rsid w:val="004327EB"/>
    <w:rsid w:val="004330D0"/>
    <w:rsid w:val="00433812"/>
    <w:rsid w:val="00434381"/>
    <w:rsid w:val="0043444F"/>
    <w:rsid w:val="004348E4"/>
    <w:rsid w:val="00435A78"/>
    <w:rsid w:val="0043610B"/>
    <w:rsid w:val="0043669E"/>
    <w:rsid w:val="004369F9"/>
    <w:rsid w:val="00436F8E"/>
    <w:rsid w:val="00437B88"/>
    <w:rsid w:val="004400B5"/>
    <w:rsid w:val="0044080B"/>
    <w:rsid w:val="00440AA3"/>
    <w:rsid w:val="00440C85"/>
    <w:rsid w:val="00441946"/>
    <w:rsid w:val="00442233"/>
    <w:rsid w:val="00442C60"/>
    <w:rsid w:val="00442E31"/>
    <w:rsid w:val="0044397D"/>
    <w:rsid w:val="004439DD"/>
    <w:rsid w:val="004440D1"/>
    <w:rsid w:val="0044411A"/>
    <w:rsid w:val="00444322"/>
    <w:rsid w:val="004443AB"/>
    <w:rsid w:val="0044484D"/>
    <w:rsid w:val="00444A48"/>
    <w:rsid w:val="004453F7"/>
    <w:rsid w:val="0044573C"/>
    <w:rsid w:val="00445A25"/>
    <w:rsid w:val="00445AC8"/>
    <w:rsid w:val="00445C71"/>
    <w:rsid w:val="00446092"/>
    <w:rsid w:val="00446211"/>
    <w:rsid w:val="00446433"/>
    <w:rsid w:val="00446999"/>
    <w:rsid w:val="00446CA3"/>
    <w:rsid w:val="00446E13"/>
    <w:rsid w:val="00446ECA"/>
    <w:rsid w:val="00447729"/>
    <w:rsid w:val="00447B74"/>
    <w:rsid w:val="00447C45"/>
    <w:rsid w:val="00447F35"/>
    <w:rsid w:val="004506AE"/>
    <w:rsid w:val="00450F0F"/>
    <w:rsid w:val="004514EE"/>
    <w:rsid w:val="004516FF"/>
    <w:rsid w:val="0045190C"/>
    <w:rsid w:val="00451B85"/>
    <w:rsid w:val="0045236A"/>
    <w:rsid w:val="00452B67"/>
    <w:rsid w:val="00452F5A"/>
    <w:rsid w:val="00453053"/>
    <w:rsid w:val="0045479F"/>
    <w:rsid w:val="00454B6D"/>
    <w:rsid w:val="00454CB6"/>
    <w:rsid w:val="00455303"/>
    <w:rsid w:val="0045531D"/>
    <w:rsid w:val="00455FC3"/>
    <w:rsid w:val="00456E4A"/>
    <w:rsid w:val="0045758E"/>
    <w:rsid w:val="0045786F"/>
    <w:rsid w:val="0046031F"/>
    <w:rsid w:val="00460434"/>
    <w:rsid w:val="004607B5"/>
    <w:rsid w:val="00460DE7"/>
    <w:rsid w:val="00461F31"/>
    <w:rsid w:val="00462727"/>
    <w:rsid w:val="00462FA1"/>
    <w:rsid w:val="0046338C"/>
    <w:rsid w:val="0046364B"/>
    <w:rsid w:val="00463798"/>
    <w:rsid w:val="004639A1"/>
    <w:rsid w:val="004642D3"/>
    <w:rsid w:val="00464B79"/>
    <w:rsid w:val="00464C9B"/>
    <w:rsid w:val="004652D9"/>
    <w:rsid w:val="00465E62"/>
    <w:rsid w:val="00465F7B"/>
    <w:rsid w:val="0046643B"/>
    <w:rsid w:val="00466480"/>
    <w:rsid w:val="00466FD9"/>
    <w:rsid w:val="00467078"/>
    <w:rsid w:val="004670E4"/>
    <w:rsid w:val="00467F9A"/>
    <w:rsid w:val="00470699"/>
    <w:rsid w:val="00470D48"/>
    <w:rsid w:val="00470FA6"/>
    <w:rsid w:val="0047102C"/>
    <w:rsid w:val="00471A08"/>
    <w:rsid w:val="00471D41"/>
    <w:rsid w:val="004721DC"/>
    <w:rsid w:val="004727BC"/>
    <w:rsid w:val="00472D08"/>
    <w:rsid w:val="00472D62"/>
    <w:rsid w:val="004734B5"/>
    <w:rsid w:val="00473977"/>
    <w:rsid w:val="004745BD"/>
    <w:rsid w:val="00474AF3"/>
    <w:rsid w:val="00474BFC"/>
    <w:rsid w:val="004755AC"/>
    <w:rsid w:val="004755BC"/>
    <w:rsid w:val="00475D27"/>
    <w:rsid w:val="00476371"/>
    <w:rsid w:val="00476782"/>
    <w:rsid w:val="004770A4"/>
    <w:rsid w:val="0047789A"/>
    <w:rsid w:val="00477AED"/>
    <w:rsid w:val="00477B62"/>
    <w:rsid w:val="00480767"/>
    <w:rsid w:val="004808C9"/>
    <w:rsid w:val="004812D5"/>
    <w:rsid w:val="00482706"/>
    <w:rsid w:val="00482C53"/>
    <w:rsid w:val="00482D5E"/>
    <w:rsid w:val="0048316E"/>
    <w:rsid w:val="00483AA0"/>
    <w:rsid w:val="00483D2F"/>
    <w:rsid w:val="004840C9"/>
    <w:rsid w:val="00484269"/>
    <w:rsid w:val="00484781"/>
    <w:rsid w:val="00484ECC"/>
    <w:rsid w:val="00486349"/>
    <w:rsid w:val="00486380"/>
    <w:rsid w:val="0048696C"/>
    <w:rsid w:val="00486C0A"/>
    <w:rsid w:val="004871E1"/>
    <w:rsid w:val="00487E7F"/>
    <w:rsid w:val="004903DD"/>
    <w:rsid w:val="00490A9E"/>
    <w:rsid w:val="00490E38"/>
    <w:rsid w:val="00490EC1"/>
    <w:rsid w:val="00490F4C"/>
    <w:rsid w:val="004915BE"/>
    <w:rsid w:val="004916EB"/>
    <w:rsid w:val="00491D1D"/>
    <w:rsid w:val="00492254"/>
    <w:rsid w:val="00492484"/>
    <w:rsid w:val="00492DFD"/>
    <w:rsid w:val="004934D4"/>
    <w:rsid w:val="00493DF4"/>
    <w:rsid w:val="00493E59"/>
    <w:rsid w:val="0049461F"/>
    <w:rsid w:val="0049484F"/>
    <w:rsid w:val="0049491F"/>
    <w:rsid w:val="00494C14"/>
    <w:rsid w:val="00495F5C"/>
    <w:rsid w:val="004968B4"/>
    <w:rsid w:val="00496973"/>
    <w:rsid w:val="00496A72"/>
    <w:rsid w:val="00496C0E"/>
    <w:rsid w:val="004971E0"/>
    <w:rsid w:val="004978FF"/>
    <w:rsid w:val="00497EEA"/>
    <w:rsid w:val="00497F55"/>
    <w:rsid w:val="004A020D"/>
    <w:rsid w:val="004A0911"/>
    <w:rsid w:val="004A095D"/>
    <w:rsid w:val="004A0A67"/>
    <w:rsid w:val="004A0DE0"/>
    <w:rsid w:val="004A17E9"/>
    <w:rsid w:val="004A1ADD"/>
    <w:rsid w:val="004A1E47"/>
    <w:rsid w:val="004A214C"/>
    <w:rsid w:val="004A23E0"/>
    <w:rsid w:val="004A2461"/>
    <w:rsid w:val="004A24C4"/>
    <w:rsid w:val="004A26F3"/>
    <w:rsid w:val="004A29BA"/>
    <w:rsid w:val="004A2D00"/>
    <w:rsid w:val="004A32D0"/>
    <w:rsid w:val="004A35EA"/>
    <w:rsid w:val="004A3D5F"/>
    <w:rsid w:val="004A4146"/>
    <w:rsid w:val="004A4CC6"/>
    <w:rsid w:val="004A58E8"/>
    <w:rsid w:val="004A59CC"/>
    <w:rsid w:val="004A5AAE"/>
    <w:rsid w:val="004A6248"/>
    <w:rsid w:val="004A710E"/>
    <w:rsid w:val="004A725E"/>
    <w:rsid w:val="004A7385"/>
    <w:rsid w:val="004A75A4"/>
    <w:rsid w:val="004A7731"/>
    <w:rsid w:val="004A7CDA"/>
    <w:rsid w:val="004A7E58"/>
    <w:rsid w:val="004A7ED2"/>
    <w:rsid w:val="004B03E7"/>
    <w:rsid w:val="004B091E"/>
    <w:rsid w:val="004B0A18"/>
    <w:rsid w:val="004B1751"/>
    <w:rsid w:val="004B177D"/>
    <w:rsid w:val="004B1CBC"/>
    <w:rsid w:val="004B2478"/>
    <w:rsid w:val="004B266A"/>
    <w:rsid w:val="004B2ED6"/>
    <w:rsid w:val="004B3050"/>
    <w:rsid w:val="004B34A1"/>
    <w:rsid w:val="004B3524"/>
    <w:rsid w:val="004B36F1"/>
    <w:rsid w:val="004B3E76"/>
    <w:rsid w:val="004B400B"/>
    <w:rsid w:val="004B42C4"/>
    <w:rsid w:val="004B43BF"/>
    <w:rsid w:val="004B489A"/>
    <w:rsid w:val="004B4C20"/>
    <w:rsid w:val="004B4CA6"/>
    <w:rsid w:val="004B50AB"/>
    <w:rsid w:val="004B510F"/>
    <w:rsid w:val="004B5F3B"/>
    <w:rsid w:val="004B60D0"/>
    <w:rsid w:val="004B6144"/>
    <w:rsid w:val="004B66EB"/>
    <w:rsid w:val="004B6C43"/>
    <w:rsid w:val="004B6CE8"/>
    <w:rsid w:val="004B6D6D"/>
    <w:rsid w:val="004B7968"/>
    <w:rsid w:val="004C033F"/>
    <w:rsid w:val="004C0FFF"/>
    <w:rsid w:val="004C144D"/>
    <w:rsid w:val="004C18E1"/>
    <w:rsid w:val="004C1AEF"/>
    <w:rsid w:val="004C1B6E"/>
    <w:rsid w:val="004C2ACB"/>
    <w:rsid w:val="004C2C5B"/>
    <w:rsid w:val="004C36F6"/>
    <w:rsid w:val="004C405F"/>
    <w:rsid w:val="004C4206"/>
    <w:rsid w:val="004C4235"/>
    <w:rsid w:val="004C474F"/>
    <w:rsid w:val="004C4C8F"/>
    <w:rsid w:val="004C4CF2"/>
    <w:rsid w:val="004C59A0"/>
    <w:rsid w:val="004C6001"/>
    <w:rsid w:val="004C6055"/>
    <w:rsid w:val="004C64FE"/>
    <w:rsid w:val="004C6B04"/>
    <w:rsid w:val="004C7379"/>
    <w:rsid w:val="004C753D"/>
    <w:rsid w:val="004C7588"/>
    <w:rsid w:val="004C78DE"/>
    <w:rsid w:val="004C7DAE"/>
    <w:rsid w:val="004D03D2"/>
    <w:rsid w:val="004D068B"/>
    <w:rsid w:val="004D19CD"/>
    <w:rsid w:val="004D2941"/>
    <w:rsid w:val="004D323C"/>
    <w:rsid w:val="004D364F"/>
    <w:rsid w:val="004D3DC0"/>
    <w:rsid w:val="004D43B2"/>
    <w:rsid w:val="004D4741"/>
    <w:rsid w:val="004D49E4"/>
    <w:rsid w:val="004D540F"/>
    <w:rsid w:val="004D6083"/>
    <w:rsid w:val="004D6227"/>
    <w:rsid w:val="004D65DA"/>
    <w:rsid w:val="004D671C"/>
    <w:rsid w:val="004D6A73"/>
    <w:rsid w:val="004E0593"/>
    <w:rsid w:val="004E0BB3"/>
    <w:rsid w:val="004E18A5"/>
    <w:rsid w:val="004E1E44"/>
    <w:rsid w:val="004E2456"/>
    <w:rsid w:val="004E2736"/>
    <w:rsid w:val="004E2E86"/>
    <w:rsid w:val="004E340D"/>
    <w:rsid w:val="004E3E1F"/>
    <w:rsid w:val="004E4671"/>
    <w:rsid w:val="004E496F"/>
    <w:rsid w:val="004E5632"/>
    <w:rsid w:val="004E573F"/>
    <w:rsid w:val="004E5D5E"/>
    <w:rsid w:val="004E5F8D"/>
    <w:rsid w:val="004E60B3"/>
    <w:rsid w:val="004E60DD"/>
    <w:rsid w:val="004E6CC9"/>
    <w:rsid w:val="004E6FB0"/>
    <w:rsid w:val="004F0411"/>
    <w:rsid w:val="004F05AC"/>
    <w:rsid w:val="004F06A2"/>
    <w:rsid w:val="004F0713"/>
    <w:rsid w:val="004F0BB1"/>
    <w:rsid w:val="004F1553"/>
    <w:rsid w:val="004F1804"/>
    <w:rsid w:val="004F1FAD"/>
    <w:rsid w:val="004F237C"/>
    <w:rsid w:val="004F356B"/>
    <w:rsid w:val="004F37BA"/>
    <w:rsid w:val="004F4183"/>
    <w:rsid w:val="004F4660"/>
    <w:rsid w:val="004F4DEB"/>
    <w:rsid w:val="004F4F19"/>
    <w:rsid w:val="004F692D"/>
    <w:rsid w:val="004F6E90"/>
    <w:rsid w:val="004F7379"/>
    <w:rsid w:val="004F78B2"/>
    <w:rsid w:val="004F7AF7"/>
    <w:rsid w:val="005004EE"/>
    <w:rsid w:val="00500DFC"/>
    <w:rsid w:val="00501260"/>
    <w:rsid w:val="00501452"/>
    <w:rsid w:val="00501856"/>
    <w:rsid w:val="0050209D"/>
    <w:rsid w:val="0050339C"/>
    <w:rsid w:val="0050380F"/>
    <w:rsid w:val="00504227"/>
    <w:rsid w:val="0050465E"/>
    <w:rsid w:val="00504812"/>
    <w:rsid w:val="00504A90"/>
    <w:rsid w:val="00504EA7"/>
    <w:rsid w:val="00505426"/>
    <w:rsid w:val="0050545D"/>
    <w:rsid w:val="00505876"/>
    <w:rsid w:val="00505CF3"/>
    <w:rsid w:val="00505DAE"/>
    <w:rsid w:val="00505ECD"/>
    <w:rsid w:val="0050608F"/>
    <w:rsid w:val="00506395"/>
    <w:rsid w:val="005064A7"/>
    <w:rsid w:val="0050656D"/>
    <w:rsid w:val="00506728"/>
    <w:rsid w:val="0050684D"/>
    <w:rsid w:val="005069F8"/>
    <w:rsid w:val="00506BDF"/>
    <w:rsid w:val="00506D75"/>
    <w:rsid w:val="00506F5A"/>
    <w:rsid w:val="00507903"/>
    <w:rsid w:val="00507ADA"/>
    <w:rsid w:val="00507F63"/>
    <w:rsid w:val="005101E7"/>
    <w:rsid w:val="0051021D"/>
    <w:rsid w:val="00510660"/>
    <w:rsid w:val="00510BBE"/>
    <w:rsid w:val="00510C01"/>
    <w:rsid w:val="005116B5"/>
    <w:rsid w:val="0051191F"/>
    <w:rsid w:val="00511CF3"/>
    <w:rsid w:val="00511EB2"/>
    <w:rsid w:val="0051212F"/>
    <w:rsid w:val="005123F9"/>
    <w:rsid w:val="00512BD7"/>
    <w:rsid w:val="00512C73"/>
    <w:rsid w:val="00512E2C"/>
    <w:rsid w:val="0051375D"/>
    <w:rsid w:val="00513807"/>
    <w:rsid w:val="00513904"/>
    <w:rsid w:val="00513B3C"/>
    <w:rsid w:val="00513CF0"/>
    <w:rsid w:val="00514414"/>
    <w:rsid w:val="00516215"/>
    <w:rsid w:val="00516A10"/>
    <w:rsid w:val="00516ACC"/>
    <w:rsid w:val="00516B82"/>
    <w:rsid w:val="00516BC2"/>
    <w:rsid w:val="00516E42"/>
    <w:rsid w:val="00517152"/>
    <w:rsid w:val="0052039A"/>
    <w:rsid w:val="0052051C"/>
    <w:rsid w:val="00520528"/>
    <w:rsid w:val="00520FF4"/>
    <w:rsid w:val="00521345"/>
    <w:rsid w:val="00521920"/>
    <w:rsid w:val="00522153"/>
    <w:rsid w:val="005222C3"/>
    <w:rsid w:val="0052249E"/>
    <w:rsid w:val="00522888"/>
    <w:rsid w:val="00523268"/>
    <w:rsid w:val="005233F6"/>
    <w:rsid w:val="00523583"/>
    <w:rsid w:val="0052387A"/>
    <w:rsid w:val="005241E1"/>
    <w:rsid w:val="00524424"/>
    <w:rsid w:val="005244AC"/>
    <w:rsid w:val="00524611"/>
    <w:rsid w:val="005249C1"/>
    <w:rsid w:val="00525689"/>
    <w:rsid w:val="00525CEF"/>
    <w:rsid w:val="00526A5C"/>
    <w:rsid w:val="00526E25"/>
    <w:rsid w:val="00527067"/>
    <w:rsid w:val="00527376"/>
    <w:rsid w:val="0052737E"/>
    <w:rsid w:val="005279F3"/>
    <w:rsid w:val="00530468"/>
    <w:rsid w:val="005307A1"/>
    <w:rsid w:val="0053088B"/>
    <w:rsid w:val="0053098D"/>
    <w:rsid w:val="00530ABE"/>
    <w:rsid w:val="00530AEC"/>
    <w:rsid w:val="00530D25"/>
    <w:rsid w:val="00531997"/>
    <w:rsid w:val="00531CF0"/>
    <w:rsid w:val="0053296B"/>
    <w:rsid w:val="00532B02"/>
    <w:rsid w:val="00532DB6"/>
    <w:rsid w:val="0053355B"/>
    <w:rsid w:val="005339C6"/>
    <w:rsid w:val="005342C2"/>
    <w:rsid w:val="0053464D"/>
    <w:rsid w:val="00536430"/>
    <w:rsid w:val="00536618"/>
    <w:rsid w:val="00536688"/>
    <w:rsid w:val="005367A4"/>
    <w:rsid w:val="00536847"/>
    <w:rsid w:val="00536EE3"/>
    <w:rsid w:val="00537110"/>
    <w:rsid w:val="00537779"/>
    <w:rsid w:val="00537B69"/>
    <w:rsid w:val="00540630"/>
    <w:rsid w:val="00541039"/>
    <w:rsid w:val="00541218"/>
    <w:rsid w:val="0054150A"/>
    <w:rsid w:val="005417F0"/>
    <w:rsid w:val="00541A0F"/>
    <w:rsid w:val="00541A3F"/>
    <w:rsid w:val="00541BF1"/>
    <w:rsid w:val="00542116"/>
    <w:rsid w:val="0054250B"/>
    <w:rsid w:val="00542837"/>
    <w:rsid w:val="00542C63"/>
    <w:rsid w:val="00542CAE"/>
    <w:rsid w:val="00542F96"/>
    <w:rsid w:val="00542FD3"/>
    <w:rsid w:val="0054336B"/>
    <w:rsid w:val="005443E2"/>
    <w:rsid w:val="005461A4"/>
    <w:rsid w:val="00546245"/>
    <w:rsid w:val="005468F0"/>
    <w:rsid w:val="0054693C"/>
    <w:rsid w:val="00546D59"/>
    <w:rsid w:val="00546E11"/>
    <w:rsid w:val="00546F5E"/>
    <w:rsid w:val="00546F8C"/>
    <w:rsid w:val="0054759D"/>
    <w:rsid w:val="00547D79"/>
    <w:rsid w:val="00550123"/>
    <w:rsid w:val="0055067A"/>
    <w:rsid w:val="00550825"/>
    <w:rsid w:val="00551374"/>
    <w:rsid w:val="00551C04"/>
    <w:rsid w:val="0055250D"/>
    <w:rsid w:val="00552990"/>
    <w:rsid w:val="00553233"/>
    <w:rsid w:val="0055506B"/>
    <w:rsid w:val="005550E3"/>
    <w:rsid w:val="005554DA"/>
    <w:rsid w:val="0055577D"/>
    <w:rsid w:val="00556229"/>
    <w:rsid w:val="00556CA5"/>
    <w:rsid w:val="00556DED"/>
    <w:rsid w:val="005572A8"/>
    <w:rsid w:val="00557B80"/>
    <w:rsid w:val="00560E3D"/>
    <w:rsid w:val="005614E4"/>
    <w:rsid w:val="00561A09"/>
    <w:rsid w:val="00561E5B"/>
    <w:rsid w:val="00562ADC"/>
    <w:rsid w:val="00562B2B"/>
    <w:rsid w:val="005631EF"/>
    <w:rsid w:val="00564662"/>
    <w:rsid w:val="00564D53"/>
    <w:rsid w:val="00565466"/>
    <w:rsid w:val="00565691"/>
    <w:rsid w:val="00565B28"/>
    <w:rsid w:val="00566C34"/>
    <w:rsid w:val="00566D67"/>
    <w:rsid w:val="0056707F"/>
    <w:rsid w:val="005670F4"/>
    <w:rsid w:val="005675FA"/>
    <w:rsid w:val="00567770"/>
    <w:rsid w:val="00567884"/>
    <w:rsid w:val="00567BA4"/>
    <w:rsid w:val="00570049"/>
    <w:rsid w:val="005701CD"/>
    <w:rsid w:val="0057070D"/>
    <w:rsid w:val="00570A1C"/>
    <w:rsid w:val="00570DD2"/>
    <w:rsid w:val="00570F1F"/>
    <w:rsid w:val="005719CC"/>
    <w:rsid w:val="005719F5"/>
    <w:rsid w:val="005735A4"/>
    <w:rsid w:val="005735E3"/>
    <w:rsid w:val="00575DCB"/>
    <w:rsid w:val="00576075"/>
    <w:rsid w:val="00576271"/>
    <w:rsid w:val="005763AE"/>
    <w:rsid w:val="005766AC"/>
    <w:rsid w:val="00576A9D"/>
    <w:rsid w:val="00577255"/>
    <w:rsid w:val="00577839"/>
    <w:rsid w:val="005778C1"/>
    <w:rsid w:val="00580100"/>
    <w:rsid w:val="00581811"/>
    <w:rsid w:val="00581C1A"/>
    <w:rsid w:val="0058229D"/>
    <w:rsid w:val="00582494"/>
    <w:rsid w:val="00582607"/>
    <w:rsid w:val="005827E6"/>
    <w:rsid w:val="00582840"/>
    <w:rsid w:val="00582C90"/>
    <w:rsid w:val="00582CED"/>
    <w:rsid w:val="00583393"/>
    <w:rsid w:val="00583760"/>
    <w:rsid w:val="00583E9B"/>
    <w:rsid w:val="00584371"/>
    <w:rsid w:val="0058437B"/>
    <w:rsid w:val="00584990"/>
    <w:rsid w:val="00584C83"/>
    <w:rsid w:val="00584E68"/>
    <w:rsid w:val="00584FDD"/>
    <w:rsid w:val="0058592B"/>
    <w:rsid w:val="00585A17"/>
    <w:rsid w:val="00586141"/>
    <w:rsid w:val="00586294"/>
    <w:rsid w:val="00587189"/>
    <w:rsid w:val="00587547"/>
    <w:rsid w:val="00587A63"/>
    <w:rsid w:val="00590363"/>
    <w:rsid w:val="0059090F"/>
    <w:rsid w:val="00590BC2"/>
    <w:rsid w:val="00590BFD"/>
    <w:rsid w:val="0059148D"/>
    <w:rsid w:val="00591A09"/>
    <w:rsid w:val="00591EA9"/>
    <w:rsid w:val="00592108"/>
    <w:rsid w:val="005925E8"/>
    <w:rsid w:val="00592AE4"/>
    <w:rsid w:val="00593512"/>
    <w:rsid w:val="0059365E"/>
    <w:rsid w:val="00593872"/>
    <w:rsid w:val="0059644D"/>
    <w:rsid w:val="00596476"/>
    <w:rsid w:val="00596B38"/>
    <w:rsid w:val="00596CF4"/>
    <w:rsid w:val="00597273"/>
    <w:rsid w:val="005972F8"/>
    <w:rsid w:val="0059758F"/>
    <w:rsid w:val="005976DE"/>
    <w:rsid w:val="00597EE7"/>
    <w:rsid w:val="005A003E"/>
    <w:rsid w:val="005A0359"/>
    <w:rsid w:val="005A0E41"/>
    <w:rsid w:val="005A135F"/>
    <w:rsid w:val="005A193E"/>
    <w:rsid w:val="005A1C78"/>
    <w:rsid w:val="005A245B"/>
    <w:rsid w:val="005A249B"/>
    <w:rsid w:val="005A25AC"/>
    <w:rsid w:val="005A29B4"/>
    <w:rsid w:val="005A2A2C"/>
    <w:rsid w:val="005A2B9F"/>
    <w:rsid w:val="005A3303"/>
    <w:rsid w:val="005A3A55"/>
    <w:rsid w:val="005A3D8C"/>
    <w:rsid w:val="005A3F26"/>
    <w:rsid w:val="005A4034"/>
    <w:rsid w:val="005A4226"/>
    <w:rsid w:val="005A42A1"/>
    <w:rsid w:val="005A4A54"/>
    <w:rsid w:val="005A4B4E"/>
    <w:rsid w:val="005A60C6"/>
    <w:rsid w:val="005A64CD"/>
    <w:rsid w:val="005A699F"/>
    <w:rsid w:val="005A7292"/>
    <w:rsid w:val="005A7822"/>
    <w:rsid w:val="005B0264"/>
    <w:rsid w:val="005B0467"/>
    <w:rsid w:val="005B0B6D"/>
    <w:rsid w:val="005B177C"/>
    <w:rsid w:val="005B1909"/>
    <w:rsid w:val="005B1C7A"/>
    <w:rsid w:val="005B207A"/>
    <w:rsid w:val="005B215F"/>
    <w:rsid w:val="005B2303"/>
    <w:rsid w:val="005B3058"/>
    <w:rsid w:val="005B33E0"/>
    <w:rsid w:val="005B33EA"/>
    <w:rsid w:val="005B3E56"/>
    <w:rsid w:val="005B40E0"/>
    <w:rsid w:val="005B4300"/>
    <w:rsid w:val="005B47C3"/>
    <w:rsid w:val="005B4A10"/>
    <w:rsid w:val="005B5974"/>
    <w:rsid w:val="005B5FC3"/>
    <w:rsid w:val="005B60B3"/>
    <w:rsid w:val="005B6977"/>
    <w:rsid w:val="005B6A8A"/>
    <w:rsid w:val="005B6D28"/>
    <w:rsid w:val="005B7B31"/>
    <w:rsid w:val="005B7D95"/>
    <w:rsid w:val="005C0ED1"/>
    <w:rsid w:val="005C1410"/>
    <w:rsid w:val="005C19B1"/>
    <w:rsid w:val="005C1C4F"/>
    <w:rsid w:val="005C1C6F"/>
    <w:rsid w:val="005C1F12"/>
    <w:rsid w:val="005C2937"/>
    <w:rsid w:val="005C2C17"/>
    <w:rsid w:val="005C3AB4"/>
    <w:rsid w:val="005C3C3A"/>
    <w:rsid w:val="005C4203"/>
    <w:rsid w:val="005C4642"/>
    <w:rsid w:val="005C467B"/>
    <w:rsid w:val="005C47C3"/>
    <w:rsid w:val="005C4AB4"/>
    <w:rsid w:val="005C5A68"/>
    <w:rsid w:val="005C5C38"/>
    <w:rsid w:val="005C5E41"/>
    <w:rsid w:val="005C627D"/>
    <w:rsid w:val="005C6E57"/>
    <w:rsid w:val="005C7263"/>
    <w:rsid w:val="005C7580"/>
    <w:rsid w:val="005D012C"/>
    <w:rsid w:val="005D05B5"/>
    <w:rsid w:val="005D06C9"/>
    <w:rsid w:val="005D0703"/>
    <w:rsid w:val="005D0A56"/>
    <w:rsid w:val="005D0FED"/>
    <w:rsid w:val="005D127E"/>
    <w:rsid w:val="005D1C0A"/>
    <w:rsid w:val="005D1E6E"/>
    <w:rsid w:val="005D27CA"/>
    <w:rsid w:val="005D41BD"/>
    <w:rsid w:val="005D46F1"/>
    <w:rsid w:val="005D50AC"/>
    <w:rsid w:val="005D5427"/>
    <w:rsid w:val="005D5476"/>
    <w:rsid w:val="005D61B5"/>
    <w:rsid w:val="005D6A07"/>
    <w:rsid w:val="005D6CC8"/>
    <w:rsid w:val="005D71F9"/>
    <w:rsid w:val="005D7538"/>
    <w:rsid w:val="005D7A88"/>
    <w:rsid w:val="005D7CE6"/>
    <w:rsid w:val="005E026E"/>
    <w:rsid w:val="005E0669"/>
    <w:rsid w:val="005E25E7"/>
    <w:rsid w:val="005E2B6B"/>
    <w:rsid w:val="005E2D2A"/>
    <w:rsid w:val="005E2D35"/>
    <w:rsid w:val="005E31F0"/>
    <w:rsid w:val="005E32D4"/>
    <w:rsid w:val="005E44EC"/>
    <w:rsid w:val="005E4B28"/>
    <w:rsid w:val="005E5671"/>
    <w:rsid w:val="005E582A"/>
    <w:rsid w:val="005E5989"/>
    <w:rsid w:val="005E5C16"/>
    <w:rsid w:val="005E6593"/>
    <w:rsid w:val="005E6972"/>
    <w:rsid w:val="005E717F"/>
    <w:rsid w:val="005E76AE"/>
    <w:rsid w:val="005E790E"/>
    <w:rsid w:val="005E7915"/>
    <w:rsid w:val="005E79CA"/>
    <w:rsid w:val="005E7C69"/>
    <w:rsid w:val="005E7CA9"/>
    <w:rsid w:val="005E7CC5"/>
    <w:rsid w:val="005F0387"/>
    <w:rsid w:val="005F0E76"/>
    <w:rsid w:val="005F0E96"/>
    <w:rsid w:val="005F1230"/>
    <w:rsid w:val="005F1D66"/>
    <w:rsid w:val="005F1FD1"/>
    <w:rsid w:val="005F2C69"/>
    <w:rsid w:val="005F3820"/>
    <w:rsid w:val="005F3C00"/>
    <w:rsid w:val="005F3C9D"/>
    <w:rsid w:val="005F538D"/>
    <w:rsid w:val="005F549D"/>
    <w:rsid w:val="005F5657"/>
    <w:rsid w:val="005F5847"/>
    <w:rsid w:val="005F5C4C"/>
    <w:rsid w:val="005F5C95"/>
    <w:rsid w:val="005F5E12"/>
    <w:rsid w:val="005F69D5"/>
    <w:rsid w:val="005F6A46"/>
    <w:rsid w:val="005F7100"/>
    <w:rsid w:val="00600C02"/>
    <w:rsid w:val="00601228"/>
    <w:rsid w:val="00601361"/>
    <w:rsid w:val="006015D0"/>
    <w:rsid w:val="00601CB9"/>
    <w:rsid w:val="00602003"/>
    <w:rsid w:val="006026C8"/>
    <w:rsid w:val="00602967"/>
    <w:rsid w:val="006029A2"/>
    <w:rsid w:val="00602C0B"/>
    <w:rsid w:val="00603636"/>
    <w:rsid w:val="0060399B"/>
    <w:rsid w:val="00604484"/>
    <w:rsid w:val="00604DFD"/>
    <w:rsid w:val="00604EF6"/>
    <w:rsid w:val="00605451"/>
    <w:rsid w:val="006058C3"/>
    <w:rsid w:val="00605F2D"/>
    <w:rsid w:val="0060609C"/>
    <w:rsid w:val="00606F73"/>
    <w:rsid w:val="00607ABD"/>
    <w:rsid w:val="00610618"/>
    <w:rsid w:val="00610A3B"/>
    <w:rsid w:val="00611595"/>
    <w:rsid w:val="00611ED5"/>
    <w:rsid w:val="0061233B"/>
    <w:rsid w:val="00613494"/>
    <w:rsid w:val="006137A1"/>
    <w:rsid w:val="00613F7A"/>
    <w:rsid w:val="0061402D"/>
    <w:rsid w:val="00614909"/>
    <w:rsid w:val="00615235"/>
    <w:rsid w:val="006153F2"/>
    <w:rsid w:val="006155DC"/>
    <w:rsid w:val="00615C42"/>
    <w:rsid w:val="00615D45"/>
    <w:rsid w:val="00615D85"/>
    <w:rsid w:val="006162B5"/>
    <w:rsid w:val="006162BE"/>
    <w:rsid w:val="00616344"/>
    <w:rsid w:val="00616513"/>
    <w:rsid w:val="00616F23"/>
    <w:rsid w:val="0061754D"/>
    <w:rsid w:val="00617E55"/>
    <w:rsid w:val="00620575"/>
    <w:rsid w:val="006205F5"/>
    <w:rsid w:val="00620F9A"/>
    <w:rsid w:val="006210DA"/>
    <w:rsid w:val="00621B61"/>
    <w:rsid w:val="00621F22"/>
    <w:rsid w:val="0062218A"/>
    <w:rsid w:val="006222DE"/>
    <w:rsid w:val="006223A0"/>
    <w:rsid w:val="006229F5"/>
    <w:rsid w:val="00623441"/>
    <w:rsid w:val="00623662"/>
    <w:rsid w:val="0062378F"/>
    <w:rsid w:val="00623951"/>
    <w:rsid w:val="00623A76"/>
    <w:rsid w:val="00623E09"/>
    <w:rsid w:val="00623FA3"/>
    <w:rsid w:val="006241CA"/>
    <w:rsid w:val="00624862"/>
    <w:rsid w:val="006248E2"/>
    <w:rsid w:val="006248EE"/>
    <w:rsid w:val="00624937"/>
    <w:rsid w:val="00624D78"/>
    <w:rsid w:val="0062519B"/>
    <w:rsid w:val="00625772"/>
    <w:rsid w:val="00626374"/>
    <w:rsid w:val="00626CD0"/>
    <w:rsid w:val="00627297"/>
    <w:rsid w:val="006279F9"/>
    <w:rsid w:val="00627A84"/>
    <w:rsid w:val="00627E1B"/>
    <w:rsid w:val="006301FD"/>
    <w:rsid w:val="00631ED1"/>
    <w:rsid w:val="00631F87"/>
    <w:rsid w:val="006324A1"/>
    <w:rsid w:val="00632561"/>
    <w:rsid w:val="00632A78"/>
    <w:rsid w:val="00632E47"/>
    <w:rsid w:val="0063326C"/>
    <w:rsid w:val="0063389C"/>
    <w:rsid w:val="00633B1E"/>
    <w:rsid w:val="00633BB7"/>
    <w:rsid w:val="0063432D"/>
    <w:rsid w:val="0063448A"/>
    <w:rsid w:val="0063460E"/>
    <w:rsid w:val="00634A17"/>
    <w:rsid w:val="00636606"/>
    <w:rsid w:val="00636984"/>
    <w:rsid w:val="00637247"/>
    <w:rsid w:val="0063744B"/>
    <w:rsid w:val="00637B5B"/>
    <w:rsid w:val="006400F1"/>
    <w:rsid w:val="006403C9"/>
    <w:rsid w:val="0064069A"/>
    <w:rsid w:val="006408EA"/>
    <w:rsid w:val="00640A86"/>
    <w:rsid w:val="00640C03"/>
    <w:rsid w:val="00640CD2"/>
    <w:rsid w:val="00641532"/>
    <w:rsid w:val="006422E7"/>
    <w:rsid w:val="0064287A"/>
    <w:rsid w:val="00642CE7"/>
    <w:rsid w:val="00642D80"/>
    <w:rsid w:val="006438E0"/>
    <w:rsid w:val="006439FC"/>
    <w:rsid w:val="00643D7A"/>
    <w:rsid w:val="00643E58"/>
    <w:rsid w:val="00643F17"/>
    <w:rsid w:val="0064477F"/>
    <w:rsid w:val="00644DE2"/>
    <w:rsid w:val="0064538E"/>
    <w:rsid w:val="0064552C"/>
    <w:rsid w:val="006455C4"/>
    <w:rsid w:val="00645634"/>
    <w:rsid w:val="0064565D"/>
    <w:rsid w:val="00645776"/>
    <w:rsid w:val="006459B9"/>
    <w:rsid w:val="00645E67"/>
    <w:rsid w:val="00646591"/>
    <w:rsid w:val="0064663B"/>
    <w:rsid w:val="006474AC"/>
    <w:rsid w:val="006475E2"/>
    <w:rsid w:val="00647808"/>
    <w:rsid w:val="00651446"/>
    <w:rsid w:val="00651EE3"/>
    <w:rsid w:val="00651F5A"/>
    <w:rsid w:val="00651F6D"/>
    <w:rsid w:val="006527CA"/>
    <w:rsid w:val="00652A8E"/>
    <w:rsid w:val="00652DDD"/>
    <w:rsid w:val="006538CC"/>
    <w:rsid w:val="006538D2"/>
    <w:rsid w:val="00653CD5"/>
    <w:rsid w:val="006541DF"/>
    <w:rsid w:val="006545A8"/>
    <w:rsid w:val="00654DC7"/>
    <w:rsid w:val="00655C2E"/>
    <w:rsid w:val="00655CA0"/>
    <w:rsid w:val="00656047"/>
    <w:rsid w:val="00656156"/>
    <w:rsid w:val="0065673A"/>
    <w:rsid w:val="0065673C"/>
    <w:rsid w:val="00656937"/>
    <w:rsid w:val="00656D1E"/>
    <w:rsid w:val="00656EE3"/>
    <w:rsid w:val="00657335"/>
    <w:rsid w:val="006574C9"/>
    <w:rsid w:val="00657688"/>
    <w:rsid w:val="006576B6"/>
    <w:rsid w:val="0066015B"/>
    <w:rsid w:val="006605FE"/>
    <w:rsid w:val="0066071B"/>
    <w:rsid w:val="00660B48"/>
    <w:rsid w:val="00660BBD"/>
    <w:rsid w:val="00661140"/>
    <w:rsid w:val="006615D8"/>
    <w:rsid w:val="00661DDC"/>
    <w:rsid w:val="00662FF3"/>
    <w:rsid w:val="00663E9A"/>
    <w:rsid w:val="00663FB4"/>
    <w:rsid w:val="00664BD6"/>
    <w:rsid w:val="00664D70"/>
    <w:rsid w:val="00666160"/>
    <w:rsid w:val="00666642"/>
    <w:rsid w:val="00666BFC"/>
    <w:rsid w:val="00666D31"/>
    <w:rsid w:val="00667273"/>
    <w:rsid w:val="006674B7"/>
    <w:rsid w:val="006710DA"/>
    <w:rsid w:val="0067188E"/>
    <w:rsid w:val="00671DBF"/>
    <w:rsid w:val="00672F36"/>
    <w:rsid w:val="00673113"/>
    <w:rsid w:val="00673484"/>
    <w:rsid w:val="00673DD6"/>
    <w:rsid w:val="00674B6B"/>
    <w:rsid w:val="006755A5"/>
    <w:rsid w:val="006757F7"/>
    <w:rsid w:val="00675FC4"/>
    <w:rsid w:val="0067691B"/>
    <w:rsid w:val="006778D9"/>
    <w:rsid w:val="00677DB9"/>
    <w:rsid w:val="0068006D"/>
    <w:rsid w:val="006801A2"/>
    <w:rsid w:val="0068030A"/>
    <w:rsid w:val="006805B4"/>
    <w:rsid w:val="0068078C"/>
    <w:rsid w:val="006807CC"/>
    <w:rsid w:val="00680B33"/>
    <w:rsid w:val="00680BC2"/>
    <w:rsid w:val="00680EC6"/>
    <w:rsid w:val="00681364"/>
    <w:rsid w:val="0068148F"/>
    <w:rsid w:val="00681ADB"/>
    <w:rsid w:val="006825FE"/>
    <w:rsid w:val="006827A6"/>
    <w:rsid w:val="00682FC6"/>
    <w:rsid w:val="00682FF9"/>
    <w:rsid w:val="0068393D"/>
    <w:rsid w:val="0068396B"/>
    <w:rsid w:val="006839BA"/>
    <w:rsid w:val="00683EFF"/>
    <w:rsid w:val="00684A4F"/>
    <w:rsid w:val="00684D95"/>
    <w:rsid w:val="0068549C"/>
    <w:rsid w:val="00685B29"/>
    <w:rsid w:val="0068647C"/>
    <w:rsid w:val="0068655D"/>
    <w:rsid w:val="006869D0"/>
    <w:rsid w:val="00686CB6"/>
    <w:rsid w:val="00687219"/>
    <w:rsid w:val="006874BE"/>
    <w:rsid w:val="006874D1"/>
    <w:rsid w:val="00687822"/>
    <w:rsid w:val="00690C8A"/>
    <w:rsid w:val="00691048"/>
    <w:rsid w:val="00691487"/>
    <w:rsid w:val="00691BF7"/>
    <w:rsid w:val="00691C4E"/>
    <w:rsid w:val="00692639"/>
    <w:rsid w:val="00692CF5"/>
    <w:rsid w:val="0069383F"/>
    <w:rsid w:val="00693D04"/>
    <w:rsid w:val="00694173"/>
    <w:rsid w:val="0069445B"/>
    <w:rsid w:val="00694845"/>
    <w:rsid w:val="00694969"/>
    <w:rsid w:val="00694A3B"/>
    <w:rsid w:val="00694A51"/>
    <w:rsid w:val="00695BE5"/>
    <w:rsid w:val="0069675E"/>
    <w:rsid w:val="0069682C"/>
    <w:rsid w:val="00696949"/>
    <w:rsid w:val="00696C07"/>
    <w:rsid w:val="00696C86"/>
    <w:rsid w:val="00697054"/>
    <w:rsid w:val="00697174"/>
    <w:rsid w:val="00697ABF"/>
    <w:rsid w:val="00697BF4"/>
    <w:rsid w:val="00697C76"/>
    <w:rsid w:val="006A10E9"/>
    <w:rsid w:val="006A165E"/>
    <w:rsid w:val="006A1817"/>
    <w:rsid w:val="006A1E2F"/>
    <w:rsid w:val="006A277C"/>
    <w:rsid w:val="006A29CF"/>
    <w:rsid w:val="006A2AF7"/>
    <w:rsid w:val="006A3355"/>
    <w:rsid w:val="006A35CA"/>
    <w:rsid w:val="006A3670"/>
    <w:rsid w:val="006A39E2"/>
    <w:rsid w:val="006A3AA6"/>
    <w:rsid w:val="006A4B8B"/>
    <w:rsid w:val="006A4C32"/>
    <w:rsid w:val="006A54A8"/>
    <w:rsid w:val="006A570A"/>
    <w:rsid w:val="006A6107"/>
    <w:rsid w:val="006A616B"/>
    <w:rsid w:val="006A6485"/>
    <w:rsid w:val="006A65B2"/>
    <w:rsid w:val="006A6702"/>
    <w:rsid w:val="006A6C32"/>
    <w:rsid w:val="006A7AD4"/>
    <w:rsid w:val="006B02CA"/>
    <w:rsid w:val="006B030B"/>
    <w:rsid w:val="006B0EBC"/>
    <w:rsid w:val="006B18EF"/>
    <w:rsid w:val="006B25D2"/>
    <w:rsid w:val="006B2DE3"/>
    <w:rsid w:val="006B2E35"/>
    <w:rsid w:val="006B305B"/>
    <w:rsid w:val="006B3567"/>
    <w:rsid w:val="006B3741"/>
    <w:rsid w:val="006B3A04"/>
    <w:rsid w:val="006B3C3A"/>
    <w:rsid w:val="006B4110"/>
    <w:rsid w:val="006B43DC"/>
    <w:rsid w:val="006B4AB6"/>
    <w:rsid w:val="006B5112"/>
    <w:rsid w:val="006B52A3"/>
    <w:rsid w:val="006B54D0"/>
    <w:rsid w:val="006B54DB"/>
    <w:rsid w:val="006B5671"/>
    <w:rsid w:val="006B56CA"/>
    <w:rsid w:val="006B593D"/>
    <w:rsid w:val="006B5BBA"/>
    <w:rsid w:val="006B61CA"/>
    <w:rsid w:val="006B64BB"/>
    <w:rsid w:val="006B6830"/>
    <w:rsid w:val="006B68CB"/>
    <w:rsid w:val="006B6A45"/>
    <w:rsid w:val="006B6B3B"/>
    <w:rsid w:val="006B6E5C"/>
    <w:rsid w:val="006B71DC"/>
    <w:rsid w:val="006C01C4"/>
    <w:rsid w:val="006C028E"/>
    <w:rsid w:val="006C08A6"/>
    <w:rsid w:val="006C091E"/>
    <w:rsid w:val="006C0F82"/>
    <w:rsid w:val="006C10D9"/>
    <w:rsid w:val="006C159D"/>
    <w:rsid w:val="006C15A2"/>
    <w:rsid w:val="006C2021"/>
    <w:rsid w:val="006C22A2"/>
    <w:rsid w:val="006C2732"/>
    <w:rsid w:val="006C2BC3"/>
    <w:rsid w:val="006C2CFC"/>
    <w:rsid w:val="006C2D97"/>
    <w:rsid w:val="006C3245"/>
    <w:rsid w:val="006C3D14"/>
    <w:rsid w:val="006C51DD"/>
    <w:rsid w:val="006C5359"/>
    <w:rsid w:val="006C6AE1"/>
    <w:rsid w:val="006C77B1"/>
    <w:rsid w:val="006C7C73"/>
    <w:rsid w:val="006D023C"/>
    <w:rsid w:val="006D0AAF"/>
    <w:rsid w:val="006D0EA0"/>
    <w:rsid w:val="006D19E1"/>
    <w:rsid w:val="006D1D58"/>
    <w:rsid w:val="006D1DE0"/>
    <w:rsid w:val="006D2345"/>
    <w:rsid w:val="006D2581"/>
    <w:rsid w:val="006D27EB"/>
    <w:rsid w:val="006D31BE"/>
    <w:rsid w:val="006D3A98"/>
    <w:rsid w:val="006D3B7A"/>
    <w:rsid w:val="006D4696"/>
    <w:rsid w:val="006D46B4"/>
    <w:rsid w:val="006D48FE"/>
    <w:rsid w:val="006D4A0D"/>
    <w:rsid w:val="006D4E10"/>
    <w:rsid w:val="006D5423"/>
    <w:rsid w:val="006D5729"/>
    <w:rsid w:val="006D5F30"/>
    <w:rsid w:val="006D5F6C"/>
    <w:rsid w:val="006D623C"/>
    <w:rsid w:val="006D6661"/>
    <w:rsid w:val="006D6676"/>
    <w:rsid w:val="006D67EC"/>
    <w:rsid w:val="006D6EB6"/>
    <w:rsid w:val="006D7884"/>
    <w:rsid w:val="006E0642"/>
    <w:rsid w:val="006E0D67"/>
    <w:rsid w:val="006E10F0"/>
    <w:rsid w:val="006E2ACE"/>
    <w:rsid w:val="006E2F42"/>
    <w:rsid w:val="006E2F6C"/>
    <w:rsid w:val="006E30D6"/>
    <w:rsid w:val="006E32A6"/>
    <w:rsid w:val="006E3502"/>
    <w:rsid w:val="006E37F1"/>
    <w:rsid w:val="006E4310"/>
    <w:rsid w:val="006E4871"/>
    <w:rsid w:val="006E5356"/>
    <w:rsid w:val="006E5EED"/>
    <w:rsid w:val="006E64FD"/>
    <w:rsid w:val="006E66FD"/>
    <w:rsid w:val="006E6843"/>
    <w:rsid w:val="006E6D41"/>
    <w:rsid w:val="006E6D4F"/>
    <w:rsid w:val="006E71B5"/>
    <w:rsid w:val="006F01F2"/>
    <w:rsid w:val="006F04A8"/>
    <w:rsid w:val="006F0F2F"/>
    <w:rsid w:val="006F12BF"/>
    <w:rsid w:val="006F14DF"/>
    <w:rsid w:val="006F1A36"/>
    <w:rsid w:val="006F2A77"/>
    <w:rsid w:val="006F2CA2"/>
    <w:rsid w:val="006F2DB6"/>
    <w:rsid w:val="006F3069"/>
    <w:rsid w:val="006F369A"/>
    <w:rsid w:val="006F3853"/>
    <w:rsid w:val="006F38F1"/>
    <w:rsid w:val="006F3A38"/>
    <w:rsid w:val="006F4316"/>
    <w:rsid w:val="006F4AAF"/>
    <w:rsid w:val="006F505F"/>
    <w:rsid w:val="006F5877"/>
    <w:rsid w:val="006F5F0C"/>
    <w:rsid w:val="006F5FA4"/>
    <w:rsid w:val="006F603C"/>
    <w:rsid w:val="006F6530"/>
    <w:rsid w:val="006F6AE0"/>
    <w:rsid w:val="006F6C8D"/>
    <w:rsid w:val="006F71FA"/>
    <w:rsid w:val="006F7782"/>
    <w:rsid w:val="006F7885"/>
    <w:rsid w:val="00700273"/>
    <w:rsid w:val="00700401"/>
    <w:rsid w:val="007008D2"/>
    <w:rsid w:val="0070177C"/>
    <w:rsid w:val="00701B19"/>
    <w:rsid w:val="00701C0D"/>
    <w:rsid w:val="00702201"/>
    <w:rsid w:val="0070223F"/>
    <w:rsid w:val="0070267C"/>
    <w:rsid w:val="00702849"/>
    <w:rsid w:val="00702D2A"/>
    <w:rsid w:val="00702E05"/>
    <w:rsid w:val="00703A80"/>
    <w:rsid w:val="00704051"/>
    <w:rsid w:val="0070407E"/>
    <w:rsid w:val="007040D9"/>
    <w:rsid w:val="00704343"/>
    <w:rsid w:val="007043AC"/>
    <w:rsid w:val="007044BA"/>
    <w:rsid w:val="00704931"/>
    <w:rsid w:val="00704C6D"/>
    <w:rsid w:val="007057A6"/>
    <w:rsid w:val="00705BAA"/>
    <w:rsid w:val="0070603E"/>
    <w:rsid w:val="00706077"/>
    <w:rsid w:val="007061D9"/>
    <w:rsid w:val="0070623E"/>
    <w:rsid w:val="00706680"/>
    <w:rsid w:val="0070680C"/>
    <w:rsid w:val="0070697C"/>
    <w:rsid w:val="007069F4"/>
    <w:rsid w:val="00707015"/>
    <w:rsid w:val="007073D9"/>
    <w:rsid w:val="00707B22"/>
    <w:rsid w:val="00707DDF"/>
    <w:rsid w:val="00710600"/>
    <w:rsid w:val="00710878"/>
    <w:rsid w:val="0071093E"/>
    <w:rsid w:val="00710A0A"/>
    <w:rsid w:val="00710BFF"/>
    <w:rsid w:val="00710D92"/>
    <w:rsid w:val="00710EEA"/>
    <w:rsid w:val="00711173"/>
    <w:rsid w:val="0071166A"/>
    <w:rsid w:val="00711809"/>
    <w:rsid w:val="00711A10"/>
    <w:rsid w:val="00711A82"/>
    <w:rsid w:val="00712C10"/>
    <w:rsid w:val="00713222"/>
    <w:rsid w:val="00713376"/>
    <w:rsid w:val="00713462"/>
    <w:rsid w:val="007138CA"/>
    <w:rsid w:val="00713B52"/>
    <w:rsid w:val="00713C66"/>
    <w:rsid w:val="00713D79"/>
    <w:rsid w:val="00713D7F"/>
    <w:rsid w:val="00713E9A"/>
    <w:rsid w:val="007146CB"/>
    <w:rsid w:val="00714AC0"/>
    <w:rsid w:val="00715714"/>
    <w:rsid w:val="00715AEA"/>
    <w:rsid w:val="00716839"/>
    <w:rsid w:val="00716855"/>
    <w:rsid w:val="00717408"/>
    <w:rsid w:val="0071760F"/>
    <w:rsid w:val="00717B98"/>
    <w:rsid w:val="00720421"/>
    <w:rsid w:val="007208CC"/>
    <w:rsid w:val="0072154E"/>
    <w:rsid w:val="00721685"/>
    <w:rsid w:val="00721E1F"/>
    <w:rsid w:val="00721F36"/>
    <w:rsid w:val="00722939"/>
    <w:rsid w:val="00722B20"/>
    <w:rsid w:val="00723497"/>
    <w:rsid w:val="00723641"/>
    <w:rsid w:val="00723752"/>
    <w:rsid w:val="00723B42"/>
    <w:rsid w:val="00723EC7"/>
    <w:rsid w:val="00724585"/>
    <w:rsid w:val="0072474B"/>
    <w:rsid w:val="007249BA"/>
    <w:rsid w:val="00724BDF"/>
    <w:rsid w:val="00724C26"/>
    <w:rsid w:val="00725573"/>
    <w:rsid w:val="007259E8"/>
    <w:rsid w:val="0072615C"/>
    <w:rsid w:val="0072639A"/>
    <w:rsid w:val="007268A1"/>
    <w:rsid w:val="00726AA9"/>
    <w:rsid w:val="00726BF0"/>
    <w:rsid w:val="00726CDC"/>
    <w:rsid w:val="0072701E"/>
    <w:rsid w:val="00727564"/>
    <w:rsid w:val="00727CFC"/>
    <w:rsid w:val="00727D40"/>
    <w:rsid w:val="00727F73"/>
    <w:rsid w:val="00731BE0"/>
    <w:rsid w:val="0073248A"/>
    <w:rsid w:val="007324E4"/>
    <w:rsid w:val="00732620"/>
    <w:rsid w:val="0073264E"/>
    <w:rsid w:val="00732A89"/>
    <w:rsid w:val="00733348"/>
    <w:rsid w:val="007336DC"/>
    <w:rsid w:val="00733713"/>
    <w:rsid w:val="00733AA6"/>
    <w:rsid w:val="00733FFE"/>
    <w:rsid w:val="0073410E"/>
    <w:rsid w:val="00734F45"/>
    <w:rsid w:val="00735664"/>
    <w:rsid w:val="007362C0"/>
    <w:rsid w:val="0073641F"/>
    <w:rsid w:val="00736426"/>
    <w:rsid w:val="00736511"/>
    <w:rsid w:val="00736DA8"/>
    <w:rsid w:val="00737B1D"/>
    <w:rsid w:val="00737DC3"/>
    <w:rsid w:val="00737E8D"/>
    <w:rsid w:val="007408F4"/>
    <w:rsid w:val="00740DB3"/>
    <w:rsid w:val="00741225"/>
    <w:rsid w:val="007414FE"/>
    <w:rsid w:val="00741505"/>
    <w:rsid w:val="007415E9"/>
    <w:rsid w:val="0074180C"/>
    <w:rsid w:val="00741A68"/>
    <w:rsid w:val="00742616"/>
    <w:rsid w:val="00742653"/>
    <w:rsid w:val="007427FE"/>
    <w:rsid w:val="00742A9A"/>
    <w:rsid w:val="00743110"/>
    <w:rsid w:val="0074356D"/>
    <w:rsid w:val="00743C35"/>
    <w:rsid w:val="00743E41"/>
    <w:rsid w:val="00743FC4"/>
    <w:rsid w:val="007442C8"/>
    <w:rsid w:val="007446C5"/>
    <w:rsid w:val="00745498"/>
    <w:rsid w:val="0074558C"/>
    <w:rsid w:val="007459AD"/>
    <w:rsid w:val="00745A42"/>
    <w:rsid w:val="00746674"/>
    <w:rsid w:val="007466D4"/>
    <w:rsid w:val="0074674C"/>
    <w:rsid w:val="00746C25"/>
    <w:rsid w:val="00746CBD"/>
    <w:rsid w:val="0074779F"/>
    <w:rsid w:val="0075012C"/>
    <w:rsid w:val="007503FA"/>
    <w:rsid w:val="0075071E"/>
    <w:rsid w:val="00750A5A"/>
    <w:rsid w:val="00751B02"/>
    <w:rsid w:val="00752106"/>
    <w:rsid w:val="007522F9"/>
    <w:rsid w:val="0075257C"/>
    <w:rsid w:val="0075299B"/>
    <w:rsid w:val="00752A94"/>
    <w:rsid w:val="00752C26"/>
    <w:rsid w:val="0075314D"/>
    <w:rsid w:val="007536F0"/>
    <w:rsid w:val="007539D1"/>
    <w:rsid w:val="007545C3"/>
    <w:rsid w:val="0075483D"/>
    <w:rsid w:val="00754E0A"/>
    <w:rsid w:val="00755090"/>
    <w:rsid w:val="0075533A"/>
    <w:rsid w:val="007555FC"/>
    <w:rsid w:val="007556B1"/>
    <w:rsid w:val="007574B4"/>
    <w:rsid w:val="007605ED"/>
    <w:rsid w:val="00760B98"/>
    <w:rsid w:val="00761422"/>
    <w:rsid w:val="00761BF0"/>
    <w:rsid w:val="00762584"/>
    <w:rsid w:val="007628FF"/>
    <w:rsid w:val="007635D8"/>
    <w:rsid w:val="00763BB6"/>
    <w:rsid w:val="0076494D"/>
    <w:rsid w:val="00764D2A"/>
    <w:rsid w:val="0076543D"/>
    <w:rsid w:val="0076585B"/>
    <w:rsid w:val="007658F8"/>
    <w:rsid w:val="00765AD9"/>
    <w:rsid w:val="00765B20"/>
    <w:rsid w:val="0076620F"/>
    <w:rsid w:val="00766756"/>
    <w:rsid w:val="00766DFE"/>
    <w:rsid w:val="00767097"/>
    <w:rsid w:val="007672F6"/>
    <w:rsid w:val="007673C4"/>
    <w:rsid w:val="00767647"/>
    <w:rsid w:val="007702FE"/>
    <w:rsid w:val="0077079E"/>
    <w:rsid w:val="007709F4"/>
    <w:rsid w:val="00770A0E"/>
    <w:rsid w:val="00770BB8"/>
    <w:rsid w:val="00770E51"/>
    <w:rsid w:val="00771039"/>
    <w:rsid w:val="007713E1"/>
    <w:rsid w:val="0077169D"/>
    <w:rsid w:val="00771715"/>
    <w:rsid w:val="007721E5"/>
    <w:rsid w:val="007724CC"/>
    <w:rsid w:val="007728C3"/>
    <w:rsid w:val="00773334"/>
    <w:rsid w:val="00773686"/>
    <w:rsid w:val="00774407"/>
    <w:rsid w:val="0077464D"/>
    <w:rsid w:val="0077538A"/>
    <w:rsid w:val="00775BDF"/>
    <w:rsid w:val="00775C29"/>
    <w:rsid w:val="00775EA3"/>
    <w:rsid w:val="007761DC"/>
    <w:rsid w:val="007762DF"/>
    <w:rsid w:val="00776FE7"/>
    <w:rsid w:val="007771D1"/>
    <w:rsid w:val="00777C04"/>
    <w:rsid w:val="00780345"/>
    <w:rsid w:val="00780B3F"/>
    <w:rsid w:val="00780CE2"/>
    <w:rsid w:val="00780CEB"/>
    <w:rsid w:val="0078189C"/>
    <w:rsid w:val="00781A99"/>
    <w:rsid w:val="007824CC"/>
    <w:rsid w:val="007824E6"/>
    <w:rsid w:val="00783C2D"/>
    <w:rsid w:val="00783E33"/>
    <w:rsid w:val="007841DC"/>
    <w:rsid w:val="00784B67"/>
    <w:rsid w:val="00784D1F"/>
    <w:rsid w:val="00784F0E"/>
    <w:rsid w:val="00785224"/>
    <w:rsid w:val="0078522F"/>
    <w:rsid w:val="0078591A"/>
    <w:rsid w:val="00785970"/>
    <w:rsid w:val="00785C0A"/>
    <w:rsid w:val="00785E91"/>
    <w:rsid w:val="00785EC2"/>
    <w:rsid w:val="00785F8A"/>
    <w:rsid w:val="007864B3"/>
    <w:rsid w:val="00786A63"/>
    <w:rsid w:val="00786C26"/>
    <w:rsid w:val="00786C72"/>
    <w:rsid w:val="00786E98"/>
    <w:rsid w:val="00787811"/>
    <w:rsid w:val="00790066"/>
    <w:rsid w:val="0079045E"/>
    <w:rsid w:val="007905F6"/>
    <w:rsid w:val="0079151C"/>
    <w:rsid w:val="00791FD0"/>
    <w:rsid w:val="007921BA"/>
    <w:rsid w:val="007936A0"/>
    <w:rsid w:val="00793D46"/>
    <w:rsid w:val="00793ECE"/>
    <w:rsid w:val="0079413C"/>
    <w:rsid w:val="00794598"/>
    <w:rsid w:val="00794E91"/>
    <w:rsid w:val="00795C7D"/>
    <w:rsid w:val="00795D6B"/>
    <w:rsid w:val="00795D9C"/>
    <w:rsid w:val="007962C3"/>
    <w:rsid w:val="00796584"/>
    <w:rsid w:val="00796BE5"/>
    <w:rsid w:val="007970A4"/>
    <w:rsid w:val="007975AE"/>
    <w:rsid w:val="00797622"/>
    <w:rsid w:val="007977E3"/>
    <w:rsid w:val="00797D88"/>
    <w:rsid w:val="007A0BD5"/>
    <w:rsid w:val="007A168D"/>
    <w:rsid w:val="007A17B5"/>
    <w:rsid w:val="007A1B49"/>
    <w:rsid w:val="007A1E25"/>
    <w:rsid w:val="007A2886"/>
    <w:rsid w:val="007A290F"/>
    <w:rsid w:val="007A2C2B"/>
    <w:rsid w:val="007A2FF4"/>
    <w:rsid w:val="007A324C"/>
    <w:rsid w:val="007A3541"/>
    <w:rsid w:val="007A35C5"/>
    <w:rsid w:val="007A3916"/>
    <w:rsid w:val="007A3C27"/>
    <w:rsid w:val="007A3CD3"/>
    <w:rsid w:val="007A4239"/>
    <w:rsid w:val="007A4B0E"/>
    <w:rsid w:val="007A53E0"/>
    <w:rsid w:val="007A5A15"/>
    <w:rsid w:val="007A65DF"/>
    <w:rsid w:val="007A68DA"/>
    <w:rsid w:val="007A6AF8"/>
    <w:rsid w:val="007A76B8"/>
    <w:rsid w:val="007B0E03"/>
    <w:rsid w:val="007B0F53"/>
    <w:rsid w:val="007B10D9"/>
    <w:rsid w:val="007B1417"/>
    <w:rsid w:val="007B2018"/>
    <w:rsid w:val="007B27DE"/>
    <w:rsid w:val="007B2C90"/>
    <w:rsid w:val="007B32FA"/>
    <w:rsid w:val="007B376F"/>
    <w:rsid w:val="007B4145"/>
    <w:rsid w:val="007B4E5C"/>
    <w:rsid w:val="007B5311"/>
    <w:rsid w:val="007B5867"/>
    <w:rsid w:val="007B594B"/>
    <w:rsid w:val="007B59CB"/>
    <w:rsid w:val="007B5A37"/>
    <w:rsid w:val="007B5BA4"/>
    <w:rsid w:val="007B5C59"/>
    <w:rsid w:val="007B5E81"/>
    <w:rsid w:val="007B7C0A"/>
    <w:rsid w:val="007B7EAE"/>
    <w:rsid w:val="007C04B4"/>
    <w:rsid w:val="007C0C17"/>
    <w:rsid w:val="007C0C90"/>
    <w:rsid w:val="007C0CB2"/>
    <w:rsid w:val="007C18E4"/>
    <w:rsid w:val="007C1B56"/>
    <w:rsid w:val="007C1CD9"/>
    <w:rsid w:val="007C203A"/>
    <w:rsid w:val="007C216A"/>
    <w:rsid w:val="007C2186"/>
    <w:rsid w:val="007C248F"/>
    <w:rsid w:val="007C249C"/>
    <w:rsid w:val="007C332E"/>
    <w:rsid w:val="007C37D9"/>
    <w:rsid w:val="007C3C2D"/>
    <w:rsid w:val="007C4C5D"/>
    <w:rsid w:val="007C535A"/>
    <w:rsid w:val="007C5F56"/>
    <w:rsid w:val="007C5FBE"/>
    <w:rsid w:val="007C68AB"/>
    <w:rsid w:val="007C6ECE"/>
    <w:rsid w:val="007C7016"/>
    <w:rsid w:val="007C73E3"/>
    <w:rsid w:val="007C782A"/>
    <w:rsid w:val="007C7B0A"/>
    <w:rsid w:val="007C7F32"/>
    <w:rsid w:val="007D0154"/>
    <w:rsid w:val="007D1073"/>
    <w:rsid w:val="007D187E"/>
    <w:rsid w:val="007D1AFA"/>
    <w:rsid w:val="007D1BF9"/>
    <w:rsid w:val="007D1F53"/>
    <w:rsid w:val="007D2B45"/>
    <w:rsid w:val="007D3F7B"/>
    <w:rsid w:val="007D47C2"/>
    <w:rsid w:val="007D5D53"/>
    <w:rsid w:val="007D6552"/>
    <w:rsid w:val="007D65AC"/>
    <w:rsid w:val="007D69B0"/>
    <w:rsid w:val="007D7DED"/>
    <w:rsid w:val="007E0069"/>
    <w:rsid w:val="007E01B5"/>
    <w:rsid w:val="007E08C9"/>
    <w:rsid w:val="007E0A97"/>
    <w:rsid w:val="007E0D9F"/>
    <w:rsid w:val="007E10C4"/>
    <w:rsid w:val="007E116C"/>
    <w:rsid w:val="007E190F"/>
    <w:rsid w:val="007E1DB2"/>
    <w:rsid w:val="007E2253"/>
    <w:rsid w:val="007E2522"/>
    <w:rsid w:val="007E285E"/>
    <w:rsid w:val="007E3610"/>
    <w:rsid w:val="007E36BE"/>
    <w:rsid w:val="007E398E"/>
    <w:rsid w:val="007E39FE"/>
    <w:rsid w:val="007E3F1D"/>
    <w:rsid w:val="007E4881"/>
    <w:rsid w:val="007E50E3"/>
    <w:rsid w:val="007E50F6"/>
    <w:rsid w:val="007E54E5"/>
    <w:rsid w:val="007E66D9"/>
    <w:rsid w:val="007E6797"/>
    <w:rsid w:val="007E68FD"/>
    <w:rsid w:val="007E708F"/>
    <w:rsid w:val="007E7358"/>
    <w:rsid w:val="007E7425"/>
    <w:rsid w:val="007E7ACC"/>
    <w:rsid w:val="007E7F73"/>
    <w:rsid w:val="007F0014"/>
    <w:rsid w:val="007F02B0"/>
    <w:rsid w:val="007F10CB"/>
    <w:rsid w:val="007F143B"/>
    <w:rsid w:val="007F1962"/>
    <w:rsid w:val="007F21AE"/>
    <w:rsid w:val="007F21DD"/>
    <w:rsid w:val="007F26E7"/>
    <w:rsid w:val="007F2A84"/>
    <w:rsid w:val="007F2E25"/>
    <w:rsid w:val="007F367A"/>
    <w:rsid w:val="007F3FB5"/>
    <w:rsid w:val="007F4044"/>
    <w:rsid w:val="007F4C63"/>
    <w:rsid w:val="007F55DC"/>
    <w:rsid w:val="007F5B66"/>
    <w:rsid w:val="007F60E0"/>
    <w:rsid w:val="007F6244"/>
    <w:rsid w:val="007F676C"/>
    <w:rsid w:val="007F6963"/>
    <w:rsid w:val="007F72D8"/>
    <w:rsid w:val="007F7EAB"/>
    <w:rsid w:val="0080006C"/>
    <w:rsid w:val="008002D0"/>
    <w:rsid w:val="00800370"/>
    <w:rsid w:val="00800956"/>
    <w:rsid w:val="00801117"/>
    <w:rsid w:val="008011CE"/>
    <w:rsid w:val="00801333"/>
    <w:rsid w:val="00801545"/>
    <w:rsid w:val="008018DD"/>
    <w:rsid w:val="00802A0F"/>
    <w:rsid w:val="00802E14"/>
    <w:rsid w:val="008040BB"/>
    <w:rsid w:val="00804634"/>
    <w:rsid w:val="0080480F"/>
    <w:rsid w:val="00804946"/>
    <w:rsid w:val="00805060"/>
    <w:rsid w:val="0080582B"/>
    <w:rsid w:val="00805D03"/>
    <w:rsid w:val="0080607F"/>
    <w:rsid w:val="008061B2"/>
    <w:rsid w:val="00806329"/>
    <w:rsid w:val="00806A66"/>
    <w:rsid w:val="00806D19"/>
    <w:rsid w:val="00807459"/>
    <w:rsid w:val="00807B32"/>
    <w:rsid w:val="00807C6B"/>
    <w:rsid w:val="0081065D"/>
    <w:rsid w:val="00811641"/>
    <w:rsid w:val="0081190F"/>
    <w:rsid w:val="008124A8"/>
    <w:rsid w:val="0081292F"/>
    <w:rsid w:val="00812B7B"/>
    <w:rsid w:val="0081479C"/>
    <w:rsid w:val="008147A5"/>
    <w:rsid w:val="00814D8E"/>
    <w:rsid w:val="00815480"/>
    <w:rsid w:val="00815CC8"/>
    <w:rsid w:val="00815D52"/>
    <w:rsid w:val="00820C99"/>
    <w:rsid w:val="00820D2B"/>
    <w:rsid w:val="00820DDE"/>
    <w:rsid w:val="00821284"/>
    <w:rsid w:val="008212E0"/>
    <w:rsid w:val="00821941"/>
    <w:rsid w:val="00821EF1"/>
    <w:rsid w:val="00822377"/>
    <w:rsid w:val="00823E60"/>
    <w:rsid w:val="0082435F"/>
    <w:rsid w:val="00824FB8"/>
    <w:rsid w:val="00825598"/>
    <w:rsid w:val="00826C8D"/>
    <w:rsid w:val="00826DF2"/>
    <w:rsid w:val="0082749B"/>
    <w:rsid w:val="00827ADD"/>
    <w:rsid w:val="00827B13"/>
    <w:rsid w:val="00830EAD"/>
    <w:rsid w:val="00831057"/>
    <w:rsid w:val="008318C9"/>
    <w:rsid w:val="008321B8"/>
    <w:rsid w:val="008325ED"/>
    <w:rsid w:val="00832C31"/>
    <w:rsid w:val="00832D7E"/>
    <w:rsid w:val="00833180"/>
    <w:rsid w:val="00833688"/>
    <w:rsid w:val="00833A46"/>
    <w:rsid w:val="00834038"/>
    <w:rsid w:val="00834099"/>
    <w:rsid w:val="00834E47"/>
    <w:rsid w:val="00834E52"/>
    <w:rsid w:val="00835001"/>
    <w:rsid w:val="00835092"/>
    <w:rsid w:val="0083556A"/>
    <w:rsid w:val="00835895"/>
    <w:rsid w:val="00835BB5"/>
    <w:rsid w:val="00835C07"/>
    <w:rsid w:val="008360FE"/>
    <w:rsid w:val="00836346"/>
    <w:rsid w:val="0083733E"/>
    <w:rsid w:val="0083786D"/>
    <w:rsid w:val="00837A82"/>
    <w:rsid w:val="00837FEF"/>
    <w:rsid w:val="008404BA"/>
    <w:rsid w:val="008406C6"/>
    <w:rsid w:val="00840CDC"/>
    <w:rsid w:val="00840F2E"/>
    <w:rsid w:val="0084142B"/>
    <w:rsid w:val="008423DD"/>
    <w:rsid w:val="00842868"/>
    <w:rsid w:val="00843886"/>
    <w:rsid w:val="00844DC1"/>
    <w:rsid w:val="00844E5F"/>
    <w:rsid w:val="00844F1B"/>
    <w:rsid w:val="00845079"/>
    <w:rsid w:val="00846C1B"/>
    <w:rsid w:val="00847041"/>
    <w:rsid w:val="00847542"/>
    <w:rsid w:val="0084787F"/>
    <w:rsid w:val="00847D45"/>
    <w:rsid w:val="00847D66"/>
    <w:rsid w:val="00850380"/>
    <w:rsid w:val="00850631"/>
    <w:rsid w:val="00850A61"/>
    <w:rsid w:val="00850B39"/>
    <w:rsid w:val="00850CC3"/>
    <w:rsid w:val="00850E12"/>
    <w:rsid w:val="00851718"/>
    <w:rsid w:val="00851F1F"/>
    <w:rsid w:val="008526DF"/>
    <w:rsid w:val="008527CF"/>
    <w:rsid w:val="00852A7E"/>
    <w:rsid w:val="00852BBC"/>
    <w:rsid w:val="008535AF"/>
    <w:rsid w:val="0085448E"/>
    <w:rsid w:val="00854EAC"/>
    <w:rsid w:val="00855A05"/>
    <w:rsid w:val="00855EAE"/>
    <w:rsid w:val="00855F84"/>
    <w:rsid w:val="0085673A"/>
    <w:rsid w:val="00857734"/>
    <w:rsid w:val="00857902"/>
    <w:rsid w:val="00857D09"/>
    <w:rsid w:val="008603F2"/>
    <w:rsid w:val="0086061C"/>
    <w:rsid w:val="008606B4"/>
    <w:rsid w:val="00860755"/>
    <w:rsid w:val="00860AC9"/>
    <w:rsid w:val="0086102A"/>
    <w:rsid w:val="008612C9"/>
    <w:rsid w:val="008616E0"/>
    <w:rsid w:val="00861E24"/>
    <w:rsid w:val="00861EFF"/>
    <w:rsid w:val="0086203D"/>
    <w:rsid w:val="008624DF"/>
    <w:rsid w:val="00862A07"/>
    <w:rsid w:val="00863DAC"/>
    <w:rsid w:val="00864008"/>
    <w:rsid w:val="00864624"/>
    <w:rsid w:val="0086464D"/>
    <w:rsid w:val="008649C5"/>
    <w:rsid w:val="00865209"/>
    <w:rsid w:val="0086556A"/>
    <w:rsid w:val="008659EA"/>
    <w:rsid w:val="00865C99"/>
    <w:rsid w:val="00865DB3"/>
    <w:rsid w:val="008660E0"/>
    <w:rsid w:val="0086667C"/>
    <w:rsid w:val="00866753"/>
    <w:rsid w:val="008673E0"/>
    <w:rsid w:val="008706E9"/>
    <w:rsid w:val="008707F6"/>
    <w:rsid w:val="00870D62"/>
    <w:rsid w:val="008716BB"/>
    <w:rsid w:val="00872513"/>
    <w:rsid w:val="00872A11"/>
    <w:rsid w:val="00872A27"/>
    <w:rsid w:val="00873839"/>
    <w:rsid w:val="008738F0"/>
    <w:rsid w:val="008738F9"/>
    <w:rsid w:val="0087520B"/>
    <w:rsid w:val="00875880"/>
    <w:rsid w:val="00875C41"/>
    <w:rsid w:val="00875EBA"/>
    <w:rsid w:val="0087615C"/>
    <w:rsid w:val="00876426"/>
    <w:rsid w:val="008764AB"/>
    <w:rsid w:val="008769CA"/>
    <w:rsid w:val="00877179"/>
    <w:rsid w:val="008771C9"/>
    <w:rsid w:val="008775F1"/>
    <w:rsid w:val="00877B31"/>
    <w:rsid w:val="00877C10"/>
    <w:rsid w:val="00877E26"/>
    <w:rsid w:val="00877F39"/>
    <w:rsid w:val="00880007"/>
    <w:rsid w:val="008801CC"/>
    <w:rsid w:val="008807D2"/>
    <w:rsid w:val="00880EDE"/>
    <w:rsid w:val="00881894"/>
    <w:rsid w:val="0088194F"/>
    <w:rsid w:val="00881966"/>
    <w:rsid w:val="00881D24"/>
    <w:rsid w:val="00881E2F"/>
    <w:rsid w:val="008821B2"/>
    <w:rsid w:val="008822F9"/>
    <w:rsid w:val="00882D25"/>
    <w:rsid w:val="00882DF3"/>
    <w:rsid w:val="00883796"/>
    <w:rsid w:val="00883981"/>
    <w:rsid w:val="00884138"/>
    <w:rsid w:val="0088498D"/>
    <w:rsid w:val="00885437"/>
    <w:rsid w:val="0088616B"/>
    <w:rsid w:val="00886740"/>
    <w:rsid w:val="008867CE"/>
    <w:rsid w:val="008869C4"/>
    <w:rsid w:val="00886F0B"/>
    <w:rsid w:val="008871D6"/>
    <w:rsid w:val="00887D84"/>
    <w:rsid w:val="00887DA5"/>
    <w:rsid w:val="008907E6"/>
    <w:rsid w:val="00890E07"/>
    <w:rsid w:val="00891D45"/>
    <w:rsid w:val="00891E86"/>
    <w:rsid w:val="00892085"/>
    <w:rsid w:val="008924C1"/>
    <w:rsid w:val="0089250B"/>
    <w:rsid w:val="00893826"/>
    <w:rsid w:val="00893888"/>
    <w:rsid w:val="00893C96"/>
    <w:rsid w:val="00893ECD"/>
    <w:rsid w:val="0089452F"/>
    <w:rsid w:val="008946C9"/>
    <w:rsid w:val="00894817"/>
    <w:rsid w:val="0089492E"/>
    <w:rsid w:val="00895D0D"/>
    <w:rsid w:val="00895E31"/>
    <w:rsid w:val="00896507"/>
    <w:rsid w:val="00896756"/>
    <w:rsid w:val="008969E1"/>
    <w:rsid w:val="00896D8B"/>
    <w:rsid w:val="00896E02"/>
    <w:rsid w:val="00896E24"/>
    <w:rsid w:val="0089719A"/>
    <w:rsid w:val="00897A86"/>
    <w:rsid w:val="008A0EC7"/>
    <w:rsid w:val="008A19D6"/>
    <w:rsid w:val="008A1CBD"/>
    <w:rsid w:val="008A2338"/>
    <w:rsid w:val="008A237E"/>
    <w:rsid w:val="008A2B32"/>
    <w:rsid w:val="008A2D54"/>
    <w:rsid w:val="008A3CE2"/>
    <w:rsid w:val="008A3DA6"/>
    <w:rsid w:val="008A3F67"/>
    <w:rsid w:val="008A4787"/>
    <w:rsid w:val="008A4A24"/>
    <w:rsid w:val="008A4EF9"/>
    <w:rsid w:val="008A51A7"/>
    <w:rsid w:val="008A5427"/>
    <w:rsid w:val="008A5434"/>
    <w:rsid w:val="008A5880"/>
    <w:rsid w:val="008A5A47"/>
    <w:rsid w:val="008A5CC3"/>
    <w:rsid w:val="008A5DBA"/>
    <w:rsid w:val="008A5DCD"/>
    <w:rsid w:val="008A5ED5"/>
    <w:rsid w:val="008A6904"/>
    <w:rsid w:val="008A6EFB"/>
    <w:rsid w:val="008A7513"/>
    <w:rsid w:val="008A7560"/>
    <w:rsid w:val="008A787D"/>
    <w:rsid w:val="008B0795"/>
    <w:rsid w:val="008B092F"/>
    <w:rsid w:val="008B0F36"/>
    <w:rsid w:val="008B1AE7"/>
    <w:rsid w:val="008B1EE1"/>
    <w:rsid w:val="008B22B4"/>
    <w:rsid w:val="008B26DE"/>
    <w:rsid w:val="008B26E1"/>
    <w:rsid w:val="008B2C65"/>
    <w:rsid w:val="008B32D7"/>
    <w:rsid w:val="008B33C6"/>
    <w:rsid w:val="008B42D1"/>
    <w:rsid w:val="008B465E"/>
    <w:rsid w:val="008B4FD5"/>
    <w:rsid w:val="008B5115"/>
    <w:rsid w:val="008B5151"/>
    <w:rsid w:val="008B5501"/>
    <w:rsid w:val="008B55BC"/>
    <w:rsid w:val="008B5972"/>
    <w:rsid w:val="008B5EE3"/>
    <w:rsid w:val="008B5F6B"/>
    <w:rsid w:val="008B6A7F"/>
    <w:rsid w:val="008B6BE9"/>
    <w:rsid w:val="008B6CA1"/>
    <w:rsid w:val="008B74DF"/>
    <w:rsid w:val="008B7588"/>
    <w:rsid w:val="008B7B3B"/>
    <w:rsid w:val="008B7CD1"/>
    <w:rsid w:val="008C03DC"/>
    <w:rsid w:val="008C0581"/>
    <w:rsid w:val="008C13EE"/>
    <w:rsid w:val="008C233C"/>
    <w:rsid w:val="008C2E5B"/>
    <w:rsid w:val="008C3463"/>
    <w:rsid w:val="008C34C9"/>
    <w:rsid w:val="008C3BCB"/>
    <w:rsid w:val="008C3E64"/>
    <w:rsid w:val="008C45DD"/>
    <w:rsid w:val="008C4664"/>
    <w:rsid w:val="008C4957"/>
    <w:rsid w:val="008C5026"/>
    <w:rsid w:val="008C5469"/>
    <w:rsid w:val="008C57CB"/>
    <w:rsid w:val="008C585F"/>
    <w:rsid w:val="008C5B8D"/>
    <w:rsid w:val="008C624F"/>
    <w:rsid w:val="008C6323"/>
    <w:rsid w:val="008C7290"/>
    <w:rsid w:val="008C75FA"/>
    <w:rsid w:val="008C7A1B"/>
    <w:rsid w:val="008C7A71"/>
    <w:rsid w:val="008D0FEA"/>
    <w:rsid w:val="008D1226"/>
    <w:rsid w:val="008D127A"/>
    <w:rsid w:val="008D177C"/>
    <w:rsid w:val="008D2F4C"/>
    <w:rsid w:val="008D30A6"/>
    <w:rsid w:val="008D52D5"/>
    <w:rsid w:val="008D5C43"/>
    <w:rsid w:val="008D6423"/>
    <w:rsid w:val="008D6EF4"/>
    <w:rsid w:val="008D7220"/>
    <w:rsid w:val="008D72BF"/>
    <w:rsid w:val="008D782C"/>
    <w:rsid w:val="008D79AB"/>
    <w:rsid w:val="008D7F07"/>
    <w:rsid w:val="008E0BD9"/>
    <w:rsid w:val="008E11BF"/>
    <w:rsid w:val="008E2023"/>
    <w:rsid w:val="008E2151"/>
    <w:rsid w:val="008E2819"/>
    <w:rsid w:val="008E2E61"/>
    <w:rsid w:val="008E3767"/>
    <w:rsid w:val="008E377E"/>
    <w:rsid w:val="008E3799"/>
    <w:rsid w:val="008E4B06"/>
    <w:rsid w:val="008E558B"/>
    <w:rsid w:val="008E5C5B"/>
    <w:rsid w:val="008E5E6F"/>
    <w:rsid w:val="008E66C6"/>
    <w:rsid w:val="008E68E3"/>
    <w:rsid w:val="008E6D14"/>
    <w:rsid w:val="008E7553"/>
    <w:rsid w:val="008E7CF7"/>
    <w:rsid w:val="008E7F4C"/>
    <w:rsid w:val="008F1875"/>
    <w:rsid w:val="008F1A41"/>
    <w:rsid w:val="008F1B49"/>
    <w:rsid w:val="008F1D10"/>
    <w:rsid w:val="008F1F6D"/>
    <w:rsid w:val="008F2F34"/>
    <w:rsid w:val="008F324D"/>
    <w:rsid w:val="008F3688"/>
    <w:rsid w:val="008F3F0B"/>
    <w:rsid w:val="008F42C8"/>
    <w:rsid w:val="008F46FC"/>
    <w:rsid w:val="008F4772"/>
    <w:rsid w:val="008F515F"/>
    <w:rsid w:val="008F5452"/>
    <w:rsid w:val="008F5787"/>
    <w:rsid w:val="008F666A"/>
    <w:rsid w:val="008F66FA"/>
    <w:rsid w:val="008F6A41"/>
    <w:rsid w:val="008F6C25"/>
    <w:rsid w:val="008F71D2"/>
    <w:rsid w:val="008F779A"/>
    <w:rsid w:val="008F7CD4"/>
    <w:rsid w:val="00900188"/>
    <w:rsid w:val="009007A0"/>
    <w:rsid w:val="00900809"/>
    <w:rsid w:val="00901168"/>
    <w:rsid w:val="00901537"/>
    <w:rsid w:val="00902E47"/>
    <w:rsid w:val="00903C35"/>
    <w:rsid w:val="00903C5B"/>
    <w:rsid w:val="00904F08"/>
    <w:rsid w:val="00905772"/>
    <w:rsid w:val="00905854"/>
    <w:rsid w:val="00905B97"/>
    <w:rsid w:val="00905EC0"/>
    <w:rsid w:val="009063A9"/>
    <w:rsid w:val="00906639"/>
    <w:rsid w:val="009073A8"/>
    <w:rsid w:val="0090788A"/>
    <w:rsid w:val="00907904"/>
    <w:rsid w:val="00907BCD"/>
    <w:rsid w:val="00907FF4"/>
    <w:rsid w:val="00910074"/>
    <w:rsid w:val="009100E0"/>
    <w:rsid w:val="00910306"/>
    <w:rsid w:val="00911CF6"/>
    <w:rsid w:val="00912DBA"/>
    <w:rsid w:val="00912E5E"/>
    <w:rsid w:val="009135F9"/>
    <w:rsid w:val="009141DA"/>
    <w:rsid w:val="00914BA5"/>
    <w:rsid w:val="00914DFE"/>
    <w:rsid w:val="00914F8B"/>
    <w:rsid w:val="0091551E"/>
    <w:rsid w:val="00915651"/>
    <w:rsid w:val="00915C2C"/>
    <w:rsid w:val="009162AE"/>
    <w:rsid w:val="00916691"/>
    <w:rsid w:val="00916F7A"/>
    <w:rsid w:val="00917355"/>
    <w:rsid w:val="009177C6"/>
    <w:rsid w:val="009178B4"/>
    <w:rsid w:val="009206AC"/>
    <w:rsid w:val="00920BBE"/>
    <w:rsid w:val="00921090"/>
    <w:rsid w:val="00921663"/>
    <w:rsid w:val="009217B5"/>
    <w:rsid w:val="00922755"/>
    <w:rsid w:val="00922771"/>
    <w:rsid w:val="00922D87"/>
    <w:rsid w:val="00923888"/>
    <w:rsid w:val="00923916"/>
    <w:rsid w:val="00923A1C"/>
    <w:rsid w:val="00923D59"/>
    <w:rsid w:val="0092466A"/>
    <w:rsid w:val="009247F6"/>
    <w:rsid w:val="009258E0"/>
    <w:rsid w:val="009259DF"/>
    <w:rsid w:val="00925E37"/>
    <w:rsid w:val="0092616B"/>
    <w:rsid w:val="0092632D"/>
    <w:rsid w:val="00926A99"/>
    <w:rsid w:val="00926C8A"/>
    <w:rsid w:val="009272EF"/>
    <w:rsid w:val="0092746C"/>
    <w:rsid w:val="00930606"/>
    <w:rsid w:val="009307E5"/>
    <w:rsid w:val="00931BCD"/>
    <w:rsid w:val="009322FC"/>
    <w:rsid w:val="00932815"/>
    <w:rsid w:val="0093285D"/>
    <w:rsid w:val="00932D95"/>
    <w:rsid w:val="00932F84"/>
    <w:rsid w:val="00932F86"/>
    <w:rsid w:val="00933CFA"/>
    <w:rsid w:val="009347A7"/>
    <w:rsid w:val="00935C61"/>
    <w:rsid w:val="00936503"/>
    <w:rsid w:val="00936C9C"/>
    <w:rsid w:val="00936F14"/>
    <w:rsid w:val="00937775"/>
    <w:rsid w:val="009379EC"/>
    <w:rsid w:val="00937A19"/>
    <w:rsid w:val="009403BA"/>
    <w:rsid w:val="00940985"/>
    <w:rsid w:val="009416E3"/>
    <w:rsid w:val="009419D9"/>
    <w:rsid w:val="00942A3C"/>
    <w:rsid w:val="00942B09"/>
    <w:rsid w:val="00942E24"/>
    <w:rsid w:val="009434B4"/>
    <w:rsid w:val="0094397A"/>
    <w:rsid w:val="009441BC"/>
    <w:rsid w:val="0094467D"/>
    <w:rsid w:val="009447A0"/>
    <w:rsid w:val="00944959"/>
    <w:rsid w:val="00944A5E"/>
    <w:rsid w:val="0094542E"/>
    <w:rsid w:val="0094566A"/>
    <w:rsid w:val="009459D0"/>
    <w:rsid w:val="00945D5A"/>
    <w:rsid w:val="00946860"/>
    <w:rsid w:val="0094688D"/>
    <w:rsid w:val="00946EC5"/>
    <w:rsid w:val="00947274"/>
    <w:rsid w:val="00947344"/>
    <w:rsid w:val="0094743F"/>
    <w:rsid w:val="00947620"/>
    <w:rsid w:val="00947F3A"/>
    <w:rsid w:val="00950A36"/>
    <w:rsid w:val="00950D14"/>
    <w:rsid w:val="00950FF8"/>
    <w:rsid w:val="00951044"/>
    <w:rsid w:val="00951557"/>
    <w:rsid w:val="00951BF1"/>
    <w:rsid w:val="0095209B"/>
    <w:rsid w:val="009521C3"/>
    <w:rsid w:val="00953437"/>
    <w:rsid w:val="00953556"/>
    <w:rsid w:val="00953DE9"/>
    <w:rsid w:val="00953FFA"/>
    <w:rsid w:val="009547E5"/>
    <w:rsid w:val="0095483D"/>
    <w:rsid w:val="00954A59"/>
    <w:rsid w:val="009551BF"/>
    <w:rsid w:val="009553CF"/>
    <w:rsid w:val="00956111"/>
    <w:rsid w:val="0095616E"/>
    <w:rsid w:val="00956CDE"/>
    <w:rsid w:val="0095708E"/>
    <w:rsid w:val="00957BC6"/>
    <w:rsid w:val="00957C3B"/>
    <w:rsid w:val="00960E4F"/>
    <w:rsid w:val="00961CF4"/>
    <w:rsid w:val="009623C1"/>
    <w:rsid w:val="00962849"/>
    <w:rsid w:val="00963C94"/>
    <w:rsid w:val="00963CA6"/>
    <w:rsid w:val="009643B1"/>
    <w:rsid w:val="00964663"/>
    <w:rsid w:val="00964B55"/>
    <w:rsid w:val="00964CFF"/>
    <w:rsid w:val="009653A5"/>
    <w:rsid w:val="0096546B"/>
    <w:rsid w:val="00965B7B"/>
    <w:rsid w:val="00965EA7"/>
    <w:rsid w:val="00966047"/>
    <w:rsid w:val="00966162"/>
    <w:rsid w:val="0096659F"/>
    <w:rsid w:val="00966A6E"/>
    <w:rsid w:val="00966CEF"/>
    <w:rsid w:val="00966FB2"/>
    <w:rsid w:val="00970009"/>
    <w:rsid w:val="0097041F"/>
    <w:rsid w:val="009707C3"/>
    <w:rsid w:val="0097081B"/>
    <w:rsid w:val="00970FFB"/>
    <w:rsid w:val="00971300"/>
    <w:rsid w:val="00971450"/>
    <w:rsid w:val="0097179F"/>
    <w:rsid w:val="009719D0"/>
    <w:rsid w:val="00972717"/>
    <w:rsid w:val="00972E97"/>
    <w:rsid w:val="0097379F"/>
    <w:rsid w:val="00973822"/>
    <w:rsid w:val="00973AF1"/>
    <w:rsid w:val="00973C42"/>
    <w:rsid w:val="00974DE2"/>
    <w:rsid w:val="0097539A"/>
    <w:rsid w:val="009753B0"/>
    <w:rsid w:val="009756B5"/>
    <w:rsid w:val="00975A36"/>
    <w:rsid w:val="00975B68"/>
    <w:rsid w:val="00976590"/>
    <w:rsid w:val="0097671C"/>
    <w:rsid w:val="00976D93"/>
    <w:rsid w:val="00977D6B"/>
    <w:rsid w:val="00980149"/>
    <w:rsid w:val="0098062C"/>
    <w:rsid w:val="00980960"/>
    <w:rsid w:val="00980973"/>
    <w:rsid w:val="0098098C"/>
    <w:rsid w:val="00980D75"/>
    <w:rsid w:val="00981445"/>
    <w:rsid w:val="009817D1"/>
    <w:rsid w:val="00981A65"/>
    <w:rsid w:val="00981ACC"/>
    <w:rsid w:val="00981E05"/>
    <w:rsid w:val="0098203B"/>
    <w:rsid w:val="00982246"/>
    <w:rsid w:val="00983256"/>
    <w:rsid w:val="009833AE"/>
    <w:rsid w:val="00983A47"/>
    <w:rsid w:val="00983B16"/>
    <w:rsid w:val="00983F41"/>
    <w:rsid w:val="009848C0"/>
    <w:rsid w:val="009855A7"/>
    <w:rsid w:val="00985C83"/>
    <w:rsid w:val="00986CC4"/>
    <w:rsid w:val="00986D0B"/>
    <w:rsid w:val="00987C9D"/>
    <w:rsid w:val="00990876"/>
    <w:rsid w:val="00990A6E"/>
    <w:rsid w:val="00991156"/>
    <w:rsid w:val="00991929"/>
    <w:rsid w:val="00991F26"/>
    <w:rsid w:val="0099232F"/>
    <w:rsid w:val="00992C2E"/>
    <w:rsid w:val="00993CCC"/>
    <w:rsid w:val="00993E9B"/>
    <w:rsid w:val="00993FA2"/>
    <w:rsid w:val="0099417F"/>
    <w:rsid w:val="00994967"/>
    <w:rsid w:val="009949C6"/>
    <w:rsid w:val="009949E3"/>
    <w:rsid w:val="00995264"/>
    <w:rsid w:val="009956BC"/>
    <w:rsid w:val="009968C0"/>
    <w:rsid w:val="00996A19"/>
    <w:rsid w:val="009972C9"/>
    <w:rsid w:val="009975A9"/>
    <w:rsid w:val="00997B18"/>
    <w:rsid w:val="009A086C"/>
    <w:rsid w:val="009A09EA"/>
    <w:rsid w:val="009A1225"/>
    <w:rsid w:val="009A192E"/>
    <w:rsid w:val="009A1CBA"/>
    <w:rsid w:val="009A201B"/>
    <w:rsid w:val="009A2403"/>
    <w:rsid w:val="009A293E"/>
    <w:rsid w:val="009A2953"/>
    <w:rsid w:val="009A2ED9"/>
    <w:rsid w:val="009A3374"/>
    <w:rsid w:val="009A35DF"/>
    <w:rsid w:val="009A378C"/>
    <w:rsid w:val="009A3EDD"/>
    <w:rsid w:val="009A53A6"/>
    <w:rsid w:val="009A5E1A"/>
    <w:rsid w:val="009A6398"/>
    <w:rsid w:val="009A6BA7"/>
    <w:rsid w:val="009A6D08"/>
    <w:rsid w:val="009A752E"/>
    <w:rsid w:val="009A79F6"/>
    <w:rsid w:val="009A7EF2"/>
    <w:rsid w:val="009B01B3"/>
    <w:rsid w:val="009B04E5"/>
    <w:rsid w:val="009B0887"/>
    <w:rsid w:val="009B09B1"/>
    <w:rsid w:val="009B0F0F"/>
    <w:rsid w:val="009B1020"/>
    <w:rsid w:val="009B1216"/>
    <w:rsid w:val="009B1E44"/>
    <w:rsid w:val="009B2045"/>
    <w:rsid w:val="009B2369"/>
    <w:rsid w:val="009B2E46"/>
    <w:rsid w:val="009B36FD"/>
    <w:rsid w:val="009B41D2"/>
    <w:rsid w:val="009B501F"/>
    <w:rsid w:val="009B5510"/>
    <w:rsid w:val="009B5674"/>
    <w:rsid w:val="009B5769"/>
    <w:rsid w:val="009B5CC5"/>
    <w:rsid w:val="009B635F"/>
    <w:rsid w:val="009B6476"/>
    <w:rsid w:val="009B7071"/>
    <w:rsid w:val="009B7140"/>
    <w:rsid w:val="009B71D1"/>
    <w:rsid w:val="009B726C"/>
    <w:rsid w:val="009B753D"/>
    <w:rsid w:val="009B7589"/>
    <w:rsid w:val="009B7D98"/>
    <w:rsid w:val="009C0247"/>
    <w:rsid w:val="009C0513"/>
    <w:rsid w:val="009C0855"/>
    <w:rsid w:val="009C0D5A"/>
    <w:rsid w:val="009C227C"/>
    <w:rsid w:val="009C30E0"/>
    <w:rsid w:val="009C42AC"/>
    <w:rsid w:val="009C4BF9"/>
    <w:rsid w:val="009C4CAE"/>
    <w:rsid w:val="009C52D0"/>
    <w:rsid w:val="009C53FF"/>
    <w:rsid w:val="009C578F"/>
    <w:rsid w:val="009C5A89"/>
    <w:rsid w:val="009C6BE4"/>
    <w:rsid w:val="009C7505"/>
    <w:rsid w:val="009C7560"/>
    <w:rsid w:val="009C75F2"/>
    <w:rsid w:val="009C7BDA"/>
    <w:rsid w:val="009C7E03"/>
    <w:rsid w:val="009D0714"/>
    <w:rsid w:val="009D0B47"/>
    <w:rsid w:val="009D0C53"/>
    <w:rsid w:val="009D0E1B"/>
    <w:rsid w:val="009D0F89"/>
    <w:rsid w:val="009D1017"/>
    <w:rsid w:val="009D148E"/>
    <w:rsid w:val="009D2839"/>
    <w:rsid w:val="009D2B9E"/>
    <w:rsid w:val="009D330C"/>
    <w:rsid w:val="009D36AA"/>
    <w:rsid w:val="009D4415"/>
    <w:rsid w:val="009D4C47"/>
    <w:rsid w:val="009D5476"/>
    <w:rsid w:val="009D5792"/>
    <w:rsid w:val="009D5B23"/>
    <w:rsid w:val="009D5D36"/>
    <w:rsid w:val="009D6113"/>
    <w:rsid w:val="009D6D5C"/>
    <w:rsid w:val="009D6D65"/>
    <w:rsid w:val="009D7259"/>
    <w:rsid w:val="009D7765"/>
    <w:rsid w:val="009D7B78"/>
    <w:rsid w:val="009E109E"/>
    <w:rsid w:val="009E1C7C"/>
    <w:rsid w:val="009E1EFB"/>
    <w:rsid w:val="009E1F2C"/>
    <w:rsid w:val="009E270D"/>
    <w:rsid w:val="009E2A18"/>
    <w:rsid w:val="009E2C32"/>
    <w:rsid w:val="009E2F8A"/>
    <w:rsid w:val="009E3120"/>
    <w:rsid w:val="009E31F2"/>
    <w:rsid w:val="009E33D6"/>
    <w:rsid w:val="009E3534"/>
    <w:rsid w:val="009E3FA0"/>
    <w:rsid w:val="009E4374"/>
    <w:rsid w:val="009E48D2"/>
    <w:rsid w:val="009E4A71"/>
    <w:rsid w:val="009E4B8F"/>
    <w:rsid w:val="009E4D5C"/>
    <w:rsid w:val="009E5354"/>
    <w:rsid w:val="009E550A"/>
    <w:rsid w:val="009E57F8"/>
    <w:rsid w:val="009E5C29"/>
    <w:rsid w:val="009E654A"/>
    <w:rsid w:val="009E65C4"/>
    <w:rsid w:val="009E6705"/>
    <w:rsid w:val="009E6794"/>
    <w:rsid w:val="009E696E"/>
    <w:rsid w:val="009E6A78"/>
    <w:rsid w:val="009E6AD8"/>
    <w:rsid w:val="009E7174"/>
    <w:rsid w:val="009E7B4D"/>
    <w:rsid w:val="009E7B51"/>
    <w:rsid w:val="009F0562"/>
    <w:rsid w:val="009F0A6B"/>
    <w:rsid w:val="009F0E4B"/>
    <w:rsid w:val="009F106F"/>
    <w:rsid w:val="009F2219"/>
    <w:rsid w:val="009F2789"/>
    <w:rsid w:val="009F2F21"/>
    <w:rsid w:val="009F379E"/>
    <w:rsid w:val="009F3A0A"/>
    <w:rsid w:val="009F3EEB"/>
    <w:rsid w:val="009F4170"/>
    <w:rsid w:val="009F4194"/>
    <w:rsid w:val="009F46F6"/>
    <w:rsid w:val="009F4982"/>
    <w:rsid w:val="009F4B78"/>
    <w:rsid w:val="009F555E"/>
    <w:rsid w:val="009F5976"/>
    <w:rsid w:val="009F5A44"/>
    <w:rsid w:val="009F60EF"/>
    <w:rsid w:val="009F6400"/>
    <w:rsid w:val="009F6C0B"/>
    <w:rsid w:val="009F6DAD"/>
    <w:rsid w:val="009F6F61"/>
    <w:rsid w:val="009F7B79"/>
    <w:rsid w:val="009F7EFC"/>
    <w:rsid w:val="00A00471"/>
    <w:rsid w:val="00A00D1F"/>
    <w:rsid w:val="00A00FA5"/>
    <w:rsid w:val="00A0276A"/>
    <w:rsid w:val="00A02A8E"/>
    <w:rsid w:val="00A02AB8"/>
    <w:rsid w:val="00A03EDF"/>
    <w:rsid w:val="00A042B4"/>
    <w:rsid w:val="00A047C3"/>
    <w:rsid w:val="00A048AE"/>
    <w:rsid w:val="00A04957"/>
    <w:rsid w:val="00A04C8D"/>
    <w:rsid w:val="00A04E2C"/>
    <w:rsid w:val="00A0511F"/>
    <w:rsid w:val="00A0556C"/>
    <w:rsid w:val="00A059E7"/>
    <w:rsid w:val="00A06BE5"/>
    <w:rsid w:val="00A07342"/>
    <w:rsid w:val="00A07DD6"/>
    <w:rsid w:val="00A105FD"/>
    <w:rsid w:val="00A113A2"/>
    <w:rsid w:val="00A12BC2"/>
    <w:rsid w:val="00A12C80"/>
    <w:rsid w:val="00A12D74"/>
    <w:rsid w:val="00A1350A"/>
    <w:rsid w:val="00A1362C"/>
    <w:rsid w:val="00A14B20"/>
    <w:rsid w:val="00A14B21"/>
    <w:rsid w:val="00A14F84"/>
    <w:rsid w:val="00A1538F"/>
    <w:rsid w:val="00A161F8"/>
    <w:rsid w:val="00A16B93"/>
    <w:rsid w:val="00A16E72"/>
    <w:rsid w:val="00A17096"/>
    <w:rsid w:val="00A175C1"/>
    <w:rsid w:val="00A17B48"/>
    <w:rsid w:val="00A17D2A"/>
    <w:rsid w:val="00A17E26"/>
    <w:rsid w:val="00A20404"/>
    <w:rsid w:val="00A20D7C"/>
    <w:rsid w:val="00A211AD"/>
    <w:rsid w:val="00A21575"/>
    <w:rsid w:val="00A21DFE"/>
    <w:rsid w:val="00A21E85"/>
    <w:rsid w:val="00A22246"/>
    <w:rsid w:val="00A22927"/>
    <w:rsid w:val="00A22974"/>
    <w:rsid w:val="00A22DC2"/>
    <w:rsid w:val="00A22EFE"/>
    <w:rsid w:val="00A24428"/>
    <w:rsid w:val="00A24934"/>
    <w:rsid w:val="00A24BDD"/>
    <w:rsid w:val="00A257DB"/>
    <w:rsid w:val="00A25C92"/>
    <w:rsid w:val="00A25F78"/>
    <w:rsid w:val="00A264A3"/>
    <w:rsid w:val="00A266E3"/>
    <w:rsid w:val="00A268C1"/>
    <w:rsid w:val="00A26A0E"/>
    <w:rsid w:val="00A277C3"/>
    <w:rsid w:val="00A27EDB"/>
    <w:rsid w:val="00A3025A"/>
    <w:rsid w:val="00A30600"/>
    <w:rsid w:val="00A30F68"/>
    <w:rsid w:val="00A31302"/>
    <w:rsid w:val="00A3154D"/>
    <w:rsid w:val="00A318F0"/>
    <w:rsid w:val="00A33258"/>
    <w:rsid w:val="00A33698"/>
    <w:rsid w:val="00A3370E"/>
    <w:rsid w:val="00A337F4"/>
    <w:rsid w:val="00A33EA0"/>
    <w:rsid w:val="00A3478F"/>
    <w:rsid w:val="00A34A38"/>
    <w:rsid w:val="00A35192"/>
    <w:rsid w:val="00A3550F"/>
    <w:rsid w:val="00A357A0"/>
    <w:rsid w:val="00A3616E"/>
    <w:rsid w:val="00A36907"/>
    <w:rsid w:val="00A36ABD"/>
    <w:rsid w:val="00A36DAF"/>
    <w:rsid w:val="00A3734E"/>
    <w:rsid w:val="00A3735C"/>
    <w:rsid w:val="00A374B9"/>
    <w:rsid w:val="00A3764F"/>
    <w:rsid w:val="00A3788A"/>
    <w:rsid w:val="00A37E62"/>
    <w:rsid w:val="00A402B3"/>
    <w:rsid w:val="00A408E0"/>
    <w:rsid w:val="00A409D1"/>
    <w:rsid w:val="00A409E5"/>
    <w:rsid w:val="00A40AED"/>
    <w:rsid w:val="00A40B97"/>
    <w:rsid w:val="00A40E30"/>
    <w:rsid w:val="00A40E99"/>
    <w:rsid w:val="00A413DD"/>
    <w:rsid w:val="00A419BE"/>
    <w:rsid w:val="00A41AF1"/>
    <w:rsid w:val="00A42222"/>
    <w:rsid w:val="00A4238E"/>
    <w:rsid w:val="00A4262C"/>
    <w:rsid w:val="00A42658"/>
    <w:rsid w:val="00A42940"/>
    <w:rsid w:val="00A42E75"/>
    <w:rsid w:val="00A43200"/>
    <w:rsid w:val="00A46318"/>
    <w:rsid w:val="00A467EF"/>
    <w:rsid w:val="00A46869"/>
    <w:rsid w:val="00A4705A"/>
    <w:rsid w:val="00A4735C"/>
    <w:rsid w:val="00A476CB"/>
    <w:rsid w:val="00A4779E"/>
    <w:rsid w:val="00A4797E"/>
    <w:rsid w:val="00A47B21"/>
    <w:rsid w:val="00A50007"/>
    <w:rsid w:val="00A507F8"/>
    <w:rsid w:val="00A50B9F"/>
    <w:rsid w:val="00A50F79"/>
    <w:rsid w:val="00A51336"/>
    <w:rsid w:val="00A51BE7"/>
    <w:rsid w:val="00A520D2"/>
    <w:rsid w:val="00A52116"/>
    <w:rsid w:val="00A52889"/>
    <w:rsid w:val="00A52A08"/>
    <w:rsid w:val="00A52B04"/>
    <w:rsid w:val="00A52CC4"/>
    <w:rsid w:val="00A52E89"/>
    <w:rsid w:val="00A53022"/>
    <w:rsid w:val="00A53839"/>
    <w:rsid w:val="00A547FA"/>
    <w:rsid w:val="00A55024"/>
    <w:rsid w:val="00A55187"/>
    <w:rsid w:val="00A55704"/>
    <w:rsid w:val="00A55990"/>
    <w:rsid w:val="00A55B94"/>
    <w:rsid w:val="00A55D09"/>
    <w:rsid w:val="00A55D83"/>
    <w:rsid w:val="00A55E75"/>
    <w:rsid w:val="00A55E99"/>
    <w:rsid w:val="00A561D3"/>
    <w:rsid w:val="00A568E3"/>
    <w:rsid w:val="00A56AD7"/>
    <w:rsid w:val="00A57666"/>
    <w:rsid w:val="00A6059D"/>
    <w:rsid w:val="00A617EA"/>
    <w:rsid w:val="00A61841"/>
    <w:rsid w:val="00A61DA5"/>
    <w:rsid w:val="00A626AB"/>
    <w:rsid w:val="00A62AF6"/>
    <w:rsid w:val="00A62E88"/>
    <w:rsid w:val="00A63878"/>
    <w:rsid w:val="00A638C5"/>
    <w:rsid w:val="00A638DE"/>
    <w:rsid w:val="00A63F3C"/>
    <w:rsid w:val="00A64B44"/>
    <w:rsid w:val="00A64E2E"/>
    <w:rsid w:val="00A65958"/>
    <w:rsid w:val="00A65A19"/>
    <w:rsid w:val="00A65F7F"/>
    <w:rsid w:val="00A66C28"/>
    <w:rsid w:val="00A67451"/>
    <w:rsid w:val="00A67602"/>
    <w:rsid w:val="00A67E2D"/>
    <w:rsid w:val="00A70110"/>
    <w:rsid w:val="00A701C5"/>
    <w:rsid w:val="00A705ED"/>
    <w:rsid w:val="00A71A2D"/>
    <w:rsid w:val="00A7201F"/>
    <w:rsid w:val="00A72288"/>
    <w:rsid w:val="00A72380"/>
    <w:rsid w:val="00A725D7"/>
    <w:rsid w:val="00A72AA8"/>
    <w:rsid w:val="00A7340E"/>
    <w:rsid w:val="00A73C0C"/>
    <w:rsid w:val="00A7405E"/>
    <w:rsid w:val="00A7507A"/>
    <w:rsid w:val="00A753D6"/>
    <w:rsid w:val="00A755AB"/>
    <w:rsid w:val="00A76195"/>
    <w:rsid w:val="00A7619E"/>
    <w:rsid w:val="00A76302"/>
    <w:rsid w:val="00A76828"/>
    <w:rsid w:val="00A76BE2"/>
    <w:rsid w:val="00A76CD1"/>
    <w:rsid w:val="00A80222"/>
    <w:rsid w:val="00A802FF"/>
    <w:rsid w:val="00A806F9"/>
    <w:rsid w:val="00A809C3"/>
    <w:rsid w:val="00A80B56"/>
    <w:rsid w:val="00A80D47"/>
    <w:rsid w:val="00A81DBB"/>
    <w:rsid w:val="00A81E55"/>
    <w:rsid w:val="00A8203C"/>
    <w:rsid w:val="00A822E2"/>
    <w:rsid w:val="00A827B8"/>
    <w:rsid w:val="00A82D31"/>
    <w:rsid w:val="00A82EC4"/>
    <w:rsid w:val="00A836B1"/>
    <w:rsid w:val="00A84745"/>
    <w:rsid w:val="00A84765"/>
    <w:rsid w:val="00A85323"/>
    <w:rsid w:val="00A857DC"/>
    <w:rsid w:val="00A8588F"/>
    <w:rsid w:val="00A85D18"/>
    <w:rsid w:val="00A86061"/>
    <w:rsid w:val="00A8644B"/>
    <w:rsid w:val="00A86EFA"/>
    <w:rsid w:val="00A86FD3"/>
    <w:rsid w:val="00A87645"/>
    <w:rsid w:val="00A877AE"/>
    <w:rsid w:val="00A87FE3"/>
    <w:rsid w:val="00A90ADB"/>
    <w:rsid w:val="00A91721"/>
    <w:rsid w:val="00A9209B"/>
    <w:rsid w:val="00A9264F"/>
    <w:rsid w:val="00A928BB"/>
    <w:rsid w:val="00A9337B"/>
    <w:rsid w:val="00A940FE"/>
    <w:rsid w:val="00A94310"/>
    <w:rsid w:val="00A944A1"/>
    <w:rsid w:val="00A94503"/>
    <w:rsid w:val="00A96521"/>
    <w:rsid w:val="00A965AD"/>
    <w:rsid w:val="00A96EE9"/>
    <w:rsid w:val="00A97107"/>
    <w:rsid w:val="00A97582"/>
    <w:rsid w:val="00A97ED2"/>
    <w:rsid w:val="00AA04D8"/>
    <w:rsid w:val="00AA093A"/>
    <w:rsid w:val="00AA1034"/>
    <w:rsid w:val="00AA12FE"/>
    <w:rsid w:val="00AA166C"/>
    <w:rsid w:val="00AA1BC5"/>
    <w:rsid w:val="00AA1FC3"/>
    <w:rsid w:val="00AA25DB"/>
    <w:rsid w:val="00AA2ACE"/>
    <w:rsid w:val="00AA3017"/>
    <w:rsid w:val="00AA3295"/>
    <w:rsid w:val="00AA47AA"/>
    <w:rsid w:val="00AA555B"/>
    <w:rsid w:val="00AA5C03"/>
    <w:rsid w:val="00AA5DE9"/>
    <w:rsid w:val="00AA62A6"/>
    <w:rsid w:val="00AA7278"/>
    <w:rsid w:val="00AA7566"/>
    <w:rsid w:val="00AB0814"/>
    <w:rsid w:val="00AB09C2"/>
    <w:rsid w:val="00AB10B9"/>
    <w:rsid w:val="00AB14FC"/>
    <w:rsid w:val="00AB1586"/>
    <w:rsid w:val="00AB246E"/>
    <w:rsid w:val="00AB2AFF"/>
    <w:rsid w:val="00AB2FB8"/>
    <w:rsid w:val="00AB30FD"/>
    <w:rsid w:val="00AB37F8"/>
    <w:rsid w:val="00AB413B"/>
    <w:rsid w:val="00AB4497"/>
    <w:rsid w:val="00AB4663"/>
    <w:rsid w:val="00AB53A8"/>
    <w:rsid w:val="00AB5504"/>
    <w:rsid w:val="00AB5A4E"/>
    <w:rsid w:val="00AB6369"/>
    <w:rsid w:val="00AB754D"/>
    <w:rsid w:val="00AB7A91"/>
    <w:rsid w:val="00AC00FC"/>
    <w:rsid w:val="00AC0879"/>
    <w:rsid w:val="00AC175A"/>
    <w:rsid w:val="00AC191E"/>
    <w:rsid w:val="00AC1AC1"/>
    <w:rsid w:val="00AC2A5C"/>
    <w:rsid w:val="00AC2AC8"/>
    <w:rsid w:val="00AC3123"/>
    <w:rsid w:val="00AC39C1"/>
    <w:rsid w:val="00AC3A7E"/>
    <w:rsid w:val="00AC57F0"/>
    <w:rsid w:val="00AC5D23"/>
    <w:rsid w:val="00AC6271"/>
    <w:rsid w:val="00AC653A"/>
    <w:rsid w:val="00AC6A16"/>
    <w:rsid w:val="00AC6A45"/>
    <w:rsid w:val="00AC6DD4"/>
    <w:rsid w:val="00AC6E04"/>
    <w:rsid w:val="00AC7255"/>
    <w:rsid w:val="00AC7AA2"/>
    <w:rsid w:val="00AD02EC"/>
    <w:rsid w:val="00AD0355"/>
    <w:rsid w:val="00AD0743"/>
    <w:rsid w:val="00AD0967"/>
    <w:rsid w:val="00AD0DF5"/>
    <w:rsid w:val="00AD0EA5"/>
    <w:rsid w:val="00AD1013"/>
    <w:rsid w:val="00AD10FC"/>
    <w:rsid w:val="00AD1365"/>
    <w:rsid w:val="00AD1972"/>
    <w:rsid w:val="00AD19C0"/>
    <w:rsid w:val="00AD21E9"/>
    <w:rsid w:val="00AD225C"/>
    <w:rsid w:val="00AD2C20"/>
    <w:rsid w:val="00AD3A36"/>
    <w:rsid w:val="00AD58A0"/>
    <w:rsid w:val="00AD5905"/>
    <w:rsid w:val="00AD6479"/>
    <w:rsid w:val="00AD72C9"/>
    <w:rsid w:val="00AD745F"/>
    <w:rsid w:val="00AD75E4"/>
    <w:rsid w:val="00AD7BAC"/>
    <w:rsid w:val="00AE0A40"/>
    <w:rsid w:val="00AE0BFC"/>
    <w:rsid w:val="00AE0D5A"/>
    <w:rsid w:val="00AE11EF"/>
    <w:rsid w:val="00AE17BF"/>
    <w:rsid w:val="00AE18B4"/>
    <w:rsid w:val="00AE2419"/>
    <w:rsid w:val="00AE3277"/>
    <w:rsid w:val="00AE32E1"/>
    <w:rsid w:val="00AE3BA4"/>
    <w:rsid w:val="00AE42A6"/>
    <w:rsid w:val="00AE4A55"/>
    <w:rsid w:val="00AE4EC4"/>
    <w:rsid w:val="00AE50D7"/>
    <w:rsid w:val="00AE510F"/>
    <w:rsid w:val="00AE52BA"/>
    <w:rsid w:val="00AE5538"/>
    <w:rsid w:val="00AE59CB"/>
    <w:rsid w:val="00AE5B8B"/>
    <w:rsid w:val="00AE62D7"/>
    <w:rsid w:val="00AE69DE"/>
    <w:rsid w:val="00AE6BB1"/>
    <w:rsid w:val="00AE6BFC"/>
    <w:rsid w:val="00AE7051"/>
    <w:rsid w:val="00AE795C"/>
    <w:rsid w:val="00AE7AA4"/>
    <w:rsid w:val="00AF049E"/>
    <w:rsid w:val="00AF1076"/>
    <w:rsid w:val="00AF1D39"/>
    <w:rsid w:val="00AF2437"/>
    <w:rsid w:val="00AF2500"/>
    <w:rsid w:val="00AF255D"/>
    <w:rsid w:val="00AF2A2E"/>
    <w:rsid w:val="00AF2EAC"/>
    <w:rsid w:val="00AF32AF"/>
    <w:rsid w:val="00AF3618"/>
    <w:rsid w:val="00AF41C8"/>
    <w:rsid w:val="00AF4579"/>
    <w:rsid w:val="00AF48E7"/>
    <w:rsid w:val="00AF4B74"/>
    <w:rsid w:val="00AF4BD8"/>
    <w:rsid w:val="00AF6C85"/>
    <w:rsid w:val="00AF6E18"/>
    <w:rsid w:val="00AF774B"/>
    <w:rsid w:val="00B00206"/>
    <w:rsid w:val="00B0064B"/>
    <w:rsid w:val="00B00E69"/>
    <w:rsid w:val="00B00FA7"/>
    <w:rsid w:val="00B010EF"/>
    <w:rsid w:val="00B0195F"/>
    <w:rsid w:val="00B01A8F"/>
    <w:rsid w:val="00B01DEC"/>
    <w:rsid w:val="00B01FBB"/>
    <w:rsid w:val="00B02658"/>
    <w:rsid w:val="00B02DFC"/>
    <w:rsid w:val="00B03672"/>
    <w:rsid w:val="00B0400F"/>
    <w:rsid w:val="00B0581B"/>
    <w:rsid w:val="00B05B9C"/>
    <w:rsid w:val="00B06A69"/>
    <w:rsid w:val="00B06D21"/>
    <w:rsid w:val="00B0751D"/>
    <w:rsid w:val="00B07B0E"/>
    <w:rsid w:val="00B07F72"/>
    <w:rsid w:val="00B07FA5"/>
    <w:rsid w:val="00B10472"/>
    <w:rsid w:val="00B1070E"/>
    <w:rsid w:val="00B109E3"/>
    <w:rsid w:val="00B10BF8"/>
    <w:rsid w:val="00B110C7"/>
    <w:rsid w:val="00B113F7"/>
    <w:rsid w:val="00B1184F"/>
    <w:rsid w:val="00B11ABF"/>
    <w:rsid w:val="00B11AF0"/>
    <w:rsid w:val="00B12070"/>
    <w:rsid w:val="00B1234E"/>
    <w:rsid w:val="00B12C45"/>
    <w:rsid w:val="00B12C95"/>
    <w:rsid w:val="00B12F10"/>
    <w:rsid w:val="00B13070"/>
    <w:rsid w:val="00B130BA"/>
    <w:rsid w:val="00B133CA"/>
    <w:rsid w:val="00B13981"/>
    <w:rsid w:val="00B14C76"/>
    <w:rsid w:val="00B150C0"/>
    <w:rsid w:val="00B1528A"/>
    <w:rsid w:val="00B15BC7"/>
    <w:rsid w:val="00B16C80"/>
    <w:rsid w:val="00B16DF7"/>
    <w:rsid w:val="00B16E18"/>
    <w:rsid w:val="00B1724A"/>
    <w:rsid w:val="00B202CD"/>
    <w:rsid w:val="00B20D1E"/>
    <w:rsid w:val="00B20E22"/>
    <w:rsid w:val="00B2110E"/>
    <w:rsid w:val="00B211A9"/>
    <w:rsid w:val="00B2190B"/>
    <w:rsid w:val="00B21A9E"/>
    <w:rsid w:val="00B21BE5"/>
    <w:rsid w:val="00B21D6E"/>
    <w:rsid w:val="00B21E8A"/>
    <w:rsid w:val="00B220C1"/>
    <w:rsid w:val="00B227AB"/>
    <w:rsid w:val="00B2291F"/>
    <w:rsid w:val="00B247A5"/>
    <w:rsid w:val="00B24925"/>
    <w:rsid w:val="00B24DAC"/>
    <w:rsid w:val="00B251BE"/>
    <w:rsid w:val="00B259E8"/>
    <w:rsid w:val="00B25A94"/>
    <w:rsid w:val="00B25FC2"/>
    <w:rsid w:val="00B267DE"/>
    <w:rsid w:val="00B269EA"/>
    <w:rsid w:val="00B26C8D"/>
    <w:rsid w:val="00B26CA4"/>
    <w:rsid w:val="00B26D0E"/>
    <w:rsid w:val="00B27A47"/>
    <w:rsid w:val="00B3008B"/>
    <w:rsid w:val="00B30509"/>
    <w:rsid w:val="00B30C3E"/>
    <w:rsid w:val="00B30EA4"/>
    <w:rsid w:val="00B31388"/>
    <w:rsid w:val="00B32435"/>
    <w:rsid w:val="00B32E68"/>
    <w:rsid w:val="00B32E72"/>
    <w:rsid w:val="00B33866"/>
    <w:rsid w:val="00B3411E"/>
    <w:rsid w:val="00B3434B"/>
    <w:rsid w:val="00B34740"/>
    <w:rsid w:val="00B34B65"/>
    <w:rsid w:val="00B352F8"/>
    <w:rsid w:val="00B354A9"/>
    <w:rsid w:val="00B355EA"/>
    <w:rsid w:val="00B35933"/>
    <w:rsid w:val="00B35EDD"/>
    <w:rsid w:val="00B36290"/>
    <w:rsid w:val="00B36731"/>
    <w:rsid w:val="00B36D74"/>
    <w:rsid w:val="00B36F4D"/>
    <w:rsid w:val="00B37558"/>
    <w:rsid w:val="00B37B46"/>
    <w:rsid w:val="00B37F31"/>
    <w:rsid w:val="00B40230"/>
    <w:rsid w:val="00B40B8F"/>
    <w:rsid w:val="00B40D76"/>
    <w:rsid w:val="00B41589"/>
    <w:rsid w:val="00B419C8"/>
    <w:rsid w:val="00B4275D"/>
    <w:rsid w:val="00B42A3B"/>
    <w:rsid w:val="00B42DE2"/>
    <w:rsid w:val="00B43650"/>
    <w:rsid w:val="00B4374C"/>
    <w:rsid w:val="00B44BC3"/>
    <w:rsid w:val="00B44C83"/>
    <w:rsid w:val="00B455C2"/>
    <w:rsid w:val="00B45A2B"/>
    <w:rsid w:val="00B45B66"/>
    <w:rsid w:val="00B45DAD"/>
    <w:rsid w:val="00B461DE"/>
    <w:rsid w:val="00B46328"/>
    <w:rsid w:val="00B4638C"/>
    <w:rsid w:val="00B46854"/>
    <w:rsid w:val="00B46DC2"/>
    <w:rsid w:val="00B47567"/>
    <w:rsid w:val="00B500AB"/>
    <w:rsid w:val="00B5040B"/>
    <w:rsid w:val="00B510C1"/>
    <w:rsid w:val="00B522D0"/>
    <w:rsid w:val="00B523F0"/>
    <w:rsid w:val="00B52530"/>
    <w:rsid w:val="00B52561"/>
    <w:rsid w:val="00B52E16"/>
    <w:rsid w:val="00B531B4"/>
    <w:rsid w:val="00B539E6"/>
    <w:rsid w:val="00B53EA9"/>
    <w:rsid w:val="00B55138"/>
    <w:rsid w:val="00B5525F"/>
    <w:rsid w:val="00B552BD"/>
    <w:rsid w:val="00B55320"/>
    <w:rsid w:val="00B556E4"/>
    <w:rsid w:val="00B556FB"/>
    <w:rsid w:val="00B55FC0"/>
    <w:rsid w:val="00B56823"/>
    <w:rsid w:val="00B57746"/>
    <w:rsid w:val="00B57DA4"/>
    <w:rsid w:val="00B57E47"/>
    <w:rsid w:val="00B60112"/>
    <w:rsid w:val="00B604E7"/>
    <w:rsid w:val="00B60746"/>
    <w:rsid w:val="00B60F0D"/>
    <w:rsid w:val="00B6184D"/>
    <w:rsid w:val="00B62339"/>
    <w:rsid w:val="00B62BB6"/>
    <w:rsid w:val="00B62E20"/>
    <w:rsid w:val="00B62E45"/>
    <w:rsid w:val="00B6349E"/>
    <w:rsid w:val="00B63AB6"/>
    <w:rsid w:val="00B6433B"/>
    <w:rsid w:val="00B64738"/>
    <w:rsid w:val="00B656BD"/>
    <w:rsid w:val="00B658EF"/>
    <w:rsid w:val="00B659B8"/>
    <w:rsid w:val="00B65C18"/>
    <w:rsid w:val="00B660C9"/>
    <w:rsid w:val="00B66294"/>
    <w:rsid w:val="00B664B1"/>
    <w:rsid w:val="00B66537"/>
    <w:rsid w:val="00B66717"/>
    <w:rsid w:val="00B66919"/>
    <w:rsid w:val="00B66B8C"/>
    <w:rsid w:val="00B6721F"/>
    <w:rsid w:val="00B6787E"/>
    <w:rsid w:val="00B6799E"/>
    <w:rsid w:val="00B679B8"/>
    <w:rsid w:val="00B70173"/>
    <w:rsid w:val="00B70AA8"/>
    <w:rsid w:val="00B70DF3"/>
    <w:rsid w:val="00B7196C"/>
    <w:rsid w:val="00B728F2"/>
    <w:rsid w:val="00B7349E"/>
    <w:rsid w:val="00B74045"/>
    <w:rsid w:val="00B74298"/>
    <w:rsid w:val="00B74824"/>
    <w:rsid w:val="00B748AA"/>
    <w:rsid w:val="00B74B2C"/>
    <w:rsid w:val="00B7501D"/>
    <w:rsid w:val="00B75707"/>
    <w:rsid w:val="00B75C4F"/>
    <w:rsid w:val="00B75D65"/>
    <w:rsid w:val="00B762BB"/>
    <w:rsid w:val="00B76326"/>
    <w:rsid w:val="00B76862"/>
    <w:rsid w:val="00B76C5F"/>
    <w:rsid w:val="00B77468"/>
    <w:rsid w:val="00B775F0"/>
    <w:rsid w:val="00B77665"/>
    <w:rsid w:val="00B778CE"/>
    <w:rsid w:val="00B77CA0"/>
    <w:rsid w:val="00B80BA3"/>
    <w:rsid w:val="00B8169B"/>
    <w:rsid w:val="00B81E23"/>
    <w:rsid w:val="00B81F3C"/>
    <w:rsid w:val="00B826B9"/>
    <w:rsid w:val="00B827F2"/>
    <w:rsid w:val="00B82CFC"/>
    <w:rsid w:val="00B836D9"/>
    <w:rsid w:val="00B8482C"/>
    <w:rsid w:val="00B84B9E"/>
    <w:rsid w:val="00B84ED4"/>
    <w:rsid w:val="00B85232"/>
    <w:rsid w:val="00B852D6"/>
    <w:rsid w:val="00B85698"/>
    <w:rsid w:val="00B85C69"/>
    <w:rsid w:val="00B86620"/>
    <w:rsid w:val="00B86BD3"/>
    <w:rsid w:val="00B87BE1"/>
    <w:rsid w:val="00B87EC9"/>
    <w:rsid w:val="00B9091A"/>
    <w:rsid w:val="00B90B50"/>
    <w:rsid w:val="00B919A9"/>
    <w:rsid w:val="00B91E86"/>
    <w:rsid w:val="00B924DD"/>
    <w:rsid w:val="00B92527"/>
    <w:rsid w:val="00B926F2"/>
    <w:rsid w:val="00B928BF"/>
    <w:rsid w:val="00B92A58"/>
    <w:rsid w:val="00B92B4F"/>
    <w:rsid w:val="00B93730"/>
    <w:rsid w:val="00B94378"/>
    <w:rsid w:val="00B9510D"/>
    <w:rsid w:val="00B953C7"/>
    <w:rsid w:val="00B95972"/>
    <w:rsid w:val="00B95C4C"/>
    <w:rsid w:val="00B95E07"/>
    <w:rsid w:val="00B96F77"/>
    <w:rsid w:val="00B97C6B"/>
    <w:rsid w:val="00BA0317"/>
    <w:rsid w:val="00BA046C"/>
    <w:rsid w:val="00BA0D1F"/>
    <w:rsid w:val="00BA0E64"/>
    <w:rsid w:val="00BA1373"/>
    <w:rsid w:val="00BA2340"/>
    <w:rsid w:val="00BA26E1"/>
    <w:rsid w:val="00BA2779"/>
    <w:rsid w:val="00BA3422"/>
    <w:rsid w:val="00BA3D5E"/>
    <w:rsid w:val="00BA4B60"/>
    <w:rsid w:val="00BA524F"/>
    <w:rsid w:val="00BA5327"/>
    <w:rsid w:val="00BA645C"/>
    <w:rsid w:val="00BA6592"/>
    <w:rsid w:val="00BA71FD"/>
    <w:rsid w:val="00BA72EB"/>
    <w:rsid w:val="00BA7C8A"/>
    <w:rsid w:val="00BA7D76"/>
    <w:rsid w:val="00BB1097"/>
    <w:rsid w:val="00BB1670"/>
    <w:rsid w:val="00BB2906"/>
    <w:rsid w:val="00BB3348"/>
    <w:rsid w:val="00BB39F8"/>
    <w:rsid w:val="00BB3C84"/>
    <w:rsid w:val="00BB3DED"/>
    <w:rsid w:val="00BB4D81"/>
    <w:rsid w:val="00BB5B3E"/>
    <w:rsid w:val="00BB5D20"/>
    <w:rsid w:val="00BB6442"/>
    <w:rsid w:val="00BB6825"/>
    <w:rsid w:val="00BB6F2C"/>
    <w:rsid w:val="00BB7457"/>
    <w:rsid w:val="00BB750A"/>
    <w:rsid w:val="00BB76B0"/>
    <w:rsid w:val="00BB7A2F"/>
    <w:rsid w:val="00BB7A9A"/>
    <w:rsid w:val="00BB7F11"/>
    <w:rsid w:val="00BC0B9C"/>
    <w:rsid w:val="00BC19CA"/>
    <w:rsid w:val="00BC2532"/>
    <w:rsid w:val="00BC25D9"/>
    <w:rsid w:val="00BC30B5"/>
    <w:rsid w:val="00BC3291"/>
    <w:rsid w:val="00BC3B35"/>
    <w:rsid w:val="00BC4432"/>
    <w:rsid w:val="00BC46E8"/>
    <w:rsid w:val="00BC68A7"/>
    <w:rsid w:val="00BC6AA7"/>
    <w:rsid w:val="00BC6BD9"/>
    <w:rsid w:val="00BC6C84"/>
    <w:rsid w:val="00BC6CB8"/>
    <w:rsid w:val="00BC6DA3"/>
    <w:rsid w:val="00BC6E9C"/>
    <w:rsid w:val="00BC7075"/>
    <w:rsid w:val="00BC7522"/>
    <w:rsid w:val="00BC7617"/>
    <w:rsid w:val="00BC772B"/>
    <w:rsid w:val="00BD060C"/>
    <w:rsid w:val="00BD20E2"/>
    <w:rsid w:val="00BD2657"/>
    <w:rsid w:val="00BD2D88"/>
    <w:rsid w:val="00BD3184"/>
    <w:rsid w:val="00BD32BB"/>
    <w:rsid w:val="00BD341A"/>
    <w:rsid w:val="00BD3596"/>
    <w:rsid w:val="00BD3707"/>
    <w:rsid w:val="00BD376B"/>
    <w:rsid w:val="00BD3952"/>
    <w:rsid w:val="00BD3CAC"/>
    <w:rsid w:val="00BD3DDD"/>
    <w:rsid w:val="00BD4F5F"/>
    <w:rsid w:val="00BD4FA6"/>
    <w:rsid w:val="00BD52E4"/>
    <w:rsid w:val="00BD569C"/>
    <w:rsid w:val="00BD5831"/>
    <w:rsid w:val="00BD5A35"/>
    <w:rsid w:val="00BD6198"/>
    <w:rsid w:val="00BD6453"/>
    <w:rsid w:val="00BD68F3"/>
    <w:rsid w:val="00BD6900"/>
    <w:rsid w:val="00BD703D"/>
    <w:rsid w:val="00BD73F1"/>
    <w:rsid w:val="00BD7E0E"/>
    <w:rsid w:val="00BE00DB"/>
    <w:rsid w:val="00BE0586"/>
    <w:rsid w:val="00BE2052"/>
    <w:rsid w:val="00BE2F2C"/>
    <w:rsid w:val="00BE345B"/>
    <w:rsid w:val="00BE4C8C"/>
    <w:rsid w:val="00BE50B4"/>
    <w:rsid w:val="00BE58CB"/>
    <w:rsid w:val="00BE598F"/>
    <w:rsid w:val="00BE6613"/>
    <w:rsid w:val="00BE750C"/>
    <w:rsid w:val="00BE76F0"/>
    <w:rsid w:val="00BE7A85"/>
    <w:rsid w:val="00BF0556"/>
    <w:rsid w:val="00BF0A17"/>
    <w:rsid w:val="00BF0E7C"/>
    <w:rsid w:val="00BF1521"/>
    <w:rsid w:val="00BF17C6"/>
    <w:rsid w:val="00BF1B53"/>
    <w:rsid w:val="00BF244A"/>
    <w:rsid w:val="00BF2626"/>
    <w:rsid w:val="00BF2AF0"/>
    <w:rsid w:val="00BF2BC7"/>
    <w:rsid w:val="00BF2C03"/>
    <w:rsid w:val="00BF31F1"/>
    <w:rsid w:val="00BF3412"/>
    <w:rsid w:val="00BF3481"/>
    <w:rsid w:val="00BF351C"/>
    <w:rsid w:val="00BF3985"/>
    <w:rsid w:val="00BF3FEB"/>
    <w:rsid w:val="00BF4265"/>
    <w:rsid w:val="00BF5A08"/>
    <w:rsid w:val="00BF5E2D"/>
    <w:rsid w:val="00BF5E60"/>
    <w:rsid w:val="00BF7049"/>
    <w:rsid w:val="00BF760D"/>
    <w:rsid w:val="00BF79F6"/>
    <w:rsid w:val="00BF7A10"/>
    <w:rsid w:val="00BF7E5D"/>
    <w:rsid w:val="00C000CE"/>
    <w:rsid w:val="00C007F3"/>
    <w:rsid w:val="00C00B06"/>
    <w:rsid w:val="00C00B36"/>
    <w:rsid w:val="00C01F2F"/>
    <w:rsid w:val="00C03462"/>
    <w:rsid w:val="00C03AE3"/>
    <w:rsid w:val="00C03E9D"/>
    <w:rsid w:val="00C040D7"/>
    <w:rsid w:val="00C0426B"/>
    <w:rsid w:val="00C0437A"/>
    <w:rsid w:val="00C0448E"/>
    <w:rsid w:val="00C0480F"/>
    <w:rsid w:val="00C054C2"/>
    <w:rsid w:val="00C061B7"/>
    <w:rsid w:val="00C0652B"/>
    <w:rsid w:val="00C06609"/>
    <w:rsid w:val="00C072DC"/>
    <w:rsid w:val="00C07C29"/>
    <w:rsid w:val="00C10D09"/>
    <w:rsid w:val="00C111BA"/>
    <w:rsid w:val="00C11B50"/>
    <w:rsid w:val="00C11C87"/>
    <w:rsid w:val="00C11DCB"/>
    <w:rsid w:val="00C122C6"/>
    <w:rsid w:val="00C12754"/>
    <w:rsid w:val="00C127A4"/>
    <w:rsid w:val="00C127B7"/>
    <w:rsid w:val="00C12B19"/>
    <w:rsid w:val="00C12CEC"/>
    <w:rsid w:val="00C135DF"/>
    <w:rsid w:val="00C136DA"/>
    <w:rsid w:val="00C13E09"/>
    <w:rsid w:val="00C14A70"/>
    <w:rsid w:val="00C14EB0"/>
    <w:rsid w:val="00C15186"/>
    <w:rsid w:val="00C155EE"/>
    <w:rsid w:val="00C15C95"/>
    <w:rsid w:val="00C1613B"/>
    <w:rsid w:val="00C16BB6"/>
    <w:rsid w:val="00C16C72"/>
    <w:rsid w:val="00C179F7"/>
    <w:rsid w:val="00C17A30"/>
    <w:rsid w:val="00C17D42"/>
    <w:rsid w:val="00C216E9"/>
    <w:rsid w:val="00C218F2"/>
    <w:rsid w:val="00C21EBD"/>
    <w:rsid w:val="00C22506"/>
    <w:rsid w:val="00C23666"/>
    <w:rsid w:val="00C23F0C"/>
    <w:rsid w:val="00C24156"/>
    <w:rsid w:val="00C2453F"/>
    <w:rsid w:val="00C25030"/>
    <w:rsid w:val="00C25088"/>
    <w:rsid w:val="00C25EDB"/>
    <w:rsid w:val="00C2640A"/>
    <w:rsid w:val="00C26F33"/>
    <w:rsid w:val="00C27306"/>
    <w:rsid w:val="00C27508"/>
    <w:rsid w:val="00C2761F"/>
    <w:rsid w:val="00C27803"/>
    <w:rsid w:val="00C27DA5"/>
    <w:rsid w:val="00C305C0"/>
    <w:rsid w:val="00C31736"/>
    <w:rsid w:val="00C327CA"/>
    <w:rsid w:val="00C33282"/>
    <w:rsid w:val="00C335FD"/>
    <w:rsid w:val="00C3395C"/>
    <w:rsid w:val="00C34178"/>
    <w:rsid w:val="00C34415"/>
    <w:rsid w:val="00C34840"/>
    <w:rsid w:val="00C34AE3"/>
    <w:rsid w:val="00C34CC6"/>
    <w:rsid w:val="00C34E9B"/>
    <w:rsid w:val="00C3511C"/>
    <w:rsid w:val="00C354D2"/>
    <w:rsid w:val="00C3563F"/>
    <w:rsid w:val="00C3586E"/>
    <w:rsid w:val="00C35E5E"/>
    <w:rsid w:val="00C3624F"/>
    <w:rsid w:val="00C36A83"/>
    <w:rsid w:val="00C3737A"/>
    <w:rsid w:val="00C374C1"/>
    <w:rsid w:val="00C37D16"/>
    <w:rsid w:val="00C40398"/>
    <w:rsid w:val="00C4039E"/>
    <w:rsid w:val="00C40421"/>
    <w:rsid w:val="00C404C0"/>
    <w:rsid w:val="00C40560"/>
    <w:rsid w:val="00C405F9"/>
    <w:rsid w:val="00C407C5"/>
    <w:rsid w:val="00C40B21"/>
    <w:rsid w:val="00C40CD0"/>
    <w:rsid w:val="00C40F7A"/>
    <w:rsid w:val="00C41228"/>
    <w:rsid w:val="00C41AE4"/>
    <w:rsid w:val="00C41B7E"/>
    <w:rsid w:val="00C4339F"/>
    <w:rsid w:val="00C43824"/>
    <w:rsid w:val="00C441FA"/>
    <w:rsid w:val="00C44F67"/>
    <w:rsid w:val="00C453C4"/>
    <w:rsid w:val="00C45DBA"/>
    <w:rsid w:val="00C4602B"/>
    <w:rsid w:val="00C462F9"/>
    <w:rsid w:val="00C472EB"/>
    <w:rsid w:val="00C47364"/>
    <w:rsid w:val="00C47456"/>
    <w:rsid w:val="00C47BC5"/>
    <w:rsid w:val="00C47CEB"/>
    <w:rsid w:val="00C47D89"/>
    <w:rsid w:val="00C47DD7"/>
    <w:rsid w:val="00C50799"/>
    <w:rsid w:val="00C50980"/>
    <w:rsid w:val="00C50B46"/>
    <w:rsid w:val="00C52524"/>
    <w:rsid w:val="00C525BA"/>
    <w:rsid w:val="00C536FD"/>
    <w:rsid w:val="00C53A0D"/>
    <w:rsid w:val="00C53C0C"/>
    <w:rsid w:val="00C54224"/>
    <w:rsid w:val="00C54288"/>
    <w:rsid w:val="00C54340"/>
    <w:rsid w:val="00C549F3"/>
    <w:rsid w:val="00C54B55"/>
    <w:rsid w:val="00C54B6D"/>
    <w:rsid w:val="00C54D6C"/>
    <w:rsid w:val="00C550D8"/>
    <w:rsid w:val="00C552A2"/>
    <w:rsid w:val="00C553DA"/>
    <w:rsid w:val="00C55D44"/>
    <w:rsid w:val="00C5647B"/>
    <w:rsid w:val="00C56799"/>
    <w:rsid w:val="00C567E0"/>
    <w:rsid w:val="00C569DB"/>
    <w:rsid w:val="00C579AB"/>
    <w:rsid w:val="00C57B28"/>
    <w:rsid w:val="00C6088D"/>
    <w:rsid w:val="00C6202B"/>
    <w:rsid w:val="00C6248A"/>
    <w:rsid w:val="00C6252A"/>
    <w:rsid w:val="00C62F56"/>
    <w:rsid w:val="00C630AB"/>
    <w:rsid w:val="00C635F8"/>
    <w:rsid w:val="00C64D4B"/>
    <w:rsid w:val="00C65F2B"/>
    <w:rsid w:val="00C660A2"/>
    <w:rsid w:val="00C665E2"/>
    <w:rsid w:val="00C668B9"/>
    <w:rsid w:val="00C66E40"/>
    <w:rsid w:val="00C66ECF"/>
    <w:rsid w:val="00C6761C"/>
    <w:rsid w:val="00C677E7"/>
    <w:rsid w:val="00C67B8C"/>
    <w:rsid w:val="00C70135"/>
    <w:rsid w:val="00C70543"/>
    <w:rsid w:val="00C705D9"/>
    <w:rsid w:val="00C70DD2"/>
    <w:rsid w:val="00C70E35"/>
    <w:rsid w:val="00C711A3"/>
    <w:rsid w:val="00C71793"/>
    <w:rsid w:val="00C719BA"/>
    <w:rsid w:val="00C72243"/>
    <w:rsid w:val="00C7239C"/>
    <w:rsid w:val="00C727BC"/>
    <w:rsid w:val="00C72D99"/>
    <w:rsid w:val="00C72E23"/>
    <w:rsid w:val="00C72F20"/>
    <w:rsid w:val="00C73018"/>
    <w:rsid w:val="00C731EC"/>
    <w:rsid w:val="00C736E7"/>
    <w:rsid w:val="00C73788"/>
    <w:rsid w:val="00C73ADE"/>
    <w:rsid w:val="00C73C08"/>
    <w:rsid w:val="00C74196"/>
    <w:rsid w:val="00C74C44"/>
    <w:rsid w:val="00C75730"/>
    <w:rsid w:val="00C75948"/>
    <w:rsid w:val="00C75A54"/>
    <w:rsid w:val="00C75B0B"/>
    <w:rsid w:val="00C75B8E"/>
    <w:rsid w:val="00C763ED"/>
    <w:rsid w:val="00C76405"/>
    <w:rsid w:val="00C76B62"/>
    <w:rsid w:val="00C76CDF"/>
    <w:rsid w:val="00C7718E"/>
    <w:rsid w:val="00C772A7"/>
    <w:rsid w:val="00C8004B"/>
    <w:rsid w:val="00C8090A"/>
    <w:rsid w:val="00C80D47"/>
    <w:rsid w:val="00C81286"/>
    <w:rsid w:val="00C812EF"/>
    <w:rsid w:val="00C817E0"/>
    <w:rsid w:val="00C81AD2"/>
    <w:rsid w:val="00C81BB7"/>
    <w:rsid w:val="00C81EAE"/>
    <w:rsid w:val="00C83009"/>
    <w:rsid w:val="00C8365A"/>
    <w:rsid w:val="00C84041"/>
    <w:rsid w:val="00C8439B"/>
    <w:rsid w:val="00C85AA6"/>
    <w:rsid w:val="00C85D95"/>
    <w:rsid w:val="00C867BC"/>
    <w:rsid w:val="00C86801"/>
    <w:rsid w:val="00C86B36"/>
    <w:rsid w:val="00C86C4D"/>
    <w:rsid w:val="00C87815"/>
    <w:rsid w:val="00C87C3C"/>
    <w:rsid w:val="00C90270"/>
    <w:rsid w:val="00C90608"/>
    <w:rsid w:val="00C91290"/>
    <w:rsid w:val="00C9139B"/>
    <w:rsid w:val="00C9172A"/>
    <w:rsid w:val="00C917DC"/>
    <w:rsid w:val="00C927EC"/>
    <w:rsid w:val="00C93092"/>
    <w:rsid w:val="00C9354C"/>
    <w:rsid w:val="00C938FC"/>
    <w:rsid w:val="00C93D4F"/>
    <w:rsid w:val="00C93D8D"/>
    <w:rsid w:val="00C93DEE"/>
    <w:rsid w:val="00C93E7E"/>
    <w:rsid w:val="00C942E1"/>
    <w:rsid w:val="00C9455B"/>
    <w:rsid w:val="00C94657"/>
    <w:rsid w:val="00C94EB3"/>
    <w:rsid w:val="00C94F8C"/>
    <w:rsid w:val="00C94FB0"/>
    <w:rsid w:val="00C9512D"/>
    <w:rsid w:val="00C95B75"/>
    <w:rsid w:val="00C95F38"/>
    <w:rsid w:val="00C96092"/>
    <w:rsid w:val="00C97CB9"/>
    <w:rsid w:val="00CA0248"/>
    <w:rsid w:val="00CA03FA"/>
    <w:rsid w:val="00CA0B75"/>
    <w:rsid w:val="00CA190C"/>
    <w:rsid w:val="00CA1977"/>
    <w:rsid w:val="00CA1BBF"/>
    <w:rsid w:val="00CA29B6"/>
    <w:rsid w:val="00CA409C"/>
    <w:rsid w:val="00CA56FF"/>
    <w:rsid w:val="00CA5B65"/>
    <w:rsid w:val="00CA5FFE"/>
    <w:rsid w:val="00CA73E2"/>
    <w:rsid w:val="00CA7920"/>
    <w:rsid w:val="00CA7A58"/>
    <w:rsid w:val="00CA7E5E"/>
    <w:rsid w:val="00CB0226"/>
    <w:rsid w:val="00CB03B1"/>
    <w:rsid w:val="00CB0726"/>
    <w:rsid w:val="00CB0A43"/>
    <w:rsid w:val="00CB1373"/>
    <w:rsid w:val="00CB23AD"/>
    <w:rsid w:val="00CB26FE"/>
    <w:rsid w:val="00CB2B01"/>
    <w:rsid w:val="00CB2D87"/>
    <w:rsid w:val="00CB3114"/>
    <w:rsid w:val="00CB3AB1"/>
    <w:rsid w:val="00CB41AB"/>
    <w:rsid w:val="00CB4500"/>
    <w:rsid w:val="00CB45DB"/>
    <w:rsid w:val="00CB4C45"/>
    <w:rsid w:val="00CB4DAD"/>
    <w:rsid w:val="00CB515C"/>
    <w:rsid w:val="00CB53BE"/>
    <w:rsid w:val="00CB5BB7"/>
    <w:rsid w:val="00CB5C22"/>
    <w:rsid w:val="00CB63E0"/>
    <w:rsid w:val="00CB65B6"/>
    <w:rsid w:val="00CB6CB1"/>
    <w:rsid w:val="00CB6FAD"/>
    <w:rsid w:val="00CB738C"/>
    <w:rsid w:val="00CB7AAA"/>
    <w:rsid w:val="00CC01DB"/>
    <w:rsid w:val="00CC02EA"/>
    <w:rsid w:val="00CC0F3F"/>
    <w:rsid w:val="00CC1151"/>
    <w:rsid w:val="00CC1958"/>
    <w:rsid w:val="00CC2092"/>
    <w:rsid w:val="00CC2907"/>
    <w:rsid w:val="00CC2DC5"/>
    <w:rsid w:val="00CC395A"/>
    <w:rsid w:val="00CC43FD"/>
    <w:rsid w:val="00CC50DC"/>
    <w:rsid w:val="00CC5689"/>
    <w:rsid w:val="00CC57C1"/>
    <w:rsid w:val="00CC5CF3"/>
    <w:rsid w:val="00CC6589"/>
    <w:rsid w:val="00CC6C03"/>
    <w:rsid w:val="00CC76C5"/>
    <w:rsid w:val="00CC7A82"/>
    <w:rsid w:val="00CC7F3F"/>
    <w:rsid w:val="00CD0F7C"/>
    <w:rsid w:val="00CD1402"/>
    <w:rsid w:val="00CD2296"/>
    <w:rsid w:val="00CD2405"/>
    <w:rsid w:val="00CD24D6"/>
    <w:rsid w:val="00CD2577"/>
    <w:rsid w:val="00CD3627"/>
    <w:rsid w:val="00CD36A1"/>
    <w:rsid w:val="00CD3D6A"/>
    <w:rsid w:val="00CD3E1E"/>
    <w:rsid w:val="00CD4FC9"/>
    <w:rsid w:val="00CD52FF"/>
    <w:rsid w:val="00CD5F51"/>
    <w:rsid w:val="00CD682E"/>
    <w:rsid w:val="00CD721B"/>
    <w:rsid w:val="00CD7315"/>
    <w:rsid w:val="00CD7633"/>
    <w:rsid w:val="00CD78B6"/>
    <w:rsid w:val="00CE0C7E"/>
    <w:rsid w:val="00CE0DBF"/>
    <w:rsid w:val="00CE1F07"/>
    <w:rsid w:val="00CE22E9"/>
    <w:rsid w:val="00CE255E"/>
    <w:rsid w:val="00CE2BAB"/>
    <w:rsid w:val="00CE2FB4"/>
    <w:rsid w:val="00CE3461"/>
    <w:rsid w:val="00CE3CD9"/>
    <w:rsid w:val="00CE436A"/>
    <w:rsid w:val="00CE462D"/>
    <w:rsid w:val="00CE4701"/>
    <w:rsid w:val="00CE4EBC"/>
    <w:rsid w:val="00CE525D"/>
    <w:rsid w:val="00CE541D"/>
    <w:rsid w:val="00CE57F2"/>
    <w:rsid w:val="00CE60B6"/>
    <w:rsid w:val="00CE6484"/>
    <w:rsid w:val="00CE683D"/>
    <w:rsid w:val="00CE707F"/>
    <w:rsid w:val="00CE71BF"/>
    <w:rsid w:val="00CE7285"/>
    <w:rsid w:val="00CE77D7"/>
    <w:rsid w:val="00CE7A14"/>
    <w:rsid w:val="00CE7A4C"/>
    <w:rsid w:val="00CF031F"/>
    <w:rsid w:val="00CF1088"/>
    <w:rsid w:val="00CF10A4"/>
    <w:rsid w:val="00CF16D9"/>
    <w:rsid w:val="00CF17D7"/>
    <w:rsid w:val="00CF1D34"/>
    <w:rsid w:val="00CF22CE"/>
    <w:rsid w:val="00CF2431"/>
    <w:rsid w:val="00CF2745"/>
    <w:rsid w:val="00CF3573"/>
    <w:rsid w:val="00CF358C"/>
    <w:rsid w:val="00CF3BA1"/>
    <w:rsid w:val="00CF3EE2"/>
    <w:rsid w:val="00CF4669"/>
    <w:rsid w:val="00CF49AA"/>
    <w:rsid w:val="00CF4B52"/>
    <w:rsid w:val="00CF4BEA"/>
    <w:rsid w:val="00CF5704"/>
    <w:rsid w:val="00CF576D"/>
    <w:rsid w:val="00CF5B13"/>
    <w:rsid w:val="00CF69BC"/>
    <w:rsid w:val="00CF6A82"/>
    <w:rsid w:val="00CF6BDA"/>
    <w:rsid w:val="00CF7A48"/>
    <w:rsid w:val="00CF7BF5"/>
    <w:rsid w:val="00D00175"/>
    <w:rsid w:val="00D005A2"/>
    <w:rsid w:val="00D01E28"/>
    <w:rsid w:val="00D01F26"/>
    <w:rsid w:val="00D0371A"/>
    <w:rsid w:val="00D03DC0"/>
    <w:rsid w:val="00D04771"/>
    <w:rsid w:val="00D04DC5"/>
    <w:rsid w:val="00D0541B"/>
    <w:rsid w:val="00D05644"/>
    <w:rsid w:val="00D05743"/>
    <w:rsid w:val="00D057C3"/>
    <w:rsid w:val="00D05807"/>
    <w:rsid w:val="00D05B75"/>
    <w:rsid w:val="00D05BA4"/>
    <w:rsid w:val="00D05D50"/>
    <w:rsid w:val="00D06B65"/>
    <w:rsid w:val="00D06E10"/>
    <w:rsid w:val="00D06F55"/>
    <w:rsid w:val="00D1029F"/>
    <w:rsid w:val="00D10B54"/>
    <w:rsid w:val="00D10D3E"/>
    <w:rsid w:val="00D10D4D"/>
    <w:rsid w:val="00D111A3"/>
    <w:rsid w:val="00D111FA"/>
    <w:rsid w:val="00D114C3"/>
    <w:rsid w:val="00D11530"/>
    <w:rsid w:val="00D11A8F"/>
    <w:rsid w:val="00D11BD4"/>
    <w:rsid w:val="00D11F01"/>
    <w:rsid w:val="00D11F76"/>
    <w:rsid w:val="00D123F9"/>
    <w:rsid w:val="00D12563"/>
    <w:rsid w:val="00D1286F"/>
    <w:rsid w:val="00D12897"/>
    <w:rsid w:val="00D12AE6"/>
    <w:rsid w:val="00D13E5A"/>
    <w:rsid w:val="00D149D5"/>
    <w:rsid w:val="00D15824"/>
    <w:rsid w:val="00D15EE0"/>
    <w:rsid w:val="00D16232"/>
    <w:rsid w:val="00D162DF"/>
    <w:rsid w:val="00D166A9"/>
    <w:rsid w:val="00D173C1"/>
    <w:rsid w:val="00D1757D"/>
    <w:rsid w:val="00D17A0A"/>
    <w:rsid w:val="00D17AA6"/>
    <w:rsid w:val="00D17AB0"/>
    <w:rsid w:val="00D17E16"/>
    <w:rsid w:val="00D20894"/>
    <w:rsid w:val="00D20F26"/>
    <w:rsid w:val="00D21604"/>
    <w:rsid w:val="00D21975"/>
    <w:rsid w:val="00D21E7D"/>
    <w:rsid w:val="00D2269B"/>
    <w:rsid w:val="00D22763"/>
    <w:rsid w:val="00D230C4"/>
    <w:rsid w:val="00D23102"/>
    <w:rsid w:val="00D23211"/>
    <w:rsid w:val="00D235F1"/>
    <w:rsid w:val="00D236A6"/>
    <w:rsid w:val="00D23D2B"/>
    <w:rsid w:val="00D23D95"/>
    <w:rsid w:val="00D24195"/>
    <w:rsid w:val="00D246B6"/>
    <w:rsid w:val="00D24A8D"/>
    <w:rsid w:val="00D24BDD"/>
    <w:rsid w:val="00D24CA3"/>
    <w:rsid w:val="00D24F25"/>
    <w:rsid w:val="00D25367"/>
    <w:rsid w:val="00D25486"/>
    <w:rsid w:val="00D25608"/>
    <w:rsid w:val="00D25AA1"/>
    <w:rsid w:val="00D25CCE"/>
    <w:rsid w:val="00D25D2F"/>
    <w:rsid w:val="00D26D58"/>
    <w:rsid w:val="00D2787F"/>
    <w:rsid w:val="00D27D96"/>
    <w:rsid w:val="00D30578"/>
    <w:rsid w:val="00D30CA2"/>
    <w:rsid w:val="00D30D8C"/>
    <w:rsid w:val="00D31A16"/>
    <w:rsid w:val="00D31BA7"/>
    <w:rsid w:val="00D31E74"/>
    <w:rsid w:val="00D320E5"/>
    <w:rsid w:val="00D32426"/>
    <w:rsid w:val="00D328ED"/>
    <w:rsid w:val="00D32B26"/>
    <w:rsid w:val="00D33119"/>
    <w:rsid w:val="00D331EC"/>
    <w:rsid w:val="00D3407C"/>
    <w:rsid w:val="00D34B17"/>
    <w:rsid w:val="00D34B20"/>
    <w:rsid w:val="00D34B45"/>
    <w:rsid w:val="00D34E89"/>
    <w:rsid w:val="00D35478"/>
    <w:rsid w:val="00D36B73"/>
    <w:rsid w:val="00D37BDA"/>
    <w:rsid w:val="00D37DA6"/>
    <w:rsid w:val="00D4076B"/>
    <w:rsid w:val="00D40A0D"/>
    <w:rsid w:val="00D40D5B"/>
    <w:rsid w:val="00D410B6"/>
    <w:rsid w:val="00D4121C"/>
    <w:rsid w:val="00D4407E"/>
    <w:rsid w:val="00D44336"/>
    <w:rsid w:val="00D445B0"/>
    <w:rsid w:val="00D45306"/>
    <w:rsid w:val="00D45489"/>
    <w:rsid w:val="00D45B90"/>
    <w:rsid w:val="00D45F4F"/>
    <w:rsid w:val="00D46780"/>
    <w:rsid w:val="00D46A48"/>
    <w:rsid w:val="00D47156"/>
    <w:rsid w:val="00D47493"/>
    <w:rsid w:val="00D4751A"/>
    <w:rsid w:val="00D5074B"/>
    <w:rsid w:val="00D5103E"/>
    <w:rsid w:val="00D5187E"/>
    <w:rsid w:val="00D51B6C"/>
    <w:rsid w:val="00D51DEF"/>
    <w:rsid w:val="00D51F10"/>
    <w:rsid w:val="00D52527"/>
    <w:rsid w:val="00D52B63"/>
    <w:rsid w:val="00D53606"/>
    <w:rsid w:val="00D53D39"/>
    <w:rsid w:val="00D54016"/>
    <w:rsid w:val="00D54066"/>
    <w:rsid w:val="00D54D00"/>
    <w:rsid w:val="00D54FEF"/>
    <w:rsid w:val="00D55947"/>
    <w:rsid w:val="00D56915"/>
    <w:rsid w:val="00D5697E"/>
    <w:rsid w:val="00D56E02"/>
    <w:rsid w:val="00D5747C"/>
    <w:rsid w:val="00D57602"/>
    <w:rsid w:val="00D57816"/>
    <w:rsid w:val="00D57AE6"/>
    <w:rsid w:val="00D6009E"/>
    <w:rsid w:val="00D60131"/>
    <w:rsid w:val="00D60998"/>
    <w:rsid w:val="00D60D14"/>
    <w:rsid w:val="00D6142A"/>
    <w:rsid w:val="00D614B6"/>
    <w:rsid w:val="00D622B4"/>
    <w:rsid w:val="00D62316"/>
    <w:rsid w:val="00D624EB"/>
    <w:rsid w:val="00D62931"/>
    <w:rsid w:val="00D630B6"/>
    <w:rsid w:val="00D645C7"/>
    <w:rsid w:val="00D6543A"/>
    <w:rsid w:val="00D656CC"/>
    <w:rsid w:val="00D6625B"/>
    <w:rsid w:val="00D66334"/>
    <w:rsid w:val="00D66F3D"/>
    <w:rsid w:val="00D67CB9"/>
    <w:rsid w:val="00D67ED6"/>
    <w:rsid w:val="00D705E1"/>
    <w:rsid w:val="00D70C96"/>
    <w:rsid w:val="00D70D40"/>
    <w:rsid w:val="00D717BF"/>
    <w:rsid w:val="00D71F29"/>
    <w:rsid w:val="00D728CF"/>
    <w:rsid w:val="00D72CC9"/>
    <w:rsid w:val="00D73033"/>
    <w:rsid w:val="00D73198"/>
    <w:rsid w:val="00D73764"/>
    <w:rsid w:val="00D73985"/>
    <w:rsid w:val="00D73B33"/>
    <w:rsid w:val="00D7475E"/>
    <w:rsid w:val="00D74DB9"/>
    <w:rsid w:val="00D74E89"/>
    <w:rsid w:val="00D75AE6"/>
    <w:rsid w:val="00D764F5"/>
    <w:rsid w:val="00D769CB"/>
    <w:rsid w:val="00D76A6D"/>
    <w:rsid w:val="00D76F39"/>
    <w:rsid w:val="00D773F9"/>
    <w:rsid w:val="00D800AE"/>
    <w:rsid w:val="00D804FA"/>
    <w:rsid w:val="00D8071B"/>
    <w:rsid w:val="00D808D7"/>
    <w:rsid w:val="00D814D0"/>
    <w:rsid w:val="00D8196E"/>
    <w:rsid w:val="00D81DBE"/>
    <w:rsid w:val="00D82D82"/>
    <w:rsid w:val="00D82E89"/>
    <w:rsid w:val="00D837A1"/>
    <w:rsid w:val="00D83FF3"/>
    <w:rsid w:val="00D844A0"/>
    <w:rsid w:val="00D849AA"/>
    <w:rsid w:val="00D8512A"/>
    <w:rsid w:val="00D85D0E"/>
    <w:rsid w:val="00D85F32"/>
    <w:rsid w:val="00D86466"/>
    <w:rsid w:val="00D86A61"/>
    <w:rsid w:val="00D87911"/>
    <w:rsid w:val="00D87A85"/>
    <w:rsid w:val="00D90B73"/>
    <w:rsid w:val="00D90F73"/>
    <w:rsid w:val="00D91116"/>
    <w:rsid w:val="00D91439"/>
    <w:rsid w:val="00D91A3B"/>
    <w:rsid w:val="00D91DD6"/>
    <w:rsid w:val="00D9262D"/>
    <w:rsid w:val="00D927AD"/>
    <w:rsid w:val="00D92C60"/>
    <w:rsid w:val="00D92E65"/>
    <w:rsid w:val="00D933BD"/>
    <w:rsid w:val="00D9377B"/>
    <w:rsid w:val="00D93B47"/>
    <w:rsid w:val="00D9438F"/>
    <w:rsid w:val="00D949AB"/>
    <w:rsid w:val="00D95040"/>
    <w:rsid w:val="00D95D8A"/>
    <w:rsid w:val="00D95E38"/>
    <w:rsid w:val="00D96517"/>
    <w:rsid w:val="00D97494"/>
    <w:rsid w:val="00D9758C"/>
    <w:rsid w:val="00D978CA"/>
    <w:rsid w:val="00D978DB"/>
    <w:rsid w:val="00D97A7E"/>
    <w:rsid w:val="00DA0195"/>
    <w:rsid w:val="00DA0C08"/>
    <w:rsid w:val="00DA0DA7"/>
    <w:rsid w:val="00DA1D4A"/>
    <w:rsid w:val="00DA1E11"/>
    <w:rsid w:val="00DA290D"/>
    <w:rsid w:val="00DA30B3"/>
    <w:rsid w:val="00DA33A5"/>
    <w:rsid w:val="00DA37A9"/>
    <w:rsid w:val="00DA3914"/>
    <w:rsid w:val="00DA3A0C"/>
    <w:rsid w:val="00DA400F"/>
    <w:rsid w:val="00DA433F"/>
    <w:rsid w:val="00DA43DB"/>
    <w:rsid w:val="00DA4459"/>
    <w:rsid w:val="00DA4D63"/>
    <w:rsid w:val="00DA4E47"/>
    <w:rsid w:val="00DA4FBC"/>
    <w:rsid w:val="00DA5E19"/>
    <w:rsid w:val="00DA6872"/>
    <w:rsid w:val="00DA76B0"/>
    <w:rsid w:val="00DA7DEB"/>
    <w:rsid w:val="00DA7E45"/>
    <w:rsid w:val="00DA7F80"/>
    <w:rsid w:val="00DB04CF"/>
    <w:rsid w:val="00DB0CC6"/>
    <w:rsid w:val="00DB1325"/>
    <w:rsid w:val="00DB1DC3"/>
    <w:rsid w:val="00DB1E4C"/>
    <w:rsid w:val="00DB2199"/>
    <w:rsid w:val="00DB24E4"/>
    <w:rsid w:val="00DB271F"/>
    <w:rsid w:val="00DB2B6B"/>
    <w:rsid w:val="00DB2E63"/>
    <w:rsid w:val="00DB304F"/>
    <w:rsid w:val="00DB35F5"/>
    <w:rsid w:val="00DB37F0"/>
    <w:rsid w:val="00DB50B7"/>
    <w:rsid w:val="00DB557D"/>
    <w:rsid w:val="00DB57CA"/>
    <w:rsid w:val="00DB5A96"/>
    <w:rsid w:val="00DB60E6"/>
    <w:rsid w:val="00DB6720"/>
    <w:rsid w:val="00DB6D44"/>
    <w:rsid w:val="00DB6DD5"/>
    <w:rsid w:val="00DB6F80"/>
    <w:rsid w:val="00DB7E6D"/>
    <w:rsid w:val="00DB7F68"/>
    <w:rsid w:val="00DC052C"/>
    <w:rsid w:val="00DC074A"/>
    <w:rsid w:val="00DC0B55"/>
    <w:rsid w:val="00DC0ED7"/>
    <w:rsid w:val="00DC0F4F"/>
    <w:rsid w:val="00DC19CF"/>
    <w:rsid w:val="00DC1A36"/>
    <w:rsid w:val="00DC2646"/>
    <w:rsid w:val="00DC3DFF"/>
    <w:rsid w:val="00DC40CF"/>
    <w:rsid w:val="00DC4D2B"/>
    <w:rsid w:val="00DC50D7"/>
    <w:rsid w:val="00DC5B84"/>
    <w:rsid w:val="00DC5C11"/>
    <w:rsid w:val="00DC5E9D"/>
    <w:rsid w:val="00DC6045"/>
    <w:rsid w:val="00DC63C4"/>
    <w:rsid w:val="00DC6ACB"/>
    <w:rsid w:val="00DC6F6B"/>
    <w:rsid w:val="00DC6FDC"/>
    <w:rsid w:val="00DC7481"/>
    <w:rsid w:val="00DC79C5"/>
    <w:rsid w:val="00DC7AAB"/>
    <w:rsid w:val="00DC7DEA"/>
    <w:rsid w:val="00DD0B54"/>
    <w:rsid w:val="00DD0E33"/>
    <w:rsid w:val="00DD1302"/>
    <w:rsid w:val="00DD18A7"/>
    <w:rsid w:val="00DD18EB"/>
    <w:rsid w:val="00DD197F"/>
    <w:rsid w:val="00DD19FF"/>
    <w:rsid w:val="00DD1BE2"/>
    <w:rsid w:val="00DD2048"/>
    <w:rsid w:val="00DD2AD2"/>
    <w:rsid w:val="00DD2D66"/>
    <w:rsid w:val="00DD2FD2"/>
    <w:rsid w:val="00DD3144"/>
    <w:rsid w:val="00DD39F4"/>
    <w:rsid w:val="00DD3F19"/>
    <w:rsid w:val="00DD4088"/>
    <w:rsid w:val="00DD40F6"/>
    <w:rsid w:val="00DD4349"/>
    <w:rsid w:val="00DD5814"/>
    <w:rsid w:val="00DD5ACD"/>
    <w:rsid w:val="00DD7611"/>
    <w:rsid w:val="00DD7D79"/>
    <w:rsid w:val="00DD7EA7"/>
    <w:rsid w:val="00DD7F72"/>
    <w:rsid w:val="00DE087B"/>
    <w:rsid w:val="00DE0955"/>
    <w:rsid w:val="00DE1D72"/>
    <w:rsid w:val="00DE1F4C"/>
    <w:rsid w:val="00DE2464"/>
    <w:rsid w:val="00DE264D"/>
    <w:rsid w:val="00DE27A9"/>
    <w:rsid w:val="00DE30E4"/>
    <w:rsid w:val="00DE3966"/>
    <w:rsid w:val="00DE3C70"/>
    <w:rsid w:val="00DE3F57"/>
    <w:rsid w:val="00DE46BC"/>
    <w:rsid w:val="00DE46D5"/>
    <w:rsid w:val="00DE4A65"/>
    <w:rsid w:val="00DE4A7C"/>
    <w:rsid w:val="00DE5058"/>
    <w:rsid w:val="00DE52B6"/>
    <w:rsid w:val="00DE536C"/>
    <w:rsid w:val="00DE5D87"/>
    <w:rsid w:val="00DE5E64"/>
    <w:rsid w:val="00DE60AF"/>
    <w:rsid w:val="00DE61B8"/>
    <w:rsid w:val="00DE6396"/>
    <w:rsid w:val="00DE681B"/>
    <w:rsid w:val="00DE7738"/>
    <w:rsid w:val="00DF02E7"/>
    <w:rsid w:val="00DF0616"/>
    <w:rsid w:val="00DF0A04"/>
    <w:rsid w:val="00DF0A2F"/>
    <w:rsid w:val="00DF10AB"/>
    <w:rsid w:val="00DF13B1"/>
    <w:rsid w:val="00DF17ED"/>
    <w:rsid w:val="00DF1AF3"/>
    <w:rsid w:val="00DF1B1A"/>
    <w:rsid w:val="00DF209A"/>
    <w:rsid w:val="00DF2308"/>
    <w:rsid w:val="00DF29DD"/>
    <w:rsid w:val="00DF3E36"/>
    <w:rsid w:val="00DF45CF"/>
    <w:rsid w:val="00DF472B"/>
    <w:rsid w:val="00DF4D43"/>
    <w:rsid w:val="00DF4F88"/>
    <w:rsid w:val="00DF5D66"/>
    <w:rsid w:val="00DF61EB"/>
    <w:rsid w:val="00DF669E"/>
    <w:rsid w:val="00DF66F8"/>
    <w:rsid w:val="00DF6DBC"/>
    <w:rsid w:val="00DF7303"/>
    <w:rsid w:val="00DF7408"/>
    <w:rsid w:val="00DF7603"/>
    <w:rsid w:val="00DF792F"/>
    <w:rsid w:val="00E00085"/>
    <w:rsid w:val="00E0051A"/>
    <w:rsid w:val="00E0063A"/>
    <w:rsid w:val="00E0197F"/>
    <w:rsid w:val="00E01A63"/>
    <w:rsid w:val="00E01DD9"/>
    <w:rsid w:val="00E01E41"/>
    <w:rsid w:val="00E02658"/>
    <w:rsid w:val="00E027E1"/>
    <w:rsid w:val="00E02DD6"/>
    <w:rsid w:val="00E05421"/>
    <w:rsid w:val="00E05FA3"/>
    <w:rsid w:val="00E05FF8"/>
    <w:rsid w:val="00E064D7"/>
    <w:rsid w:val="00E067A8"/>
    <w:rsid w:val="00E06B2B"/>
    <w:rsid w:val="00E071A3"/>
    <w:rsid w:val="00E0790F"/>
    <w:rsid w:val="00E10D2B"/>
    <w:rsid w:val="00E10DFD"/>
    <w:rsid w:val="00E11F92"/>
    <w:rsid w:val="00E126BD"/>
    <w:rsid w:val="00E127BF"/>
    <w:rsid w:val="00E12AA6"/>
    <w:rsid w:val="00E12AEF"/>
    <w:rsid w:val="00E12D9F"/>
    <w:rsid w:val="00E13566"/>
    <w:rsid w:val="00E14982"/>
    <w:rsid w:val="00E14E8D"/>
    <w:rsid w:val="00E1515B"/>
    <w:rsid w:val="00E1520E"/>
    <w:rsid w:val="00E15ED5"/>
    <w:rsid w:val="00E1679B"/>
    <w:rsid w:val="00E16989"/>
    <w:rsid w:val="00E16BBA"/>
    <w:rsid w:val="00E1757B"/>
    <w:rsid w:val="00E17944"/>
    <w:rsid w:val="00E20214"/>
    <w:rsid w:val="00E2054B"/>
    <w:rsid w:val="00E20A5A"/>
    <w:rsid w:val="00E219D9"/>
    <w:rsid w:val="00E21D98"/>
    <w:rsid w:val="00E23069"/>
    <w:rsid w:val="00E230B9"/>
    <w:rsid w:val="00E23670"/>
    <w:rsid w:val="00E2372B"/>
    <w:rsid w:val="00E23E5F"/>
    <w:rsid w:val="00E249FF"/>
    <w:rsid w:val="00E24C0F"/>
    <w:rsid w:val="00E2501D"/>
    <w:rsid w:val="00E25734"/>
    <w:rsid w:val="00E25CC7"/>
    <w:rsid w:val="00E26224"/>
    <w:rsid w:val="00E270EC"/>
    <w:rsid w:val="00E27164"/>
    <w:rsid w:val="00E27266"/>
    <w:rsid w:val="00E30BAB"/>
    <w:rsid w:val="00E30DEE"/>
    <w:rsid w:val="00E3107B"/>
    <w:rsid w:val="00E31215"/>
    <w:rsid w:val="00E318F3"/>
    <w:rsid w:val="00E323A1"/>
    <w:rsid w:val="00E324F1"/>
    <w:rsid w:val="00E32605"/>
    <w:rsid w:val="00E32917"/>
    <w:rsid w:val="00E3306B"/>
    <w:rsid w:val="00E331D2"/>
    <w:rsid w:val="00E3350B"/>
    <w:rsid w:val="00E340AB"/>
    <w:rsid w:val="00E34A80"/>
    <w:rsid w:val="00E34C16"/>
    <w:rsid w:val="00E34C3A"/>
    <w:rsid w:val="00E350B3"/>
    <w:rsid w:val="00E35283"/>
    <w:rsid w:val="00E35CA8"/>
    <w:rsid w:val="00E35FE1"/>
    <w:rsid w:val="00E36130"/>
    <w:rsid w:val="00E3630A"/>
    <w:rsid w:val="00E37798"/>
    <w:rsid w:val="00E37C38"/>
    <w:rsid w:val="00E37C7A"/>
    <w:rsid w:val="00E40637"/>
    <w:rsid w:val="00E41289"/>
    <w:rsid w:val="00E413FB"/>
    <w:rsid w:val="00E4192F"/>
    <w:rsid w:val="00E41BAA"/>
    <w:rsid w:val="00E41CEC"/>
    <w:rsid w:val="00E4264E"/>
    <w:rsid w:val="00E429D8"/>
    <w:rsid w:val="00E42A15"/>
    <w:rsid w:val="00E42F12"/>
    <w:rsid w:val="00E43B75"/>
    <w:rsid w:val="00E4483E"/>
    <w:rsid w:val="00E44D22"/>
    <w:rsid w:val="00E45240"/>
    <w:rsid w:val="00E45384"/>
    <w:rsid w:val="00E45656"/>
    <w:rsid w:val="00E45988"/>
    <w:rsid w:val="00E465CE"/>
    <w:rsid w:val="00E46C0B"/>
    <w:rsid w:val="00E46FEC"/>
    <w:rsid w:val="00E4719C"/>
    <w:rsid w:val="00E475A1"/>
    <w:rsid w:val="00E47691"/>
    <w:rsid w:val="00E479A6"/>
    <w:rsid w:val="00E479C8"/>
    <w:rsid w:val="00E47AF3"/>
    <w:rsid w:val="00E50265"/>
    <w:rsid w:val="00E50A0A"/>
    <w:rsid w:val="00E50CCF"/>
    <w:rsid w:val="00E516D5"/>
    <w:rsid w:val="00E51A84"/>
    <w:rsid w:val="00E51D32"/>
    <w:rsid w:val="00E5211C"/>
    <w:rsid w:val="00E52157"/>
    <w:rsid w:val="00E524EF"/>
    <w:rsid w:val="00E53376"/>
    <w:rsid w:val="00E5360C"/>
    <w:rsid w:val="00E53F3E"/>
    <w:rsid w:val="00E5407C"/>
    <w:rsid w:val="00E5450F"/>
    <w:rsid w:val="00E54858"/>
    <w:rsid w:val="00E5539A"/>
    <w:rsid w:val="00E5588A"/>
    <w:rsid w:val="00E55AF9"/>
    <w:rsid w:val="00E55D67"/>
    <w:rsid w:val="00E564BE"/>
    <w:rsid w:val="00E56519"/>
    <w:rsid w:val="00E5652C"/>
    <w:rsid w:val="00E56B2A"/>
    <w:rsid w:val="00E56B85"/>
    <w:rsid w:val="00E56C51"/>
    <w:rsid w:val="00E57306"/>
    <w:rsid w:val="00E5762D"/>
    <w:rsid w:val="00E602DE"/>
    <w:rsid w:val="00E6087C"/>
    <w:rsid w:val="00E609D7"/>
    <w:rsid w:val="00E60A94"/>
    <w:rsid w:val="00E60AD7"/>
    <w:rsid w:val="00E60F21"/>
    <w:rsid w:val="00E62CB3"/>
    <w:rsid w:val="00E63200"/>
    <w:rsid w:val="00E633A7"/>
    <w:rsid w:val="00E6372E"/>
    <w:rsid w:val="00E64096"/>
    <w:rsid w:val="00E64493"/>
    <w:rsid w:val="00E64747"/>
    <w:rsid w:val="00E64880"/>
    <w:rsid w:val="00E65752"/>
    <w:rsid w:val="00E65F36"/>
    <w:rsid w:val="00E66025"/>
    <w:rsid w:val="00E66442"/>
    <w:rsid w:val="00E6653D"/>
    <w:rsid w:val="00E66988"/>
    <w:rsid w:val="00E66C2F"/>
    <w:rsid w:val="00E67667"/>
    <w:rsid w:val="00E67D1A"/>
    <w:rsid w:val="00E703B5"/>
    <w:rsid w:val="00E70BF4"/>
    <w:rsid w:val="00E70E92"/>
    <w:rsid w:val="00E71BEE"/>
    <w:rsid w:val="00E72057"/>
    <w:rsid w:val="00E720FC"/>
    <w:rsid w:val="00E72498"/>
    <w:rsid w:val="00E73028"/>
    <w:rsid w:val="00E73B8B"/>
    <w:rsid w:val="00E74CB0"/>
    <w:rsid w:val="00E75084"/>
    <w:rsid w:val="00E759A3"/>
    <w:rsid w:val="00E759CE"/>
    <w:rsid w:val="00E75C10"/>
    <w:rsid w:val="00E75CDA"/>
    <w:rsid w:val="00E75F18"/>
    <w:rsid w:val="00E7683A"/>
    <w:rsid w:val="00E7769F"/>
    <w:rsid w:val="00E778F0"/>
    <w:rsid w:val="00E77F7D"/>
    <w:rsid w:val="00E80AB4"/>
    <w:rsid w:val="00E811ED"/>
    <w:rsid w:val="00E815EB"/>
    <w:rsid w:val="00E823A8"/>
    <w:rsid w:val="00E82436"/>
    <w:rsid w:val="00E82730"/>
    <w:rsid w:val="00E828C4"/>
    <w:rsid w:val="00E82C39"/>
    <w:rsid w:val="00E82E57"/>
    <w:rsid w:val="00E837EC"/>
    <w:rsid w:val="00E8394A"/>
    <w:rsid w:val="00E84D53"/>
    <w:rsid w:val="00E85D5B"/>
    <w:rsid w:val="00E85F8A"/>
    <w:rsid w:val="00E86555"/>
    <w:rsid w:val="00E86683"/>
    <w:rsid w:val="00E866D2"/>
    <w:rsid w:val="00E86CD5"/>
    <w:rsid w:val="00E86F99"/>
    <w:rsid w:val="00E873B4"/>
    <w:rsid w:val="00E90C33"/>
    <w:rsid w:val="00E90F1B"/>
    <w:rsid w:val="00E911B9"/>
    <w:rsid w:val="00E919BF"/>
    <w:rsid w:val="00E91E25"/>
    <w:rsid w:val="00E91EAD"/>
    <w:rsid w:val="00E923FD"/>
    <w:rsid w:val="00E92744"/>
    <w:rsid w:val="00E92ACB"/>
    <w:rsid w:val="00E92DFB"/>
    <w:rsid w:val="00E933A3"/>
    <w:rsid w:val="00E93631"/>
    <w:rsid w:val="00E9379B"/>
    <w:rsid w:val="00E93902"/>
    <w:rsid w:val="00E93BB4"/>
    <w:rsid w:val="00E93EF8"/>
    <w:rsid w:val="00E93F37"/>
    <w:rsid w:val="00E9484B"/>
    <w:rsid w:val="00E957F3"/>
    <w:rsid w:val="00E95E0A"/>
    <w:rsid w:val="00E95F28"/>
    <w:rsid w:val="00E966A2"/>
    <w:rsid w:val="00E967A8"/>
    <w:rsid w:val="00E9688A"/>
    <w:rsid w:val="00E968BF"/>
    <w:rsid w:val="00E96995"/>
    <w:rsid w:val="00E96D4F"/>
    <w:rsid w:val="00E97605"/>
    <w:rsid w:val="00E97CD1"/>
    <w:rsid w:val="00EA07B5"/>
    <w:rsid w:val="00EA087C"/>
    <w:rsid w:val="00EA08D7"/>
    <w:rsid w:val="00EA19FB"/>
    <w:rsid w:val="00EA1E60"/>
    <w:rsid w:val="00EA1F70"/>
    <w:rsid w:val="00EA23F1"/>
    <w:rsid w:val="00EA25C6"/>
    <w:rsid w:val="00EA27A6"/>
    <w:rsid w:val="00EA2B23"/>
    <w:rsid w:val="00EA2E0F"/>
    <w:rsid w:val="00EA3A62"/>
    <w:rsid w:val="00EA46C0"/>
    <w:rsid w:val="00EA52C2"/>
    <w:rsid w:val="00EA6C0D"/>
    <w:rsid w:val="00EA6E0C"/>
    <w:rsid w:val="00EA6E46"/>
    <w:rsid w:val="00EB0C4D"/>
    <w:rsid w:val="00EB1219"/>
    <w:rsid w:val="00EB12B4"/>
    <w:rsid w:val="00EB1774"/>
    <w:rsid w:val="00EB1E7C"/>
    <w:rsid w:val="00EB22EF"/>
    <w:rsid w:val="00EB2BCD"/>
    <w:rsid w:val="00EB300F"/>
    <w:rsid w:val="00EB30CA"/>
    <w:rsid w:val="00EB330B"/>
    <w:rsid w:val="00EB38A4"/>
    <w:rsid w:val="00EB4713"/>
    <w:rsid w:val="00EB4A3F"/>
    <w:rsid w:val="00EB4DFF"/>
    <w:rsid w:val="00EB5372"/>
    <w:rsid w:val="00EB5854"/>
    <w:rsid w:val="00EB598A"/>
    <w:rsid w:val="00EB6CC8"/>
    <w:rsid w:val="00EB72DA"/>
    <w:rsid w:val="00EB7415"/>
    <w:rsid w:val="00EC0440"/>
    <w:rsid w:val="00EC08BA"/>
    <w:rsid w:val="00EC0AB4"/>
    <w:rsid w:val="00EC0FFC"/>
    <w:rsid w:val="00EC1030"/>
    <w:rsid w:val="00EC1913"/>
    <w:rsid w:val="00EC1D77"/>
    <w:rsid w:val="00EC2951"/>
    <w:rsid w:val="00EC3108"/>
    <w:rsid w:val="00EC3125"/>
    <w:rsid w:val="00EC3CB9"/>
    <w:rsid w:val="00EC405C"/>
    <w:rsid w:val="00EC4478"/>
    <w:rsid w:val="00EC4482"/>
    <w:rsid w:val="00EC45B8"/>
    <w:rsid w:val="00EC49B2"/>
    <w:rsid w:val="00EC4B67"/>
    <w:rsid w:val="00EC57DD"/>
    <w:rsid w:val="00EC58A7"/>
    <w:rsid w:val="00EC5E24"/>
    <w:rsid w:val="00EC6430"/>
    <w:rsid w:val="00EC6953"/>
    <w:rsid w:val="00EC70B6"/>
    <w:rsid w:val="00EC7324"/>
    <w:rsid w:val="00ED0062"/>
    <w:rsid w:val="00ED04F8"/>
    <w:rsid w:val="00ED073B"/>
    <w:rsid w:val="00ED1189"/>
    <w:rsid w:val="00ED1A00"/>
    <w:rsid w:val="00ED1E33"/>
    <w:rsid w:val="00ED239A"/>
    <w:rsid w:val="00ED2901"/>
    <w:rsid w:val="00ED2A37"/>
    <w:rsid w:val="00ED300D"/>
    <w:rsid w:val="00ED34BA"/>
    <w:rsid w:val="00ED3EF9"/>
    <w:rsid w:val="00ED46DA"/>
    <w:rsid w:val="00ED5A51"/>
    <w:rsid w:val="00ED5C17"/>
    <w:rsid w:val="00ED6071"/>
    <w:rsid w:val="00ED704E"/>
    <w:rsid w:val="00ED7087"/>
    <w:rsid w:val="00ED7658"/>
    <w:rsid w:val="00ED7AC9"/>
    <w:rsid w:val="00EE05B0"/>
    <w:rsid w:val="00EE0967"/>
    <w:rsid w:val="00EE2874"/>
    <w:rsid w:val="00EE2B78"/>
    <w:rsid w:val="00EE344A"/>
    <w:rsid w:val="00EE34D1"/>
    <w:rsid w:val="00EE3909"/>
    <w:rsid w:val="00EE439B"/>
    <w:rsid w:val="00EE58AC"/>
    <w:rsid w:val="00EE638C"/>
    <w:rsid w:val="00EE6453"/>
    <w:rsid w:val="00EE64AE"/>
    <w:rsid w:val="00EE6647"/>
    <w:rsid w:val="00EE69E3"/>
    <w:rsid w:val="00EE7471"/>
    <w:rsid w:val="00EE762F"/>
    <w:rsid w:val="00EE7A34"/>
    <w:rsid w:val="00EF005F"/>
    <w:rsid w:val="00EF00EB"/>
    <w:rsid w:val="00EF0177"/>
    <w:rsid w:val="00EF0438"/>
    <w:rsid w:val="00EF05D5"/>
    <w:rsid w:val="00EF0AFD"/>
    <w:rsid w:val="00EF0EDA"/>
    <w:rsid w:val="00EF139E"/>
    <w:rsid w:val="00EF142B"/>
    <w:rsid w:val="00EF14A7"/>
    <w:rsid w:val="00EF20F5"/>
    <w:rsid w:val="00EF22D0"/>
    <w:rsid w:val="00EF2C71"/>
    <w:rsid w:val="00EF2CE2"/>
    <w:rsid w:val="00EF3637"/>
    <w:rsid w:val="00EF36D6"/>
    <w:rsid w:val="00EF4368"/>
    <w:rsid w:val="00EF4964"/>
    <w:rsid w:val="00EF4C0F"/>
    <w:rsid w:val="00EF5014"/>
    <w:rsid w:val="00EF513C"/>
    <w:rsid w:val="00EF638A"/>
    <w:rsid w:val="00EF6BB5"/>
    <w:rsid w:val="00EF70E8"/>
    <w:rsid w:val="00EF745D"/>
    <w:rsid w:val="00EF78A9"/>
    <w:rsid w:val="00EF7DBE"/>
    <w:rsid w:val="00F00158"/>
    <w:rsid w:val="00F0047F"/>
    <w:rsid w:val="00F0128E"/>
    <w:rsid w:val="00F0169A"/>
    <w:rsid w:val="00F01B86"/>
    <w:rsid w:val="00F01D9A"/>
    <w:rsid w:val="00F01E0E"/>
    <w:rsid w:val="00F0205D"/>
    <w:rsid w:val="00F025CA"/>
    <w:rsid w:val="00F02A6E"/>
    <w:rsid w:val="00F02C46"/>
    <w:rsid w:val="00F0314D"/>
    <w:rsid w:val="00F03477"/>
    <w:rsid w:val="00F0362C"/>
    <w:rsid w:val="00F044F4"/>
    <w:rsid w:val="00F05B90"/>
    <w:rsid w:val="00F05C47"/>
    <w:rsid w:val="00F06006"/>
    <w:rsid w:val="00F0618D"/>
    <w:rsid w:val="00F0655C"/>
    <w:rsid w:val="00F065AF"/>
    <w:rsid w:val="00F06BF0"/>
    <w:rsid w:val="00F06C8A"/>
    <w:rsid w:val="00F06FDF"/>
    <w:rsid w:val="00F104B4"/>
    <w:rsid w:val="00F10CFE"/>
    <w:rsid w:val="00F114D7"/>
    <w:rsid w:val="00F11631"/>
    <w:rsid w:val="00F11A47"/>
    <w:rsid w:val="00F11CE6"/>
    <w:rsid w:val="00F1225F"/>
    <w:rsid w:val="00F1268F"/>
    <w:rsid w:val="00F1291F"/>
    <w:rsid w:val="00F12C6C"/>
    <w:rsid w:val="00F12DD8"/>
    <w:rsid w:val="00F12E0C"/>
    <w:rsid w:val="00F12F53"/>
    <w:rsid w:val="00F13283"/>
    <w:rsid w:val="00F13ED6"/>
    <w:rsid w:val="00F13F25"/>
    <w:rsid w:val="00F14E68"/>
    <w:rsid w:val="00F14E8F"/>
    <w:rsid w:val="00F1502A"/>
    <w:rsid w:val="00F15807"/>
    <w:rsid w:val="00F15827"/>
    <w:rsid w:val="00F15BA1"/>
    <w:rsid w:val="00F15E04"/>
    <w:rsid w:val="00F15F27"/>
    <w:rsid w:val="00F16150"/>
    <w:rsid w:val="00F16196"/>
    <w:rsid w:val="00F168EB"/>
    <w:rsid w:val="00F169A0"/>
    <w:rsid w:val="00F20F23"/>
    <w:rsid w:val="00F21024"/>
    <w:rsid w:val="00F2126D"/>
    <w:rsid w:val="00F2170C"/>
    <w:rsid w:val="00F2182E"/>
    <w:rsid w:val="00F21EBD"/>
    <w:rsid w:val="00F222CF"/>
    <w:rsid w:val="00F22B0F"/>
    <w:rsid w:val="00F230C0"/>
    <w:rsid w:val="00F2327C"/>
    <w:rsid w:val="00F23826"/>
    <w:rsid w:val="00F24970"/>
    <w:rsid w:val="00F24E71"/>
    <w:rsid w:val="00F25220"/>
    <w:rsid w:val="00F253C0"/>
    <w:rsid w:val="00F254A0"/>
    <w:rsid w:val="00F269C8"/>
    <w:rsid w:val="00F27AEC"/>
    <w:rsid w:val="00F27C91"/>
    <w:rsid w:val="00F27CC9"/>
    <w:rsid w:val="00F27D2F"/>
    <w:rsid w:val="00F30D1D"/>
    <w:rsid w:val="00F30E10"/>
    <w:rsid w:val="00F30E68"/>
    <w:rsid w:val="00F3134F"/>
    <w:rsid w:val="00F31DB5"/>
    <w:rsid w:val="00F3211A"/>
    <w:rsid w:val="00F32D01"/>
    <w:rsid w:val="00F330CD"/>
    <w:rsid w:val="00F3369A"/>
    <w:rsid w:val="00F340E4"/>
    <w:rsid w:val="00F3450A"/>
    <w:rsid w:val="00F34AF8"/>
    <w:rsid w:val="00F34B37"/>
    <w:rsid w:val="00F34B5A"/>
    <w:rsid w:val="00F34DFB"/>
    <w:rsid w:val="00F35FC6"/>
    <w:rsid w:val="00F3624B"/>
    <w:rsid w:val="00F36748"/>
    <w:rsid w:val="00F3722E"/>
    <w:rsid w:val="00F378DF"/>
    <w:rsid w:val="00F37D1B"/>
    <w:rsid w:val="00F37FC1"/>
    <w:rsid w:val="00F401C3"/>
    <w:rsid w:val="00F40779"/>
    <w:rsid w:val="00F407A7"/>
    <w:rsid w:val="00F40AA7"/>
    <w:rsid w:val="00F40BD2"/>
    <w:rsid w:val="00F40D0C"/>
    <w:rsid w:val="00F40FA9"/>
    <w:rsid w:val="00F41984"/>
    <w:rsid w:val="00F419DA"/>
    <w:rsid w:val="00F41ECD"/>
    <w:rsid w:val="00F42144"/>
    <w:rsid w:val="00F422A1"/>
    <w:rsid w:val="00F4391A"/>
    <w:rsid w:val="00F444BF"/>
    <w:rsid w:val="00F4450F"/>
    <w:rsid w:val="00F448A0"/>
    <w:rsid w:val="00F44BAB"/>
    <w:rsid w:val="00F454E1"/>
    <w:rsid w:val="00F4593F"/>
    <w:rsid w:val="00F4621C"/>
    <w:rsid w:val="00F46C8A"/>
    <w:rsid w:val="00F470C0"/>
    <w:rsid w:val="00F47377"/>
    <w:rsid w:val="00F47401"/>
    <w:rsid w:val="00F474AA"/>
    <w:rsid w:val="00F47588"/>
    <w:rsid w:val="00F504AC"/>
    <w:rsid w:val="00F51258"/>
    <w:rsid w:val="00F51EA2"/>
    <w:rsid w:val="00F520F9"/>
    <w:rsid w:val="00F525A7"/>
    <w:rsid w:val="00F52A40"/>
    <w:rsid w:val="00F52CA8"/>
    <w:rsid w:val="00F533A7"/>
    <w:rsid w:val="00F534E7"/>
    <w:rsid w:val="00F53ABB"/>
    <w:rsid w:val="00F54AE4"/>
    <w:rsid w:val="00F54B6F"/>
    <w:rsid w:val="00F54DF6"/>
    <w:rsid w:val="00F55345"/>
    <w:rsid w:val="00F55BE0"/>
    <w:rsid w:val="00F560FF"/>
    <w:rsid w:val="00F56100"/>
    <w:rsid w:val="00F5662D"/>
    <w:rsid w:val="00F56A15"/>
    <w:rsid w:val="00F576D9"/>
    <w:rsid w:val="00F5777C"/>
    <w:rsid w:val="00F57A3F"/>
    <w:rsid w:val="00F57F0C"/>
    <w:rsid w:val="00F60106"/>
    <w:rsid w:val="00F60F5E"/>
    <w:rsid w:val="00F620DE"/>
    <w:rsid w:val="00F625E2"/>
    <w:rsid w:val="00F6261E"/>
    <w:rsid w:val="00F627E7"/>
    <w:rsid w:val="00F629B4"/>
    <w:rsid w:val="00F629CD"/>
    <w:rsid w:val="00F62E8A"/>
    <w:rsid w:val="00F63463"/>
    <w:rsid w:val="00F63736"/>
    <w:rsid w:val="00F63F57"/>
    <w:rsid w:val="00F63F96"/>
    <w:rsid w:val="00F643FE"/>
    <w:rsid w:val="00F644D7"/>
    <w:rsid w:val="00F645D8"/>
    <w:rsid w:val="00F646C4"/>
    <w:rsid w:val="00F64DDA"/>
    <w:rsid w:val="00F662EB"/>
    <w:rsid w:val="00F66B49"/>
    <w:rsid w:val="00F66C0E"/>
    <w:rsid w:val="00F67071"/>
    <w:rsid w:val="00F705C4"/>
    <w:rsid w:val="00F706C0"/>
    <w:rsid w:val="00F708B1"/>
    <w:rsid w:val="00F70A30"/>
    <w:rsid w:val="00F70A57"/>
    <w:rsid w:val="00F70A6D"/>
    <w:rsid w:val="00F710D3"/>
    <w:rsid w:val="00F712E6"/>
    <w:rsid w:val="00F72663"/>
    <w:rsid w:val="00F72D34"/>
    <w:rsid w:val="00F72D98"/>
    <w:rsid w:val="00F732FA"/>
    <w:rsid w:val="00F733E0"/>
    <w:rsid w:val="00F73922"/>
    <w:rsid w:val="00F73AA3"/>
    <w:rsid w:val="00F7402E"/>
    <w:rsid w:val="00F7469F"/>
    <w:rsid w:val="00F74754"/>
    <w:rsid w:val="00F7476E"/>
    <w:rsid w:val="00F748CE"/>
    <w:rsid w:val="00F75278"/>
    <w:rsid w:val="00F7571F"/>
    <w:rsid w:val="00F75C1C"/>
    <w:rsid w:val="00F75EDB"/>
    <w:rsid w:val="00F7662D"/>
    <w:rsid w:val="00F76F9E"/>
    <w:rsid w:val="00F7754E"/>
    <w:rsid w:val="00F77BAA"/>
    <w:rsid w:val="00F8053B"/>
    <w:rsid w:val="00F806C6"/>
    <w:rsid w:val="00F80BF8"/>
    <w:rsid w:val="00F8141F"/>
    <w:rsid w:val="00F8179C"/>
    <w:rsid w:val="00F81EF7"/>
    <w:rsid w:val="00F82B32"/>
    <w:rsid w:val="00F82B9E"/>
    <w:rsid w:val="00F83BC3"/>
    <w:rsid w:val="00F83F8A"/>
    <w:rsid w:val="00F84136"/>
    <w:rsid w:val="00F84182"/>
    <w:rsid w:val="00F84292"/>
    <w:rsid w:val="00F84630"/>
    <w:rsid w:val="00F846F1"/>
    <w:rsid w:val="00F84A0A"/>
    <w:rsid w:val="00F85231"/>
    <w:rsid w:val="00F852C9"/>
    <w:rsid w:val="00F8547C"/>
    <w:rsid w:val="00F8560F"/>
    <w:rsid w:val="00F8567E"/>
    <w:rsid w:val="00F856D9"/>
    <w:rsid w:val="00F85772"/>
    <w:rsid w:val="00F85F50"/>
    <w:rsid w:val="00F86023"/>
    <w:rsid w:val="00F862BF"/>
    <w:rsid w:val="00F8686A"/>
    <w:rsid w:val="00F86FAE"/>
    <w:rsid w:val="00F87205"/>
    <w:rsid w:val="00F87514"/>
    <w:rsid w:val="00F875D2"/>
    <w:rsid w:val="00F90645"/>
    <w:rsid w:val="00F90EE9"/>
    <w:rsid w:val="00F920CD"/>
    <w:rsid w:val="00F922A2"/>
    <w:rsid w:val="00F9264D"/>
    <w:rsid w:val="00F92A29"/>
    <w:rsid w:val="00F92B56"/>
    <w:rsid w:val="00F92C51"/>
    <w:rsid w:val="00F9302B"/>
    <w:rsid w:val="00F931D3"/>
    <w:rsid w:val="00F93B82"/>
    <w:rsid w:val="00F93F09"/>
    <w:rsid w:val="00F94866"/>
    <w:rsid w:val="00F948E4"/>
    <w:rsid w:val="00F951D7"/>
    <w:rsid w:val="00F95A6B"/>
    <w:rsid w:val="00F95D38"/>
    <w:rsid w:val="00F960E5"/>
    <w:rsid w:val="00F977BF"/>
    <w:rsid w:val="00F97A64"/>
    <w:rsid w:val="00F97EFF"/>
    <w:rsid w:val="00FA0813"/>
    <w:rsid w:val="00FA14BA"/>
    <w:rsid w:val="00FA15CF"/>
    <w:rsid w:val="00FA1831"/>
    <w:rsid w:val="00FA2416"/>
    <w:rsid w:val="00FA262B"/>
    <w:rsid w:val="00FA2780"/>
    <w:rsid w:val="00FA2864"/>
    <w:rsid w:val="00FA32D0"/>
    <w:rsid w:val="00FA422F"/>
    <w:rsid w:val="00FA4640"/>
    <w:rsid w:val="00FA474E"/>
    <w:rsid w:val="00FA4C7C"/>
    <w:rsid w:val="00FA4DFC"/>
    <w:rsid w:val="00FA523F"/>
    <w:rsid w:val="00FA588B"/>
    <w:rsid w:val="00FA5A41"/>
    <w:rsid w:val="00FA611F"/>
    <w:rsid w:val="00FA6249"/>
    <w:rsid w:val="00FA642E"/>
    <w:rsid w:val="00FA659B"/>
    <w:rsid w:val="00FA65FB"/>
    <w:rsid w:val="00FA6658"/>
    <w:rsid w:val="00FA678F"/>
    <w:rsid w:val="00FA71B9"/>
    <w:rsid w:val="00FA7202"/>
    <w:rsid w:val="00FA7ECB"/>
    <w:rsid w:val="00FB0404"/>
    <w:rsid w:val="00FB09A6"/>
    <w:rsid w:val="00FB0B6D"/>
    <w:rsid w:val="00FB0D06"/>
    <w:rsid w:val="00FB104D"/>
    <w:rsid w:val="00FB178B"/>
    <w:rsid w:val="00FB19D2"/>
    <w:rsid w:val="00FB1EF3"/>
    <w:rsid w:val="00FB227E"/>
    <w:rsid w:val="00FB24FB"/>
    <w:rsid w:val="00FB25CC"/>
    <w:rsid w:val="00FB273F"/>
    <w:rsid w:val="00FB2A0B"/>
    <w:rsid w:val="00FB356F"/>
    <w:rsid w:val="00FB35DF"/>
    <w:rsid w:val="00FB3814"/>
    <w:rsid w:val="00FB3A91"/>
    <w:rsid w:val="00FB4365"/>
    <w:rsid w:val="00FB44AD"/>
    <w:rsid w:val="00FB49D3"/>
    <w:rsid w:val="00FB4D66"/>
    <w:rsid w:val="00FB4FAD"/>
    <w:rsid w:val="00FB60F3"/>
    <w:rsid w:val="00FB615D"/>
    <w:rsid w:val="00FB69A1"/>
    <w:rsid w:val="00FB75DF"/>
    <w:rsid w:val="00FC017F"/>
    <w:rsid w:val="00FC0999"/>
    <w:rsid w:val="00FC1052"/>
    <w:rsid w:val="00FC2216"/>
    <w:rsid w:val="00FC260A"/>
    <w:rsid w:val="00FC274F"/>
    <w:rsid w:val="00FC2E02"/>
    <w:rsid w:val="00FC31C1"/>
    <w:rsid w:val="00FC3852"/>
    <w:rsid w:val="00FC4176"/>
    <w:rsid w:val="00FC5D2A"/>
    <w:rsid w:val="00FC6284"/>
    <w:rsid w:val="00FC669E"/>
    <w:rsid w:val="00FC6811"/>
    <w:rsid w:val="00FC6988"/>
    <w:rsid w:val="00FC6BC2"/>
    <w:rsid w:val="00FC7D3F"/>
    <w:rsid w:val="00FD043D"/>
    <w:rsid w:val="00FD06C5"/>
    <w:rsid w:val="00FD0D0A"/>
    <w:rsid w:val="00FD1350"/>
    <w:rsid w:val="00FD1584"/>
    <w:rsid w:val="00FD1B8A"/>
    <w:rsid w:val="00FD1E63"/>
    <w:rsid w:val="00FD249A"/>
    <w:rsid w:val="00FD2A3D"/>
    <w:rsid w:val="00FD498F"/>
    <w:rsid w:val="00FD50D7"/>
    <w:rsid w:val="00FD5263"/>
    <w:rsid w:val="00FD5B2C"/>
    <w:rsid w:val="00FD5B87"/>
    <w:rsid w:val="00FD659F"/>
    <w:rsid w:val="00FD6778"/>
    <w:rsid w:val="00FD6944"/>
    <w:rsid w:val="00FD7E12"/>
    <w:rsid w:val="00FD7FCF"/>
    <w:rsid w:val="00FE040F"/>
    <w:rsid w:val="00FE0E56"/>
    <w:rsid w:val="00FE1B16"/>
    <w:rsid w:val="00FE27F4"/>
    <w:rsid w:val="00FE3AF7"/>
    <w:rsid w:val="00FE3B8F"/>
    <w:rsid w:val="00FE3FD2"/>
    <w:rsid w:val="00FE44C9"/>
    <w:rsid w:val="00FE47ED"/>
    <w:rsid w:val="00FE585A"/>
    <w:rsid w:val="00FE5913"/>
    <w:rsid w:val="00FE59BE"/>
    <w:rsid w:val="00FE5C41"/>
    <w:rsid w:val="00FE6944"/>
    <w:rsid w:val="00FE69BA"/>
    <w:rsid w:val="00FE69EA"/>
    <w:rsid w:val="00FE6EF2"/>
    <w:rsid w:val="00FE6F03"/>
    <w:rsid w:val="00FE748F"/>
    <w:rsid w:val="00FF098F"/>
    <w:rsid w:val="00FF177D"/>
    <w:rsid w:val="00FF17FA"/>
    <w:rsid w:val="00FF1A0B"/>
    <w:rsid w:val="00FF1A2C"/>
    <w:rsid w:val="00FF203C"/>
    <w:rsid w:val="00FF3DA8"/>
    <w:rsid w:val="00FF3FD2"/>
    <w:rsid w:val="00FF4484"/>
    <w:rsid w:val="00FF48EA"/>
    <w:rsid w:val="00FF543F"/>
    <w:rsid w:val="00FF6B2C"/>
    <w:rsid w:val="00FF786E"/>
    <w:rsid w:val="00FF7CE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9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E23069"/>
    <w:rPr>
      <w:sz w:val="26"/>
      <w:szCs w:val="24"/>
    </w:rPr>
  </w:style>
  <w:style w:type="paragraph" w:styleId="Heading1">
    <w:name w:val="heading 1"/>
    <w:basedOn w:val="BodyText"/>
    <w:next w:val="BodyText"/>
    <w:rsid w:val="00E23069"/>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E23069"/>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E23069"/>
    <w:pPr>
      <w:spacing w:before="560" w:line="320" w:lineRule="exact"/>
      <w:ind w:left="0" w:firstLine="0"/>
      <w:outlineLvl w:val="2"/>
    </w:pPr>
    <w:rPr>
      <w:sz w:val="26"/>
    </w:rPr>
  </w:style>
  <w:style w:type="paragraph" w:styleId="Heading4">
    <w:name w:val="heading 4"/>
    <w:basedOn w:val="Heading3"/>
    <w:next w:val="BodyText"/>
    <w:qFormat/>
    <w:rsid w:val="00E23069"/>
    <w:pPr>
      <w:spacing w:before="480"/>
      <w:outlineLvl w:val="3"/>
    </w:pPr>
    <w:rPr>
      <w:b w:val="0"/>
      <w:i/>
      <w:sz w:val="24"/>
    </w:rPr>
  </w:style>
  <w:style w:type="paragraph" w:styleId="Heading5">
    <w:name w:val="heading 5"/>
    <w:basedOn w:val="Heading4"/>
    <w:next w:val="BodyText"/>
    <w:qFormat/>
    <w:rsid w:val="00E23069"/>
    <w:pPr>
      <w:outlineLvl w:val="4"/>
    </w:pPr>
    <w:rPr>
      <w:rFonts w:ascii="Times New Roman" w:hAnsi="Times New Roman"/>
      <w:sz w:val="26"/>
    </w:rPr>
  </w:style>
  <w:style w:type="paragraph" w:styleId="Heading6">
    <w:name w:val="heading 6"/>
    <w:basedOn w:val="BodyText"/>
    <w:next w:val="BodyText"/>
    <w:rsid w:val="00E23069"/>
    <w:pPr>
      <w:spacing w:after="60"/>
      <w:jc w:val="left"/>
      <w:outlineLvl w:val="5"/>
    </w:pPr>
    <w:rPr>
      <w:i/>
      <w:sz w:val="22"/>
    </w:rPr>
  </w:style>
  <w:style w:type="paragraph" w:styleId="Heading7">
    <w:name w:val="heading 7"/>
    <w:basedOn w:val="BodyText"/>
    <w:next w:val="BodyText"/>
    <w:rsid w:val="00E23069"/>
    <w:pPr>
      <w:spacing w:after="60" w:line="240" w:lineRule="auto"/>
      <w:jc w:val="left"/>
      <w:outlineLvl w:val="6"/>
    </w:pPr>
    <w:rPr>
      <w:rFonts w:ascii="Arial" w:hAnsi="Arial"/>
      <w:sz w:val="20"/>
    </w:rPr>
  </w:style>
  <w:style w:type="paragraph" w:styleId="Heading8">
    <w:name w:val="heading 8"/>
    <w:basedOn w:val="BodyText"/>
    <w:next w:val="BodyText"/>
    <w:rsid w:val="00E23069"/>
    <w:pPr>
      <w:spacing w:after="60" w:line="240" w:lineRule="auto"/>
      <w:jc w:val="left"/>
      <w:outlineLvl w:val="7"/>
    </w:pPr>
    <w:rPr>
      <w:rFonts w:ascii="Arial" w:hAnsi="Arial"/>
      <w:i/>
      <w:sz w:val="20"/>
    </w:rPr>
  </w:style>
  <w:style w:type="paragraph" w:styleId="Heading9">
    <w:name w:val="heading 9"/>
    <w:basedOn w:val="BodyText"/>
    <w:next w:val="BodyText"/>
    <w:rsid w:val="00E23069"/>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E230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3069"/>
  </w:style>
  <w:style w:type="paragraph" w:styleId="BodyText">
    <w:name w:val="Body Text"/>
    <w:link w:val="BodyTextChar"/>
    <w:qFormat/>
    <w:rsid w:val="00E23069"/>
    <w:pPr>
      <w:spacing w:before="240" w:line="320" w:lineRule="atLeast"/>
      <w:jc w:val="both"/>
    </w:pPr>
    <w:rPr>
      <w:sz w:val="26"/>
    </w:rPr>
  </w:style>
  <w:style w:type="paragraph" w:customStyle="1" w:styleId="Chapter">
    <w:name w:val="Chapter"/>
    <w:basedOn w:val="Heading1"/>
    <w:next w:val="BodyText"/>
    <w:semiHidden/>
    <w:rsid w:val="00E23069"/>
    <w:pPr>
      <w:ind w:left="0" w:firstLine="0"/>
      <w:outlineLvl w:val="9"/>
    </w:pPr>
  </w:style>
  <w:style w:type="paragraph" w:customStyle="1" w:styleId="SequenceInfo">
    <w:name w:val="Sequence Info"/>
    <w:basedOn w:val="BodyText"/>
    <w:semiHidden/>
    <w:rsid w:val="00E23069"/>
    <w:rPr>
      <w:vanish/>
      <w:sz w:val="16"/>
    </w:rPr>
  </w:style>
  <w:style w:type="character" w:styleId="CommentReference">
    <w:name w:val="annotation reference"/>
    <w:basedOn w:val="DefaultParagraphFont"/>
    <w:semiHidden/>
    <w:rsid w:val="00E23069"/>
    <w:rPr>
      <w:b/>
      <w:vanish/>
      <w:color w:val="FF00FF"/>
      <w:sz w:val="20"/>
    </w:rPr>
  </w:style>
  <w:style w:type="paragraph" w:styleId="CommentText">
    <w:name w:val="annotation text"/>
    <w:basedOn w:val="Normal"/>
    <w:semiHidden/>
    <w:rsid w:val="00E23069"/>
    <w:pPr>
      <w:spacing w:before="120" w:line="240" w:lineRule="atLeast"/>
      <w:ind w:left="567" w:hanging="567"/>
    </w:pPr>
    <w:rPr>
      <w:sz w:val="20"/>
    </w:rPr>
  </w:style>
  <w:style w:type="paragraph" w:customStyle="1" w:styleId="Abbreviation">
    <w:name w:val="Abbreviation"/>
    <w:basedOn w:val="BodyText"/>
    <w:rsid w:val="00E23069"/>
    <w:pPr>
      <w:spacing w:before="120"/>
      <w:ind w:left="2381" w:hanging="2381"/>
      <w:jc w:val="left"/>
    </w:pPr>
  </w:style>
  <w:style w:type="paragraph" w:customStyle="1" w:styleId="Box">
    <w:name w:val="Box"/>
    <w:basedOn w:val="BodyText"/>
    <w:link w:val="BoxChar"/>
    <w:qFormat/>
    <w:rsid w:val="00E23069"/>
    <w:pPr>
      <w:keepNext/>
      <w:spacing w:before="120" w:line="280" w:lineRule="atLeast"/>
    </w:pPr>
    <w:rPr>
      <w:rFonts w:ascii="Arial" w:hAnsi="Arial"/>
      <w:sz w:val="22"/>
    </w:rPr>
  </w:style>
  <w:style w:type="paragraph" w:customStyle="1" w:styleId="QuoteBullet">
    <w:name w:val="Quote Bullet"/>
    <w:basedOn w:val="Quote"/>
    <w:rsid w:val="00E23069"/>
    <w:pPr>
      <w:numPr>
        <w:numId w:val="11"/>
      </w:numPr>
    </w:pPr>
  </w:style>
  <w:style w:type="paragraph" w:styleId="Quote">
    <w:name w:val="Quote"/>
    <w:basedOn w:val="BodyText"/>
    <w:next w:val="BodyText"/>
    <w:qFormat/>
    <w:rsid w:val="00E23069"/>
    <w:pPr>
      <w:spacing w:before="120" w:line="280" w:lineRule="exact"/>
      <w:ind w:left="340"/>
    </w:pPr>
    <w:rPr>
      <w:sz w:val="24"/>
    </w:rPr>
  </w:style>
  <w:style w:type="paragraph" w:customStyle="1" w:styleId="BoxListBullet">
    <w:name w:val="Box List Bullet"/>
    <w:basedOn w:val="BodyText"/>
    <w:rsid w:val="00E23069"/>
    <w:pPr>
      <w:keepNext/>
      <w:numPr>
        <w:numId w:val="6"/>
      </w:numPr>
      <w:spacing w:before="60" w:line="280" w:lineRule="atLeast"/>
    </w:pPr>
    <w:rPr>
      <w:rFonts w:ascii="Arial" w:hAnsi="Arial"/>
      <w:sz w:val="22"/>
    </w:rPr>
  </w:style>
  <w:style w:type="paragraph" w:customStyle="1" w:styleId="BoxListBullet2">
    <w:name w:val="Box List Bullet 2"/>
    <w:basedOn w:val="BodyText"/>
    <w:rsid w:val="00E23069"/>
    <w:pPr>
      <w:keepNext/>
      <w:numPr>
        <w:numId w:val="3"/>
      </w:numPr>
      <w:spacing w:before="60" w:line="280" w:lineRule="atLeast"/>
    </w:pPr>
    <w:rPr>
      <w:rFonts w:ascii="Arial" w:hAnsi="Arial"/>
      <w:sz w:val="22"/>
    </w:rPr>
  </w:style>
  <w:style w:type="paragraph" w:customStyle="1" w:styleId="BoxListNumber">
    <w:name w:val="Box List Number"/>
    <w:basedOn w:val="BodyText"/>
    <w:rsid w:val="00E23069"/>
    <w:pPr>
      <w:keepNext/>
      <w:numPr>
        <w:numId w:val="15"/>
      </w:numPr>
      <w:spacing w:before="60" w:line="280" w:lineRule="atLeast"/>
    </w:pPr>
    <w:rPr>
      <w:rFonts w:ascii="Arial" w:hAnsi="Arial"/>
      <w:sz w:val="22"/>
    </w:rPr>
  </w:style>
  <w:style w:type="paragraph" w:customStyle="1" w:styleId="BoxListNumber2">
    <w:name w:val="Box List Number 2"/>
    <w:basedOn w:val="BoxListNumber"/>
    <w:rsid w:val="00E23069"/>
    <w:pPr>
      <w:numPr>
        <w:ilvl w:val="1"/>
      </w:numPr>
    </w:pPr>
  </w:style>
  <w:style w:type="paragraph" w:customStyle="1" w:styleId="BoxQuote">
    <w:name w:val="Box Quote"/>
    <w:basedOn w:val="BodyText"/>
    <w:next w:val="Box"/>
    <w:link w:val="BoxQuoteChar"/>
    <w:rsid w:val="00E23069"/>
    <w:pPr>
      <w:keepNext/>
      <w:spacing w:before="60" w:line="260" w:lineRule="exact"/>
      <w:ind w:left="284"/>
    </w:pPr>
    <w:rPr>
      <w:rFonts w:ascii="Arial" w:hAnsi="Arial"/>
      <w:sz w:val="20"/>
    </w:rPr>
  </w:style>
  <w:style w:type="paragraph" w:customStyle="1" w:styleId="BoxSource">
    <w:name w:val="Box Source"/>
    <w:basedOn w:val="Source"/>
    <w:next w:val="BodyText"/>
    <w:rsid w:val="00E23069"/>
    <w:pPr>
      <w:spacing w:before="180" w:after="0"/>
    </w:pPr>
  </w:style>
  <w:style w:type="paragraph" w:customStyle="1" w:styleId="Source">
    <w:name w:val="Source"/>
    <w:basedOn w:val="Note"/>
    <w:next w:val="BodyText"/>
    <w:link w:val="SourceChar"/>
    <w:rsid w:val="00E23069"/>
    <w:pPr>
      <w:spacing w:after="120"/>
    </w:pPr>
  </w:style>
  <w:style w:type="paragraph" w:customStyle="1" w:styleId="Note">
    <w:name w:val="Note"/>
    <w:basedOn w:val="BodyText"/>
    <w:next w:val="BodyText"/>
    <w:link w:val="NoteChar"/>
    <w:rsid w:val="00E23069"/>
    <w:pPr>
      <w:keepLines/>
      <w:spacing w:before="80" w:line="220" w:lineRule="exact"/>
    </w:pPr>
    <w:rPr>
      <w:rFonts w:ascii="Arial" w:hAnsi="Arial"/>
      <w:sz w:val="18"/>
    </w:rPr>
  </w:style>
  <w:style w:type="paragraph" w:customStyle="1" w:styleId="BoxSpace">
    <w:name w:val="Box Space"/>
    <w:basedOn w:val="BodyText"/>
    <w:rsid w:val="00281719"/>
    <w:pPr>
      <w:keepNext/>
      <w:spacing w:before="360" w:line="80" w:lineRule="exact"/>
      <w:jc w:val="left"/>
    </w:pPr>
  </w:style>
  <w:style w:type="paragraph" w:customStyle="1" w:styleId="BoxSubtitle">
    <w:name w:val="Box Subtitle"/>
    <w:basedOn w:val="BoxTitle"/>
    <w:next w:val="Normal"/>
    <w:rsid w:val="00E23069"/>
    <w:pPr>
      <w:spacing w:after="80" w:line="200" w:lineRule="exact"/>
      <w:ind w:firstLine="0"/>
    </w:pPr>
    <w:rPr>
      <w:b w:val="0"/>
      <w:sz w:val="20"/>
    </w:rPr>
  </w:style>
  <w:style w:type="paragraph" w:customStyle="1" w:styleId="BoxTitle">
    <w:name w:val="Box Title"/>
    <w:basedOn w:val="Caption"/>
    <w:next w:val="BoxSubtitle"/>
    <w:rsid w:val="00E23069"/>
    <w:pPr>
      <w:spacing w:before="120" w:after="0"/>
      <w:ind w:left="1304" w:hanging="1304"/>
    </w:pPr>
    <w:rPr>
      <w:sz w:val="24"/>
    </w:rPr>
  </w:style>
  <w:style w:type="paragraph" w:styleId="Caption">
    <w:name w:val="caption"/>
    <w:basedOn w:val="Normal"/>
    <w:next w:val="BodyText"/>
    <w:rsid w:val="00E23069"/>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E23069"/>
    <w:pPr>
      <w:ind w:left="907"/>
    </w:pPr>
    <w:rPr>
      <w:rFonts w:ascii="Arial" w:hAnsi="Arial"/>
      <w:b/>
      <w:sz w:val="22"/>
    </w:rPr>
  </w:style>
  <w:style w:type="character" w:customStyle="1" w:styleId="DocumentInfo">
    <w:name w:val="Document Info"/>
    <w:basedOn w:val="DefaultParagraphFont"/>
    <w:semiHidden/>
    <w:rsid w:val="00E23069"/>
    <w:rPr>
      <w:rFonts w:ascii="Arial" w:hAnsi="Arial"/>
      <w:sz w:val="14"/>
    </w:rPr>
  </w:style>
  <w:style w:type="paragraph" w:styleId="Footer">
    <w:name w:val="footer"/>
    <w:basedOn w:val="BodyText"/>
    <w:semiHidden/>
    <w:rsid w:val="00E23069"/>
    <w:pPr>
      <w:spacing w:before="80" w:line="200" w:lineRule="exact"/>
      <w:ind w:right="6"/>
      <w:jc w:val="left"/>
    </w:pPr>
    <w:rPr>
      <w:caps/>
      <w:spacing w:val="-4"/>
      <w:sz w:val="16"/>
    </w:rPr>
  </w:style>
  <w:style w:type="character" w:customStyle="1" w:styleId="DraftingNote">
    <w:name w:val="Drafting Note"/>
    <w:basedOn w:val="DefaultParagraphFont"/>
    <w:rsid w:val="00E23069"/>
    <w:rPr>
      <w:b/>
      <w:color w:val="FF0000"/>
      <w:sz w:val="24"/>
      <w:u w:val="dotted"/>
    </w:rPr>
  </w:style>
  <w:style w:type="paragraph" w:customStyle="1" w:styleId="Figure">
    <w:name w:val="Figure"/>
    <w:basedOn w:val="BodyText"/>
    <w:link w:val="FigureChar"/>
    <w:rsid w:val="00E23069"/>
    <w:pPr>
      <w:keepNext/>
      <w:spacing w:before="120" w:after="120" w:line="240" w:lineRule="atLeast"/>
      <w:jc w:val="center"/>
    </w:pPr>
  </w:style>
  <w:style w:type="paragraph" w:customStyle="1" w:styleId="FigureTitle">
    <w:name w:val="Figure Title"/>
    <w:basedOn w:val="Caption"/>
    <w:next w:val="Subtitle"/>
    <w:rsid w:val="00E23069"/>
    <w:rPr>
      <w:sz w:val="24"/>
    </w:rPr>
  </w:style>
  <w:style w:type="paragraph" w:styleId="Subtitle">
    <w:name w:val="Subtitle"/>
    <w:basedOn w:val="Caption"/>
    <w:link w:val="SubtitleChar"/>
    <w:rsid w:val="00E23069"/>
    <w:pPr>
      <w:spacing w:before="0" w:line="200" w:lineRule="exact"/>
      <w:ind w:firstLine="0"/>
    </w:pPr>
    <w:rPr>
      <w:b w:val="0"/>
      <w:sz w:val="20"/>
    </w:rPr>
  </w:style>
  <w:style w:type="paragraph" w:customStyle="1" w:styleId="Finding">
    <w:name w:val="Finding"/>
    <w:basedOn w:val="BodyText"/>
    <w:rsid w:val="00E23069"/>
    <w:pPr>
      <w:keepLines/>
      <w:spacing w:before="180"/>
    </w:pPr>
    <w:rPr>
      <w:i/>
    </w:rPr>
  </w:style>
  <w:style w:type="paragraph" w:customStyle="1" w:styleId="FindingBullet">
    <w:name w:val="Finding Bullet"/>
    <w:basedOn w:val="Finding"/>
    <w:rsid w:val="00E23069"/>
    <w:pPr>
      <w:numPr>
        <w:numId w:val="7"/>
      </w:numPr>
      <w:spacing w:before="80"/>
    </w:pPr>
  </w:style>
  <w:style w:type="paragraph" w:customStyle="1" w:styleId="FindingNoTitle">
    <w:name w:val="Finding NoTitle"/>
    <w:basedOn w:val="Finding"/>
    <w:rsid w:val="00E23069"/>
    <w:pPr>
      <w:spacing w:before="240"/>
    </w:pPr>
  </w:style>
  <w:style w:type="paragraph" w:customStyle="1" w:styleId="FindingTitle">
    <w:name w:val="Finding Title"/>
    <w:basedOn w:val="RecTitle"/>
    <w:next w:val="Finding"/>
    <w:rsid w:val="00E23069"/>
    <w:pPr>
      <w:framePr w:wrap="notBeside" w:hAnchor="text"/>
    </w:pPr>
  </w:style>
  <w:style w:type="paragraph" w:customStyle="1" w:styleId="RecTitle">
    <w:name w:val="Rec Title"/>
    <w:basedOn w:val="BodyText"/>
    <w:next w:val="Normal"/>
    <w:rsid w:val="00E23069"/>
    <w:pPr>
      <w:keepNext/>
      <w:keepLines/>
    </w:pPr>
    <w:rPr>
      <w:caps/>
      <w:sz w:val="20"/>
    </w:rPr>
  </w:style>
  <w:style w:type="paragraph" w:customStyle="1" w:styleId="FooterEnd">
    <w:name w:val="Footer End"/>
    <w:basedOn w:val="Footer"/>
    <w:rsid w:val="00E23069"/>
    <w:pPr>
      <w:spacing w:before="0" w:line="20" w:lineRule="exact"/>
    </w:pPr>
  </w:style>
  <w:style w:type="character" w:styleId="FootnoteReference">
    <w:name w:val="footnote reference"/>
    <w:basedOn w:val="DefaultParagraphFont"/>
    <w:semiHidden/>
    <w:rsid w:val="00E23069"/>
    <w:rPr>
      <w:rFonts w:ascii="Times New Roman" w:hAnsi="Times New Roman"/>
      <w:position w:val="6"/>
      <w:sz w:val="22"/>
      <w:vertAlign w:val="baseline"/>
    </w:rPr>
  </w:style>
  <w:style w:type="paragraph" w:styleId="FootnoteText">
    <w:name w:val="footnote text"/>
    <w:basedOn w:val="BodyText"/>
    <w:rsid w:val="00E23069"/>
    <w:pPr>
      <w:tabs>
        <w:tab w:val="left" w:pos="284"/>
      </w:tabs>
      <w:spacing w:before="80" w:line="260" w:lineRule="exact"/>
      <w:ind w:left="284" w:hanging="284"/>
    </w:pPr>
    <w:rPr>
      <w:sz w:val="22"/>
    </w:rPr>
  </w:style>
  <w:style w:type="paragraph" w:styleId="Header">
    <w:name w:val="header"/>
    <w:basedOn w:val="BodyText"/>
    <w:rsid w:val="00E23069"/>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E23069"/>
    <w:pPr>
      <w:spacing w:line="20" w:lineRule="exact"/>
    </w:pPr>
    <w:rPr>
      <w:sz w:val="16"/>
    </w:rPr>
  </w:style>
  <w:style w:type="paragraph" w:customStyle="1" w:styleId="HeaderEven">
    <w:name w:val="Header Even"/>
    <w:basedOn w:val="Header"/>
    <w:semiHidden/>
    <w:rsid w:val="00E23069"/>
  </w:style>
  <w:style w:type="paragraph" w:customStyle="1" w:styleId="HeaderOdd">
    <w:name w:val="Header Odd"/>
    <w:basedOn w:val="Header"/>
    <w:semiHidden/>
    <w:rsid w:val="00E23069"/>
  </w:style>
  <w:style w:type="paragraph" w:customStyle="1" w:styleId="InformationRequest">
    <w:name w:val="Information Request"/>
    <w:basedOn w:val="Finding"/>
    <w:next w:val="BodyText"/>
    <w:rsid w:val="00E23069"/>
    <w:pPr>
      <w:spacing w:before="360" w:after="120"/>
    </w:pPr>
    <w:rPr>
      <w:rFonts w:ascii="Arial" w:hAnsi="Arial"/>
      <w:sz w:val="24"/>
    </w:rPr>
  </w:style>
  <w:style w:type="paragraph" w:styleId="ListBullet">
    <w:name w:val="List Bullet"/>
    <w:basedOn w:val="BodyText"/>
    <w:link w:val="ListBulletChar"/>
    <w:rsid w:val="00E23069"/>
    <w:pPr>
      <w:numPr>
        <w:numId w:val="5"/>
      </w:numPr>
      <w:spacing w:before="120"/>
    </w:pPr>
  </w:style>
  <w:style w:type="paragraph" w:styleId="ListBullet2">
    <w:name w:val="List Bullet 2"/>
    <w:basedOn w:val="BodyText"/>
    <w:rsid w:val="00E23069"/>
    <w:pPr>
      <w:numPr>
        <w:numId w:val="2"/>
      </w:numPr>
      <w:spacing w:before="120"/>
    </w:pPr>
  </w:style>
  <w:style w:type="paragraph" w:styleId="ListBullet3">
    <w:name w:val="List Bullet 3"/>
    <w:basedOn w:val="BodyText"/>
    <w:rsid w:val="00E23069"/>
    <w:pPr>
      <w:numPr>
        <w:numId w:val="1"/>
      </w:numPr>
      <w:spacing w:before="120"/>
    </w:pPr>
  </w:style>
  <w:style w:type="paragraph" w:styleId="ListNumber">
    <w:name w:val="List Number"/>
    <w:basedOn w:val="BodyText"/>
    <w:rsid w:val="00E23069"/>
    <w:pPr>
      <w:numPr>
        <w:numId w:val="14"/>
      </w:numPr>
      <w:spacing w:before="120"/>
    </w:pPr>
  </w:style>
  <w:style w:type="paragraph" w:styleId="ListNumber2">
    <w:name w:val="List Number 2"/>
    <w:basedOn w:val="ListNumber"/>
    <w:rsid w:val="00E23069"/>
    <w:pPr>
      <w:numPr>
        <w:ilvl w:val="1"/>
      </w:numPr>
    </w:pPr>
  </w:style>
  <w:style w:type="paragraph" w:styleId="ListNumber3">
    <w:name w:val="List Number 3"/>
    <w:basedOn w:val="ListNumber2"/>
    <w:rsid w:val="00E23069"/>
    <w:pPr>
      <w:numPr>
        <w:ilvl w:val="2"/>
      </w:numPr>
    </w:pPr>
  </w:style>
  <w:style w:type="character" w:customStyle="1" w:styleId="NoteLabel">
    <w:name w:val="Note Label"/>
    <w:basedOn w:val="DefaultParagraphFont"/>
    <w:rsid w:val="00E23069"/>
    <w:rPr>
      <w:rFonts w:ascii="Arial" w:hAnsi="Arial"/>
      <w:b/>
      <w:position w:val="6"/>
      <w:sz w:val="18"/>
    </w:rPr>
  </w:style>
  <w:style w:type="character" w:styleId="PageNumber">
    <w:name w:val="page number"/>
    <w:basedOn w:val="DefaultParagraphFont"/>
    <w:rsid w:val="00E23069"/>
    <w:rPr>
      <w:rFonts w:ascii="Arial" w:hAnsi="Arial"/>
      <w:b/>
      <w:sz w:val="16"/>
    </w:rPr>
  </w:style>
  <w:style w:type="paragraph" w:customStyle="1" w:styleId="PartDivider">
    <w:name w:val="Part Divider"/>
    <w:basedOn w:val="BodyText"/>
    <w:next w:val="BodyText"/>
    <w:semiHidden/>
    <w:rsid w:val="00E23069"/>
    <w:pPr>
      <w:spacing w:before="0" w:line="40" w:lineRule="exact"/>
      <w:jc w:val="right"/>
    </w:pPr>
    <w:rPr>
      <w:smallCaps/>
      <w:sz w:val="16"/>
    </w:rPr>
  </w:style>
  <w:style w:type="paragraph" w:customStyle="1" w:styleId="PartNumber">
    <w:name w:val="Part Number"/>
    <w:basedOn w:val="BodyText"/>
    <w:next w:val="BodyText"/>
    <w:semiHidden/>
    <w:rsid w:val="00E23069"/>
    <w:pPr>
      <w:spacing w:before="4000" w:line="320" w:lineRule="exact"/>
      <w:ind w:left="6634"/>
      <w:jc w:val="right"/>
    </w:pPr>
    <w:rPr>
      <w:smallCaps/>
      <w:spacing w:val="60"/>
      <w:sz w:val="32"/>
    </w:rPr>
  </w:style>
  <w:style w:type="paragraph" w:customStyle="1" w:styleId="PartTitle">
    <w:name w:val="Part Title"/>
    <w:basedOn w:val="BodyText"/>
    <w:semiHidden/>
    <w:rsid w:val="00E23069"/>
    <w:pPr>
      <w:spacing w:before="160" w:after="1360" w:line="520" w:lineRule="exact"/>
      <w:ind w:right="2381"/>
      <w:jc w:val="right"/>
    </w:pPr>
    <w:rPr>
      <w:smallCaps/>
      <w:sz w:val="52"/>
    </w:rPr>
  </w:style>
  <w:style w:type="paragraph" w:customStyle="1" w:styleId="Rec">
    <w:name w:val="Rec"/>
    <w:basedOn w:val="BodyText"/>
    <w:rsid w:val="00E23069"/>
    <w:pPr>
      <w:keepLines/>
      <w:spacing w:before="180"/>
    </w:pPr>
    <w:rPr>
      <w:b/>
      <w:i/>
    </w:rPr>
  </w:style>
  <w:style w:type="paragraph" w:customStyle="1" w:styleId="RecBullet">
    <w:name w:val="Rec Bullet"/>
    <w:basedOn w:val="Rec"/>
    <w:rsid w:val="00E23069"/>
    <w:pPr>
      <w:numPr>
        <w:numId w:val="8"/>
      </w:numPr>
      <w:spacing w:before="80"/>
    </w:pPr>
  </w:style>
  <w:style w:type="paragraph" w:customStyle="1" w:styleId="RecB">
    <w:name w:val="RecB"/>
    <w:basedOn w:val="Normal"/>
    <w:rsid w:val="00E23069"/>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E23069"/>
    <w:pPr>
      <w:numPr>
        <w:numId w:val="9"/>
      </w:numPr>
      <w:spacing w:before="80"/>
    </w:pPr>
  </w:style>
  <w:style w:type="paragraph" w:customStyle="1" w:styleId="RecBNoTitle">
    <w:name w:val="RecB NoTitle"/>
    <w:basedOn w:val="RecB"/>
    <w:rsid w:val="00E23069"/>
    <w:pPr>
      <w:spacing w:before="240"/>
    </w:pPr>
  </w:style>
  <w:style w:type="paragraph" w:customStyle="1" w:styleId="Reference">
    <w:name w:val="Reference"/>
    <w:basedOn w:val="BodyText"/>
    <w:link w:val="ReferenceChar"/>
    <w:rsid w:val="00E23069"/>
    <w:pPr>
      <w:spacing w:before="120"/>
      <w:ind w:left="340" w:hanging="340"/>
    </w:pPr>
  </w:style>
  <w:style w:type="paragraph" w:customStyle="1" w:styleId="SideNote">
    <w:name w:val="Side Note"/>
    <w:basedOn w:val="BodyText"/>
    <w:next w:val="BodyText"/>
    <w:semiHidden/>
    <w:rsid w:val="00E23069"/>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E23069"/>
    <w:pPr>
      <w:framePr w:wrap="around"/>
      <w:numPr>
        <w:numId w:val="4"/>
      </w:numPr>
      <w:tabs>
        <w:tab w:val="left" w:pos="227"/>
      </w:tabs>
    </w:pPr>
  </w:style>
  <w:style w:type="paragraph" w:customStyle="1" w:styleId="SideNoteGraphic">
    <w:name w:val="Side Note Graphic"/>
    <w:basedOn w:val="SideNote"/>
    <w:next w:val="BodyText"/>
    <w:semiHidden/>
    <w:rsid w:val="00E23069"/>
    <w:pPr>
      <w:framePr w:wrap="around"/>
    </w:pPr>
  </w:style>
  <w:style w:type="paragraph" w:customStyle="1" w:styleId="TableBodyText">
    <w:name w:val="Table Body Text"/>
    <w:basedOn w:val="BodyText"/>
    <w:rsid w:val="00E23069"/>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E23069"/>
    <w:pPr>
      <w:numPr>
        <w:numId w:val="10"/>
      </w:numPr>
      <w:jc w:val="left"/>
    </w:pPr>
  </w:style>
  <w:style w:type="paragraph" w:customStyle="1" w:styleId="TableColumnHeading">
    <w:name w:val="Table Column Heading"/>
    <w:basedOn w:val="TableBodyText"/>
    <w:rsid w:val="00E23069"/>
    <w:pPr>
      <w:spacing w:before="80" w:after="80"/>
    </w:pPr>
    <w:rPr>
      <w:i/>
    </w:rPr>
  </w:style>
  <w:style w:type="paragraph" w:styleId="TableofFigures">
    <w:name w:val="table of figures"/>
    <w:basedOn w:val="TOC3"/>
    <w:next w:val="BodyText"/>
    <w:semiHidden/>
    <w:rsid w:val="00E23069"/>
    <w:pPr>
      <w:ind w:left="737" w:hanging="737"/>
    </w:pPr>
  </w:style>
  <w:style w:type="paragraph" w:styleId="TOC3">
    <w:name w:val="toc 3"/>
    <w:basedOn w:val="TOC2"/>
    <w:semiHidden/>
    <w:rsid w:val="00E23069"/>
    <w:pPr>
      <w:spacing w:before="60"/>
      <w:ind w:left="1190" w:hanging="680"/>
    </w:pPr>
    <w:rPr>
      <w:b w:val="0"/>
    </w:rPr>
  </w:style>
  <w:style w:type="paragraph" w:styleId="TOC2">
    <w:name w:val="toc 2"/>
    <w:basedOn w:val="BodyText"/>
    <w:rsid w:val="00E23069"/>
    <w:pPr>
      <w:tabs>
        <w:tab w:val="right" w:pos="8789"/>
      </w:tabs>
      <w:ind w:left="510" w:right="851" w:hanging="510"/>
      <w:jc w:val="left"/>
    </w:pPr>
    <w:rPr>
      <w:b/>
    </w:rPr>
  </w:style>
  <w:style w:type="paragraph" w:customStyle="1" w:styleId="TableTitle">
    <w:name w:val="Table Title"/>
    <w:basedOn w:val="Caption"/>
    <w:next w:val="Subtitle"/>
    <w:rsid w:val="00E23069"/>
    <w:rPr>
      <w:sz w:val="24"/>
    </w:rPr>
  </w:style>
  <w:style w:type="paragraph" w:customStyle="1" w:styleId="TableUnitsRow">
    <w:name w:val="Table Units Row"/>
    <w:basedOn w:val="TableBodyText"/>
    <w:rsid w:val="00E23069"/>
    <w:pPr>
      <w:spacing w:before="80" w:after="80"/>
    </w:pPr>
  </w:style>
  <w:style w:type="paragraph" w:styleId="TOC1">
    <w:name w:val="toc 1"/>
    <w:basedOn w:val="Normal"/>
    <w:next w:val="TOC2"/>
    <w:rsid w:val="00E23069"/>
    <w:pPr>
      <w:tabs>
        <w:tab w:val="right" w:pos="8789"/>
      </w:tabs>
      <w:spacing w:before="480" w:after="60" w:line="320" w:lineRule="exact"/>
      <w:ind w:left="1191" w:right="851" w:hanging="1191"/>
    </w:pPr>
    <w:rPr>
      <w:b/>
      <w:caps/>
    </w:rPr>
  </w:style>
  <w:style w:type="paragraph" w:styleId="TOC4">
    <w:name w:val="toc 4"/>
    <w:basedOn w:val="TOC3"/>
    <w:semiHidden/>
    <w:rsid w:val="00E23069"/>
    <w:pPr>
      <w:ind w:left="1191" w:firstLine="0"/>
    </w:pPr>
  </w:style>
  <w:style w:type="paragraph" w:customStyle="1" w:styleId="BoxContinued">
    <w:name w:val="Box Continued"/>
    <w:basedOn w:val="BodyText"/>
    <w:next w:val="BodyText"/>
    <w:link w:val="BoxContinuedChar"/>
    <w:semiHidden/>
    <w:rsid w:val="00E23069"/>
    <w:pPr>
      <w:spacing w:before="180" w:line="220" w:lineRule="exact"/>
      <w:jc w:val="right"/>
    </w:pPr>
    <w:rPr>
      <w:rFonts w:ascii="Arial" w:hAnsi="Arial"/>
      <w:sz w:val="18"/>
    </w:rPr>
  </w:style>
  <w:style w:type="paragraph" w:customStyle="1" w:styleId="Continued">
    <w:name w:val="Continued"/>
    <w:basedOn w:val="BoxContinued"/>
    <w:next w:val="BodyText"/>
    <w:link w:val="ContinuedChar"/>
    <w:rsid w:val="00E23069"/>
  </w:style>
  <w:style w:type="paragraph" w:customStyle="1" w:styleId="BoxHeading1">
    <w:name w:val="Box Heading 1"/>
    <w:basedOn w:val="BodyText"/>
    <w:next w:val="Box"/>
    <w:rsid w:val="00E23069"/>
    <w:pPr>
      <w:keepNext/>
      <w:spacing w:before="200" w:line="280" w:lineRule="atLeast"/>
    </w:pPr>
    <w:rPr>
      <w:rFonts w:ascii="Arial" w:hAnsi="Arial"/>
      <w:b/>
      <w:sz w:val="22"/>
    </w:rPr>
  </w:style>
  <w:style w:type="paragraph" w:customStyle="1" w:styleId="BoxHeading2">
    <w:name w:val="Box Heading 2"/>
    <w:basedOn w:val="BoxHeading1"/>
    <w:next w:val="Normal"/>
    <w:rsid w:val="00E23069"/>
    <w:rPr>
      <w:b w:val="0"/>
      <w:i/>
    </w:rPr>
  </w:style>
  <w:style w:type="paragraph" w:styleId="BalloonText">
    <w:name w:val="Balloon Text"/>
    <w:basedOn w:val="Normal"/>
    <w:link w:val="BalloonTextChar"/>
    <w:rsid w:val="00E23069"/>
    <w:rPr>
      <w:rFonts w:ascii="Tahoma" w:hAnsi="Tahoma" w:cs="Tahoma"/>
      <w:sz w:val="16"/>
      <w:szCs w:val="16"/>
    </w:rPr>
  </w:style>
  <w:style w:type="paragraph" w:customStyle="1" w:styleId="Jurisdictioncommentsbodytext">
    <w:name w:val="Jurisdiction comments body text"/>
    <w:link w:val="JurisdictioncommentsbodytextChar"/>
    <w:rsid w:val="00E23069"/>
    <w:pPr>
      <w:spacing w:after="140"/>
      <w:jc w:val="both"/>
    </w:pPr>
    <w:rPr>
      <w:rFonts w:ascii="Arial" w:hAnsi="Arial"/>
      <w:sz w:val="24"/>
      <w:lang w:eastAsia="en-US"/>
    </w:rPr>
  </w:style>
  <w:style w:type="paragraph" w:customStyle="1" w:styleId="Jurisdictioncommentsheading">
    <w:name w:val="Jurisdiction comments heading"/>
    <w:rsid w:val="00E23069"/>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E23069"/>
    <w:pPr>
      <w:numPr>
        <w:numId w:val="13"/>
      </w:numPr>
      <w:spacing w:after="140"/>
      <w:jc w:val="both"/>
    </w:pPr>
    <w:rPr>
      <w:rFonts w:ascii="Arial" w:hAnsi="Arial"/>
      <w:sz w:val="24"/>
      <w:lang w:eastAsia="en-US"/>
    </w:rPr>
  </w:style>
  <w:style w:type="paragraph" w:customStyle="1" w:styleId="SOC">
    <w:name w:val="SOC"/>
    <w:basedOn w:val="BodyText"/>
    <w:rsid w:val="00F534E7"/>
    <w:pPr>
      <w:spacing w:before="0" w:after="140" w:line="240" w:lineRule="auto"/>
    </w:pPr>
    <w:rPr>
      <w:rFonts w:ascii="Arial" w:hAnsi="Arial"/>
      <w:sz w:val="24"/>
    </w:rPr>
  </w:style>
  <w:style w:type="table" w:styleId="TableGrid">
    <w:name w:val="Table Grid"/>
    <w:basedOn w:val="TableNormal"/>
    <w:rsid w:val="00926C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semiHidden/>
    <w:rsid w:val="00306D8C"/>
    <w:pPr>
      <w:spacing w:before="0" w:line="240" w:lineRule="auto"/>
      <w:ind w:left="0" w:firstLine="0"/>
    </w:pPr>
    <w:rPr>
      <w:b/>
      <w:bCs/>
    </w:rPr>
  </w:style>
  <w:style w:type="character" w:styleId="Hyperlink">
    <w:name w:val="Hyperlink"/>
    <w:uiPriority w:val="99"/>
    <w:rsid w:val="004E1E44"/>
    <w:rPr>
      <w:color w:val="0000FF"/>
      <w:u w:val="single"/>
    </w:rPr>
  </w:style>
  <w:style w:type="paragraph" w:styleId="NormalWeb">
    <w:name w:val="Normal (Web)"/>
    <w:basedOn w:val="Normal"/>
    <w:link w:val="NormalWebChar"/>
    <w:rsid w:val="00BB3348"/>
    <w:pPr>
      <w:spacing w:before="100" w:beforeAutospacing="1" w:after="100" w:afterAutospacing="1"/>
    </w:pPr>
    <w:rPr>
      <w:rFonts w:ascii="Arial" w:hAnsi="Arial" w:cs="Arial"/>
      <w:sz w:val="15"/>
      <w:szCs w:val="15"/>
    </w:rPr>
  </w:style>
  <w:style w:type="paragraph" w:customStyle="1" w:styleId="Table">
    <w:name w:val="Table"/>
    <w:basedOn w:val="Normal"/>
    <w:semiHidden/>
    <w:rsid w:val="005E6972"/>
    <w:rPr>
      <w:rFonts w:ascii="Book Antiqua" w:hAnsi="Book Antiqua"/>
      <w:sz w:val="20"/>
      <w:szCs w:val="20"/>
      <w:lang w:eastAsia="en-US"/>
    </w:rPr>
  </w:style>
  <w:style w:type="paragraph" w:customStyle="1" w:styleId="DocInfo">
    <w:name w:val="Doc Info"/>
    <w:basedOn w:val="Normal"/>
    <w:next w:val="Normal"/>
    <w:rsid w:val="00F534E7"/>
    <w:pPr>
      <w:jc w:val="center"/>
    </w:pPr>
    <w:rPr>
      <w:rFonts w:ascii="Arial" w:hAnsi="Arial"/>
      <w:sz w:val="14"/>
    </w:rPr>
  </w:style>
  <w:style w:type="paragraph" w:customStyle="1" w:styleId="Heading2NotTOC">
    <w:name w:val="Heading 2 Not TOC"/>
    <w:basedOn w:val="Heading2"/>
    <w:next w:val="BodyText"/>
    <w:rsid w:val="00F534E7"/>
    <w:pPr>
      <w:outlineLvl w:val="9"/>
    </w:pPr>
  </w:style>
  <w:style w:type="character" w:customStyle="1" w:styleId="BodyTextChar">
    <w:name w:val="Body Text Char"/>
    <w:link w:val="BodyText"/>
    <w:rsid w:val="00B62339"/>
    <w:rPr>
      <w:sz w:val="26"/>
    </w:rPr>
  </w:style>
  <w:style w:type="character" w:customStyle="1" w:styleId="BoxQuoteChar">
    <w:name w:val="Box Quote Char"/>
    <w:link w:val="BoxQuote"/>
    <w:rsid w:val="00B62339"/>
    <w:rPr>
      <w:rFonts w:ascii="Arial" w:hAnsi="Arial"/>
    </w:rPr>
  </w:style>
  <w:style w:type="paragraph" w:customStyle="1" w:styleId="Default">
    <w:name w:val="Default"/>
    <w:rsid w:val="00696949"/>
    <w:pPr>
      <w:autoSpaceDE w:val="0"/>
      <w:autoSpaceDN w:val="0"/>
      <w:adjustRightInd w:val="0"/>
    </w:pPr>
    <w:rPr>
      <w:rFonts w:ascii="Corbel" w:hAnsi="Corbel" w:cs="Corbel"/>
      <w:color w:val="000000"/>
      <w:sz w:val="24"/>
      <w:szCs w:val="24"/>
    </w:rPr>
  </w:style>
  <w:style w:type="character" w:customStyle="1" w:styleId="NoteChar">
    <w:name w:val="Note Char"/>
    <w:link w:val="Note"/>
    <w:rsid w:val="00D05BA4"/>
    <w:rPr>
      <w:rFonts w:ascii="Arial" w:hAnsi="Arial"/>
      <w:sz w:val="18"/>
    </w:rPr>
  </w:style>
  <w:style w:type="character" w:customStyle="1" w:styleId="SourceChar">
    <w:name w:val="Source Char"/>
    <w:basedOn w:val="NoteChar"/>
    <w:link w:val="Source"/>
    <w:rsid w:val="000D19AF"/>
    <w:rPr>
      <w:rFonts w:ascii="Arial" w:hAnsi="Arial"/>
      <w:sz w:val="18"/>
    </w:rPr>
  </w:style>
  <w:style w:type="character" w:customStyle="1" w:styleId="FigureChar">
    <w:name w:val="Figure Char"/>
    <w:basedOn w:val="BodyTextChar"/>
    <w:link w:val="Figure"/>
    <w:rsid w:val="00D85D0E"/>
    <w:rPr>
      <w:sz w:val="26"/>
    </w:rPr>
  </w:style>
  <w:style w:type="character" w:customStyle="1" w:styleId="NormalWebChar">
    <w:name w:val="Normal (Web) Char"/>
    <w:link w:val="NormalWeb"/>
    <w:rsid w:val="00307EA7"/>
    <w:rPr>
      <w:rFonts w:ascii="Arial" w:hAnsi="Arial" w:cs="Arial"/>
      <w:sz w:val="15"/>
      <w:szCs w:val="15"/>
      <w:lang w:val="en-AU" w:eastAsia="en-AU" w:bidi="ar-SA"/>
    </w:rPr>
  </w:style>
  <w:style w:type="character" w:customStyle="1" w:styleId="BoxChar">
    <w:name w:val="Box Char"/>
    <w:link w:val="Box"/>
    <w:rsid w:val="004934D4"/>
    <w:rPr>
      <w:rFonts w:ascii="Arial" w:hAnsi="Arial"/>
      <w:sz w:val="22"/>
    </w:rPr>
  </w:style>
  <w:style w:type="character" w:styleId="FollowedHyperlink">
    <w:name w:val="FollowedHyperlink"/>
    <w:rsid w:val="008F1D10"/>
    <w:rPr>
      <w:color w:val="800080"/>
      <w:u w:val="single"/>
    </w:rPr>
  </w:style>
  <w:style w:type="character" w:customStyle="1" w:styleId="JurisdictioncommentslistbulletChar">
    <w:name w:val="Jurisdiction comments list bullet Char"/>
    <w:link w:val="Jurisdictioncommentslistbullet"/>
    <w:rsid w:val="003C7ACB"/>
    <w:rPr>
      <w:rFonts w:ascii="Arial" w:hAnsi="Arial"/>
      <w:sz w:val="24"/>
      <w:lang w:eastAsia="en-US"/>
    </w:rPr>
  </w:style>
  <w:style w:type="character" w:customStyle="1" w:styleId="ListBulletChar">
    <w:name w:val="List Bullet Char"/>
    <w:basedOn w:val="BodyTextChar"/>
    <w:link w:val="ListBullet"/>
    <w:rsid w:val="003C7ACB"/>
    <w:rPr>
      <w:sz w:val="26"/>
    </w:rPr>
  </w:style>
  <w:style w:type="character" w:customStyle="1" w:styleId="BoxContinuedChar">
    <w:name w:val="Box Continued Char"/>
    <w:link w:val="BoxContinued"/>
    <w:semiHidden/>
    <w:rsid w:val="00824FB8"/>
    <w:rPr>
      <w:rFonts w:ascii="Arial" w:hAnsi="Arial"/>
      <w:sz w:val="18"/>
    </w:rPr>
  </w:style>
  <w:style w:type="character" w:customStyle="1" w:styleId="ContinuedChar">
    <w:name w:val="Continued Char"/>
    <w:basedOn w:val="BoxContinuedChar"/>
    <w:link w:val="Continued"/>
    <w:rsid w:val="00824FB8"/>
    <w:rPr>
      <w:rFonts w:ascii="Arial" w:hAnsi="Arial"/>
      <w:sz w:val="18"/>
    </w:rPr>
  </w:style>
  <w:style w:type="character" w:customStyle="1" w:styleId="JurisdictioncommentsbodytextChar">
    <w:name w:val="Jurisdiction comments body text Char"/>
    <w:link w:val="Jurisdictioncommentsbodytext"/>
    <w:rsid w:val="008404BA"/>
    <w:rPr>
      <w:rFonts w:ascii="Arial" w:hAnsi="Arial"/>
      <w:sz w:val="24"/>
      <w:lang w:eastAsia="en-US"/>
    </w:rPr>
  </w:style>
  <w:style w:type="paragraph" w:customStyle="1" w:styleId="RecBBullet2">
    <w:name w:val="RecB Bullet 2"/>
    <w:basedOn w:val="ListBullet2"/>
    <w:semiHidden/>
    <w:rsid w:val="00E23069"/>
    <w:pPr>
      <w:pBdr>
        <w:left w:val="single" w:sz="24" w:space="29" w:color="C0C0C0"/>
      </w:pBdr>
    </w:pPr>
    <w:rPr>
      <w:b/>
      <w:i/>
    </w:rPr>
  </w:style>
  <w:style w:type="character" w:customStyle="1" w:styleId="BalloonTextChar">
    <w:name w:val="Balloon Text Char"/>
    <w:basedOn w:val="DefaultParagraphFont"/>
    <w:link w:val="BalloonText"/>
    <w:rsid w:val="00E23069"/>
    <w:rPr>
      <w:rFonts w:ascii="Tahoma" w:hAnsi="Tahoma" w:cs="Tahoma"/>
      <w:sz w:val="16"/>
      <w:szCs w:val="16"/>
    </w:rPr>
  </w:style>
  <w:style w:type="character" w:customStyle="1" w:styleId="SubtitleChar">
    <w:name w:val="Subtitle Char"/>
    <w:basedOn w:val="DefaultParagraphFont"/>
    <w:link w:val="Subtitle"/>
    <w:rsid w:val="00E23069"/>
    <w:rPr>
      <w:rFonts w:ascii="Arial" w:hAnsi="Arial"/>
      <w:szCs w:val="24"/>
    </w:rPr>
  </w:style>
  <w:style w:type="paragraph" w:customStyle="1" w:styleId="BoxListBullet3">
    <w:name w:val="Box List Bullet 3"/>
    <w:basedOn w:val="ListBullet3"/>
    <w:rsid w:val="00E23069"/>
    <w:pPr>
      <w:numPr>
        <w:numId w:val="1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E23069"/>
    <w:rPr>
      <w:i/>
      <w:iCs/>
    </w:rPr>
  </w:style>
  <w:style w:type="paragraph" w:customStyle="1" w:styleId="BoxQuoteBullet">
    <w:name w:val="Box Quote Bullet"/>
    <w:basedOn w:val="BoxQuote"/>
    <w:next w:val="Box"/>
    <w:rsid w:val="00E23069"/>
    <w:pPr>
      <w:numPr>
        <w:numId w:val="16"/>
      </w:numPr>
      <w:ind w:left="568" w:hanging="284"/>
    </w:pPr>
  </w:style>
  <w:style w:type="paragraph" w:customStyle="1" w:styleId="InformationRequestBullet">
    <w:name w:val="Information Request Bullet"/>
    <w:basedOn w:val="ListBullet"/>
    <w:next w:val="BodyText"/>
    <w:rsid w:val="00E23069"/>
    <w:pPr>
      <w:numPr>
        <w:numId w:val="17"/>
      </w:numPr>
      <w:ind w:left="340" w:hanging="340"/>
    </w:pPr>
    <w:rPr>
      <w:rFonts w:ascii="Arial" w:hAnsi="Arial"/>
      <w:i/>
      <w:sz w:val="24"/>
    </w:rPr>
  </w:style>
  <w:style w:type="character" w:customStyle="1" w:styleId="ReferenceChar">
    <w:name w:val="Reference Char"/>
    <w:basedOn w:val="DefaultParagraphFont"/>
    <w:link w:val="Reference"/>
    <w:rsid w:val="00A42E75"/>
    <w:rPr>
      <w:sz w:val="26"/>
    </w:rPr>
  </w:style>
  <w:style w:type="paragraph" w:customStyle="1" w:styleId="BoxSpaceAbove">
    <w:name w:val="Box Space Above"/>
    <w:basedOn w:val="BodyText"/>
    <w:rsid w:val="00E23069"/>
    <w:pPr>
      <w:keepNext/>
      <w:spacing w:before="360" w:line="80" w:lineRule="exact"/>
      <w:jc w:val="left"/>
    </w:pPr>
  </w:style>
  <w:style w:type="paragraph" w:customStyle="1" w:styleId="BoxSpaceBelow">
    <w:name w:val="Box Space Below"/>
    <w:basedOn w:val="Box"/>
    <w:rsid w:val="00E23069"/>
    <w:pPr>
      <w:keepNext w:val="0"/>
      <w:spacing w:before="60" w:after="60" w:line="80" w:lineRule="exact"/>
    </w:pPr>
    <w:rPr>
      <w:sz w:val="14"/>
    </w:rPr>
  </w:style>
  <w:style w:type="paragraph" w:styleId="ListParagraph">
    <w:name w:val="List Paragraph"/>
    <w:basedOn w:val="Normal"/>
    <w:uiPriority w:val="34"/>
    <w:qFormat/>
    <w:rsid w:val="00B2291F"/>
    <w:pPr>
      <w:spacing w:after="200" w:line="27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E23069"/>
    <w:rPr>
      <w:sz w:val="26"/>
      <w:szCs w:val="24"/>
    </w:rPr>
  </w:style>
  <w:style w:type="paragraph" w:styleId="Heading1">
    <w:name w:val="heading 1"/>
    <w:basedOn w:val="BodyText"/>
    <w:next w:val="BodyText"/>
    <w:rsid w:val="00E23069"/>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E23069"/>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E23069"/>
    <w:pPr>
      <w:spacing w:before="560" w:line="320" w:lineRule="exact"/>
      <w:ind w:left="0" w:firstLine="0"/>
      <w:outlineLvl w:val="2"/>
    </w:pPr>
    <w:rPr>
      <w:sz w:val="26"/>
    </w:rPr>
  </w:style>
  <w:style w:type="paragraph" w:styleId="Heading4">
    <w:name w:val="heading 4"/>
    <w:basedOn w:val="Heading3"/>
    <w:next w:val="BodyText"/>
    <w:qFormat/>
    <w:rsid w:val="00E23069"/>
    <w:pPr>
      <w:spacing w:before="480"/>
      <w:outlineLvl w:val="3"/>
    </w:pPr>
    <w:rPr>
      <w:b w:val="0"/>
      <w:i/>
      <w:sz w:val="24"/>
    </w:rPr>
  </w:style>
  <w:style w:type="paragraph" w:styleId="Heading5">
    <w:name w:val="heading 5"/>
    <w:basedOn w:val="Heading4"/>
    <w:next w:val="BodyText"/>
    <w:qFormat/>
    <w:rsid w:val="00E23069"/>
    <w:pPr>
      <w:outlineLvl w:val="4"/>
    </w:pPr>
    <w:rPr>
      <w:rFonts w:ascii="Times New Roman" w:hAnsi="Times New Roman"/>
      <w:sz w:val="26"/>
    </w:rPr>
  </w:style>
  <w:style w:type="paragraph" w:styleId="Heading6">
    <w:name w:val="heading 6"/>
    <w:basedOn w:val="BodyText"/>
    <w:next w:val="BodyText"/>
    <w:rsid w:val="00E23069"/>
    <w:pPr>
      <w:spacing w:after="60"/>
      <w:jc w:val="left"/>
      <w:outlineLvl w:val="5"/>
    </w:pPr>
    <w:rPr>
      <w:i/>
      <w:sz w:val="22"/>
    </w:rPr>
  </w:style>
  <w:style w:type="paragraph" w:styleId="Heading7">
    <w:name w:val="heading 7"/>
    <w:basedOn w:val="BodyText"/>
    <w:next w:val="BodyText"/>
    <w:rsid w:val="00E23069"/>
    <w:pPr>
      <w:spacing w:after="60" w:line="240" w:lineRule="auto"/>
      <w:jc w:val="left"/>
      <w:outlineLvl w:val="6"/>
    </w:pPr>
    <w:rPr>
      <w:rFonts w:ascii="Arial" w:hAnsi="Arial"/>
      <w:sz w:val="20"/>
    </w:rPr>
  </w:style>
  <w:style w:type="paragraph" w:styleId="Heading8">
    <w:name w:val="heading 8"/>
    <w:basedOn w:val="BodyText"/>
    <w:next w:val="BodyText"/>
    <w:rsid w:val="00E23069"/>
    <w:pPr>
      <w:spacing w:after="60" w:line="240" w:lineRule="auto"/>
      <w:jc w:val="left"/>
      <w:outlineLvl w:val="7"/>
    </w:pPr>
    <w:rPr>
      <w:rFonts w:ascii="Arial" w:hAnsi="Arial"/>
      <w:i/>
      <w:sz w:val="20"/>
    </w:rPr>
  </w:style>
  <w:style w:type="paragraph" w:styleId="Heading9">
    <w:name w:val="heading 9"/>
    <w:basedOn w:val="BodyText"/>
    <w:next w:val="BodyText"/>
    <w:rsid w:val="00E23069"/>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E230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3069"/>
  </w:style>
  <w:style w:type="paragraph" w:styleId="BodyText">
    <w:name w:val="Body Text"/>
    <w:link w:val="BodyTextChar"/>
    <w:qFormat/>
    <w:rsid w:val="00E23069"/>
    <w:pPr>
      <w:spacing w:before="240" w:line="320" w:lineRule="atLeast"/>
      <w:jc w:val="both"/>
    </w:pPr>
    <w:rPr>
      <w:sz w:val="26"/>
    </w:rPr>
  </w:style>
  <w:style w:type="paragraph" w:customStyle="1" w:styleId="Chapter">
    <w:name w:val="Chapter"/>
    <w:basedOn w:val="Heading1"/>
    <w:next w:val="BodyText"/>
    <w:semiHidden/>
    <w:rsid w:val="00E23069"/>
    <w:pPr>
      <w:ind w:left="0" w:firstLine="0"/>
      <w:outlineLvl w:val="9"/>
    </w:pPr>
  </w:style>
  <w:style w:type="paragraph" w:customStyle="1" w:styleId="SequenceInfo">
    <w:name w:val="Sequence Info"/>
    <w:basedOn w:val="BodyText"/>
    <w:semiHidden/>
    <w:rsid w:val="00E23069"/>
    <w:rPr>
      <w:vanish/>
      <w:sz w:val="16"/>
    </w:rPr>
  </w:style>
  <w:style w:type="character" w:styleId="CommentReference">
    <w:name w:val="annotation reference"/>
    <w:basedOn w:val="DefaultParagraphFont"/>
    <w:semiHidden/>
    <w:rsid w:val="00E23069"/>
    <w:rPr>
      <w:b/>
      <w:vanish/>
      <w:color w:val="FF00FF"/>
      <w:sz w:val="20"/>
    </w:rPr>
  </w:style>
  <w:style w:type="paragraph" w:styleId="CommentText">
    <w:name w:val="annotation text"/>
    <w:basedOn w:val="Normal"/>
    <w:semiHidden/>
    <w:rsid w:val="00E23069"/>
    <w:pPr>
      <w:spacing w:before="120" w:line="240" w:lineRule="atLeast"/>
      <w:ind w:left="567" w:hanging="567"/>
    </w:pPr>
    <w:rPr>
      <w:sz w:val="20"/>
    </w:rPr>
  </w:style>
  <w:style w:type="paragraph" w:customStyle="1" w:styleId="Abbreviation">
    <w:name w:val="Abbreviation"/>
    <w:basedOn w:val="BodyText"/>
    <w:rsid w:val="00E23069"/>
    <w:pPr>
      <w:spacing w:before="120"/>
      <w:ind w:left="2381" w:hanging="2381"/>
      <w:jc w:val="left"/>
    </w:pPr>
  </w:style>
  <w:style w:type="paragraph" w:customStyle="1" w:styleId="Box">
    <w:name w:val="Box"/>
    <w:basedOn w:val="BodyText"/>
    <w:link w:val="BoxChar"/>
    <w:qFormat/>
    <w:rsid w:val="00E23069"/>
    <w:pPr>
      <w:keepNext/>
      <w:spacing w:before="120" w:line="280" w:lineRule="atLeast"/>
    </w:pPr>
    <w:rPr>
      <w:rFonts w:ascii="Arial" w:hAnsi="Arial"/>
      <w:sz w:val="22"/>
    </w:rPr>
  </w:style>
  <w:style w:type="paragraph" w:customStyle="1" w:styleId="QuoteBullet">
    <w:name w:val="Quote Bullet"/>
    <w:basedOn w:val="Quote"/>
    <w:rsid w:val="00E23069"/>
    <w:pPr>
      <w:numPr>
        <w:numId w:val="11"/>
      </w:numPr>
    </w:pPr>
  </w:style>
  <w:style w:type="paragraph" w:styleId="Quote">
    <w:name w:val="Quote"/>
    <w:basedOn w:val="BodyText"/>
    <w:next w:val="BodyText"/>
    <w:qFormat/>
    <w:rsid w:val="00E23069"/>
    <w:pPr>
      <w:spacing w:before="120" w:line="280" w:lineRule="exact"/>
      <w:ind w:left="340"/>
    </w:pPr>
    <w:rPr>
      <w:sz w:val="24"/>
    </w:rPr>
  </w:style>
  <w:style w:type="paragraph" w:customStyle="1" w:styleId="BoxListBullet">
    <w:name w:val="Box List Bullet"/>
    <w:basedOn w:val="BodyText"/>
    <w:rsid w:val="00E23069"/>
    <w:pPr>
      <w:keepNext/>
      <w:numPr>
        <w:numId w:val="6"/>
      </w:numPr>
      <w:spacing w:before="60" w:line="280" w:lineRule="atLeast"/>
    </w:pPr>
    <w:rPr>
      <w:rFonts w:ascii="Arial" w:hAnsi="Arial"/>
      <w:sz w:val="22"/>
    </w:rPr>
  </w:style>
  <w:style w:type="paragraph" w:customStyle="1" w:styleId="BoxListBullet2">
    <w:name w:val="Box List Bullet 2"/>
    <w:basedOn w:val="BodyText"/>
    <w:rsid w:val="00E23069"/>
    <w:pPr>
      <w:keepNext/>
      <w:numPr>
        <w:numId w:val="3"/>
      </w:numPr>
      <w:spacing w:before="60" w:line="280" w:lineRule="atLeast"/>
    </w:pPr>
    <w:rPr>
      <w:rFonts w:ascii="Arial" w:hAnsi="Arial"/>
      <w:sz w:val="22"/>
    </w:rPr>
  </w:style>
  <w:style w:type="paragraph" w:customStyle="1" w:styleId="BoxListNumber">
    <w:name w:val="Box List Number"/>
    <w:basedOn w:val="BodyText"/>
    <w:rsid w:val="00E23069"/>
    <w:pPr>
      <w:keepNext/>
      <w:numPr>
        <w:numId w:val="15"/>
      </w:numPr>
      <w:spacing w:before="60" w:line="280" w:lineRule="atLeast"/>
    </w:pPr>
    <w:rPr>
      <w:rFonts w:ascii="Arial" w:hAnsi="Arial"/>
      <w:sz w:val="22"/>
    </w:rPr>
  </w:style>
  <w:style w:type="paragraph" w:customStyle="1" w:styleId="BoxListNumber2">
    <w:name w:val="Box List Number 2"/>
    <w:basedOn w:val="BoxListNumber"/>
    <w:rsid w:val="00E23069"/>
    <w:pPr>
      <w:numPr>
        <w:ilvl w:val="1"/>
      </w:numPr>
    </w:pPr>
  </w:style>
  <w:style w:type="paragraph" w:customStyle="1" w:styleId="BoxQuote">
    <w:name w:val="Box Quote"/>
    <w:basedOn w:val="BodyText"/>
    <w:next w:val="Box"/>
    <w:link w:val="BoxQuoteChar"/>
    <w:rsid w:val="00E23069"/>
    <w:pPr>
      <w:keepNext/>
      <w:spacing w:before="60" w:line="260" w:lineRule="exact"/>
      <w:ind w:left="284"/>
    </w:pPr>
    <w:rPr>
      <w:rFonts w:ascii="Arial" w:hAnsi="Arial"/>
      <w:sz w:val="20"/>
    </w:rPr>
  </w:style>
  <w:style w:type="paragraph" w:customStyle="1" w:styleId="BoxSource">
    <w:name w:val="Box Source"/>
    <w:basedOn w:val="Source"/>
    <w:next w:val="BodyText"/>
    <w:rsid w:val="00E23069"/>
    <w:pPr>
      <w:spacing w:before="180" w:after="0"/>
    </w:pPr>
  </w:style>
  <w:style w:type="paragraph" w:customStyle="1" w:styleId="Source">
    <w:name w:val="Source"/>
    <w:basedOn w:val="Note"/>
    <w:next w:val="BodyText"/>
    <w:link w:val="SourceChar"/>
    <w:rsid w:val="00E23069"/>
    <w:pPr>
      <w:spacing w:after="120"/>
    </w:pPr>
  </w:style>
  <w:style w:type="paragraph" w:customStyle="1" w:styleId="Note">
    <w:name w:val="Note"/>
    <w:basedOn w:val="BodyText"/>
    <w:next w:val="BodyText"/>
    <w:link w:val="NoteChar"/>
    <w:rsid w:val="00E23069"/>
    <w:pPr>
      <w:keepLines/>
      <w:spacing w:before="80" w:line="220" w:lineRule="exact"/>
    </w:pPr>
    <w:rPr>
      <w:rFonts w:ascii="Arial" w:hAnsi="Arial"/>
      <w:sz w:val="18"/>
    </w:rPr>
  </w:style>
  <w:style w:type="paragraph" w:customStyle="1" w:styleId="BoxSpace">
    <w:name w:val="Box Space"/>
    <w:basedOn w:val="BodyText"/>
    <w:rsid w:val="00281719"/>
    <w:pPr>
      <w:keepNext/>
      <w:spacing w:before="360" w:line="80" w:lineRule="exact"/>
      <w:jc w:val="left"/>
    </w:pPr>
  </w:style>
  <w:style w:type="paragraph" w:customStyle="1" w:styleId="BoxSubtitle">
    <w:name w:val="Box Subtitle"/>
    <w:basedOn w:val="BoxTitle"/>
    <w:next w:val="Normal"/>
    <w:rsid w:val="00E23069"/>
    <w:pPr>
      <w:spacing w:after="80" w:line="200" w:lineRule="exact"/>
      <w:ind w:firstLine="0"/>
    </w:pPr>
    <w:rPr>
      <w:b w:val="0"/>
      <w:sz w:val="20"/>
    </w:rPr>
  </w:style>
  <w:style w:type="paragraph" w:customStyle="1" w:styleId="BoxTitle">
    <w:name w:val="Box Title"/>
    <w:basedOn w:val="Caption"/>
    <w:next w:val="BoxSubtitle"/>
    <w:rsid w:val="00E23069"/>
    <w:pPr>
      <w:spacing w:before="120" w:after="0"/>
      <w:ind w:left="1304" w:hanging="1304"/>
    </w:pPr>
    <w:rPr>
      <w:sz w:val="24"/>
    </w:rPr>
  </w:style>
  <w:style w:type="paragraph" w:styleId="Caption">
    <w:name w:val="caption"/>
    <w:basedOn w:val="Normal"/>
    <w:next w:val="BodyText"/>
    <w:rsid w:val="00E23069"/>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E23069"/>
    <w:pPr>
      <w:ind w:left="907"/>
    </w:pPr>
    <w:rPr>
      <w:rFonts w:ascii="Arial" w:hAnsi="Arial"/>
      <w:b/>
      <w:sz w:val="22"/>
    </w:rPr>
  </w:style>
  <w:style w:type="character" w:customStyle="1" w:styleId="DocumentInfo">
    <w:name w:val="Document Info"/>
    <w:basedOn w:val="DefaultParagraphFont"/>
    <w:semiHidden/>
    <w:rsid w:val="00E23069"/>
    <w:rPr>
      <w:rFonts w:ascii="Arial" w:hAnsi="Arial"/>
      <w:sz w:val="14"/>
    </w:rPr>
  </w:style>
  <w:style w:type="paragraph" w:styleId="Footer">
    <w:name w:val="footer"/>
    <w:basedOn w:val="BodyText"/>
    <w:semiHidden/>
    <w:rsid w:val="00E23069"/>
    <w:pPr>
      <w:spacing w:before="80" w:line="200" w:lineRule="exact"/>
      <w:ind w:right="6"/>
      <w:jc w:val="left"/>
    </w:pPr>
    <w:rPr>
      <w:caps/>
      <w:spacing w:val="-4"/>
      <w:sz w:val="16"/>
    </w:rPr>
  </w:style>
  <w:style w:type="character" w:customStyle="1" w:styleId="DraftingNote">
    <w:name w:val="Drafting Note"/>
    <w:basedOn w:val="DefaultParagraphFont"/>
    <w:rsid w:val="00E23069"/>
    <w:rPr>
      <w:b/>
      <w:color w:val="FF0000"/>
      <w:sz w:val="24"/>
      <w:u w:val="dotted"/>
    </w:rPr>
  </w:style>
  <w:style w:type="paragraph" w:customStyle="1" w:styleId="Figure">
    <w:name w:val="Figure"/>
    <w:basedOn w:val="BodyText"/>
    <w:link w:val="FigureChar"/>
    <w:rsid w:val="00E23069"/>
    <w:pPr>
      <w:keepNext/>
      <w:spacing w:before="120" w:after="120" w:line="240" w:lineRule="atLeast"/>
      <w:jc w:val="center"/>
    </w:pPr>
  </w:style>
  <w:style w:type="paragraph" w:customStyle="1" w:styleId="FigureTitle">
    <w:name w:val="Figure Title"/>
    <w:basedOn w:val="Caption"/>
    <w:next w:val="Subtitle"/>
    <w:rsid w:val="00E23069"/>
    <w:rPr>
      <w:sz w:val="24"/>
    </w:rPr>
  </w:style>
  <w:style w:type="paragraph" w:styleId="Subtitle">
    <w:name w:val="Subtitle"/>
    <w:basedOn w:val="Caption"/>
    <w:link w:val="SubtitleChar"/>
    <w:rsid w:val="00E23069"/>
    <w:pPr>
      <w:spacing w:before="0" w:line="200" w:lineRule="exact"/>
      <w:ind w:firstLine="0"/>
    </w:pPr>
    <w:rPr>
      <w:b w:val="0"/>
      <w:sz w:val="20"/>
    </w:rPr>
  </w:style>
  <w:style w:type="paragraph" w:customStyle="1" w:styleId="Finding">
    <w:name w:val="Finding"/>
    <w:basedOn w:val="BodyText"/>
    <w:rsid w:val="00E23069"/>
    <w:pPr>
      <w:keepLines/>
      <w:spacing w:before="180"/>
    </w:pPr>
    <w:rPr>
      <w:i/>
    </w:rPr>
  </w:style>
  <w:style w:type="paragraph" w:customStyle="1" w:styleId="FindingBullet">
    <w:name w:val="Finding Bullet"/>
    <w:basedOn w:val="Finding"/>
    <w:rsid w:val="00E23069"/>
    <w:pPr>
      <w:numPr>
        <w:numId w:val="7"/>
      </w:numPr>
      <w:spacing w:before="80"/>
    </w:pPr>
  </w:style>
  <w:style w:type="paragraph" w:customStyle="1" w:styleId="FindingNoTitle">
    <w:name w:val="Finding NoTitle"/>
    <w:basedOn w:val="Finding"/>
    <w:rsid w:val="00E23069"/>
    <w:pPr>
      <w:spacing w:before="240"/>
    </w:pPr>
  </w:style>
  <w:style w:type="paragraph" w:customStyle="1" w:styleId="FindingTitle">
    <w:name w:val="Finding Title"/>
    <w:basedOn w:val="RecTitle"/>
    <w:next w:val="Finding"/>
    <w:rsid w:val="00E23069"/>
    <w:pPr>
      <w:framePr w:wrap="notBeside" w:hAnchor="text"/>
    </w:pPr>
  </w:style>
  <w:style w:type="paragraph" w:customStyle="1" w:styleId="RecTitle">
    <w:name w:val="Rec Title"/>
    <w:basedOn w:val="BodyText"/>
    <w:next w:val="Normal"/>
    <w:rsid w:val="00E23069"/>
    <w:pPr>
      <w:keepNext/>
      <w:keepLines/>
    </w:pPr>
    <w:rPr>
      <w:caps/>
      <w:sz w:val="20"/>
    </w:rPr>
  </w:style>
  <w:style w:type="paragraph" w:customStyle="1" w:styleId="FooterEnd">
    <w:name w:val="Footer End"/>
    <w:basedOn w:val="Footer"/>
    <w:rsid w:val="00E23069"/>
    <w:pPr>
      <w:spacing w:before="0" w:line="20" w:lineRule="exact"/>
    </w:pPr>
  </w:style>
  <w:style w:type="character" w:styleId="FootnoteReference">
    <w:name w:val="footnote reference"/>
    <w:basedOn w:val="DefaultParagraphFont"/>
    <w:semiHidden/>
    <w:rsid w:val="00E23069"/>
    <w:rPr>
      <w:rFonts w:ascii="Times New Roman" w:hAnsi="Times New Roman"/>
      <w:position w:val="6"/>
      <w:sz w:val="22"/>
      <w:vertAlign w:val="baseline"/>
    </w:rPr>
  </w:style>
  <w:style w:type="paragraph" w:styleId="FootnoteText">
    <w:name w:val="footnote text"/>
    <w:basedOn w:val="BodyText"/>
    <w:rsid w:val="00E23069"/>
    <w:pPr>
      <w:tabs>
        <w:tab w:val="left" w:pos="284"/>
      </w:tabs>
      <w:spacing w:before="80" w:line="260" w:lineRule="exact"/>
      <w:ind w:left="284" w:hanging="284"/>
    </w:pPr>
    <w:rPr>
      <w:sz w:val="22"/>
    </w:rPr>
  </w:style>
  <w:style w:type="paragraph" w:styleId="Header">
    <w:name w:val="header"/>
    <w:basedOn w:val="BodyText"/>
    <w:rsid w:val="00E23069"/>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E23069"/>
    <w:pPr>
      <w:spacing w:line="20" w:lineRule="exact"/>
    </w:pPr>
    <w:rPr>
      <w:sz w:val="16"/>
    </w:rPr>
  </w:style>
  <w:style w:type="paragraph" w:customStyle="1" w:styleId="HeaderEven">
    <w:name w:val="Header Even"/>
    <w:basedOn w:val="Header"/>
    <w:semiHidden/>
    <w:rsid w:val="00E23069"/>
  </w:style>
  <w:style w:type="paragraph" w:customStyle="1" w:styleId="HeaderOdd">
    <w:name w:val="Header Odd"/>
    <w:basedOn w:val="Header"/>
    <w:semiHidden/>
    <w:rsid w:val="00E23069"/>
  </w:style>
  <w:style w:type="paragraph" w:customStyle="1" w:styleId="InformationRequest">
    <w:name w:val="Information Request"/>
    <w:basedOn w:val="Finding"/>
    <w:next w:val="BodyText"/>
    <w:rsid w:val="00E23069"/>
    <w:pPr>
      <w:spacing w:before="360" w:after="120"/>
    </w:pPr>
    <w:rPr>
      <w:rFonts w:ascii="Arial" w:hAnsi="Arial"/>
      <w:sz w:val="24"/>
    </w:rPr>
  </w:style>
  <w:style w:type="paragraph" w:styleId="ListBullet">
    <w:name w:val="List Bullet"/>
    <w:basedOn w:val="BodyText"/>
    <w:link w:val="ListBulletChar"/>
    <w:rsid w:val="00E23069"/>
    <w:pPr>
      <w:numPr>
        <w:numId w:val="5"/>
      </w:numPr>
      <w:spacing w:before="120"/>
    </w:pPr>
  </w:style>
  <w:style w:type="paragraph" w:styleId="ListBullet2">
    <w:name w:val="List Bullet 2"/>
    <w:basedOn w:val="BodyText"/>
    <w:rsid w:val="00E23069"/>
    <w:pPr>
      <w:numPr>
        <w:numId w:val="2"/>
      </w:numPr>
      <w:spacing w:before="120"/>
    </w:pPr>
  </w:style>
  <w:style w:type="paragraph" w:styleId="ListBullet3">
    <w:name w:val="List Bullet 3"/>
    <w:basedOn w:val="BodyText"/>
    <w:rsid w:val="00E23069"/>
    <w:pPr>
      <w:numPr>
        <w:numId w:val="1"/>
      </w:numPr>
      <w:spacing w:before="120"/>
    </w:pPr>
  </w:style>
  <w:style w:type="paragraph" w:styleId="ListNumber">
    <w:name w:val="List Number"/>
    <w:basedOn w:val="BodyText"/>
    <w:rsid w:val="00E23069"/>
    <w:pPr>
      <w:numPr>
        <w:numId w:val="14"/>
      </w:numPr>
      <w:spacing w:before="120"/>
    </w:pPr>
  </w:style>
  <w:style w:type="paragraph" w:styleId="ListNumber2">
    <w:name w:val="List Number 2"/>
    <w:basedOn w:val="ListNumber"/>
    <w:rsid w:val="00E23069"/>
    <w:pPr>
      <w:numPr>
        <w:ilvl w:val="1"/>
      </w:numPr>
    </w:pPr>
  </w:style>
  <w:style w:type="paragraph" w:styleId="ListNumber3">
    <w:name w:val="List Number 3"/>
    <w:basedOn w:val="ListNumber2"/>
    <w:rsid w:val="00E23069"/>
    <w:pPr>
      <w:numPr>
        <w:ilvl w:val="2"/>
      </w:numPr>
    </w:pPr>
  </w:style>
  <w:style w:type="character" w:customStyle="1" w:styleId="NoteLabel">
    <w:name w:val="Note Label"/>
    <w:basedOn w:val="DefaultParagraphFont"/>
    <w:rsid w:val="00E23069"/>
    <w:rPr>
      <w:rFonts w:ascii="Arial" w:hAnsi="Arial"/>
      <w:b/>
      <w:position w:val="6"/>
      <w:sz w:val="18"/>
    </w:rPr>
  </w:style>
  <w:style w:type="character" w:styleId="PageNumber">
    <w:name w:val="page number"/>
    <w:basedOn w:val="DefaultParagraphFont"/>
    <w:rsid w:val="00E23069"/>
    <w:rPr>
      <w:rFonts w:ascii="Arial" w:hAnsi="Arial"/>
      <w:b/>
      <w:sz w:val="16"/>
    </w:rPr>
  </w:style>
  <w:style w:type="paragraph" w:customStyle="1" w:styleId="PartDivider">
    <w:name w:val="Part Divider"/>
    <w:basedOn w:val="BodyText"/>
    <w:next w:val="BodyText"/>
    <w:semiHidden/>
    <w:rsid w:val="00E23069"/>
    <w:pPr>
      <w:spacing w:before="0" w:line="40" w:lineRule="exact"/>
      <w:jc w:val="right"/>
    </w:pPr>
    <w:rPr>
      <w:smallCaps/>
      <w:sz w:val="16"/>
    </w:rPr>
  </w:style>
  <w:style w:type="paragraph" w:customStyle="1" w:styleId="PartNumber">
    <w:name w:val="Part Number"/>
    <w:basedOn w:val="BodyText"/>
    <w:next w:val="BodyText"/>
    <w:semiHidden/>
    <w:rsid w:val="00E23069"/>
    <w:pPr>
      <w:spacing w:before="4000" w:line="320" w:lineRule="exact"/>
      <w:ind w:left="6634"/>
      <w:jc w:val="right"/>
    </w:pPr>
    <w:rPr>
      <w:smallCaps/>
      <w:spacing w:val="60"/>
      <w:sz w:val="32"/>
    </w:rPr>
  </w:style>
  <w:style w:type="paragraph" w:customStyle="1" w:styleId="PartTitle">
    <w:name w:val="Part Title"/>
    <w:basedOn w:val="BodyText"/>
    <w:semiHidden/>
    <w:rsid w:val="00E23069"/>
    <w:pPr>
      <w:spacing w:before="160" w:after="1360" w:line="520" w:lineRule="exact"/>
      <w:ind w:right="2381"/>
      <w:jc w:val="right"/>
    </w:pPr>
    <w:rPr>
      <w:smallCaps/>
      <w:sz w:val="52"/>
    </w:rPr>
  </w:style>
  <w:style w:type="paragraph" w:customStyle="1" w:styleId="Rec">
    <w:name w:val="Rec"/>
    <w:basedOn w:val="BodyText"/>
    <w:rsid w:val="00E23069"/>
    <w:pPr>
      <w:keepLines/>
      <w:spacing w:before="180"/>
    </w:pPr>
    <w:rPr>
      <w:b/>
      <w:i/>
    </w:rPr>
  </w:style>
  <w:style w:type="paragraph" w:customStyle="1" w:styleId="RecBullet">
    <w:name w:val="Rec Bullet"/>
    <w:basedOn w:val="Rec"/>
    <w:rsid w:val="00E23069"/>
    <w:pPr>
      <w:numPr>
        <w:numId w:val="8"/>
      </w:numPr>
      <w:spacing w:before="80"/>
    </w:pPr>
  </w:style>
  <w:style w:type="paragraph" w:customStyle="1" w:styleId="RecB">
    <w:name w:val="RecB"/>
    <w:basedOn w:val="Normal"/>
    <w:rsid w:val="00E23069"/>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E23069"/>
    <w:pPr>
      <w:numPr>
        <w:numId w:val="9"/>
      </w:numPr>
      <w:spacing w:before="80"/>
    </w:pPr>
  </w:style>
  <w:style w:type="paragraph" w:customStyle="1" w:styleId="RecBNoTitle">
    <w:name w:val="RecB NoTitle"/>
    <w:basedOn w:val="RecB"/>
    <w:rsid w:val="00E23069"/>
    <w:pPr>
      <w:spacing w:before="240"/>
    </w:pPr>
  </w:style>
  <w:style w:type="paragraph" w:customStyle="1" w:styleId="Reference">
    <w:name w:val="Reference"/>
    <w:basedOn w:val="BodyText"/>
    <w:link w:val="ReferenceChar"/>
    <w:rsid w:val="00E23069"/>
    <w:pPr>
      <w:spacing w:before="120"/>
      <w:ind w:left="340" w:hanging="340"/>
    </w:pPr>
  </w:style>
  <w:style w:type="paragraph" w:customStyle="1" w:styleId="SideNote">
    <w:name w:val="Side Note"/>
    <w:basedOn w:val="BodyText"/>
    <w:next w:val="BodyText"/>
    <w:semiHidden/>
    <w:rsid w:val="00E23069"/>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E23069"/>
    <w:pPr>
      <w:framePr w:wrap="around"/>
      <w:numPr>
        <w:numId w:val="4"/>
      </w:numPr>
      <w:tabs>
        <w:tab w:val="left" w:pos="227"/>
      </w:tabs>
    </w:pPr>
  </w:style>
  <w:style w:type="paragraph" w:customStyle="1" w:styleId="SideNoteGraphic">
    <w:name w:val="Side Note Graphic"/>
    <w:basedOn w:val="SideNote"/>
    <w:next w:val="BodyText"/>
    <w:semiHidden/>
    <w:rsid w:val="00E23069"/>
    <w:pPr>
      <w:framePr w:wrap="around"/>
    </w:pPr>
  </w:style>
  <w:style w:type="paragraph" w:customStyle="1" w:styleId="TableBodyText">
    <w:name w:val="Table Body Text"/>
    <w:basedOn w:val="BodyText"/>
    <w:rsid w:val="00E23069"/>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E23069"/>
    <w:pPr>
      <w:numPr>
        <w:numId w:val="10"/>
      </w:numPr>
      <w:jc w:val="left"/>
    </w:pPr>
  </w:style>
  <w:style w:type="paragraph" w:customStyle="1" w:styleId="TableColumnHeading">
    <w:name w:val="Table Column Heading"/>
    <w:basedOn w:val="TableBodyText"/>
    <w:rsid w:val="00E23069"/>
    <w:pPr>
      <w:spacing w:before="80" w:after="80"/>
    </w:pPr>
    <w:rPr>
      <w:i/>
    </w:rPr>
  </w:style>
  <w:style w:type="paragraph" w:styleId="TableofFigures">
    <w:name w:val="table of figures"/>
    <w:basedOn w:val="TOC3"/>
    <w:next w:val="BodyText"/>
    <w:semiHidden/>
    <w:rsid w:val="00E23069"/>
    <w:pPr>
      <w:ind w:left="737" w:hanging="737"/>
    </w:pPr>
  </w:style>
  <w:style w:type="paragraph" w:styleId="TOC3">
    <w:name w:val="toc 3"/>
    <w:basedOn w:val="TOC2"/>
    <w:semiHidden/>
    <w:rsid w:val="00E23069"/>
    <w:pPr>
      <w:spacing w:before="60"/>
      <w:ind w:left="1190" w:hanging="680"/>
    </w:pPr>
    <w:rPr>
      <w:b w:val="0"/>
    </w:rPr>
  </w:style>
  <w:style w:type="paragraph" w:styleId="TOC2">
    <w:name w:val="toc 2"/>
    <w:basedOn w:val="BodyText"/>
    <w:rsid w:val="00E23069"/>
    <w:pPr>
      <w:tabs>
        <w:tab w:val="right" w:pos="8789"/>
      </w:tabs>
      <w:ind w:left="510" w:right="851" w:hanging="510"/>
      <w:jc w:val="left"/>
    </w:pPr>
    <w:rPr>
      <w:b/>
    </w:rPr>
  </w:style>
  <w:style w:type="paragraph" w:customStyle="1" w:styleId="TableTitle">
    <w:name w:val="Table Title"/>
    <w:basedOn w:val="Caption"/>
    <w:next w:val="Subtitle"/>
    <w:rsid w:val="00E23069"/>
    <w:rPr>
      <w:sz w:val="24"/>
    </w:rPr>
  </w:style>
  <w:style w:type="paragraph" w:customStyle="1" w:styleId="TableUnitsRow">
    <w:name w:val="Table Units Row"/>
    <w:basedOn w:val="TableBodyText"/>
    <w:rsid w:val="00E23069"/>
    <w:pPr>
      <w:spacing w:before="80" w:after="80"/>
    </w:pPr>
  </w:style>
  <w:style w:type="paragraph" w:styleId="TOC1">
    <w:name w:val="toc 1"/>
    <w:basedOn w:val="Normal"/>
    <w:next w:val="TOC2"/>
    <w:rsid w:val="00E23069"/>
    <w:pPr>
      <w:tabs>
        <w:tab w:val="right" w:pos="8789"/>
      </w:tabs>
      <w:spacing w:before="480" w:after="60" w:line="320" w:lineRule="exact"/>
      <w:ind w:left="1191" w:right="851" w:hanging="1191"/>
    </w:pPr>
    <w:rPr>
      <w:b/>
      <w:caps/>
    </w:rPr>
  </w:style>
  <w:style w:type="paragraph" w:styleId="TOC4">
    <w:name w:val="toc 4"/>
    <w:basedOn w:val="TOC3"/>
    <w:semiHidden/>
    <w:rsid w:val="00E23069"/>
    <w:pPr>
      <w:ind w:left="1191" w:firstLine="0"/>
    </w:pPr>
  </w:style>
  <w:style w:type="paragraph" w:customStyle="1" w:styleId="BoxContinued">
    <w:name w:val="Box Continued"/>
    <w:basedOn w:val="BodyText"/>
    <w:next w:val="BodyText"/>
    <w:link w:val="BoxContinuedChar"/>
    <w:semiHidden/>
    <w:rsid w:val="00E23069"/>
    <w:pPr>
      <w:spacing w:before="180" w:line="220" w:lineRule="exact"/>
      <w:jc w:val="right"/>
    </w:pPr>
    <w:rPr>
      <w:rFonts w:ascii="Arial" w:hAnsi="Arial"/>
      <w:sz w:val="18"/>
    </w:rPr>
  </w:style>
  <w:style w:type="paragraph" w:customStyle="1" w:styleId="Continued">
    <w:name w:val="Continued"/>
    <w:basedOn w:val="BoxContinued"/>
    <w:next w:val="BodyText"/>
    <w:link w:val="ContinuedChar"/>
    <w:rsid w:val="00E23069"/>
  </w:style>
  <w:style w:type="paragraph" w:customStyle="1" w:styleId="BoxHeading1">
    <w:name w:val="Box Heading 1"/>
    <w:basedOn w:val="BodyText"/>
    <w:next w:val="Box"/>
    <w:rsid w:val="00E23069"/>
    <w:pPr>
      <w:keepNext/>
      <w:spacing w:before="200" w:line="280" w:lineRule="atLeast"/>
    </w:pPr>
    <w:rPr>
      <w:rFonts w:ascii="Arial" w:hAnsi="Arial"/>
      <w:b/>
      <w:sz w:val="22"/>
    </w:rPr>
  </w:style>
  <w:style w:type="paragraph" w:customStyle="1" w:styleId="BoxHeading2">
    <w:name w:val="Box Heading 2"/>
    <w:basedOn w:val="BoxHeading1"/>
    <w:next w:val="Normal"/>
    <w:rsid w:val="00E23069"/>
    <w:rPr>
      <w:b w:val="0"/>
      <w:i/>
    </w:rPr>
  </w:style>
  <w:style w:type="paragraph" w:styleId="BalloonText">
    <w:name w:val="Balloon Text"/>
    <w:basedOn w:val="Normal"/>
    <w:link w:val="BalloonTextChar"/>
    <w:rsid w:val="00E23069"/>
    <w:rPr>
      <w:rFonts w:ascii="Tahoma" w:hAnsi="Tahoma" w:cs="Tahoma"/>
      <w:sz w:val="16"/>
      <w:szCs w:val="16"/>
    </w:rPr>
  </w:style>
  <w:style w:type="paragraph" w:customStyle="1" w:styleId="Jurisdictioncommentsbodytext">
    <w:name w:val="Jurisdiction comments body text"/>
    <w:link w:val="JurisdictioncommentsbodytextChar"/>
    <w:rsid w:val="00E23069"/>
    <w:pPr>
      <w:spacing w:after="140"/>
      <w:jc w:val="both"/>
    </w:pPr>
    <w:rPr>
      <w:rFonts w:ascii="Arial" w:hAnsi="Arial"/>
      <w:sz w:val="24"/>
      <w:lang w:eastAsia="en-US"/>
    </w:rPr>
  </w:style>
  <w:style w:type="paragraph" w:customStyle="1" w:styleId="Jurisdictioncommentsheading">
    <w:name w:val="Jurisdiction comments heading"/>
    <w:rsid w:val="00E23069"/>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E23069"/>
    <w:pPr>
      <w:numPr>
        <w:numId w:val="13"/>
      </w:numPr>
      <w:spacing w:after="140"/>
      <w:jc w:val="both"/>
    </w:pPr>
    <w:rPr>
      <w:rFonts w:ascii="Arial" w:hAnsi="Arial"/>
      <w:sz w:val="24"/>
      <w:lang w:eastAsia="en-US"/>
    </w:rPr>
  </w:style>
  <w:style w:type="paragraph" w:customStyle="1" w:styleId="SOC">
    <w:name w:val="SOC"/>
    <w:basedOn w:val="BodyText"/>
    <w:rsid w:val="00F534E7"/>
    <w:pPr>
      <w:spacing w:before="0" w:after="140" w:line="240" w:lineRule="auto"/>
    </w:pPr>
    <w:rPr>
      <w:rFonts w:ascii="Arial" w:hAnsi="Arial"/>
      <w:sz w:val="24"/>
    </w:rPr>
  </w:style>
  <w:style w:type="table" w:styleId="TableGrid">
    <w:name w:val="Table Grid"/>
    <w:basedOn w:val="TableNormal"/>
    <w:rsid w:val="00926C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semiHidden/>
    <w:rsid w:val="00306D8C"/>
    <w:pPr>
      <w:spacing w:before="0" w:line="240" w:lineRule="auto"/>
      <w:ind w:left="0" w:firstLine="0"/>
    </w:pPr>
    <w:rPr>
      <w:b/>
      <w:bCs/>
    </w:rPr>
  </w:style>
  <w:style w:type="character" w:styleId="Hyperlink">
    <w:name w:val="Hyperlink"/>
    <w:uiPriority w:val="99"/>
    <w:rsid w:val="004E1E44"/>
    <w:rPr>
      <w:color w:val="0000FF"/>
      <w:u w:val="single"/>
    </w:rPr>
  </w:style>
  <w:style w:type="paragraph" w:styleId="NormalWeb">
    <w:name w:val="Normal (Web)"/>
    <w:basedOn w:val="Normal"/>
    <w:link w:val="NormalWebChar"/>
    <w:rsid w:val="00BB3348"/>
    <w:pPr>
      <w:spacing w:before="100" w:beforeAutospacing="1" w:after="100" w:afterAutospacing="1"/>
    </w:pPr>
    <w:rPr>
      <w:rFonts w:ascii="Arial" w:hAnsi="Arial" w:cs="Arial"/>
      <w:sz w:val="15"/>
      <w:szCs w:val="15"/>
    </w:rPr>
  </w:style>
  <w:style w:type="paragraph" w:customStyle="1" w:styleId="Table">
    <w:name w:val="Table"/>
    <w:basedOn w:val="Normal"/>
    <w:semiHidden/>
    <w:rsid w:val="005E6972"/>
    <w:rPr>
      <w:rFonts w:ascii="Book Antiqua" w:hAnsi="Book Antiqua"/>
      <w:sz w:val="20"/>
      <w:szCs w:val="20"/>
      <w:lang w:eastAsia="en-US"/>
    </w:rPr>
  </w:style>
  <w:style w:type="paragraph" w:customStyle="1" w:styleId="DocInfo">
    <w:name w:val="Doc Info"/>
    <w:basedOn w:val="Normal"/>
    <w:next w:val="Normal"/>
    <w:rsid w:val="00F534E7"/>
    <w:pPr>
      <w:jc w:val="center"/>
    </w:pPr>
    <w:rPr>
      <w:rFonts w:ascii="Arial" w:hAnsi="Arial"/>
      <w:sz w:val="14"/>
    </w:rPr>
  </w:style>
  <w:style w:type="paragraph" w:customStyle="1" w:styleId="Heading2NotTOC">
    <w:name w:val="Heading 2 Not TOC"/>
    <w:basedOn w:val="Heading2"/>
    <w:next w:val="BodyText"/>
    <w:rsid w:val="00F534E7"/>
    <w:pPr>
      <w:outlineLvl w:val="9"/>
    </w:pPr>
  </w:style>
  <w:style w:type="character" w:customStyle="1" w:styleId="BodyTextChar">
    <w:name w:val="Body Text Char"/>
    <w:link w:val="BodyText"/>
    <w:rsid w:val="00B62339"/>
    <w:rPr>
      <w:sz w:val="26"/>
    </w:rPr>
  </w:style>
  <w:style w:type="character" w:customStyle="1" w:styleId="BoxQuoteChar">
    <w:name w:val="Box Quote Char"/>
    <w:link w:val="BoxQuote"/>
    <w:rsid w:val="00B62339"/>
    <w:rPr>
      <w:rFonts w:ascii="Arial" w:hAnsi="Arial"/>
    </w:rPr>
  </w:style>
  <w:style w:type="paragraph" w:customStyle="1" w:styleId="Default">
    <w:name w:val="Default"/>
    <w:rsid w:val="00696949"/>
    <w:pPr>
      <w:autoSpaceDE w:val="0"/>
      <w:autoSpaceDN w:val="0"/>
      <w:adjustRightInd w:val="0"/>
    </w:pPr>
    <w:rPr>
      <w:rFonts w:ascii="Corbel" w:hAnsi="Corbel" w:cs="Corbel"/>
      <w:color w:val="000000"/>
      <w:sz w:val="24"/>
      <w:szCs w:val="24"/>
    </w:rPr>
  </w:style>
  <w:style w:type="character" w:customStyle="1" w:styleId="NoteChar">
    <w:name w:val="Note Char"/>
    <w:link w:val="Note"/>
    <w:rsid w:val="00D05BA4"/>
    <w:rPr>
      <w:rFonts w:ascii="Arial" w:hAnsi="Arial"/>
      <w:sz w:val="18"/>
    </w:rPr>
  </w:style>
  <w:style w:type="character" w:customStyle="1" w:styleId="SourceChar">
    <w:name w:val="Source Char"/>
    <w:basedOn w:val="NoteChar"/>
    <w:link w:val="Source"/>
    <w:rsid w:val="000D19AF"/>
    <w:rPr>
      <w:rFonts w:ascii="Arial" w:hAnsi="Arial"/>
      <w:sz w:val="18"/>
    </w:rPr>
  </w:style>
  <w:style w:type="character" w:customStyle="1" w:styleId="FigureChar">
    <w:name w:val="Figure Char"/>
    <w:basedOn w:val="BodyTextChar"/>
    <w:link w:val="Figure"/>
    <w:rsid w:val="00D85D0E"/>
    <w:rPr>
      <w:sz w:val="26"/>
    </w:rPr>
  </w:style>
  <w:style w:type="character" w:customStyle="1" w:styleId="NormalWebChar">
    <w:name w:val="Normal (Web) Char"/>
    <w:link w:val="NormalWeb"/>
    <w:rsid w:val="00307EA7"/>
    <w:rPr>
      <w:rFonts w:ascii="Arial" w:hAnsi="Arial" w:cs="Arial"/>
      <w:sz w:val="15"/>
      <w:szCs w:val="15"/>
      <w:lang w:val="en-AU" w:eastAsia="en-AU" w:bidi="ar-SA"/>
    </w:rPr>
  </w:style>
  <w:style w:type="character" w:customStyle="1" w:styleId="BoxChar">
    <w:name w:val="Box Char"/>
    <w:link w:val="Box"/>
    <w:rsid w:val="004934D4"/>
    <w:rPr>
      <w:rFonts w:ascii="Arial" w:hAnsi="Arial"/>
      <w:sz w:val="22"/>
    </w:rPr>
  </w:style>
  <w:style w:type="character" w:styleId="FollowedHyperlink">
    <w:name w:val="FollowedHyperlink"/>
    <w:rsid w:val="008F1D10"/>
    <w:rPr>
      <w:color w:val="800080"/>
      <w:u w:val="single"/>
    </w:rPr>
  </w:style>
  <w:style w:type="character" w:customStyle="1" w:styleId="JurisdictioncommentslistbulletChar">
    <w:name w:val="Jurisdiction comments list bullet Char"/>
    <w:link w:val="Jurisdictioncommentslistbullet"/>
    <w:rsid w:val="003C7ACB"/>
    <w:rPr>
      <w:rFonts w:ascii="Arial" w:hAnsi="Arial"/>
      <w:sz w:val="24"/>
      <w:lang w:eastAsia="en-US"/>
    </w:rPr>
  </w:style>
  <w:style w:type="character" w:customStyle="1" w:styleId="ListBulletChar">
    <w:name w:val="List Bullet Char"/>
    <w:basedOn w:val="BodyTextChar"/>
    <w:link w:val="ListBullet"/>
    <w:rsid w:val="003C7ACB"/>
    <w:rPr>
      <w:sz w:val="26"/>
    </w:rPr>
  </w:style>
  <w:style w:type="character" w:customStyle="1" w:styleId="BoxContinuedChar">
    <w:name w:val="Box Continued Char"/>
    <w:link w:val="BoxContinued"/>
    <w:semiHidden/>
    <w:rsid w:val="00824FB8"/>
    <w:rPr>
      <w:rFonts w:ascii="Arial" w:hAnsi="Arial"/>
      <w:sz w:val="18"/>
    </w:rPr>
  </w:style>
  <w:style w:type="character" w:customStyle="1" w:styleId="ContinuedChar">
    <w:name w:val="Continued Char"/>
    <w:basedOn w:val="BoxContinuedChar"/>
    <w:link w:val="Continued"/>
    <w:rsid w:val="00824FB8"/>
    <w:rPr>
      <w:rFonts w:ascii="Arial" w:hAnsi="Arial"/>
      <w:sz w:val="18"/>
    </w:rPr>
  </w:style>
  <w:style w:type="character" w:customStyle="1" w:styleId="JurisdictioncommentsbodytextChar">
    <w:name w:val="Jurisdiction comments body text Char"/>
    <w:link w:val="Jurisdictioncommentsbodytext"/>
    <w:rsid w:val="008404BA"/>
    <w:rPr>
      <w:rFonts w:ascii="Arial" w:hAnsi="Arial"/>
      <w:sz w:val="24"/>
      <w:lang w:eastAsia="en-US"/>
    </w:rPr>
  </w:style>
  <w:style w:type="paragraph" w:customStyle="1" w:styleId="RecBBullet2">
    <w:name w:val="RecB Bullet 2"/>
    <w:basedOn w:val="ListBullet2"/>
    <w:semiHidden/>
    <w:rsid w:val="00E23069"/>
    <w:pPr>
      <w:pBdr>
        <w:left w:val="single" w:sz="24" w:space="29" w:color="C0C0C0"/>
      </w:pBdr>
    </w:pPr>
    <w:rPr>
      <w:b/>
      <w:i/>
    </w:rPr>
  </w:style>
  <w:style w:type="character" w:customStyle="1" w:styleId="BalloonTextChar">
    <w:name w:val="Balloon Text Char"/>
    <w:basedOn w:val="DefaultParagraphFont"/>
    <w:link w:val="BalloonText"/>
    <w:rsid w:val="00E23069"/>
    <w:rPr>
      <w:rFonts w:ascii="Tahoma" w:hAnsi="Tahoma" w:cs="Tahoma"/>
      <w:sz w:val="16"/>
      <w:szCs w:val="16"/>
    </w:rPr>
  </w:style>
  <w:style w:type="character" w:customStyle="1" w:styleId="SubtitleChar">
    <w:name w:val="Subtitle Char"/>
    <w:basedOn w:val="DefaultParagraphFont"/>
    <w:link w:val="Subtitle"/>
    <w:rsid w:val="00E23069"/>
    <w:rPr>
      <w:rFonts w:ascii="Arial" w:hAnsi="Arial"/>
      <w:szCs w:val="24"/>
    </w:rPr>
  </w:style>
  <w:style w:type="paragraph" w:customStyle="1" w:styleId="BoxListBullet3">
    <w:name w:val="Box List Bullet 3"/>
    <w:basedOn w:val="ListBullet3"/>
    <w:rsid w:val="00E23069"/>
    <w:pPr>
      <w:numPr>
        <w:numId w:val="1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E23069"/>
    <w:rPr>
      <w:i/>
      <w:iCs/>
    </w:rPr>
  </w:style>
  <w:style w:type="paragraph" w:customStyle="1" w:styleId="BoxQuoteBullet">
    <w:name w:val="Box Quote Bullet"/>
    <w:basedOn w:val="BoxQuote"/>
    <w:next w:val="Box"/>
    <w:rsid w:val="00E23069"/>
    <w:pPr>
      <w:numPr>
        <w:numId w:val="16"/>
      </w:numPr>
      <w:ind w:left="568" w:hanging="284"/>
    </w:pPr>
  </w:style>
  <w:style w:type="paragraph" w:customStyle="1" w:styleId="InformationRequestBullet">
    <w:name w:val="Information Request Bullet"/>
    <w:basedOn w:val="ListBullet"/>
    <w:next w:val="BodyText"/>
    <w:rsid w:val="00E23069"/>
    <w:pPr>
      <w:numPr>
        <w:numId w:val="17"/>
      </w:numPr>
      <w:ind w:left="340" w:hanging="340"/>
    </w:pPr>
    <w:rPr>
      <w:rFonts w:ascii="Arial" w:hAnsi="Arial"/>
      <w:i/>
      <w:sz w:val="24"/>
    </w:rPr>
  </w:style>
  <w:style w:type="character" w:customStyle="1" w:styleId="ReferenceChar">
    <w:name w:val="Reference Char"/>
    <w:basedOn w:val="DefaultParagraphFont"/>
    <w:link w:val="Reference"/>
    <w:rsid w:val="00A42E75"/>
    <w:rPr>
      <w:sz w:val="26"/>
    </w:rPr>
  </w:style>
  <w:style w:type="paragraph" w:customStyle="1" w:styleId="BoxSpaceAbove">
    <w:name w:val="Box Space Above"/>
    <w:basedOn w:val="BodyText"/>
    <w:rsid w:val="00E23069"/>
    <w:pPr>
      <w:keepNext/>
      <w:spacing w:before="360" w:line="80" w:lineRule="exact"/>
      <w:jc w:val="left"/>
    </w:pPr>
  </w:style>
  <w:style w:type="paragraph" w:customStyle="1" w:styleId="BoxSpaceBelow">
    <w:name w:val="Box Space Below"/>
    <w:basedOn w:val="Box"/>
    <w:rsid w:val="00E23069"/>
    <w:pPr>
      <w:keepNext w:val="0"/>
      <w:spacing w:before="60" w:after="60" w:line="80" w:lineRule="exact"/>
    </w:pPr>
    <w:rPr>
      <w:sz w:val="14"/>
    </w:rPr>
  </w:style>
  <w:style w:type="paragraph" w:styleId="ListParagraph">
    <w:name w:val="List Paragraph"/>
    <w:basedOn w:val="Normal"/>
    <w:uiPriority w:val="34"/>
    <w:qFormat/>
    <w:rsid w:val="00B2291F"/>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5037">
      <w:bodyDiv w:val="1"/>
      <w:marLeft w:val="0"/>
      <w:marRight w:val="0"/>
      <w:marTop w:val="0"/>
      <w:marBottom w:val="0"/>
      <w:divBdr>
        <w:top w:val="none" w:sz="0" w:space="0" w:color="auto"/>
        <w:left w:val="none" w:sz="0" w:space="0" w:color="auto"/>
        <w:bottom w:val="none" w:sz="0" w:space="0" w:color="auto"/>
        <w:right w:val="none" w:sz="0" w:space="0" w:color="auto"/>
      </w:divBdr>
    </w:div>
    <w:div w:id="15733997">
      <w:bodyDiv w:val="1"/>
      <w:marLeft w:val="0"/>
      <w:marRight w:val="0"/>
      <w:marTop w:val="0"/>
      <w:marBottom w:val="0"/>
      <w:divBdr>
        <w:top w:val="none" w:sz="0" w:space="0" w:color="auto"/>
        <w:left w:val="none" w:sz="0" w:space="0" w:color="auto"/>
        <w:bottom w:val="none" w:sz="0" w:space="0" w:color="auto"/>
        <w:right w:val="none" w:sz="0" w:space="0" w:color="auto"/>
      </w:divBdr>
    </w:div>
    <w:div w:id="68312092">
      <w:bodyDiv w:val="1"/>
      <w:marLeft w:val="0"/>
      <w:marRight w:val="0"/>
      <w:marTop w:val="0"/>
      <w:marBottom w:val="0"/>
      <w:divBdr>
        <w:top w:val="none" w:sz="0" w:space="0" w:color="auto"/>
        <w:left w:val="none" w:sz="0" w:space="0" w:color="auto"/>
        <w:bottom w:val="none" w:sz="0" w:space="0" w:color="auto"/>
        <w:right w:val="none" w:sz="0" w:space="0" w:color="auto"/>
      </w:divBdr>
    </w:div>
    <w:div w:id="100076212">
      <w:bodyDiv w:val="1"/>
      <w:marLeft w:val="0"/>
      <w:marRight w:val="0"/>
      <w:marTop w:val="0"/>
      <w:marBottom w:val="0"/>
      <w:divBdr>
        <w:top w:val="none" w:sz="0" w:space="0" w:color="auto"/>
        <w:left w:val="none" w:sz="0" w:space="0" w:color="auto"/>
        <w:bottom w:val="none" w:sz="0" w:space="0" w:color="auto"/>
        <w:right w:val="none" w:sz="0" w:space="0" w:color="auto"/>
      </w:divBdr>
    </w:div>
    <w:div w:id="154494432">
      <w:bodyDiv w:val="1"/>
      <w:marLeft w:val="0"/>
      <w:marRight w:val="0"/>
      <w:marTop w:val="0"/>
      <w:marBottom w:val="0"/>
      <w:divBdr>
        <w:top w:val="none" w:sz="0" w:space="0" w:color="auto"/>
        <w:left w:val="none" w:sz="0" w:space="0" w:color="auto"/>
        <w:bottom w:val="none" w:sz="0" w:space="0" w:color="auto"/>
        <w:right w:val="none" w:sz="0" w:space="0" w:color="auto"/>
      </w:divBdr>
    </w:div>
    <w:div w:id="168329096">
      <w:bodyDiv w:val="1"/>
      <w:marLeft w:val="0"/>
      <w:marRight w:val="0"/>
      <w:marTop w:val="0"/>
      <w:marBottom w:val="0"/>
      <w:divBdr>
        <w:top w:val="none" w:sz="0" w:space="0" w:color="auto"/>
        <w:left w:val="none" w:sz="0" w:space="0" w:color="auto"/>
        <w:bottom w:val="none" w:sz="0" w:space="0" w:color="auto"/>
        <w:right w:val="none" w:sz="0" w:space="0" w:color="auto"/>
      </w:divBdr>
    </w:div>
    <w:div w:id="211693656">
      <w:bodyDiv w:val="1"/>
      <w:marLeft w:val="0"/>
      <w:marRight w:val="0"/>
      <w:marTop w:val="0"/>
      <w:marBottom w:val="0"/>
      <w:divBdr>
        <w:top w:val="none" w:sz="0" w:space="0" w:color="auto"/>
        <w:left w:val="none" w:sz="0" w:space="0" w:color="auto"/>
        <w:bottom w:val="none" w:sz="0" w:space="0" w:color="auto"/>
        <w:right w:val="none" w:sz="0" w:space="0" w:color="auto"/>
      </w:divBdr>
    </w:div>
    <w:div w:id="216669390">
      <w:bodyDiv w:val="1"/>
      <w:marLeft w:val="0"/>
      <w:marRight w:val="0"/>
      <w:marTop w:val="0"/>
      <w:marBottom w:val="0"/>
      <w:divBdr>
        <w:top w:val="none" w:sz="0" w:space="0" w:color="auto"/>
        <w:left w:val="none" w:sz="0" w:space="0" w:color="auto"/>
        <w:bottom w:val="none" w:sz="0" w:space="0" w:color="auto"/>
        <w:right w:val="none" w:sz="0" w:space="0" w:color="auto"/>
      </w:divBdr>
    </w:div>
    <w:div w:id="226956843">
      <w:bodyDiv w:val="1"/>
      <w:marLeft w:val="0"/>
      <w:marRight w:val="0"/>
      <w:marTop w:val="0"/>
      <w:marBottom w:val="0"/>
      <w:divBdr>
        <w:top w:val="none" w:sz="0" w:space="0" w:color="auto"/>
        <w:left w:val="none" w:sz="0" w:space="0" w:color="auto"/>
        <w:bottom w:val="none" w:sz="0" w:space="0" w:color="auto"/>
        <w:right w:val="none" w:sz="0" w:space="0" w:color="auto"/>
      </w:divBdr>
    </w:div>
    <w:div w:id="292904004">
      <w:bodyDiv w:val="1"/>
      <w:marLeft w:val="0"/>
      <w:marRight w:val="0"/>
      <w:marTop w:val="0"/>
      <w:marBottom w:val="0"/>
      <w:divBdr>
        <w:top w:val="none" w:sz="0" w:space="0" w:color="auto"/>
        <w:left w:val="none" w:sz="0" w:space="0" w:color="auto"/>
        <w:bottom w:val="none" w:sz="0" w:space="0" w:color="auto"/>
        <w:right w:val="none" w:sz="0" w:space="0" w:color="auto"/>
      </w:divBdr>
    </w:div>
    <w:div w:id="306328449">
      <w:bodyDiv w:val="1"/>
      <w:marLeft w:val="0"/>
      <w:marRight w:val="0"/>
      <w:marTop w:val="0"/>
      <w:marBottom w:val="0"/>
      <w:divBdr>
        <w:top w:val="none" w:sz="0" w:space="0" w:color="auto"/>
        <w:left w:val="none" w:sz="0" w:space="0" w:color="auto"/>
        <w:bottom w:val="none" w:sz="0" w:space="0" w:color="auto"/>
        <w:right w:val="none" w:sz="0" w:space="0" w:color="auto"/>
      </w:divBdr>
    </w:div>
    <w:div w:id="315031734">
      <w:bodyDiv w:val="1"/>
      <w:marLeft w:val="0"/>
      <w:marRight w:val="0"/>
      <w:marTop w:val="0"/>
      <w:marBottom w:val="0"/>
      <w:divBdr>
        <w:top w:val="none" w:sz="0" w:space="0" w:color="auto"/>
        <w:left w:val="none" w:sz="0" w:space="0" w:color="auto"/>
        <w:bottom w:val="none" w:sz="0" w:space="0" w:color="auto"/>
        <w:right w:val="none" w:sz="0" w:space="0" w:color="auto"/>
      </w:divBdr>
    </w:div>
    <w:div w:id="330067620">
      <w:bodyDiv w:val="1"/>
      <w:marLeft w:val="0"/>
      <w:marRight w:val="0"/>
      <w:marTop w:val="0"/>
      <w:marBottom w:val="0"/>
      <w:divBdr>
        <w:top w:val="none" w:sz="0" w:space="0" w:color="auto"/>
        <w:left w:val="none" w:sz="0" w:space="0" w:color="auto"/>
        <w:bottom w:val="none" w:sz="0" w:space="0" w:color="auto"/>
        <w:right w:val="none" w:sz="0" w:space="0" w:color="auto"/>
      </w:divBdr>
    </w:div>
    <w:div w:id="335575940">
      <w:bodyDiv w:val="1"/>
      <w:marLeft w:val="0"/>
      <w:marRight w:val="0"/>
      <w:marTop w:val="0"/>
      <w:marBottom w:val="0"/>
      <w:divBdr>
        <w:top w:val="none" w:sz="0" w:space="0" w:color="auto"/>
        <w:left w:val="none" w:sz="0" w:space="0" w:color="auto"/>
        <w:bottom w:val="none" w:sz="0" w:space="0" w:color="auto"/>
        <w:right w:val="none" w:sz="0" w:space="0" w:color="auto"/>
      </w:divBdr>
    </w:div>
    <w:div w:id="419833309">
      <w:bodyDiv w:val="1"/>
      <w:marLeft w:val="0"/>
      <w:marRight w:val="0"/>
      <w:marTop w:val="0"/>
      <w:marBottom w:val="0"/>
      <w:divBdr>
        <w:top w:val="none" w:sz="0" w:space="0" w:color="auto"/>
        <w:left w:val="none" w:sz="0" w:space="0" w:color="auto"/>
        <w:bottom w:val="none" w:sz="0" w:space="0" w:color="auto"/>
        <w:right w:val="none" w:sz="0" w:space="0" w:color="auto"/>
      </w:divBdr>
    </w:div>
    <w:div w:id="443041800">
      <w:bodyDiv w:val="1"/>
      <w:marLeft w:val="0"/>
      <w:marRight w:val="0"/>
      <w:marTop w:val="0"/>
      <w:marBottom w:val="0"/>
      <w:divBdr>
        <w:top w:val="none" w:sz="0" w:space="0" w:color="auto"/>
        <w:left w:val="none" w:sz="0" w:space="0" w:color="auto"/>
        <w:bottom w:val="none" w:sz="0" w:space="0" w:color="auto"/>
        <w:right w:val="none" w:sz="0" w:space="0" w:color="auto"/>
      </w:divBdr>
    </w:div>
    <w:div w:id="457333871">
      <w:bodyDiv w:val="1"/>
      <w:marLeft w:val="0"/>
      <w:marRight w:val="0"/>
      <w:marTop w:val="0"/>
      <w:marBottom w:val="0"/>
      <w:divBdr>
        <w:top w:val="none" w:sz="0" w:space="0" w:color="auto"/>
        <w:left w:val="none" w:sz="0" w:space="0" w:color="auto"/>
        <w:bottom w:val="none" w:sz="0" w:space="0" w:color="auto"/>
        <w:right w:val="none" w:sz="0" w:space="0" w:color="auto"/>
      </w:divBdr>
    </w:div>
    <w:div w:id="458107153">
      <w:bodyDiv w:val="1"/>
      <w:marLeft w:val="0"/>
      <w:marRight w:val="0"/>
      <w:marTop w:val="0"/>
      <w:marBottom w:val="0"/>
      <w:divBdr>
        <w:top w:val="none" w:sz="0" w:space="0" w:color="auto"/>
        <w:left w:val="none" w:sz="0" w:space="0" w:color="auto"/>
        <w:bottom w:val="none" w:sz="0" w:space="0" w:color="auto"/>
        <w:right w:val="none" w:sz="0" w:space="0" w:color="auto"/>
      </w:divBdr>
    </w:div>
    <w:div w:id="461460359">
      <w:bodyDiv w:val="1"/>
      <w:marLeft w:val="0"/>
      <w:marRight w:val="0"/>
      <w:marTop w:val="0"/>
      <w:marBottom w:val="0"/>
      <w:divBdr>
        <w:top w:val="none" w:sz="0" w:space="0" w:color="auto"/>
        <w:left w:val="none" w:sz="0" w:space="0" w:color="auto"/>
        <w:bottom w:val="none" w:sz="0" w:space="0" w:color="auto"/>
        <w:right w:val="none" w:sz="0" w:space="0" w:color="auto"/>
      </w:divBdr>
    </w:div>
    <w:div w:id="510222906">
      <w:bodyDiv w:val="1"/>
      <w:marLeft w:val="0"/>
      <w:marRight w:val="0"/>
      <w:marTop w:val="0"/>
      <w:marBottom w:val="0"/>
      <w:divBdr>
        <w:top w:val="none" w:sz="0" w:space="0" w:color="auto"/>
        <w:left w:val="none" w:sz="0" w:space="0" w:color="auto"/>
        <w:bottom w:val="none" w:sz="0" w:space="0" w:color="auto"/>
        <w:right w:val="none" w:sz="0" w:space="0" w:color="auto"/>
      </w:divBdr>
    </w:div>
    <w:div w:id="522131457">
      <w:bodyDiv w:val="1"/>
      <w:marLeft w:val="0"/>
      <w:marRight w:val="0"/>
      <w:marTop w:val="0"/>
      <w:marBottom w:val="0"/>
      <w:divBdr>
        <w:top w:val="none" w:sz="0" w:space="0" w:color="auto"/>
        <w:left w:val="none" w:sz="0" w:space="0" w:color="auto"/>
        <w:bottom w:val="none" w:sz="0" w:space="0" w:color="auto"/>
        <w:right w:val="none" w:sz="0" w:space="0" w:color="auto"/>
      </w:divBdr>
    </w:div>
    <w:div w:id="555775591">
      <w:bodyDiv w:val="1"/>
      <w:marLeft w:val="0"/>
      <w:marRight w:val="0"/>
      <w:marTop w:val="0"/>
      <w:marBottom w:val="0"/>
      <w:divBdr>
        <w:top w:val="none" w:sz="0" w:space="0" w:color="auto"/>
        <w:left w:val="none" w:sz="0" w:space="0" w:color="auto"/>
        <w:bottom w:val="none" w:sz="0" w:space="0" w:color="auto"/>
        <w:right w:val="none" w:sz="0" w:space="0" w:color="auto"/>
      </w:divBdr>
    </w:div>
    <w:div w:id="630020324">
      <w:bodyDiv w:val="1"/>
      <w:marLeft w:val="0"/>
      <w:marRight w:val="0"/>
      <w:marTop w:val="0"/>
      <w:marBottom w:val="0"/>
      <w:divBdr>
        <w:top w:val="none" w:sz="0" w:space="0" w:color="auto"/>
        <w:left w:val="none" w:sz="0" w:space="0" w:color="auto"/>
        <w:bottom w:val="none" w:sz="0" w:space="0" w:color="auto"/>
        <w:right w:val="none" w:sz="0" w:space="0" w:color="auto"/>
      </w:divBdr>
    </w:div>
    <w:div w:id="659043967">
      <w:bodyDiv w:val="1"/>
      <w:marLeft w:val="0"/>
      <w:marRight w:val="0"/>
      <w:marTop w:val="0"/>
      <w:marBottom w:val="0"/>
      <w:divBdr>
        <w:top w:val="none" w:sz="0" w:space="0" w:color="auto"/>
        <w:left w:val="none" w:sz="0" w:space="0" w:color="auto"/>
        <w:bottom w:val="none" w:sz="0" w:space="0" w:color="auto"/>
        <w:right w:val="none" w:sz="0" w:space="0" w:color="auto"/>
      </w:divBdr>
    </w:div>
    <w:div w:id="673266460">
      <w:bodyDiv w:val="1"/>
      <w:marLeft w:val="0"/>
      <w:marRight w:val="0"/>
      <w:marTop w:val="0"/>
      <w:marBottom w:val="0"/>
      <w:divBdr>
        <w:top w:val="none" w:sz="0" w:space="0" w:color="auto"/>
        <w:left w:val="none" w:sz="0" w:space="0" w:color="auto"/>
        <w:bottom w:val="none" w:sz="0" w:space="0" w:color="auto"/>
        <w:right w:val="none" w:sz="0" w:space="0" w:color="auto"/>
      </w:divBdr>
    </w:div>
    <w:div w:id="738283816">
      <w:bodyDiv w:val="1"/>
      <w:marLeft w:val="0"/>
      <w:marRight w:val="0"/>
      <w:marTop w:val="0"/>
      <w:marBottom w:val="0"/>
      <w:divBdr>
        <w:top w:val="none" w:sz="0" w:space="0" w:color="auto"/>
        <w:left w:val="none" w:sz="0" w:space="0" w:color="auto"/>
        <w:bottom w:val="none" w:sz="0" w:space="0" w:color="auto"/>
        <w:right w:val="none" w:sz="0" w:space="0" w:color="auto"/>
      </w:divBdr>
    </w:div>
    <w:div w:id="749233365">
      <w:bodyDiv w:val="1"/>
      <w:marLeft w:val="0"/>
      <w:marRight w:val="0"/>
      <w:marTop w:val="0"/>
      <w:marBottom w:val="0"/>
      <w:divBdr>
        <w:top w:val="none" w:sz="0" w:space="0" w:color="auto"/>
        <w:left w:val="none" w:sz="0" w:space="0" w:color="auto"/>
        <w:bottom w:val="none" w:sz="0" w:space="0" w:color="auto"/>
        <w:right w:val="none" w:sz="0" w:space="0" w:color="auto"/>
      </w:divBdr>
    </w:div>
    <w:div w:id="763644832">
      <w:bodyDiv w:val="1"/>
      <w:marLeft w:val="0"/>
      <w:marRight w:val="0"/>
      <w:marTop w:val="0"/>
      <w:marBottom w:val="0"/>
      <w:divBdr>
        <w:top w:val="none" w:sz="0" w:space="0" w:color="auto"/>
        <w:left w:val="none" w:sz="0" w:space="0" w:color="auto"/>
        <w:bottom w:val="none" w:sz="0" w:space="0" w:color="auto"/>
        <w:right w:val="none" w:sz="0" w:space="0" w:color="auto"/>
      </w:divBdr>
    </w:div>
    <w:div w:id="780496112">
      <w:bodyDiv w:val="1"/>
      <w:marLeft w:val="0"/>
      <w:marRight w:val="0"/>
      <w:marTop w:val="0"/>
      <w:marBottom w:val="0"/>
      <w:divBdr>
        <w:top w:val="none" w:sz="0" w:space="0" w:color="auto"/>
        <w:left w:val="none" w:sz="0" w:space="0" w:color="auto"/>
        <w:bottom w:val="none" w:sz="0" w:space="0" w:color="auto"/>
        <w:right w:val="none" w:sz="0" w:space="0" w:color="auto"/>
      </w:divBdr>
    </w:div>
    <w:div w:id="787167661">
      <w:bodyDiv w:val="1"/>
      <w:marLeft w:val="0"/>
      <w:marRight w:val="0"/>
      <w:marTop w:val="0"/>
      <w:marBottom w:val="0"/>
      <w:divBdr>
        <w:top w:val="none" w:sz="0" w:space="0" w:color="auto"/>
        <w:left w:val="none" w:sz="0" w:space="0" w:color="auto"/>
        <w:bottom w:val="none" w:sz="0" w:space="0" w:color="auto"/>
        <w:right w:val="none" w:sz="0" w:space="0" w:color="auto"/>
      </w:divBdr>
    </w:div>
    <w:div w:id="807165629">
      <w:bodyDiv w:val="1"/>
      <w:marLeft w:val="0"/>
      <w:marRight w:val="0"/>
      <w:marTop w:val="0"/>
      <w:marBottom w:val="0"/>
      <w:divBdr>
        <w:top w:val="none" w:sz="0" w:space="0" w:color="auto"/>
        <w:left w:val="none" w:sz="0" w:space="0" w:color="auto"/>
        <w:bottom w:val="none" w:sz="0" w:space="0" w:color="auto"/>
        <w:right w:val="none" w:sz="0" w:space="0" w:color="auto"/>
      </w:divBdr>
    </w:div>
    <w:div w:id="813714572">
      <w:bodyDiv w:val="1"/>
      <w:marLeft w:val="0"/>
      <w:marRight w:val="0"/>
      <w:marTop w:val="0"/>
      <w:marBottom w:val="0"/>
      <w:divBdr>
        <w:top w:val="none" w:sz="0" w:space="0" w:color="auto"/>
        <w:left w:val="none" w:sz="0" w:space="0" w:color="auto"/>
        <w:bottom w:val="none" w:sz="0" w:space="0" w:color="auto"/>
        <w:right w:val="none" w:sz="0" w:space="0" w:color="auto"/>
      </w:divBdr>
    </w:div>
    <w:div w:id="833885223">
      <w:bodyDiv w:val="1"/>
      <w:marLeft w:val="0"/>
      <w:marRight w:val="0"/>
      <w:marTop w:val="0"/>
      <w:marBottom w:val="0"/>
      <w:divBdr>
        <w:top w:val="none" w:sz="0" w:space="0" w:color="auto"/>
        <w:left w:val="none" w:sz="0" w:space="0" w:color="auto"/>
        <w:bottom w:val="none" w:sz="0" w:space="0" w:color="auto"/>
        <w:right w:val="none" w:sz="0" w:space="0" w:color="auto"/>
      </w:divBdr>
    </w:div>
    <w:div w:id="857161936">
      <w:bodyDiv w:val="1"/>
      <w:marLeft w:val="0"/>
      <w:marRight w:val="0"/>
      <w:marTop w:val="0"/>
      <w:marBottom w:val="0"/>
      <w:divBdr>
        <w:top w:val="none" w:sz="0" w:space="0" w:color="auto"/>
        <w:left w:val="none" w:sz="0" w:space="0" w:color="auto"/>
        <w:bottom w:val="none" w:sz="0" w:space="0" w:color="auto"/>
        <w:right w:val="none" w:sz="0" w:space="0" w:color="auto"/>
      </w:divBdr>
    </w:div>
    <w:div w:id="889800984">
      <w:bodyDiv w:val="1"/>
      <w:marLeft w:val="0"/>
      <w:marRight w:val="0"/>
      <w:marTop w:val="0"/>
      <w:marBottom w:val="0"/>
      <w:divBdr>
        <w:top w:val="none" w:sz="0" w:space="0" w:color="auto"/>
        <w:left w:val="none" w:sz="0" w:space="0" w:color="auto"/>
        <w:bottom w:val="none" w:sz="0" w:space="0" w:color="auto"/>
        <w:right w:val="none" w:sz="0" w:space="0" w:color="auto"/>
      </w:divBdr>
    </w:div>
    <w:div w:id="898398344">
      <w:bodyDiv w:val="1"/>
      <w:marLeft w:val="0"/>
      <w:marRight w:val="0"/>
      <w:marTop w:val="0"/>
      <w:marBottom w:val="0"/>
      <w:divBdr>
        <w:top w:val="none" w:sz="0" w:space="0" w:color="auto"/>
        <w:left w:val="none" w:sz="0" w:space="0" w:color="auto"/>
        <w:bottom w:val="none" w:sz="0" w:space="0" w:color="auto"/>
        <w:right w:val="none" w:sz="0" w:space="0" w:color="auto"/>
      </w:divBdr>
    </w:div>
    <w:div w:id="913784910">
      <w:bodyDiv w:val="1"/>
      <w:marLeft w:val="0"/>
      <w:marRight w:val="0"/>
      <w:marTop w:val="0"/>
      <w:marBottom w:val="0"/>
      <w:divBdr>
        <w:top w:val="none" w:sz="0" w:space="0" w:color="auto"/>
        <w:left w:val="none" w:sz="0" w:space="0" w:color="auto"/>
        <w:bottom w:val="none" w:sz="0" w:space="0" w:color="auto"/>
        <w:right w:val="none" w:sz="0" w:space="0" w:color="auto"/>
      </w:divBdr>
    </w:div>
    <w:div w:id="933172921">
      <w:bodyDiv w:val="1"/>
      <w:marLeft w:val="0"/>
      <w:marRight w:val="0"/>
      <w:marTop w:val="0"/>
      <w:marBottom w:val="0"/>
      <w:divBdr>
        <w:top w:val="none" w:sz="0" w:space="0" w:color="auto"/>
        <w:left w:val="none" w:sz="0" w:space="0" w:color="auto"/>
        <w:bottom w:val="none" w:sz="0" w:space="0" w:color="auto"/>
        <w:right w:val="none" w:sz="0" w:space="0" w:color="auto"/>
      </w:divBdr>
    </w:div>
    <w:div w:id="936714055">
      <w:bodyDiv w:val="1"/>
      <w:marLeft w:val="0"/>
      <w:marRight w:val="0"/>
      <w:marTop w:val="0"/>
      <w:marBottom w:val="0"/>
      <w:divBdr>
        <w:top w:val="none" w:sz="0" w:space="0" w:color="auto"/>
        <w:left w:val="none" w:sz="0" w:space="0" w:color="auto"/>
        <w:bottom w:val="none" w:sz="0" w:space="0" w:color="auto"/>
        <w:right w:val="none" w:sz="0" w:space="0" w:color="auto"/>
      </w:divBdr>
    </w:div>
    <w:div w:id="984314490">
      <w:bodyDiv w:val="1"/>
      <w:marLeft w:val="0"/>
      <w:marRight w:val="0"/>
      <w:marTop w:val="0"/>
      <w:marBottom w:val="0"/>
      <w:divBdr>
        <w:top w:val="none" w:sz="0" w:space="0" w:color="auto"/>
        <w:left w:val="none" w:sz="0" w:space="0" w:color="auto"/>
        <w:bottom w:val="none" w:sz="0" w:space="0" w:color="auto"/>
        <w:right w:val="none" w:sz="0" w:space="0" w:color="auto"/>
      </w:divBdr>
    </w:div>
    <w:div w:id="1046562882">
      <w:bodyDiv w:val="1"/>
      <w:marLeft w:val="0"/>
      <w:marRight w:val="0"/>
      <w:marTop w:val="0"/>
      <w:marBottom w:val="0"/>
      <w:divBdr>
        <w:top w:val="none" w:sz="0" w:space="0" w:color="auto"/>
        <w:left w:val="none" w:sz="0" w:space="0" w:color="auto"/>
        <w:bottom w:val="none" w:sz="0" w:space="0" w:color="auto"/>
        <w:right w:val="none" w:sz="0" w:space="0" w:color="auto"/>
      </w:divBdr>
    </w:div>
    <w:div w:id="1070155624">
      <w:bodyDiv w:val="1"/>
      <w:marLeft w:val="0"/>
      <w:marRight w:val="0"/>
      <w:marTop w:val="0"/>
      <w:marBottom w:val="0"/>
      <w:divBdr>
        <w:top w:val="none" w:sz="0" w:space="0" w:color="auto"/>
        <w:left w:val="none" w:sz="0" w:space="0" w:color="auto"/>
        <w:bottom w:val="none" w:sz="0" w:space="0" w:color="auto"/>
        <w:right w:val="none" w:sz="0" w:space="0" w:color="auto"/>
      </w:divBdr>
    </w:div>
    <w:div w:id="1080179259">
      <w:bodyDiv w:val="1"/>
      <w:marLeft w:val="0"/>
      <w:marRight w:val="0"/>
      <w:marTop w:val="0"/>
      <w:marBottom w:val="0"/>
      <w:divBdr>
        <w:top w:val="none" w:sz="0" w:space="0" w:color="auto"/>
        <w:left w:val="none" w:sz="0" w:space="0" w:color="auto"/>
        <w:bottom w:val="none" w:sz="0" w:space="0" w:color="auto"/>
        <w:right w:val="none" w:sz="0" w:space="0" w:color="auto"/>
      </w:divBdr>
    </w:div>
    <w:div w:id="1155561507">
      <w:bodyDiv w:val="1"/>
      <w:marLeft w:val="0"/>
      <w:marRight w:val="0"/>
      <w:marTop w:val="0"/>
      <w:marBottom w:val="0"/>
      <w:divBdr>
        <w:top w:val="none" w:sz="0" w:space="0" w:color="auto"/>
        <w:left w:val="none" w:sz="0" w:space="0" w:color="auto"/>
        <w:bottom w:val="none" w:sz="0" w:space="0" w:color="auto"/>
        <w:right w:val="none" w:sz="0" w:space="0" w:color="auto"/>
      </w:divBdr>
    </w:div>
    <w:div w:id="1182889760">
      <w:bodyDiv w:val="1"/>
      <w:marLeft w:val="0"/>
      <w:marRight w:val="0"/>
      <w:marTop w:val="0"/>
      <w:marBottom w:val="0"/>
      <w:divBdr>
        <w:top w:val="none" w:sz="0" w:space="0" w:color="auto"/>
        <w:left w:val="none" w:sz="0" w:space="0" w:color="auto"/>
        <w:bottom w:val="none" w:sz="0" w:space="0" w:color="auto"/>
        <w:right w:val="none" w:sz="0" w:space="0" w:color="auto"/>
      </w:divBdr>
    </w:div>
    <w:div w:id="1215123791">
      <w:bodyDiv w:val="1"/>
      <w:marLeft w:val="0"/>
      <w:marRight w:val="0"/>
      <w:marTop w:val="0"/>
      <w:marBottom w:val="0"/>
      <w:divBdr>
        <w:top w:val="none" w:sz="0" w:space="0" w:color="auto"/>
        <w:left w:val="none" w:sz="0" w:space="0" w:color="auto"/>
        <w:bottom w:val="none" w:sz="0" w:space="0" w:color="auto"/>
        <w:right w:val="none" w:sz="0" w:space="0" w:color="auto"/>
      </w:divBdr>
    </w:div>
    <w:div w:id="1274704579">
      <w:bodyDiv w:val="1"/>
      <w:marLeft w:val="0"/>
      <w:marRight w:val="0"/>
      <w:marTop w:val="0"/>
      <w:marBottom w:val="0"/>
      <w:divBdr>
        <w:top w:val="none" w:sz="0" w:space="0" w:color="auto"/>
        <w:left w:val="none" w:sz="0" w:space="0" w:color="auto"/>
        <w:bottom w:val="none" w:sz="0" w:space="0" w:color="auto"/>
        <w:right w:val="none" w:sz="0" w:space="0" w:color="auto"/>
      </w:divBdr>
    </w:div>
    <w:div w:id="1288202273">
      <w:bodyDiv w:val="1"/>
      <w:marLeft w:val="0"/>
      <w:marRight w:val="0"/>
      <w:marTop w:val="0"/>
      <w:marBottom w:val="0"/>
      <w:divBdr>
        <w:top w:val="none" w:sz="0" w:space="0" w:color="auto"/>
        <w:left w:val="none" w:sz="0" w:space="0" w:color="auto"/>
        <w:bottom w:val="none" w:sz="0" w:space="0" w:color="auto"/>
        <w:right w:val="none" w:sz="0" w:space="0" w:color="auto"/>
      </w:divBdr>
    </w:div>
    <w:div w:id="1298341751">
      <w:bodyDiv w:val="1"/>
      <w:marLeft w:val="0"/>
      <w:marRight w:val="0"/>
      <w:marTop w:val="0"/>
      <w:marBottom w:val="0"/>
      <w:divBdr>
        <w:top w:val="none" w:sz="0" w:space="0" w:color="auto"/>
        <w:left w:val="none" w:sz="0" w:space="0" w:color="auto"/>
        <w:bottom w:val="none" w:sz="0" w:space="0" w:color="auto"/>
        <w:right w:val="none" w:sz="0" w:space="0" w:color="auto"/>
      </w:divBdr>
    </w:div>
    <w:div w:id="1313408289">
      <w:bodyDiv w:val="1"/>
      <w:marLeft w:val="0"/>
      <w:marRight w:val="0"/>
      <w:marTop w:val="0"/>
      <w:marBottom w:val="0"/>
      <w:divBdr>
        <w:top w:val="none" w:sz="0" w:space="0" w:color="auto"/>
        <w:left w:val="none" w:sz="0" w:space="0" w:color="auto"/>
        <w:bottom w:val="none" w:sz="0" w:space="0" w:color="auto"/>
        <w:right w:val="none" w:sz="0" w:space="0" w:color="auto"/>
      </w:divBdr>
    </w:div>
    <w:div w:id="1338651959">
      <w:bodyDiv w:val="1"/>
      <w:marLeft w:val="0"/>
      <w:marRight w:val="0"/>
      <w:marTop w:val="0"/>
      <w:marBottom w:val="0"/>
      <w:divBdr>
        <w:top w:val="none" w:sz="0" w:space="0" w:color="auto"/>
        <w:left w:val="none" w:sz="0" w:space="0" w:color="auto"/>
        <w:bottom w:val="none" w:sz="0" w:space="0" w:color="auto"/>
        <w:right w:val="none" w:sz="0" w:space="0" w:color="auto"/>
      </w:divBdr>
    </w:div>
    <w:div w:id="1359041885">
      <w:bodyDiv w:val="1"/>
      <w:marLeft w:val="0"/>
      <w:marRight w:val="0"/>
      <w:marTop w:val="0"/>
      <w:marBottom w:val="0"/>
      <w:divBdr>
        <w:top w:val="none" w:sz="0" w:space="0" w:color="auto"/>
        <w:left w:val="none" w:sz="0" w:space="0" w:color="auto"/>
        <w:bottom w:val="none" w:sz="0" w:space="0" w:color="auto"/>
        <w:right w:val="none" w:sz="0" w:space="0" w:color="auto"/>
      </w:divBdr>
    </w:div>
    <w:div w:id="1366176997">
      <w:bodyDiv w:val="1"/>
      <w:marLeft w:val="0"/>
      <w:marRight w:val="0"/>
      <w:marTop w:val="0"/>
      <w:marBottom w:val="0"/>
      <w:divBdr>
        <w:top w:val="none" w:sz="0" w:space="0" w:color="auto"/>
        <w:left w:val="none" w:sz="0" w:space="0" w:color="auto"/>
        <w:bottom w:val="none" w:sz="0" w:space="0" w:color="auto"/>
        <w:right w:val="none" w:sz="0" w:space="0" w:color="auto"/>
      </w:divBdr>
    </w:div>
    <w:div w:id="1388529240">
      <w:bodyDiv w:val="1"/>
      <w:marLeft w:val="0"/>
      <w:marRight w:val="0"/>
      <w:marTop w:val="0"/>
      <w:marBottom w:val="0"/>
      <w:divBdr>
        <w:top w:val="none" w:sz="0" w:space="0" w:color="auto"/>
        <w:left w:val="none" w:sz="0" w:space="0" w:color="auto"/>
        <w:bottom w:val="none" w:sz="0" w:space="0" w:color="auto"/>
        <w:right w:val="none" w:sz="0" w:space="0" w:color="auto"/>
      </w:divBdr>
    </w:div>
    <w:div w:id="1398359627">
      <w:bodyDiv w:val="1"/>
      <w:marLeft w:val="0"/>
      <w:marRight w:val="0"/>
      <w:marTop w:val="0"/>
      <w:marBottom w:val="0"/>
      <w:divBdr>
        <w:top w:val="none" w:sz="0" w:space="0" w:color="auto"/>
        <w:left w:val="none" w:sz="0" w:space="0" w:color="auto"/>
        <w:bottom w:val="none" w:sz="0" w:space="0" w:color="auto"/>
        <w:right w:val="none" w:sz="0" w:space="0" w:color="auto"/>
      </w:divBdr>
    </w:div>
    <w:div w:id="1415853823">
      <w:bodyDiv w:val="1"/>
      <w:marLeft w:val="0"/>
      <w:marRight w:val="0"/>
      <w:marTop w:val="0"/>
      <w:marBottom w:val="0"/>
      <w:divBdr>
        <w:top w:val="none" w:sz="0" w:space="0" w:color="auto"/>
        <w:left w:val="none" w:sz="0" w:space="0" w:color="auto"/>
        <w:bottom w:val="none" w:sz="0" w:space="0" w:color="auto"/>
        <w:right w:val="none" w:sz="0" w:space="0" w:color="auto"/>
      </w:divBdr>
    </w:div>
    <w:div w:id="1442383510">
      <w:bodyDiv w:val="1"/>
      <w:marLeft w:val="0"/>
      <w:marRight w:val="0"/>
      <w:marTop w:val="0"/>
      <w:marBottom w:val="0"/>
      <w:divBdr>
        <w:top w:val="none" w:sz="0" w:space="0" w:color="auto"/>
        <w:left w:val="none" w:sz="0" w:space="0" w:color="auto"/>
        <w:bottom w:val="none" w:sz="0" w:space="0" w:color="auto"/>
        <w:right w:val="none" w:sz="0" w:space="0" w:color="auto"/>
      </w:divBdr>
    </w:div>
    <w:div w:id="1444572137">
      <w:bodyDiv w:val="1"/>
      <w:marLeft w:val="0"/>
      <w:marRight w:val="0"/>
      <w:marTop w:val="0"/>
      <w:marBottom w:val="0"/>
      <w:divBdr>
        <w:top w:val="none" w:sz="0" w:space="0" w:color="auto"/>
        <w:left w:val="none" w:sz="0" w:space="0" w:color="auto"/>
        <w:bottom w:val="none" w:sz="0" w:space="0" w:color="auto"/>
        <w:right w:val="none" w:sz="0" w:space="0" w:color="auto"/>
      </w:divBdr>
    </w:div>
    <w:div w:id="1452823069">
      <w:bodyDiv w:val="1"/>
      <w:marLeft w:val="0"/>
      <w:marRight w:val="0"/>
      <w:marTop w:val="0"/>
      <w:marBottom w:val="0"/>
      <w:divBdr>
        <w:top w:val="none" w:sz="0" w:space="0" w:color="auto"/>
        <w:left w:val="none" w:sz="0" w:space="0" w:color="auto"/>
        <w:bottom w:val="none" w:sz="0" w:space="0" w:color="auto"/>
        <w:right w:val="none" w:sz="0" w:space="0" w:color="auto"/>
      </w:divBdr>
    </w:div>
    <w:div w:id="1518733531">
      <w:bodyDiv w:val="1"/>
      <w:marLeft w:val="0"/>
      <w:marRight w:val="0"/>
      <w:marTop w:val="0"/>
      <w:marBottom w:val="0"/>
      <w:divBdr>
        <w:top w:val="none" w:sz="0" w:space="0" w:color="auto"/>
        <w:left w:val="none" w:sz="0" w:space="0" w:color="auto"/>
        <w:bottom w:val="none" w:sz="0" w:space="0" w:color="auto"/>
        <w:right w:val="none" w:sz="0" w:space="0" w:color="auto"/>
      </w:divBdr>
    </w:div>
    <w:div w:id="1554585567">
      <w:bodyDiv w:val="1"/>
      <w:marLeft w:val="0"/>
      <w:marRight w:val="0"/>
      <w:marTop w:val="0"/>
      <w:marBottom w:val="0"/>
      <w:divBdr>
        <w:top w:val="none" w:sz="0" w:space="0" w:color="auto"/>
        <w:left w:val="none" w:sz="0" w:space="0" w:color="auto"/>
        <w:bottom w:val="none" w:sz="0" w:space="0" w:color="auto"/>
        <w:right w:val="none" w:sz="0" w:space="0" w:color="auto"/>
      </w:divBdr>
    </w:div>
    <w:div w:id="1562523072">
      <w:bodyDiv w:val="1"/>
      <w:marLeft w:val="0"/>
      <w:marRight w:val="0"/>
      <w:marTop w:val="0"/>
      <w:marBottom w:val="0"/>
      <w:divBdr>
        <w:top w:val="none" w:sz="0" w:space="0" w:color="auto"/>
        <w:left w:val="none" w:sz="0" w:space="0" w:color="auto"/>
        <w:bottom w:val="none" w:sz="0" w:space="0" w:color="auto"/>
        <w:right w:val="none" w:sz="0" w:space="0" w:color="auto"/>
      </w:divBdr>
    </w:div>
    <w:div w:id="1577322649">
      <w:bodyDiv w:val="1"/>
      <w:marLeft w:val="0"/>
      <w:marRight w:val="0"/>
      <w:marTop w:val="0"/>
      <w:marBottom w:val="0"/>
      <w:divBdr>
        <w:top w:val="none" w:sz="0" w:space="0" w:color="auto"/>
        <w:left w:val="none" w:sz="0" w:space="0" w:color="auto"/>
        <w:bottom w:val="none" w:sz="0" w:space="0" w:color="auto"/>
        <w:right w:val="none" w:sz="0" w:space="0" w:color="auto"/>
      </w:divBdr>
    </w:div>
    <w:div w:id="1626545282">
      <w:bodyDiv w:val="1"/>
      <w:marLeft w:val="0"/>
      <w:marRight w:val="0"/>
      <w:marTop w:val="0"/>
      <w:marBottom w:val="0"/>
      <w:divBdr>
        <w:top w:val="none" w:sz="0" w:space="0" w:color="auto"/>
        <w:left w:val="none" w:sz="0" w:space="0" w:color="auto"/>
        <w:bottom w:val="none" w:sz="0" w:space="0" w:color="auto"/>
        <w:right w:val="none" w:sz="0" w:space="0" w:color="auto"/>
      </w:divBdr>
    </w:div>
    <w:div w:id="1663698076">
      <w:bodyDiv w:val="1"/>
      <w:marLeft w:val="0"/>
      <w:marRight w:val="0"/>
      <w:marTop w:val="0"/>
      <w:marBottom w:val="0"/>
      <w:divBdr>
        <w:top w:val="none" w:sz="0" w:space="0" w:color="auto"/>
        <w:left w:val="none" w:sz="0" w:space="0" w:color="auto"/>
        <w:bottom w:val="none" w:sz="0" w:space="0" w:color="auto"/>
        <w:right w:val="none" w:sz="0" w:space="0" w:color="auto"/>
      </w:divBdr>
    </w:div>
    <w:div w:id="1680890713">
      <w:bodyDiv w:val="1"/>
      <w:marLeft w:val="0"/>
      <w:marRight w:val="0"/>
      <w:marTop w:val="0"/>
      <w:marBottom w:val="0"/>
      <w:divBdr>
        <w:top w:val="none" w:sz="0" w:space="0" w:color="auto"/>
        <w:left w:val="none" w:sz="0" w:space="0" w:color="auto"/>
        <w:bottom w:val="none" w:sz="0" w:space="0" w:color="auto"/>
        <w:right w:val="none" w:sz="0" w:space="0" w:color="auto"/>
      </w:divBdr>
    </w:div>
    <w:div w:id="1691222850">
      <w:bodyDiv w:val="1"/>
      <w:marLeft w:val="0"/>
      <w:marRight w:val="0"/>
      <w:marTop w:val="0"/>
      <w:marBottom w:val="0"/>
      <w:divBdr>
        <w:top w:val="none" w:sz="0" w:space="0" w:color="auto"/>
        <w:left w:val="none" w:sz="0" w:space="0" w:color="auto"/>
        <w:bottom w:val="none" w:sz="0" w:space="0" w:color="auto"/>
        <w:right w:val="none" w:sz="0" w:space="0" w:color="auto"/>
      </w:divBdr>
    </w:div>
    <w:div w:id="1736053373">
      <w:bodyDiv w:val="1"/>
      <w:marLeft w:val="0"/>
      <w:marRight w:val="0"/>
      <w:marTop w:val="0"/>
      <w:marBottom w:val="0"/>
      <w:divBdr>
        <w:top w:val="none" w:sz="0" w:space="0" w:color="auto"/>
        <w:left w:val="none" w:sz="0" w:space="0" w:color="auto"/>
        <w:bottom w:val="none" w:sz="0" w:space="0" w:color="auto"/>
        <w:right w:val="none" w:sz="0" w:space="0" w:color="auto"/>
      </w:divBdr>
    </w:div>
    <w:div w:id="1748066160">
      <w:bodyDiv w:val="1"/>
      <w:marLeft w:val="0"/>
      <w:marRight w:val="0"/>
      <w:marTop w:val="0"/>
      <w:marBottom w:val="0"/>
      <w:divBdr>
        <w:top w:val="none" w:sz="0" w:space="0" w:color="auto"/>
        <w:left w:val="none" w:sz="0" w:space="0" w:color="auto"/>
        <w:bottom w:val="none" w:sz="0" w:space="0" w:color="auto"/>
        <w:right w:val="none" w:sz="0" w:space="0" w:color="auto"/>
      </w:divBdr>
    </w:div>
    <w:div w:id="1748115701">
      <w:bodyDiv w:val="1"/>
      <w:marLeft w:val="0"/>
      <w:marRight w:val="0"/>
      <w:marTop w:val="0"/>
      <w:marBottom w:val="0"/>
      <w:divBdr>
        <w:top w:val="none" w:sz="0" w:space="0" w:color="auto"/>
        <w:left w:val="none" w:sz="0" w:space="0" w:color="auto"/>
        <w:bottom w:val="none" w:sz="0" w:space="0" w:color="auto"/>
        <w:right w:val="none" w:sz="0" w:space="0" w:color="auto"/>
      </w:divBdr>
    </w:div>
    <w:div w:id="1757703744">
      <w:bodyDiv w:val="1"/>
      <w:marLeft w:val="0"/>
      <w:marRight w:val="0"/>
      <w:marTop w:val="0"/>
      <w:marBottom w:val="0"/>
      <w:divBdr>
        <w:top w:val="none" w:sz="0" w:space="0" w:color="auto"/>
        <w:left w:val="none" w:sz="0" w:space="0" w:color="auto"/>
        <w:bottom w:val="none" w:sz="0" w:space="0" w:color="auto"/>
        <w:right w:val="none" w:sz="0" w:space="0" w:color="auto"/>
      </w:divBdr>
    </w:div>
    <w:div w:id="1767723716">
      <w:bodyDiv w:val="1"/>
      <w:marLeft w:val="0"/>
      <w:marRight w:val="0"/>
      <w:marTop w:val="0"/>
      <w:marBottom w:val="0"/>
      <w:divBdr>
        <w:top w:val="none" w:sz="0" w:space="0" w:color="auto"/>
        <w:left w:val="none" w:sz="0" w:space="0" w:color="auto"/>
        <w:bottom w:val="none" w:sz="0" w:space="0" w:color="auto"/>
        <w:right w:val="none" w:sz="0" w:space="0" w:color="auto"/>
      </w:divBdr>
    </w:div>
    <w:div w:id="1843928806">
      <w:bodyDiv w:val="1"/>
      <w:marLeft w:val="0"/>
      <w:marRight w:val="0"/>
      <w:marTop w:val="0"/>
      <w:marBottom w:val="0"/>
      <w:divBdr>
        <w:top w:val="none" w:sz="0" w:space="0" w:color="auto"/>
        <w:left w:val="none" w:sz="0" w:space="0" w:color="auto"/>
        <w:bottom w:val="none" w:sz="0" w:space="0" w:color="auto"/>
        <w:right w:val="none" w:sz="0" w:space="0" w:color="auto"/>
      </w:divBdr>
    </w:div>
    <w:div w:id="1850563322">
      <w:bodyDiv w:val="1"/>
      <w:marLeft w:val="0"/>
      <w:marRight w:val="0"/>
      <w:marTop w:val="0"/>
      <w:marBottom w:val="0"/>
      <w:divBdr>
        <w:top w:val="none" w:sz="0" w:space="0" w:color="auto"/>
        <w:left w:val="none" w:sz="0" w:space="0" w:color="auto"/>
        <w:bottom w:val="none" w:sz="0" w:space="0" w:color="auto"/>
        <w:right w:val="none" w:sz="0" w:space="0" w:color="auto"/>
      </w:divBdr>
    </w:div>
    <w:div w:id="1911453957">
      <w:bodyDiv w:val="1"/>
      <w:marLeft w:val="0"/>
      <w:marRight w:val="0"/>
      <w:marTop w:val="0"/>
      <w:marBottom w:val="0"/>
      <w:divBdr>
        <w:top w:val="none" w:sz="0" w:space="0" w:color="auto"/>
        <w:left w:val="none" w:sz="0" w:space="0" w:color="auto"/>
        <w:bottom w:val="none" w:sz="0" w:space="0" w:color="auto"/>
        <w:right w:val="none" w:sz="0" w:space="0" w:color="auto"/>
      </w:divBdr>
    </w:div>
    <w:div w:id="1916933934">
      <w:bodyDiv w:val="1"/>
      <w:marLeft w:val="0"/>
      <w:marRight w:val="0"/>
      <w:marTop w:val="0"/>
      <w:marBottom w:val="0"/>
      <w:divBdr>
        <w:top w:val="none" w:sz="0" w:space="0" w:color="auto"/>
        <w:left w:val="none" w:sz="0" w:space="0" w:color="auto"/>
        <w:bottom w:val="none" w:sz="0" w:space="0" w:color="auto"/>
        <w:right w:val="none" w:sz="0" w:space="0" w:color="auto"/>
      </w:divBdr>
    </w:div>
    <w:div w:id="1988707999">
      <w:bodyDiv w:val="1"/>
      <w:marLeft w:val="0"/>
      <w:marRight w:val="0"/>
      <w:marTop w:val="0"/>
      <w:marBottom w:val="0"/>
      <w:divBdr>
        <w:top w:val="none" w:sz="0" w:space="0" w:color="auto"/>
        <w:left w:val="none" w:sz="0" w:space="0" w:color="auto"/>
        <w:bottom w:val="none" w:sz="0" w:space="0" w:color="auto"/>
        <w:right w:val="none" w:sz="0" w:space="0" w:color="auto"/>
      </w:divBdr>
    </w:div>
    <w:div w:id="1990865835">
      <w:bodyDiv w:val="1"/>
      <w:marLeft w:val="0"/>
      <w:marRight w:val="0"/>
      <w:marTop w:val="0"/>
      <w:marBottom w:val="0"/>
      <w:divBdr>
        <w:top w:val="none" w:sz="0" w:space="0" w:color="auto"/>
        <w:left w:val="none" w:sz="0" w:space="0" w:color="auto"/>
        <w:bottom w:val="none" w:sz="0" w:space="0" w:color="auto"/>
        <w:right w:val="none" w:sz="0" w:space="0" w:color="auto"/>
      </w:divBdr>
    </w:div>
    <w:div w:id="2032221940">
      <w:bodyDiv w:val="1"/>
      <w:marLeft w:val="0"/>
      <w:marRight w:val="0"/>
      <w:marTop w:val="0"/>
      <w:marBottom w:val="0"/>
      <w:divBdr>
        <w:top w:val="none" w:sz="0" w:space="0" w:color="auto"/>
        <w:left w:val="none" w:sz="0" w:space="0" w:color="auto"/>
        <w:bottom w:val="none" w:sz="0" w:space="0" w:color="auto"/>
        <w:right w:val="none" w:sz="0" w:space="0" w:color="auto"/>
      </w:divBdr>
    </w:div>
    <w:div w:id="2071227909">
      <w:bodyDiv w:val="1"/>
      <w:marLeft w:val="0"/>
      <w:marRight w:val="0"/>
      <w:marTop w:val="0"/>
      <w:marBottom w:val="0"/>
      <w:divBdr>
        <w:top w:val="none" w:sz="0" w:space="0" w:color="auto"/>
        <w:left w:val="none" w:sz="0" w:space="0" w:color="auto"/>
        <w:bottom w:val="none" w:sz="0" w:space="0" w:color="auto"/>
        <w:right w:val="none" w:sz="0" w:space="0" w:color="auto"/>
      </w:divBdr>
    </w:div>
    <w:div w:id="2098821251">
      <w:bodyDiv w:val="1"/>
      <w:marLeft w:val="0"/>
      <w:marRight w:val="0"/>
      <w:marTop w:val="0"/>
      <w:marBottom w:val="0"/>
      <w:divBdr>
        <w:top w:val="none" w:sz="0" w:space="0" w:color="auto"/>
        <w:left w:val="none" w:sz="0" w:space="0" w:color="auto"/>
        <w:bottom w:val="none" w:sz="0" w:space="0" w:color="auto"/>
        <w:right w:val="none" w:sz="0" w:space="0" w:color="auto"/>
      </w:divBdr>
    </w:div>
    <w:div w:id="2109235253">
      <w:bodyDiv w:val="1"/>
      <w:marLeft w:val="0"/>
      <w:marRight w:val="0"/>
      <w:marTop w:val="0"/>
      <w:marBottom w:val="0"/>
      <w:divBdr>
        <w:top w:val="none" w:sz="0" w:space="0" w:color="auto"/>
        <w:left w:val="none" w:sz="0" w:space="0" w:color="auto"/>
        <w:bottom w:val="none" w:sz="0" w:space="0" w:color="auto"/>
        <w:right w:val="none" w:sz="0" w:space="0" w:color="auto"/>
      </w:divBdr>
    </w:div>
    <w:div w:id="2144810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4.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3.emf"/><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chart" Target="charts/chart2.xm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1.emf"/><Relationship Id="rId35"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'Data - f3.24'!$B$23</c:f>
              <c:strCache>
                <c:ptCount val="1"/>
                <c:pt idx="0">
                  <c:v>$35 000</c:v>
                </c:pt>
              </c:strCache>
            </c:strRef>
          </c:tx>
          <c:spPr>
            <a:solidFill>
              <a:sysClr val="window" lastClr="FFFFFF">
                <a:lumMod val="75000"/>
              </a:sysClr>
            </a:solidFill>
            <a:ln>
              <a:solidFill>
                <a:srgbClr val="000000"/>
              </a:solidFill>
            </a:ln>
          </c:spPr>
          <c:invertIfNegative val="0"/>
          <c:val>
            <c:numRef>
              <c:f>'Data - f3.24'!$C$23:$K$23</c:f>
              <c:numCache>
                <c:formatCode>0.0</c:formatCode>
                <c:ptCount val="9"/>
                <c:pt idx="0">
                  <c:v>7.4632070453336476</c:v>
                </c:pt>
                <c:pt idx="1">
                  <c:v>7.5252674507949635</c:v>
                </c:pt>
                <c:pt idx="2">
                  <c:v>8.8521780247059514</c:v>
                </c:pt>
                <c:pt idx="3">
                  <c:v>9.5265677640522526</c:v>
                </c:pt>
                <c:pt idx="4">
                  <c:v>6.2048584431704006</c:v>
                </c:pt>
                <c:pt idx="5">
                  <c:v>9.6985637449021755</c:v>
                </c:pt>
                <c:pt idx="6">
                  <c:v>10.647201371239435</c:v>
                </c:pt>
                <c:pt idx="7">
                  <c:v>8.4319404220107614</c:v>
                </c:pt>
                <c:pt idx="8">
                  <c:v>7.9301377149949799</c:v>
                </c:pt>
              </c:numCache>
            </c:numRef>
          </c:val>
        </c:ser>
        <c:ser>
          <c:idx val="1"/>
          <c:order val="1"/>
          <c:tx>
            <c:strRef>
              <c:f>'Data - f3.24'!$B$24</c:f>
              <c:strCache>
                <c:ptCount val="1"/>
                <c:pt idx="0">
                  <c:v>$55 000</c:v>
                </c:pt>
              </c:strCache>
            </c:strRef>
          </c:tx>
          <c:spPr>
            <a:pattFill prst="wdUpDiag">
              <a:fgClr>
                <a:schemeClr val="tx1"/>
              </a:fgClr>
              <a:bgClr>
                <a:schemeClr val="bg1"/>
              </a:bgClr>
            </a:pattFill>
            <a:ln>
              <a:solidFill>
                <a:sysClr val="windowText" lastClr="000000"/>
              </a:solidFill>
            </a:ln>
          </c:spPr>
          <c:invertIfNegative val="0"/>
          <c:val>
            <c:numRef>
              <c:f>'Data - f3.24'!$C$24:$K$24</c:f>
              <c:numCache>
                <c:formatCode>0.0</c:formatCode>
                <c:ptCount val="9"/>
                <c:pt idx="0">
                  <c:v>7.4948437710827109</c:v>
                </c:pt>
                <c:pt idx="1">
                  <c:v>7.5454422791495599</c:v>
                </c:pt>
                <c:pt idx="2">
                  <c:v>8.6272865706740678</c:v>
                </c:pt>
                <c:pt idx="3">
                  <c:v>9.1771236916671501</c:v>
                </c:pt>
                <c:pt idx="4">
                  <c:v>6.4688987837082452</c:v>
                </c:pt>
                <c:pt idx="5">
                  <c:v>9.3173538425952671</c:v>
                </c:pt>
                <c:pt idx="6">
                  <c:v>10.090788180188515</c:v>
                </c:pt>
                <c:pt idx="7">
                  <c:v>8.2846623874785603</c:v>
                </c:pt>
                <c:pt idx="8">
                  <c:v>7.8755373079666153</c:v>
                </c:pt>
              </c:numCache>
            </c:numRef>
          </c:val>
        </c:ser>
        <c:ser>
          <c:idx val="2"/>
          <c:order val="2"/>
          <c:tx>
            <c:strRef>
              <c:f>'Data - f3.24'!$B$25</c:f>
              <c:strCache>
                <c:ptCount val="1"/>
                <c:pt idx="0">
                  <c:v>$75 000</c:v>
                </c:pt>
              </c:strCache>
            </c:strRef>
          </c:tx>
          <c:spPr>
            <a:solidFill>
              <a:schemeClr val="bg1">
                <a:lumMod val="50000"/>
              </a:schemeClr>
            </a:solidFill>
            <a:ln>
              <a:solidFill>
                <a:sysClr val="windowText" lastClr="000000"/>
              </a:solidFill>
            </a:ln>
          </c:spPr>
          <c:invertIfNegative val="0"/>
          <c:val>
            <c:numRef>
              <c:f>'Data - f3.24'!$C$25:$K$25</c:f>
              <c:numCache>
                <c:formatCode>0.0</c:formatCode>
                <c:ptCount val="9"/>
                <c:pt idx="0">
                  <c:v>7.4521539371681875</c:v>
                </c:pt>
                <c:pt idx="1">
                  <c:v>7.4924898391942021</c:v>
                </c:pt>
                <c:pt idx="2">
                  <c:v>8.3549098396551855</c:v>
                </c:pt>
                <c:pt idx="3">
                  <c:v>8.7932266416712146</c:v>
                </c:pt>
                <c:pt idx="4">
                  <c:v>6.6342955046597591</c:v>
                </c:pt>
                <c:pt idx="5">
                  <c:v>8.9050147130004511</c:v>
                </c:pt>
                <c:pt idx="6">
                  <c:v>9.5215777868266773</c:v>
                </c:pt>
                <c:pt idx="7">
                  <c:v>8.0817781602218872</c:v>
                </c:pt>
                <c:pt idx="8">
                  <c:v>7.7556335809829697</c:v>
                </c:pt>
              </c:numCache>
            </c:numRef>
          </c:val>
        </c:ser>
        <c:ser>
          <c:idx val="3"/>
          <c:order val="3"/>
          <c:tx>
            <c:strRef>
              <c:f>'Data - f3.24'!$B$26</c:f>
              <c:strCache>
                <c:ptCount val="1"/>
                <c:pt idx="0">
                  <c:v>$95 000</c:v>
                </c:pt>
              </c:strCache>
            </c:strRef>
          </c:tx>
          <c:spPr>
            <a:pattFill prst="openDmnd">
              <a:fgClr>
                <a:schemeClr val="tx1"/>
              </a:fgClr>
              <a:bgClr>
                <a:schemeClr val="bg1"/>
              </a:bgClr>
            </a:pattFill>
            <a:ln>
              <a:solidFill>
                <a:sysClr val="windowText" lastClr="000000"/>
              </a:solidFill>
            </a:ln>
          </c:spPr>
          <c:invertIfNegative val="0"/>
          <c:val>
            <c:numRef>
              <c:f>'Data - f3.24'!$C$26:$K$26</c:f>
              <c:numCache>
                <c:formatCode>0.0</c:formatCode>
                <c:ptCount val="9"/>
                <c:pt idx="0">
                  <c:v>7.4293580080778732</c:v>
                </c:pt>
                <c:pt idx="1">
                  <c:v>7.4629171644920778</c:v>
                </c:pt>
                <c:pt idx="2">
                  <c:v>8.1804438897291103</c:v>
                </c:pt>
                <c:pt idx="3">
                  <c:v>8.5451200560967955</c:v>
                </c:pt>
                <c:pt idx="4">
                  <c:v>6.7489061604032008</c:v>
                </c:pt>
                <c:pt idx="5">
                  <c:v>8.6381268610161577</c:v>
                </c:pt>
                <c:pt idx="6">
                  <c:v>9.1511025376332817</c:v>
                </c:pt>
                <c:pt idx="7">
                  <c:v>7.9532004591529288</c:v>
                </c:pt>
                <c:pt idx="8">
                  <c:v>7.681850708718077</c:v>
                </c:pt>
              </c:numCache>
            </c:numRef>
          </c:val>
        </c:ser>
        <c:ser>
          <c:idx val="4"/>
          <c:order val="4"/>
          <c:tx>
            <c:strRef>
              <c:f>'Data - f3.24'!$B$27</c:f>
              <c:strCache>
                <c:ptCount val="1"/>
                <c:pt idx="0">
                  <c:v>$115 000</c:v>
                </c:pt>
              </c:strCache>
            </c:strRef>
          </c:tx>
          <c:spPr>
            <a:pattFill prst="ltVert">
              <a:fgClr>
                <a:schemeClr val="tx1"/>
              </a:fgClr>
              <a:bgClr>
                <a:schemeClr val="bg1"/>
              </a:bgClr>
            </a:pattFill>
            <a:ln>
              <a:solidFill>
                <a:sysClr val="windowText" lastClr="000000"/>
              </a:solidFill>
            </a:ln>
          </c:spPr>
          <c:invertIfNegative val="0"/>
          <c:val>
            <c:numRef>
              <c:f>'Data - f3.24'!$C$27:$K$27</c:f>
              <c:numCache>
                <c:formatCode>0.0</c:formatCode>
                <c:ptCount val="9"/>
                <c:pt idx="0">
                  <c:v>7.6118872174298886</c:v>
                </c:pt>
                <c:pt idx="1">
                  <c:v>7.6413895672076793</c:v>
                </c:pt>
                <c:pt idx="2">
                  <c:v>8.439314658120816</c:v>
                </c:pt>
                <c:pt idx="3">
                  <c:v>9.0804990599581448</c:v>
                </c:pt>
                <c:pt idx="4">
                  <c:v>7.0136919538402021</c:v>
                </c:pt>
                <c:pt idx="5">
                  <c:v>9.2440263701550407</c:v>
                </c:pt>
                <c:pt idx="6">
                  <c:v>10.145955349076084</c:v>
                </c:pt>
                <c:pt idx="7">
                  <c:v>8.0724048487232203</c:v>
                </c:pt>
                <c:pt idx="8">
                  <c:v>7.833857277662795</c:v>
                </c:pt>
              </c:numCache>
            </c:numRef>
          </c:val>
        </c:ser>
        <c:ser>
          <c:idx val="5"/>
          <c:order val="5"/>
          <c:tx>
            <c:strRef>
              <c:f>'Data - f3.24'!$B$28</c:f>
              <c:strCache>
                <c:ptCount val="1"/>
                <c:pt idx="0">
                  <c:v>$135 000</c:v>
                </c:pt>
              </c:strCache>
            </c:strRef>
          </c:tx>
          <c:spPr>
            <a:pattFill prst="wdDnDiag">
              <a:fgClr>
                <a:sysClr val="windowText" lastClr="000000"/>
              </a:fgClr>
              <a:bgClr>
                <a:sysClr val="window" lastClr="FFFFFF"/>
              </a:bgClr>
            </a:pattFill>
            <a:ln>
              <a:solidFill>
                <a:sysClr val="windowText" lastClr="000000"/>
              </a:solidFill>
            </a:ln>
          </c:spPr>
          <c:invertIfNegative val="0"/>
          <c:val>
            <c:numRef>
              <c:f>'Data - f3.24'!$C$28:$K$28</c:f>
              <c:numCache>
                <c:formatCode>0.0</c:formatCode>
                <c:ptCount val="9"/>
                <c:pt idx="0">
                  <c:v>8.1135275595549938</c:v>
                </c:pt>
                <c:pt idx="1">
                  <c:v>8.1651124437100826</c:v>
                </c:pt>
                <c:pt idx="2">
                  <c:v>9.2680463954069783</c:v>
                </c:pt>
                <c:pt idx="3">
                  <c:v>9.8286021365589438</c:v>
                </c:pt>
                <c:pt idx="4">
                  <c:v>7.0767091791616723</c:v>
                </c:pt>
                <c:pt idx="5">
                  <c:v>9.9715659583601894</c:v>
                </c:pt>
                <c:pt idx="6">
                  <c:v>10.760077759016545</c:v>
                </c:pt>
                <c:pt idx="7">
                  <c:v>8.9187430369853793</c:v>
                </c:pt>
                <c:pt idx="8">
                  <c:v>8.5016424022456629</c:v>
                </c:pt>
              </c:numCache>
            </c:numRef>
          </c:val>
        </c:ser>
        <c:dLbls>
          <c:showLegendKey val="0"/>
          <c:showVal val="0"/>
          <c:showCatName val="0"/>
          <c:showSerName val="0"/>
          <c:showPercent val="0"/>
          <c:showBubbleSize val="0"/>
        </c:dLbls>
        <c:gapWidth val="150"/>
        <c:axId val="198083712"/>
        <c:axId val="198085248"/>
      </c:barChart>
      <c:catAx>
        <c:axId val="198083712"/>
        <c:scaling>
          <c:orientation val="minMax"/>
        </c:scaling>
        <c:delete val="1"/>
        <c:axPos val="b"/>
        <c:majorTickMark val="out"/>
        <c:minorTickMark val="none"/>
        <c:tickLblPos val="nextTo"/>
        <c:crossAx val="198085248"/>
        <c:crosses val="autoZero"/>
        <c:auto val="1"/>
        <c:lblAlgn val="ctr"/>
        <c:lblOffset val="100"/>
        <c:noMultiLvlLbl val="0"/>
      </c:catAx>
      <c:valAx>
        <c:axId val="198085248"/>
        <c:scaling>
          <c:orientation val="minMax"/>
          <c:max val="9000000"/>
        </c:scaling>
        <c:delete val="1"/>
        <c:axPos val="l"/>
        <c:numFmt formatCode="0.0" sourceLinked="1"/>
        <c:majorTickMark val="out"/>
        <c:minorTickMark val="none"/>
        <c:tickLblPos val="nextTo"/>
        <c:crossAx val="198083712"/>
        <c:crosses val="autoZero"/>
        <c:crossBetween val="between"/>
        <c:majorUnit val="500000"/>
      </c:valAx>
      <c:spPr>
        <a:noFill/>
        <a:ln>
          <a:solidFill>
            <a:schemeClr val="tx1"/>
          </a:solidFill>
        </a:ln>
      </c:spPr>
    </c:plotArea>
    <c:legend>
      <c:legendPos val="t"/>
      <c:overlay val="0"/>
      <c:spPr>
        <a:ln>
          <a:solidFill>
            <a:schemeClr val="tx1"/>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'Data - f3.24'!$B$23</c:f>
              <c:strCache>
                <c:ptCount val="1"/>
                <c:pt idx="0">
                  <c:v>$35 000</c:v>
                </c:pt>
              </c:strCache>
            </c:strRef>
          </c:tx>
          <c:spPr>
            <a:solidFill>
              <a:sysClr val="window" lastClr="FFFFFF">
                <a:lumMod val="75000"/>
              </a:sysClr>
            </a:solidFill>
            <a:ln>
              <a:solidFill>
                <a:srgbClr val="000000"/>
              </a:solidFill>
            </a:ln>
          </c:spPr>
          <c:invertIfNegative val="0"/>
          <c:val>
            <c:numRef>
              <c:f>'Data - f3.24'!$C$23:$K$23</c:f>
              <c:numCache>
                <c:formatCode>0.0</c:formatCode>
                <c:ptCount val="9"/>
                <c:pt idx="0">
                  <c:v>7.4632070453336476</c:v>
                </c:pt>
                <c:pt idx="1">
                  <c:v>7.5252674507949635</c:v>
                </c:pt>
                <c:pt idx="2">
                  <c:v>8.8521780247059514</c:v>
                </c:pt>
                <c:pt idx="3">
                  <c:v>9.5265677640522526</c:v>
                </c:pt>
                <c:pt idx="4">
                  <c:v>6.2048584431704006</c:v>
                </c:pt>
                <c:pt idx="5">
                  <c:v>9.6985637449021755</c:v>
                </c:pt>
                <c:pt idx="6">
                  <c:v>10.647201371239435</c:v>
                </c:pt>
                <c:pt idx="7">
                  <c:v>8.4319404220107614</c:v>
                </c:pt>
                <c:pt idx="8">
                  <c:v>7.9301377149949799</c:v>
                </c:pt>
              </c:numCache>
            </c:numRef>
          </c:val>
        </c:ser>
        <c:ser>
          <c:idx val="1"/>
          <c:order val="1"/>
          <c:tx>
            <c:strRef>
              <c:f>'Data - f3.24'!$B$24</c:f>
              <c:strCache>
                <c:ptCount val="1"/>
                <c:pt idx="0">
                  <c:v>$55 000</c:v>
                </c:pt>
              </c:strCache>
            </c:strRef>
          </c:tx>
          <c:spPr>
            <a:pattFill prst="wdUpDiag">
              <a:fgClr>
                <a:schemeClr val="tx1"/>
              </a:fgClr>
              <a:bgClr>
                <a:schemeClr val="bg1"/>
              </a:bgClr>
            </a:pattFill>
            <a:ln>
              <a:solidFill>
                <a:sysClr val="windowText" lastClr="000000"/>
              </a:solidFill>
            </a:ln>
          </c:spPr>
          <c:invertIfNegative val="0"/>
          <c:val>
            <c:numRef>
              <c:f>'Data - f3.24'!$C$24:$K$24</c:f>
              <c:numCache>
                <c:formatCode>0.0</c:formatCode>
                <c:ptCount val="9"/>
                <c:pt idx="0">
                  <c:v>7.4948437710827109</c:v>
                </c:pt>
                <c:pt idx="1">
                  <c:v>7.5454422791495599</c:v>
                </c:pt>
                <c:pt idx="2">
                  <c:v>8.6272865706740678</c:v>
                </c:pt>
                <c:pt idx="3">
                  <c:v>9.1771236916671501</c:v>
                </c:pt>
                <c:pt idx="4">
                  <c:v>6.4688987837082452</c:v>
                </c:pt>
                <c:pt idx="5">
                  <c:v>9.3173538425952671</c:v>
                </c:pt>
                <c:pt idx="6">
                  <c:v>10.090788180188515</c:v>
                </c:pt>
                <c:pt idx="7">
                  <c:v>8.2846623874785603</c:v>
                </c:pt>
                <c:pt idx="8">
                  <c:v>7.8755373079666153</c:v>
                </c:pt>
              </c:numCache>
            </c:numRef>
          </c:val>
        </c:ser>
        <c:ser>
          <c:idx val="2"/>
          <c:order val="2"/>
          <c:tx>
            <c:strRef>
              <c:f>'Data - f3.24'!$B$25</c:f>
              <c:strCache>
                <c:ptCount val="1"/>
                <c:pt idx="0">
                  <c:v>$75 000</c:v>
                </c:pt>
              </c:strCache>
            </c:strRef>
          </c:tx>
          <c:spPr>
            <a:solidFill>
              <a:schemeClr val="bg1">
                <a:lumMod val="50000"/>
              </a:schemeClr>
            </a:solidFill>
            <a:ln>
              <a:solidFill>
                <a:sysClr val="windowText" lastClr="000000"/>
              </a:solidFill>
            </a:ln>
          </c:spPr>
          <c:invertIfNegative val="0"/>
          <c:val>
            <c:numRef>
              <c:f>'Data - f3.24'!$C$25:$K$25</c:f>
              <c:numCache>
                <c:formatCode>0.0</c:formatCode>
                <c:ptCount val="9"/>
                <c:pt idx="0">
                  <c:v>7.4521539371681875</c:v>
                </c:pt>
                <c:pt idx="1">
                  <c:v>7.4924898391942021</c:v>
                </c:pt>
                <c:pt idx="2">
                  <c:v>8.3549098396551855</c:v>
                </c:pt>
                <c:pt idx="3">
                  <c:v>8.7932266416712146</c:v>
                </c:pt>
                <c:pt idx="4">
                  <c:v>6.6342955046597591</c:v>
                </c:pt>
                <c:pt idx="5">
                  <c:v>8.9050147130004511</c:v>
                </c:pt>
                <c:pt idx="6">
                  <c:v>9.5215777868266773</c:v>
                </c:pt>
                <c:pt idx="7">
                  <c:v>8.0817781602218872</c:v>
                </c:pt>
                <c:pt idx="8">
                  <c:v>7.7556335809829697</c:v>
                </c:pt>
              </c:numCache>
            </c:numRef>
          </c:val>
        </c:ser>
        <c:ser>
          <c:idx val="3"/>
          <c:order val="3"/>
          <c:tx>
            <c:strRef>
              <c:f>'Data - f3.24'!$B$26</c:f>
              <c:strCache>
                <c:ptCount val="1"/>
                <c:pt idx="0">
                  <c:v>$95 000</c:v>
                </c:pt>
              </c:strCache>
            </c:strRef>
          </c:tx>
          <c:spPr>
            <a:pattFill prst="openDmnd">
              <a:fgClr>
                <a:schemeClr val="tx1"/>
              </a:fgClr>
              <a:bgClr>
                <a:schemeClr val="bg1"/>
              </a:bgClr>
            </a:pattFill>
            <a:ln>
              <a:solidFill>
                <a:sysClr val="windowText" lastClr="000000"/>
              </a:solidFill>
            </a:ln>
          </c:spPr>
          <c:invertIfNegative val="0"/>
          <c:val>
            <c:numRef>
              <c:f>'Data - f3.24'!$C$26:$K$26</c:f>
              <c:numCache>
                <c:formatCode>0.0</c:formatCode>
                <c:ptCount val="9"/>
                <c:pt idx="0">
                  <c:v>7.4293580080778732</c:v>
                </c:pt>
                <c:pt idx="1">
                  <c:v>7.4629171644920778</c:v>
                </c:pt>
                <c:pt idx="2">
                  <c:v>8.1804438897291103</c:v>
                </c:pt>
                <c:pt idx="3">
                  <c:v>8.5451200560967955</c:v>
                </c:pt>
                <c:pt idx="4">
                  <c:v>6.7489061604032008</c:v>
                </c:pt>
                <c:pt idx="5">
                  <c:v>8.6381268610161577</c:v>
                </c:pt>
                <c:pt idx="6">
                  <c:v>9.1511025376332817</c:v>
                </c:pt>
                <c:pt idx="7">
                  <c:v>7.9532004591529288</c:v>
                </c:pt>
                <c:pt idx="8">
                  <c:v>7.681850708718077</c:v>
                </c:pt>
              </c:numCache>
            </c:numRef>
          </c:val>
        </c:ser>
        <c:ser>
          <c:idx val="4"/>
          <c:order val="4"/>
          <c:tx>
            <c:strRef>
              <c:f>'Data - f3.24'!$B$27</c:f>
              <c:strCache>
                <c:ptCount val="1"/>
                <c:pt idx="0">
                  <c:v>$115 000</c:v>
                </c:pt>
              </c:strCache>
            </c:strRef>
          </c:tx>
          <c:spPr>
            <a:pattFill prst="ltVert">
              <a:fgClr>
                <a:schemeClr val="tx1"/>
              </a:fgClr>
              <a:bgClr>
                <a:schemeClr val="bg1"/>
              </a:bgClr>
            </a:pattFill>
            <a:ln>
              <a:solidFill>
                <a:sysClr val="windowText" lastClr="000000"/>
              </a:solidFill>
            </a:ln>
          </c:spPr>
          <c:invertIfNegative val="0"/>
          <c:val>
            <c:numRef>
              <c:f>'Data - f3.24'!$C$27:$K$27</c:f>
              <c:numCache>
                <c:formatCode>0.0</c:formatCode>
                <c:ptCount val="9"/>
                <c:pt idx="0">
                  <c:v>7.6118872174298886</c:v>
                </c:pt>
                <c:pt idx="1">
                  <c:v>7.6413895672076793</c:v>
                </c:pt>
                <c:pt idx="2">
                  <c:v>8.439314658120816</c:v>
                </c:pt>
                <c:pt idx="3">
                  <c:v>9.0804990599581448</c:v>
                </c:pt>
                <c:pt idx="4">
                  <c:v>7.0136919538402021</c:v>
                </c:pt>
                <c:pt idx="5">
                  <c:v>9.2440263701550407</c:v>
                </c:pt>
                <c:pt idx="6">
                  <c:v>10.145955349076084</c:v>
                </c:pt>
                <c:pt idx="7">
                  <c:v>8.0724048487232203</c:v>
                </c:pt>
                <c:pt idx="8">
                  <c:v>7.833857277662795</c:v>
                </c:pt>
              </c:numCache>
            </c:numRef>
          </c:val>
        </c:ser>
        <c:ser>
          <c:idx val="5"/>
          <c:order val="5"/>
          <c:tx>
            <c:strRef>
              <c:f>'Data - f3.24'!$B$28</c:f>
              <c:strCache>
                <c:ptCount val="1"/>
                <c:pt idx="0">
                  <c:v>$135 000</c:v>
                </c:pt>
              </c:strCache>
            </c:strRef>
          </c:tx>
          <c:spPr>
            <a:pattFill prst="wdDnDiag">
              <a:fgClr>
                <a:sysClr val="windowText" lastClr="000000"/>
              </a:fgClr>
              <a:bgClr>
                <a:sysClr val="window" lastClr="FFFFFF"/>
              </a:bgClr>
            </a:pattFill>
            <a:ln>
              <a:solidFill>
                <a:sysClr val="windowText" lastClr="000000"/>
              </a:solidFill>
            </a:ln>
          </c:spPr>
          <c:invertIfNegative val="0"/>
          <c:val>
            <c:numRef>
              <c:f>'Data - f3.24'!$C$28:$K$28</c:f>
              <c:numCache>
                <c:formatCode>0.0</c:formatCode>
                <c:ptCount val="9"/>
                <c:pt idx="0">
                  <c:v>8.1135275595549938</c:v>
                </c:pt>
                <c:pt idx="1">
                  <c:v>8.1651124437100826</c:v>
                </c:pt>
                <c:pt idx="2">
                  <c:v>9.2680463954069783</c:v>
                </c:pt>
                <c:pt idx="3">
                  <c:v>9.8286021365589438</c:v>
                </c:pt>
                <c:pt idx="4">
                  <c:v>7.0767091791616723</c:v>
                </c:pt>
                <c:pt idx="5">
                  <c:v>9.9715659583601894</c:v>
                </c:pt>
                <c:pt idx="6">
                  <c:v>10.760077759016545</c:v>
                </c:pt>
                <c:pt idx="7">
                  <c:v>8.9187430369853793</c:v>
                </c:pt>
                <c:pt idx="8">
                  <c:v>8.5016424022456629</c:v>
                </c:pt>
              </c:numCache>
            </c:numRef>
          </c:val>
        </c:ser>
        <c:dLbls>
          <c:showLegendKey val="0"/>
          <c:showVal val="0"/>
          <c:showCatName val="0"/>
          <c:showSerName val="0"/>
          <c:showPercent val="0"/>
          <c:showBubbleSize val="0"/>
        </c:dLbls>
        <c:gapWidth val="150"/>
        <c:axId val="199252224"/>
        <c:axId val="199266304"/>
      </c:barChart>
      <c:catAx>
        <c:axId val="199252224"/>
        <c:scaling>
          <c:orientation val="minMax"/>
        </c:scaling>
        <c:delete val="1"/>
        <c:axPos val="b"/>
        <c:majorTickMark val="out"/>
        <c:minorTickMark val="none"/>
        <c:tickLblPos val="nextTo"/>
        <c:crossAx val="199266304"/>
        <c:crosses val="autoZero"/>
        <c:auto val="1"/>
        <c:lblAlgn val="ctr"/>
        <c:lblOffset val="100"/>
        <c:noMultiLvlLbl val="0"/>
      </c:catAx>
      <c:valAx>
        <c:axId val="199266304"/>
        <c:scaling>
          <c:orientation val="minMax"/>
          <c:max val="9000000"/>
        </c:scaling>
        <c:delete val="1"/>
        <c:axPos val="l"/>
        <c:numFmt formatCode="0.0" sourceLinked="1"/>
        <c:majorTickMark val="out"/>
        <c:minorTickMark val="none"/>
        <c:tickLblPos val="nextTo"/>
        <c:crossAx val="199252224"/>
        <c:crosses val="autoZero"/>
        <c:crossBetween val="between"/>
        <c:majorUnit val="500000"/>
      </c:valAx>
      <c:spPr>
        <a:noFill/>
        <a:ln>
          <a:solidFill>
            <a:schemeClr val="tx1"/>
          </a:solidFill>
        </a:ln>
      </c:spPr>
    </c:plotArea>
    <c:legend>
      <c:legendPos val="t"/>
      <c:overlay val="0"/>
      <c:spPr>
        <a:ln>
          <a:solidFill>
            <a:schemeClr val="tx1"/>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1A8C69-DC7C-408E-8AC1-3BA7598BD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99</Pages>
  <Words>30405</Words>
  <Characters>170235</Characters>
  <Application>Microsoft Office Word</Application>
  <DocSecurity>0</DocSecurity>
  <Lines>1418</Lines>
  <Paragraphs>400</Paragraphs>
  <ScaleCrop>false</ScaleCrop>
  <HeadingPairs>
    <vt:vector size="2" baseType="variant">
      <vt:variant>
        <vt:lpstr>Title</vt:lpstr>
      </vt:variant>
      <vt:variant>
        <vt:i4>1</vt:i4>
      </vt:variant>
    </vt:vector>
  </HeadingPairs>
  <TitlesOfParts>
    <vt:vector size="1" baseType="lpstr">
      <vt:lpstr>Early Childhood Education and Care</vt:lpstr>
    </vt:vector>
  </TitlesOfParts>
  <Company>Productivity Commission</Company>
  <LinksUpToDate>false</LinksUpToDate>
  <CharactersWithSpaces>200240</CharactersWithSpaces>
  <SharedDoc>false</SharedDoc>
  <HLinks>
    <vt:vector size="48" baseType="variant">
      <vt:variant>
        <vt:i4>1769526</vt:i4>
      </vt:variant>
      <vt:variant>
        <vt:i4>44</vt:i4>
      </vt:variant>
      <vt:variant>
        <vt:i4>0</vt:i4>
      </vt:variant>
      <vt:variant>
        <vt:i4>5</vt:i4>
      </vt:variant>
      <vt:variant>
        <vt:lpwstr/>
      </vt:variant>
      <vt:variant>
        <vt:lpwstr>_Toc313548206</vt:lpwstr>
      </vt:variant>
      <vt:variant>
        <vt:i4>1769526</vt:i4>
      </vt:variant>
      <vt:variant>
        <vt:i4>38</vt:i4>
      </vt:variant>
      <vt:variant>
        <vt:i4>0</vt:i4>
      </vt:variant>
      <vt:variant>
        <vt:i4>5</vt:i4>
      </vt:variant>
      <vt:variant>
        <vt:lpwstr/>
      </vt:variant>
      <vt:variant>
        <vt:lpwstr>_Toc313548205</vt:lpwstr>
      </vt:variant>
      <vt:variant>
        <vt:i4>1769526</vt:i4>
      </vt:variant>
      <vt:variant>
        <vt:i4>32</vt:i4>
      </vt:variant>
      <vt:variant>
        <vt:i4>0</vt:i4>
      </vt:variant>
      <vt:variant>
        <vt:i4>5</vt:i4>
      </vt:variant>
      <vt:variant>
        <vt:lpwstr/>
      </vt:variant>
      <vt:variant>
        <vt:lpwstr>_Toc313548204</vt:lpwstr>
      </vt:variant>
      <vt:variant>
        <vt:i4>1769526</vt:i4>
      </vt:variant>
      <vt:variant>
        <vt:i4>26</vt:i4>
      </vt:variant>
      <vt:variant>
        <vt:i4>0</vt:i4>
      </vt:variant>
      <vt:variant>
        <vt:i4>5</vt:i4>
      </vt:variant>
      <vt:variant>
        <vt:lpwstr/>
      </vt:variant>
      <vt:variant>
        <vt:lpwstr>_Toc313548203</vt:lpwstr>
      </vt:variant>
      <vt:variant>
        <vt:i4>1769526</vt:i4>
      </vt:variant>
      <vt:variant>
        <vt:i4>20</vt:i4>
      </vt:variant>
      <vt:variant>
        <vt:i4>0</vt:i4>
      </vt:variant>
      <vt:variant>
        <vt:i4>5</vt:i4>
      </vt:variant>
      <vt:variant>
        <vt:lpwstr/>
      </vt:variant>
      <vt:variant>
        <vt:lpwstr>_Toc313548202</vt:lpwstr>
      </vt:variant>
      <vt:variant>
        <vt:i4>1769526</vt:i4>
      </vt:variant>
      <vt:variant>
        <vt:i4>14</vt:i4>
      </vt:variant>
      <vt:variant>
        <vt:i4>0</vt:i4>
      </vt:variant>
      <vt:variant>
        <vt:i4>5</vt:i4>
      </vt:variant>
      <vt:variant>
        <vt:lpwstr/>
      </vt:variant>
      <vt:variant>
        <vt:lpwstr>_Toc313548201</vt:lpwstr>
      </vt:variant>
      <vt:variant>
        <vt:i4>1769526</vt:i4>
      </vt:variant>
      <vt:variant>
        <vt:i4>8</vt:i4>
      </vt:variant>
      <vt:variant>
        <vt:i4>0</vt:i4>
      </vt:variant>
      <vt:variant>
        <vt:i4>5</vt:i4>
      </vt:variant>
      <vt:variant>
        <vt:lpwstr/>
      </vt:variant>
      <vt:variant>
        <vt:lpwstr>_Toc313548200</vt:lpwstr>
      </vt:variant>
      <vt:variant>
        <vt:i4>1179701</vt:i4>
      </vt:variant>
      <vt:variant>
        <vt:i4>2</vt:i4>
      </vt:variant>
      <vt:variant>
        <vt:i4>0</vt:i4>
      </vt:variant>
      <vt:variant>
        <vt:i4>5</vt:i4>
      </vt:variant>
      <vt:variant>
        <vt:lpwstr/>
      </vt:variant>
      <vt:variant>
        <vt:lpwstr>_Toc313548199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Early Childhood Education and Care</dc:title>
  <dc:subject>Report on Government Services 2014</dc:subject>
  <dc:creator>Steering Committee for the Review of Government Service Provision</dc:creator>
  <cp:lastModifiedBy>Frech, Tanya</cp:lastModifiedBy>
  <cp:revision>3</cp:revision>
  <cp:lastPrinted>2014-01-07T05:12:00Z</cp:lastPrinted>
  <dcterms:created xsi:type="dcterms:W3CDTF">2014-01-12T23:18:00Z</dcterms:created>
  <dcterms:modified xsi:type="dcterms:W3CDTF">2014-01-21T00:55:00Z</dcterms:modified>
</cp:coreProperties>
</file>